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C64" w:rsidRPr="00E00CAD" w:rsidRDefault="00ED3C64" w:rsidP="00ED3C64">
      <w:pPr>
        <w:pStyle w:val="Paragrafi"/>
        <w:jc w:val="center"/>
        <w:rPr>
          <w:b/>
          <w:spacing w:val="-4"/>
          <w:lang w:val="sq-AL"/>
        </w:rPr>
      </w:pPr>
      <w:r w:rsidRPr="00E00CAD">
        <w:rPr>
          <w:b/>
          <w:spacing w:val="-4"/>
          <w:lang w:val="sq-AL"/>
        </w:rPr>
        <w:t>VENDIM</w:t>
      </w:r>
    </w:p>
    <w:p w:rsidR="00ED3C64" w:rsidRPr="00E00CAD" w:rsidRDefault="00ED3C64" w:rsidP="00ED3C64">
      <w:pPr>
        <w:pStyle w:val="Paragrafi"/>
        <w:jc w:val="center"/>
        <w:rPr>
          <w:b/>
          <w:spacing w:val="-4"/>
          <w:lang w:val="sq-AL"/>
        </w:rPr>
      </w:pPr>
      <w:r w:rsidRPr="00E00CAD">
        <w:rPr>
          <w:b/>
          <w:spacing w:val="-4"/>
          <w:lang w:val="sq-AL"/>
        </w:rPr>
        <w:t>Nr. 352, datë  29.4.2015</w:t>
      </w:r>
    </w:p>
    <w:p w:rsidR="00ED3C64" w:rsidRPr="00E00CAD" w:rsidRDefault="00ED3C64" w:rsidP="00ED3C64">
      <w:pPr>
        <w:pStyle w:val="Hapesira7"/>
        <w:jc w:val="center"/>
        <w:rPr>
          <w:b/>
          <w:spacing w:val="-4"/>
          <w:lang w:val="sq-AL"/>
        </w:rPr>
      </w:pPr>
    </w:p>
    <w:p w:rsidR="00ED3C64" w:rsidRPr="00E00CAD" w:rsidRDefault="00ED3C64" w:rsidP="00ED3C64">
      <w:pPr>
        <w:pStyle w:val="Paragrafi"/>
        <w:jc w:val="center"/>
        <w:rPr>
          <w:b/>
          <w:spacing w:val="-4"/>
          <w:lang w:val="sq-AL"/>
        </w:rPr>
      </w:pPr>
      <w:r w:rsidRPr="00E00CAD">
        <w:rPr>
          <w:b/>
          <w:spacing w:val="-4"/>
          <w:lang w:val="sq-AL"/>
        </w:rPr>
        <w:t>PËR VLERËSIMIN E CILËSISË SË AJRIT TË MJEDISIT DHE KËRKESAT PËR DISA NDOTËS NË LIDHJE ME TË</w:t>
      </w:r>
      <w:r w:rsidRPr="00E00CAD">
        <w:rPr>
          <w:b/>
          <w:spacing w:val="-4"/>
          <w:vertAlign w:val="superscript"/>
          <w:lang w:val="sq-AL"/>
        </w:rPr>
        <w:footnoteReference w:customMarkFollows="1" w:id="1"/>
        <w:sym w:font="Symbol" w:char="F02A"/>
      </w:r>
    </w:p>
    <w:p w:rsidR="00ED3C64" w:rsidRPr="00E00CAD" w:rsidRDefault="00ED3C64" w:rsidP="00ED3C64">
      <w:pPr>
        <w:pStyle w:val="Hapesira7"/>
        <w:rPr>
          <w:spacing w:val="-4"/>
          <w:lang w:val="sq-AL"/>
        </w:rPr>
      </w:pPr>
    </w:p>
    <w:p w:rsidR="00ED3C64" w:rsidRPr="00E00CAD" w:rsidRDefault="00ED3C64" w:rsidP="00ED3C64">
      <w:pPr>
        <w:pStyle w:val="Paragrafi"/>
        <w:rPr>
          <w:spacing w:val="-4"/>
          <w:lang w:val="sq-AL"/>
        </w:rPr>
      </w:pPr>
      <w:r w:rsidRPr="00E00CAD">
        <w:rPr>
          <w:spacing w:val="-4"/>
          <w:lang w:val="sq-AL"/>
        </w:rPr>
        <w:t xml:space="preserve">Në mbështetje të nenit 100 të Kushtetutës dhe të nenit 5, të ligjit nr. 162, datë 4.12.2014, “Për mbrojtjen e cilësisë së ajrit të mjedisit”, me propozimin e ministrit të Mjedisit, Këshilli i Ministrave </w:t>
      </w:r>
    </w:p>
    <w:p w:rsidR="00ED3C64" w:rsidRPr="00E00CAD" w:rsidRDefault="00ED3C64" w:rsidP="00ED3C64">
      <w:pPr>
        <w:pStyle w:val="Paragrafi"/>
        <w:jc w:val="center"/>
        <w:rPr>
          <w:spacing w:val="-4"/>
          <w:lang w:val="sq-AL"/>
        </w:rPr>
      </w:pPr>
      <w:r w:rsidRPr="00E00CAD">
        <w:rPr>
          <w:spacing w:val="-4"/>
          <w:lang w:val="sq-AL"/>
        </w:rPr>
        <w:t>VENDOSI:</w:t>
      </w:r>
    </w:p>
    <w:p w:rsidR="00ED3C64" w:rsidRPr="00E00CAD" w:rsidRDefault="00ED3C64" w:rsidP="00ED3C64">
      <w:pPr>
        <w:pStyle w:val="Hapesira7"/>
        <w:rPr>
          <w:spacing w:val="-4"/>
          <w:lang w:val="sq-AL"/>
        </w:rPr>
      </w:pPr>
    </w:p>
    <w:p w:rsidR="00ED3C64" w:rsidRPr="00E00CAD" w:rsidRDefault="00ED3C64" w:rsidP="00ED3C64">
      <w:pPr>
        <w:pStyle w:val="Paragrafi"/>
        <w:rPr>
          <w:spacing w:val="-4"/>
          <w:lang w:val="sq-AL"/>
        </w:rPr>
      </w:pPr>
      <w:r w:rsidRPr="00E00CAD">
        <w:rPr>
          <w:spacing w:val="-4"/>
          <w:lang w:val="sq-AL"/>
        </w:rPr>
        <w:t>I. TË PËRGJITHSHME</w:t>
      </w:r>
    </w:p>
    <w:p w:rsidR="00ED3C64" w:rsidRPr="00E00CAD" w:rsidRDefault="00ED3C64" w:rsidP="00ED3C64">
      <w:pPr>
        <w:pStyle w:val="Paragrafi"/>
        <w:rPr>
          <w:spacing w:val="-4"/>
          <w:lang w:val="sq-AL"/>
        </w:rPr>
      </w:pPr>
      <w:r w:rsidRPr="00E00CAD">
        <w:rPr>
          <w:spacing w:val="-4"/>
          <w:lang w:val="sq-AL"/>
        </w:rPr>
        <w:t>1. Qëllimi i këtij vendimi është:</w:t>
      </w:r>
    </w:p>
    <w:p w:rsidR="00ED3C64" w:rsidRPr="00E00CAD" w:rsidRDefault="00ED3C64" w:rsidP="00ED3C64">
      <w:pPr>
        <w:pStyle w:val="Paragrafi"/>
        <w:rPr>
          <w:spacing w:val="-4"/>
          <w:lang w:val="sq-AL"/>
        </w:rPr>
      </w:pPr>
      <w:r w:rsidRPr="00E00CAD">
        <w:rPr>
          <w:spacing w:val="-4"/>
          <w:lang w:val="sq-AL"/>
        </w:rPr>
        <w:t xml:space="preserve">a) përcaktimi i vlerave kufi, vlerave prag dhe vlerave të synuara për disa ndotës në ajër, si dhe objektivave për cilësi të shëndetshme të ajrit të mjedisit; </w:t>
      </w:r>
    </w:p>
    <w:p w:rsidR="00ED3C64" w:rsidRPr="00E00CAD" w:rsidRDefault="00ED3C64" w:rsidP="00ED3C64">
      <w:pPr>
        <w:pStyle w:val="Paragrafi"/>
        <w:rPr>
          <w:spacing w:val="-4"/>
          <w:lang w:val="sq-AL"/>
        </w:rPr>
      </w:pPr>
      <w:r w:rsidRPr="00E00CAD">
        <w:rPr>
          <w:spacing w:val="-4"/>
          <w:lang w:val="sq-AL"/>
        </w:rPr>
        <w:t>b) përcaktimi i metodave dhe kritereve për matjen dhe vlerësimin e cilësisë së ajrit të mjedisit;</w:t>
      </w:r>
    </w:p>
    <w:p w:rsidR="00ED3C64" w:rsidRPr="00E00CAD" w:rsidRDefault="00ED3C64" w:rsidP="00ED3C64">
      <w:pPr>
        <w:pStyle w:val="Paragrafi"/>
        <w:rPr>
          <w:spacing w:val="-4"/>
          <w:lang w:val="sq-AL"/>
        </w:rPr>
      </w:pPr>
      <w:r w:rsidRPr="00E00CAD">
        <w:rPr>
          <w:spacing w:val="-4"/>
          <w:lang w:val="sq-AL"/>
        </w:rPr>
        <w:t>c) promovimi i rritjes së bashkëpunimit midis aktorëve të ndryshëm brenda vendit, si dhe me vende të tjera.</w:t>
      </w:r>
    </w:p>
    <w:p w:rsidR="00ED3C64" w:rsidRPr="00E00CAD" w:rsidRDefault="00ED3C64" w:rsidP="00ED3C64">
      <w:pPr>
        <w:pStyle w:val="Paragrafi"/>
        <w:rPr>
          <w:spacing w:val="-4"/>
          <w:lang w:val="sq-AL"/>
        </w:rPr>
      </w:pPr>
      <w:r w:rsidRPr="00E00CAD">
        <w:rPr>
          <w:spacing w:val="-4"/>
          <w:lang w:val="sq-AL"/>
        </w:rPr>
        <w:t>II. PËRKUFIZIME</w:t>
      </w:r>
    </w:p>
    <w:p w:rsidR="00ED3C64" w:rsidRDefault="00ED3C64" w:rsidP="00ED3C64">
      <w:pPr>
        <w:pStyle w:val="Paragrafi"/>
        <w:rPr>
          <w:spacing w:val="-4"/>
          <w:lang w:val="sq-AL"/>
        </w:rPr>
      </w:pPr>
      <w:r w:rsidRPr="00E00CAD">
        <w:rPr>
          <w:spacing w:val="-4"/>
          <w:lang w:val="sq-AL"/>
        </w:rPr>
        <w:t>2. Termat e përkufizuar në nenin 3, të ligjit nr. 162, datë 4.12.2014, “Për mbrojtjen e cilësisë së ajrit të mjedisit”, kanë të njëjtin kuptim edhe në këtë vendim, ndërsa me termat e mëposhtëm nënkuptohet:</w:t>
      </w:r>
    </w:p>
    <w:p w:rsidR="00ED3C64" w:rsidRPr="00E00CAD" w:rsidRDefault="00ED3C64" w:rsidP="00ED3C64">
      <w:pPr>
        <w:pStyle w:val="Paragrafi"/>
        <w:rPr>
          <w:spacing w:val="-4"/>
          <w:lang w:val="sq-AL"/>
        </w:rPr>
      </w:pPr>
      <w:r w:rsidRPr="00E00CAD">
        <w:rPr>
          <w:spacing w:val="-4"/>
          <w:lang w:val="sq-AL"/>
        </w:rPr>
        <w:t>a) “Arsenik, kadmium, nikel dhe benzo(a)piren”, përmbajtja totale e këtyre elementeve dhe përbërësve në fraksionin e PM</w:t>
      </w:r>
      <w:r w:rsidRPr="004255F4">
        <w:rPr>
          <w:spacing w:val="-4"/>
          <w:vertAlign w:val="subscript"/>
          <w:lang w:val="sq-AL"/>
        </w:rPr>
        <w:t>10</w:t>
      </w:r>
      <w:r w:rsidRPr="00E00CAD">
        <w:rPr>
          <w:spacing w:val="-4"/>
          <w:lang w:val="sq-AL"/>
        </w:rPr>
        <w:t>.</w:t>
      </w:r>
    </w:p>
    <w:p w:rsidR="00ED3C64" w:rsidRPr="00E00CAD" w:rsidRDefault="00ED3C64" w:rsidP="00ED3C64">
      <w:pPr>
        <w:pStyle w:val="Paragrafi"/>
        <w:rPr>
          <w:spacing w:val="-4"/>
          <w:lang w:val="sq-AL"/>
        </w:rPr>
      </w:pPr>
      <w:r w:rsidRPr="00E00CAD">
        <w:rPr>
          <w:spacing w:val="-4"/>
          <w:lang w:val="sq-AL"/>
        </w:rPr>
        <w:t>b) “Burimet e shpërndarjes”, një numër i madh i burimeve të papërcaktuara të shpërndara në zonë ose aglomerat.</w:t>
      </w:r>
    </w:p>
    <w:p w:rsidR="00ED3C64" w:rsidRPr="00E00CAD" w:rsidRDefault="00ED3C64" w:rsidP="00ED3C64">
      <w:pPr>
        <w:pStyle w:val="Paragrafi"/>
        <w:rPr>
          <w:spacing w:val="-4"/>
          <w:lang w:val="sq-AL"/>
        </w:rPr>
      </w:pPr>
      <w:r w:rsidRPr="00E00CAD">
        <w:rPr>
          <w:spacing w:val="-4"/>
          <w:lang w:val="sq-AL"/>
        </w:rPr>
        <w:t>c) “Burim i palëvizshëm”, objekti që lëshon ndotës nga një pozicion i palëvizshëm.</w:t>
      </w:r>
    </w:p>
    <w:p w:rsidR="00ED3C64" w:rsidRPr="00E00CAD" w:rsidRDefault="00ED3C64" w:rsidP="00ED3C64">
      <w:pPr>
        <w:pStyle w:val="Paragrafi"/>
        <w:rPr>
          <w:spacing w:val="-4"/>
          <w:lang w:val="sq-AL"/>
        </w:rPr>
      </w:pPr>
      <w:r w:rsidRPr="00E00CAD">
        <w:rPr>
          <w:spacing w:val="-4"/>
          <w:lang w:val="sq-AL"/>
        </w:rPr>
        <w:t>ç) “Burim i lëvizshëm”, burimi që lëshon ndotje kur është në lëvizje.</w:t>
      </w:r>
    </w:p>
    <w:p w:rsidR="00ED3C64" w:rsidRPr="00E00CAD" w:rsidRDefault="00ED3C64" w:rsidP="00ED3C64">
      <w:pPr>
        <w:pStyle w:val="Paragrafi"/>
        <w:rPr>
          <w:spacing w:val="-4"/>
          <w:lang w:val="sq-AL"/>
        </w:rPr>
      </w:pPr>
      <w:r w:rsidRPr="00E00CAD">
        <w:rPr>
          <w:spacing w:val="-4"/>
          <w:lang w:val="sq-AL"/>
        </w:rPr>
        <w:t>d) “Depozitim”, masa e ndotësve e transferuar nga atmosfera në sipërfaqe (p.sh tokë, bimë, ujë, ndërtesa etj.) në një zonë të dhënë brenda një periudhe të dhënë.</w:t>
      </w:r>
    </w:p>
    <w:p w:rsidR="00ED3C64" w:rsidRPr="00E00CAD" w:rsidRDefault="00ED3C64" w:rsidP="00ED3C64">
      <w:pPr>
        <w:pStyle w:val="Paragrafi"/>
        <w:rPr>
          <w:spacing w:val="-4"/>
          <w:lang w:val="sq-AL"/>
        </w:rPr>
      </w:pPr>
      <w:r w:rsidRPr="00E00CAD">
        <w:rPr>
          <w:spacing w:val="-4"/>
          <w:lang w:val="sq-AL"/>
        </w:rPr>
        <w:t xml:space="preserve"> dh)</w:t>
      </w:r>
      <w:r w:rsidRPr="00E00CAD">
        <w:rPr>
          <w:spacing w:val="-4"/>
          <w:lang w:val="sq-AL"/>
        </w:rPr>
        <w:tab/>
        <w:t xml:space="preserve">“Depozitimi total ose i plotë”, gjithë masa e ndotësve që transferohet nga atmosfera në sipërfaqen e tokës, bimësisë, ujit, ndërtesave etj. brenda një  periudhe kohe të caktuar. </w:t>
      </w:r>
    </w:p>
    <w:p w:rsidR="00ED3C64" w:rsidRPr="00E00CAD" w:rsidRDefault="00ED3C64" w:rsidP="00ED3C64">
      <w:pPr>
        <w:pStyle w:val="Paragrafi"/>
        <w:rPr>
          <w:spacing w:val="-4"/>
          <w:lang w:val="sq-AL"/>
        </w:rPr>
      </w:pPr>
      <w:r w:rsidRPr="00E00CAD">
        <w:rPr>
          <w:spacing w:val="-4"/>
          <w:lang w:val="sq-AL"/>
        </w:rPr>
        <w:t>e) “Detyrimi i përqendrimit të ekspozimit”, niveli i fiksuar në bazë të treguesit të ekspozimit mesatar me qëllim pakësimin e efekteve të dëmshme në shëndetin publik, që duhet arritur gjatë një periudhe të dhënë.</w:t>
      </w:r>
    </w:p>
    <w:p w:rsidR="00ED3C64" w:rsidRPr="00E00CAD" w:rsidRDefault="00ED3C64" w:rsidP="00ED3C64">
      <w:pPr>
        <w:pStyle w:val="Paragrafi"/>
        <w:rPr>
          <w:spacing w:val="-4"/>
          <w:lang w:val="sq-AL"/>
        </w:rPr>
      </w:pPr>
      <w:r w:rsidRPr="00E00CAD">
        <w:rPr>
          <w:spacing w:val="-4"/>
          <w:lang w:val="sq-AL"/>
        </w:rPr>
        <w:t>ë)</w:t>
      </w:r>
      <w:r w:rsidRPr="00E00CAD">
        <w:rPr>
          <w:spacing w:val="-4"/>
          <w:lang w:val="sq-AL"/>
        </w:rPr>
        <w:tab/>
        <w:t xml:space="preserve"> “Hidrokarburet aromatike policiklike”, ato përbërje organike që përbëhen të paktën prej dy unazash aromatike të shkrira të formuara plotësisht nga karboni dhe hidrogjeni.</w:t>
      </w:r>
    </w:p>
    <w:p w:rsidR="00ED3C64" w:rsidRPr="00E00CAD" w:rsidRDefault="00ED3C64" w:rsidP="00ED3C64">
      <w:pPr>
        <w:pStyle w:val="Paragrafi"/>
        <w:rPr>
          <w:spacing w:val="-4"/>
          <w:lang w:val="sq-AL"/>
        </w:rPr>
      </w:pPr>
      <w:r w:rsidRPr="00E00CAD">
        <w:rPr>
          <w:spacing w:val="-4"/>
          <w:lang w:val="sq-AL"/>
        </w:rPr>
        <w:t>f) “Matje fikse”, matjet e kryera në territore të caktuara, në vazhdimësi ose nga marrja e mostrave të rastësishme për të përcaktuar nivelet në përputhje me objektivat e cilësisë të të dhënave përkatëse.</w:t>
      </w:r>
    </w:p>
    <w:p w:rsidR="00ED3C64" w:rsidRPr="00E00CAD" w:rsidRDefault="00ED3C64" w:rsidP="00ED3C64">
      <w:pPr>
        <w:pStyle w:val="Paragrafi"/>
        <w:rPr>
          <w:spacing w:val="-4"/>
          <w:lang w:val="sq-AL"/>
        </w:rPr>
      </w:pPr>
      <w:r w:rsidRPr="00E00CAD">
        <w:rPr>
          <w:spacing w:val="-4"/>
          <w:lang w:val="sq-AL"/>
        </w:rPr>
        <w:t>g) “Matjet treguese”, matjet që plotësojnë objektivat e cilësisë të të dhënave që janë më pak të sakta se ato që kërkohen për matjet fikse.</w:t>
      </w:r>
    </w:p>
    <w:p w:rsidR="00ED3C64" w:rsidRPr="00E00CAD" w:rsidRDefault="00ED3C64" w:rsidP="00ED3C64">
      <w:pPr>
        <w:pStyle w:val="Paragrafi"/>
        <w:rPr>
          <w:spacing w:val="-4"/>
          <w:lang w:val="sq-AL"/>
        </w:rPr>
      </w:pPr>
      <w:r w:rsidRPr="00E00CAD">
        <w:rPr>
          <w:spacing w:val="-4"/>
          <w:lang w:val="sq-AL"/>
        </w:rPr>
        <w:t xml:space="preserve">  gj)</w:t>
      </w:r>
      <w:r w:rsidRPr="00E00CAD">
        <w:rPr>
          <w:spacing w:val="-4"/>
          <w:lang w:val="sq-AL"/>
        </w:rPr>
        <w:tab/>
        <w:t>“Mërkuri i gaztë total”, avulli elementar i merkurit (Hg 0) dhe merkuri reaktiv i gaztë, p.sh. llojet e merkurit të tretshëm në ujë me trysni avulli mjaftueshmërisht të lartë për të ekzistuar në fazën e gaztë.</w:t>
      </w:r>
    </w:p>
    <w:p w:rsidR="00ED3C64" w:rsidRPr="00E00CAD" w:rsidRDefault="00ED3C64" w:rsidP="00ED3C64">
      <w:pPr>
        <w:pStyle w:val="Paragrafi"/>
        <w:rPr>
          <w:spacing w:val="-4"/>
          <w:lang w:val="sq-AL"/>
        </w:rPr>
      </w:pPr>
      <w:r w:rsidRPr="00E00CAD">
        <w:rPr>
          <w:spacing w:val="-4"/>
          <w:lang w:val="sq-AL"/>
        </w:rPr>
        <w:t xml:space="preserve">h) “Nivel kritik”, niveli fiks në bazë të njohurive shkencore, mbi të cilin mund të ndodhin efekte negative të drejtpërdrejta te disa receptorë, të tillë si pemët, bimë të tjera ose ekosistemet natyrore, por jo te njerëzit. </w:t>
      </w:r>
    </w:p>
    <w:p w:rsidR="00ED3C64" w:rsidRPr="00E00CAD" w:rsidRDefault="00ED3C64" w:rsidP="00ED3C64">
      <w:pPr>
        <w:pStyle w:val="Paragrafi"/>
        <w:rPr>
          <w:spacing w:val="-4"/>
          <w:lang w:val="sq-AL"/>
        </w:rPr>
      </w:pPr>
      <w:r w:rsidRPr="00E00CAD">
        <w:rPr>
          <w:spacing w:val="-4"/>
          <w:lang w:val="sq-AL"/>
        </w:rPr>
        <w:t xml:space="preserve">i) “Okside të azotit”, shuma e raportit të përzier të vëllimit (ppbv) të monoksidit të azotit (oksidi nitrik) dhe dyoksidit të azotit, e shprehur në njësi të përqendrimit të masës së dyoksidit të azotit (μg/m³). </w:t>
      </w:r>
    </w:p>
    <w:p w:rsidR="00ED3C64" w:rsidRPr="00E00CAD" w:rsidRDefault="00ED3C64" w:rsidP="00ED3C64">
      <w:pPr>
        <w:pStyle w:val="Paragrafi"/>
        <w:rPr>
          <w:spacing w:val="-4"/>
          <w:lang w:val="sq-AL"/>
        </w:rPr>
      </w:pPr>
      <w:r w:rsidRPr="00E00CAD">
        <w:rPr>
          <w:spacing w:val="-4"/>
          <w:lang w:val="sq-AL"/>
        </w:rPr>
        <w:t xml:space="preserve">j) “Objektiv afatgjatë”, niveli që duhet arritur të ruhet në periudhë afatgjatë, kur nuk është i arritshëm nëpërmjet masave proporcionale, me qëllim sigurimin e mbrojtjes efektive të shëndetit publik dhe mjedisit. </w:t>
      </w:r>
    </w:p>
    <w:p w:rsidR="00ED3C64" w:rsidRPr="00E00CAD" w:rsidRDefault="00ED3C64" w:rsidP="00ED3C64">
      <w:pPr>
        <w:pStyle w:val="Paragrafi"/>
        <w:rPr>
          <w:spacing w:val="-4"/>
          <w:lang w:val="sq-AL"/>
        </w:rPr>
      </w:pPr>
      <w:r w:rsidRPr="00E00CAD">
        <w:rPr>
          <w:spacing w:val="-4"/>
          <w:lang w:val="sq-AL"/>
        </w:rPr>
        <w:t>k) “Prag i sipërm i vlerësimit”, niveli nën të cilin kombinimi i matjeve fikse dhe teknikave të modelimit dhe/ose matjet treguese mund të përdoren për të vlerësuar cilësinë e ajrit të mjedisit.</w:t>
      </w:r>
    </w:p>
    <w:p w:rsidR="00ED3C64" w:rsidRDefault="00ED3C64" w:rsidP="00ED3C64">
      <w:pPr>
        <w:pStyle w:val="Paragrafi"/>
        <w:rPr>
          <w:spacing w:val="-4"/>
          <w:lang w:val="sq-AL"/>
        </w:rPr>
      </w:pPr>
      <w:r w:rsidRPr="00E00CAD">
        <w:rPr>
          <w:spacing w:val="-4"/>
          <w:lang w:val="sq-AL"/>
        </w:rPr>
        <w:t>l) “Prag i poshtëm i vlerësimit”, niveli nën të cilin modelimi ose vetëm teknikat e vlerësimit objektiv mund të përdoren për të vlerësuar cilësinë e ajrit të mjedisit.</w:t>
      </w:r>
    </w:p>
    <w:p w:rsidR="00ED3C64" w:rsidRPr="00E00CAD" w:rsidRDefault="00ED3C64" w:rsidP="00ED3C64">
      <w:pPr>
        <w:pStyle w:val="Paragrafi"/>
        <w:rPr>
          <w:spacing w:val="-4"/>
          <w:lang w:val="sq-AL"/>
        </w:rPr>
      </w:pPr>
      <w:r w:rsidRPr="00E00CAD">
        <w:rPr>
          <w:spacing w:val="-4"/>
          <w:lang w:val="sq-AL"/>
        </w:rPr>
        <w:t xml:space="preserve"> </w:t>
      </w:r>
    </w:p>
    <w:p w:rsidR="00ED3C64" w:rsidRPr="00E00CAD" w:rsidRDefault="00ED3C64" w:rsidP="00ED3C64">
      <w:pPr>
        <w:pStyle w:val="Paragrafi"/>
        <w:rPr>
          <w:spacing w:val="-4"/>
          <w:lang w:val="sq-AL"/>
        </w:rPr>
      </w:pPr>
      <w:r w:rsidRPr="00E00CAD">
        <w:rPr>
          <w:spacing w:val="-4"/>
          <w:lang w:val="sq-AL"/>
        </w:rPr>
        <w:lastRenderedPageBreak/>
        <w:t xml:space="preserve"> ll)</w:t>
      </w:r>
      <w:r w:rsidRPr="00E00CAD">
        <w:rPr>
          <w:spacing w:val="-4"/>
          <w:lang w:val="sq-AL"/>
        </w:rPr>
        <w:tab/>
        <w:t>“PM</w:t>
      </w:r>
      <w:r w:rsidRPr="00702179">
        <w:rPr>
          <w:spacing w:val="-4"/>
          <w:vertAlign w:val="superscript"/>
          <w:lang w:val="sq-AL"/>
        </w:rPr>
        <w:t>10</w:t>
      </w:r>
      <w:r w:rsidRPr="00E00CAD">
        <w:rPr>
          <w:spacing w:val="-4"/>
          <w:lang w:val="sq-AL"/>
        </w:rPr>
        <w:t>”, lënda e ngurtë pezull që kalon nëpërmjet një hyrjeje përzgjedhëse sipas madhësisë, siç përcaktohet në metodën referencë për marrjen e mostrave dhe matjen e PM</w:t>
      </w:r>
      <w:r w:rsidRPr="004255F4">
        <w:rPr>
          <w:spacing w:val="-4"/>
          <w:vertAlign w:val="subscript"/>
          <w:lang w:val="sq-AL"/>
        </w:rPr>
        <w:t>10</w:t>
      </w:r>
      <w:r w:rsidRPr="00E00CAD">
        <w:rPr>
          <w:spacing w:val="-4"/>
          <w:lang w:val="sq-AL"/>
        </w:rPr>
        <w:t xml:space="preserve">, S SH EN 12341:2005, me efiçencë me kufi minimal 50% në një diametër aerodinamik 10 μm. </w:t>
      </w:r>
    </w:p>
    <w:p w:rsidR="00ED3C64" w:rsidRPr="00E00CAD" w:rsidRDefault="00ED3C64" w:rsidP="00ED3C64">
      <w:pPr>
        <w:pStyle w:val="Paragrafi"/>
        <w:rPr>
          <w:spacing w:val="-4"/>
          <w:lang w:val="sq-AL"/>
        </w:rPr>
      </w:pPr>
      <w:r w:rsidRPr="00E00CAD">
        <w:rPr>
          <w:spacing w:val="-4"/>
          <w:lang w:val="sq-AL"/>
        </w:rPr>
        <w:t>m) “PM</w:t>
      </w:r>
      <w:r w:rsidRPr="004255F4">
        <w:rPr>
          <w:spacing w:val="-4"/>
          <w:vertAlign w:val="subscript"/>
          <w:lang w:val="sq-AL"/>
        </w:rPr>
        <w:t>2,5</w:t>
      </w:r>
      <w:r w:rsidRPr="00E00CAD">
        <w:rPr>
          <w:spacing w:val="-4"/>
          <w:lang w:val="sq-AL"/>
        </w:rPr>
        <w:t>”, lënda e ngurtë pezull që kalon nëpërmjet një hyrjeje përzgjedhëse sipas madhësisë, siç përcaktohet në metodën referencë për marrjen e mostrave dhe matjen e PM</w:t>
      </w:r>
      <w:r w:rsidRPr="004255F4">
        <w:rPr>
          <w:spacing w:val="-4"/>
          <w:vertAlign w:val="subscript"/>
          <w:lang w:val="sq-AL"/>
        </w:rPr>
        <w:t>2,5</w:t>
      </w:r>
      <w:r w:rsidRPr="00E00CAD">
        <w:rPr>
          <w:spacing w:val="-4"/>
          <w:lang w:val="sq-AL"/>
        </w:rPr>
        <w:t>, S SH EN 14907:2005, me efiçencë me kufi minimal 50% në një diametër aerodinamik 2,5 μm.</w:t>
      </w:r>
    </w:p>
    <w:p w:rsidR="00ED3C64" w:rsidRPr="00E00CAD" w:rsidRDefault="00ED3C64" w:rsidP="00ED3C64">
      <w:pPr>
        <w:pStyle w:val="Paragrafi"/>
        <w:rPr>
          <w:spacing w:val="-4"/>
          <w:lang w:val="sq-AL"/>
        </w:rPr>
      </w:pPr>
      <w:r w:rsidRPr="00E00CAD">
        <w:rPr>
          <w:spacing w:val="-4"/>
          <w:lang w:val="sq-AL"/>
        </w:rPr>
        <w:t>n) “Përbërësit organikë të avullueshëm” (VOC), përbërësit organikë nga burime antropogjenike dhe biogjenike, përveç metanit, që janë të afta të prodhojnë oksidantë fotokimikë nëpërmjet reaksioneve me oksidet e azotit në prani të dritës së diellit.</w:t>
      </w:r>
    </w:p>
    <w:p w:rsidR="00ED3C64" w:rsidRPr="00E00CAD" w:rsidRDefault="00ED3C64" w:rsidP="00ED3C64">
      <w:pPr>
        <w:pStyle w:val="Paragrafi"/>
        <w:rPr>
          <w:spacing w:val="-4"/>
          <w:lang w:val="sq-AL"/>
        </w:rPr>
      </w:pPr>
      <w:r w:rsidRPr="00E00CAD">
        <w:rPr>
          <w:spacing w:val="-4"/>
          <w:lang w:val="sq-AL"/>
        </w:rPr>
        <w:t>nj)</w:t>
      </w:r>
      <w:r w:rsidRPr="00E00CAD">
        <w:rPr>
          <w:spacing w:val="-4"/>
          <w:lang w:val="sq-AL"/>
        </w:rPr>
        <w:tab/>
        <w:t xml:space="preserve"> “Burim i identifikueshëm”, një burim i vetëm i shkarkimeve të ndotësit në ajër, i dallueshëm/i veçueshëm nga të tjerët.</w:t>
      </w:r>
    </w:p>
    <w:p w:rsidR="00ED3C64" w:rsidRPr="00E00CAD" w:rsidRDefault="00ED3C64" w:rsidP="00ED3C64">
      <w:pPr>
        <w:pStyle w:val="Paragrafi"/>
        <w:rPr>
          <w:spacing w:val="-4"/>
          <w:lang w:val="sq-AL"/>
        </w:rPr>
      </w:pPr>
      <w:r w:rsidRPr="00E00CAD">
        <w:rPr>
          <w:spacing w:val="-4"/>
          <w:lang w:val="sq-AL"/>
        </w:rPr>
        <w:t>o) “Matje në pikat fikse”, matjet e kryera në mënyrë të vazhdueshme ose matjet rastësore në pika fikse për të përcaktuar nivelet në përputhje me objektivat përkatës të cilësisë.</w:t>
      </w:r>
    </w:p>
    <w:p w:rsidR="00ED3C64" w:rsidRPr="00E00CAD" w:rsidRDefault="00ED3C64" w:rsidP="00ED3C64">
      <w:pPr>
        <w:pStyle w:val="Paragrafi"/>
        <w:rPr>
          <w:spacing w:val="-4"/>
          <w:lang w:val="sq-AL"/>
        </w:rPr>
      </w:pPr>
      <w:r w:rsidRPr="00E00CAD">
        <w:rPr>
          <w:spacing w:val="-4"/>
          <w:lang w:val="sq-AL"/>
        </w:rPr>
        <w:t>p) “Synimi për pakësimin e ekspozimit kombëtar”, pakësimi i përqindjes së ekspozimit mesatar të popullsisë së Republikës së Shqipërisë, i përcaktuar për vitin referencë me qëllim pakësimin e efekteve të dëmshme në shëndetin publik që duhet arritur, kur është e mundur, gjatë një periudhe të dhënë.</w:t>
      </w:r>
    </w:p>
    <w:p w:rsidR="00ED3C64" w:rsidRPr="00E00CAD" w:rsidRDefault="00ED3C64" w:rsidP="00ED3C64">
      <w:pPr>
        <w:pStyle w:val="Paragrafi"/>
        <w:rPr>
          <w:spacing w:val="-4"/>
          <w:lang w:val="sq-AL"/>
        </w:rPr>
      </w:pPr>
      <w:r w:rsidRPr="00E00CAD">
        <w:rPr>
          <w:spacing w:val="-4"/>
          <w:lang w:val="sq-AL"/>
        </w:rPr>
        <w:t>q) “Substancat pararendëse të ozonit”, substancat që kontribuojnë në formimin e nivelit bazë të ozonit.</w:t>
      </w:r>
    </w:p>
    <w:p w:rsidR="00ED3C64" w:rsidRPr="00E00CAD" w:rsidRDefault="00ED3C64" w:rsidP="00ED3C64">
      <w:pPr>
        <w:pStyle w:val="Paragrafi"/>
        <w:rPr>
          <w:spacing w:val="-4"/>
          <w:lang w:val="sq-AL"/>
        </w:rPr>
      </w:pPr>
      <w:r w:rsidRPr="00E00CAD">
        <w:rPr>
          <w:spacing w:val="-4"/>
          <w:lang w:val="sq-AL"/>
        </w:rPr>
        <w:t>r) “Tregues i ekspozimit mesatar”, niveli mesatar i përcaktuar në bazë të matjeve në vende me karakter urban në të gjithë Republikën e Shqipërisë dhe që reflekton ekspozimin e popullsisë. Ky tregues përdoret për të llogaritur synimin për pakësimin e ekspozimit kombëtar dhe detyrimin e përqendrimit të ekspozimit.</w:t>
      </w:r>
    </w:p>
    <w:p w:rsidR="00ED3C64" w:rsidRDefault="00ED3C64" w:rsidP="00ED3C64">
      <w:pPr>
        <w:pStyle w:val="Paragrafi"/>
        <w:rPr>
          <w:spacing w:val="-4"/>
          <w:lang w:val="sq-AL"/>
        </w:rPr>
      </w:pPr>
      <w:r w:rsidRPr="00E00CAD">
        <w:rPr>
          <w:spacing w:val="-4"/>
          <w:lang w:val="sq-AL"/>
        </w:rPr>
        <w:t>rr) “Vendndodhje me karakter urban”, vende në zona urbane ku nivelet janë përfaqësuese të ekspozimit të popullsisë në përgjithësi.</w:t>
      </w:r>
    </w:p>
    <w:p w:rsidR="00ED3C64" w:rsidRDefault="00ED3C64" w:rsidP="00ED3C64">
      <w:pPr>
        <w:pStyle w:val="Paragrafi"/>
        <w:rPr>
          <w:spacing w:val="-4"/>
          <w:lang w:val="sq-AL"/>
        </w:rPr>
      </w:pPr>
    </w:p>
    <w:p w:rsidR="00ED3C64" w:rsidRPr="00E00CAD" w:rsidRDefault="00ED3C64" w:rsidP="00ED3C64">
      <w:pPr>
        <w:pStyle w:val="Paragrafi"/>
        <w:rPr>
          <w:spacing w:val="-4"/>
          <w:lang w:val="sq-AL"/>
        </w:rPr>
      </w:pPr>
      <w:bookmarkStart w:id="0" w:name="_GoBack"/>
      <w:bookmarkEnd w:id="0"/>
      <w:r w:rsidRPr="00E00CAD">
        <w:rPr>
          <w:spacing w:val="-4"/>
          <w:lang w:val="sq-AL"/>
        </w:rPr>
        <w:t>III. VLERËSIMI I CILËSISË SË AJRIT TË MJEDISIT NË LIDHJE ME DYOKSIDIN E SQUFURIT, DYOKSIDIN E AZOTIT DHE OKSIDET E AZOTIT, LËNDËN E NGURTË PEZULL, PLUMBIN, BENZENIN DHE MONOKSIDIN E KARBONIT</w:t>
      </w:r>
    </w:p>
    <w:p w:rsidR="00ED3C64" w:rsidRPr="00E00CAD" w:rsidRDefault="00ED3C64" w:rsidP="00ED3C64">
      <w:pPr>
        <w:pStyle w:val="Paragrafi"/>
        <w:rPr>
          <w:spacing w:val="-4"/>
          <w:lang w:val="sq-AL"/>
        </w:rPr>
      </w:pPr>
      <w:r w:rsidRPr="00E00CAD">
        <w:rPr>
          <w:spacing w:val="-4"/>
          <w:lang w:val="sq-AL"/>
        </w:rPr>
        <w:t>3. Pragjet e vlerësimit</w:t>
      </w:r>
    </w:p>
    <w:p w:rsidR="00ED3C64" w:rsidRPr="00E00CAD" w:rsidRDefault="00ED3C64" w:rsidP="00ED3C64">
      <w:pPr>
        <w:pStyle w:val="Paragrafi"/>
        <w:rPr>
          <w:spacing w:val="-4"/>
          <w:lang w:val="sq-AL"/>
        </w:rPr>
      </w:pPr>
      <w:r w:rsidRPr="00E00CAD">
        <w:rPr>
          <w:spacing w:val="-4"/>
          <w:lang w:val="sq-AL"/>
        </w:rPr>
        <w:t>3.1 Pragjet e sipërme dhe të poshtme të vlerësimit që zbatohen për dyoksidin e squfurit, dyoksidin e azotit dhe oksidet e azotit, lëndën e ngurtë pezull (PM</w:t>
      </w:r>
      <w:r w:rsidRPr="00012314">
        <w:rPr>
          <w:spacing w:val="-4"/>
          <w:vertAlign w:val="subscript"/>
          <w:lang w:val="sq-AL"/>
        </w:rPr>
        <w:t>10</w:t>
      </w:r>
      <w:r w:rsidRPr="00E00CAD">
        <w:rPr>
          <w:spacing w:val="-4"/>
          <w:lang w:val="sq-AL"/>
        </w:rPr>
        <w:t xml:space="preserve"> dhe PM</w:t>
      </w:r>
      <w:r>
        <w:rPr>
          <w:spacing w:val="-4"/>
          <w:lang w:val="sq-AL"/>
        </w:rPr>
        <w:t xml:space="preserve"> </w:t>
      </w:r>
      <w:r w:rsidRPr="00012314">
        <w:rPr>
          <w:spacing w:val="-4"/>
          <w:vertAlign w:val="subscript"/>
          <w:lang w:val="sq-AL"/>
        </w:rPr>
        <w:t>2.5</w:t>
      </w:r>
      <w:r w:rsidRPr="00E00CAD">
        <w:rPr>
          <w:spacing w:val="-4"/>
          <w:lang w:val="sq-AL"/>
        </w:rPr>
        <w:t xml:space="preserve">), plumbin, benzenin dhe monoksidin e karbonit brenda një zone ose aglomerati janë të përcaktuara në seksionin A, të aneksit II, që i bashkëlidhet këtij vendimi. </w:t>
      </w:r>
    </w:p>
    <w:p w:rsidR="00ED3C64" w:rsidRPr="00E00CAD" w:rsidRDefault="00ED3C64" w:rsidP="00ED3C64">
      <w:pPr>
        <w:pStyle w:val="Paragrafi"/>
        <w:rPr>
          <w:spacing w:val="-4"/>
          <w:lang w:val="sq-AL"/>
        </w:rPr>
      </w:pPr>
      <w:r w:rsidRPr="00E00CAD">
        <w:rPr>
          <w:spacing w:val="-4"/>
          <w:lang w:val="sq-AL"/>
        </w:rPr>
        <w:t>3.2 Agjencia Kombëtare e Mjedisit (AKM) klasifikon zonat dhe aglomeratet sipas kapërcimit ose jo të pragjeve të sipërme ose të poshtme të vlerësimit referuar në pikën 3.1.</w:t>
      </w:r>
    </w:p>
    <w:p w:rsidR="00ED3C64" w:rsidRPr="00E00CAD" w:rsidRDefault="00ED3C64" w:rsidP="00ED3C64">
      <w:pPr>
        <w:pStyle w:val="Paragrafi"/>
        <w:rPr>
          <w:spacing w:val="-4"/>
          <w:lang w:val="sq-AL"/>
        </w:rPr>
      </w:pPr>
      <w:r w:rsidRPr="00E00CAD">
        <w:rPr>
          <w:spacing w:val="-4"/>
          <w:lang w:val="sq-AL"/>
        </w:rPr>
        <w:t>3.3 AKM-ja rishikon klasifikimin e zonave dhe aglomerateve referuar në pikën 3.2, të paktën çdo pesë vjet dhe më shpesh se pesë vjet, në qoftë se ka ndryshime thelbësore në aktivitetet që mund të ndikojnë në nivelet e dyoksidit të squfurit, dyoksidit të azotit dhe oksideve të azotit, lëndës së ngurtë pezull (PM</w:t>
      </w:r>
      <w:r w:rsidRPr="00012314">
        <w:rPr>
          <w:spacing w:val="-4"/>
          <w:vertAlign w:val="subscript"/>
          <w:lang w:val="sq-AL"/>
        </w:rPr>
        <w:t>10</w:t>
      </w:r>
      <w:r w:rsidRPr="00E00CAD">
        <w:rPr>
          <w:spacing w:val="-4"/>
          <w:lang w:val="sq-AL"/>
        </w:rPr>
        <w:t xml:space="preserve"> dhe PM</w:t>
      </w:r>
      <w:r>
        <w:rPr>
          <w:spacing w:val="-4"/>
          <w:lang w:val="sq-AL"/>
        </w:rPr>
        <w:t xml:space="preserve"> </w:t>
      </w:r>
      <w:r w:rsidRPr="00012314">
        <w:rPr>
          <w:spacing w:val="-4"/>
          <w:vertAlign w:val="subscript"/>
          <w:lang w:val="sq-AL"/>
        </w:rPr>
        <w:t>2.5</w:t>
      </w:r>
      <w:r w:rsidRPr="00E00CAD">
        <w:rPr>
          <w:spacing w:val="-4"/>
          <w:lang w:val="sq-AL"/>
        </w:rPr>
        <w:t xml:space="preserve">), plumbit, benzenit dhe monoksidit të karbonit në ajrin e mjedisit. </w:t>
      </w:r>
    </w:p>
    <w:p w:rsidR="00ED3C64" w:rsidRPr="00E00CAD" w:rsidRDefault="00ED3C64" w:rsidP="00ED3C64">
      <w:pPr>
        <w:pStyle w:val="Paragrafi"/>
        <w:rPr>
          <w:spacing w:val="-4"/>
          <w:lang w:val="sq-AL"/>
        </w:rPr>
      </w:pPr>
      <w:r w:rsidRPr="00E00CAD">
        <w:rPr>
          <w:spacing w:val="-4"/>
          <w:lang w:val="sq-AL"/>
        </w:rPr>
        <w:t xml:space="preserve">3.4 AKM-ja rishikon zonat dhe aglomeratet referuar në pikën 3.3, në përputhje me procedurat e përcaktuara në seksionin B, të aneksit II, që i bashkëlidhet këtij vendimi. </w:t>
      </w:r>
    </w:p>
    <w:p w:rsidR="00ED3C64" w:rsidRPr="00E00CAD" w:rsidRDefault="00ED3C64" w:rsidP="00ED3C64">
      <w:pPr>
        <w:pStyle w:val="Paragrafi"/>
        <w:rPr>
          <w:spacing w:val="-4"/>
          <w:lang w:val="sq-AL"/>
        </w:rPr>
      </w:pPr>
      <w:r w:rsidRPr="00E00CAD">
        <w:rPr>
          <w:spacing w:val="-4"/>
          <w:lang w:val="sq-AL"/>
        </w:rPr>
        <w:t>4. Kriteret e vlerësimit</w:t>
      </w:r>
    </w:p>
    <w:p w:rsidR="00ED3C64" w:rsidRPr="00E00CAD" w:rsidRDefault="00ED3C64" w:rsidP="00ED3C64">
      <w:pPr>
        <w:pStyle w:val="Paragrafi"/>
        <w:rPr>
          <w:spacing w:val="-4"/>
          <w:lang w:val="sq-AL"/>
        </w:rPr>
      </w:pPr>
      <w:r w:rsidRPr="00E00CAD">
        <w:rPr>
          <w:spacing w:val="-4"/>
          <w:lang w:val="sq-AL"/>
        </w:rPr>
        <w:t>4.1 AKM-ja vlerëson nivelin e dyoksidit të squfurit, dyoksidit të azotit dhe oksideve të azotit, lëndës së ngurtë pezull (PM</w:t>
      </w:r>
      <w:r w:rsidRPr="00012314">
        <w:rPr>
          <w:spacing w:val="-4"/>
          <w:vertAlign w:val="subscript"/>
          <w:lang w:val="sq-AL"/>
        </w:rPr>
        <w:t>10</w:t>
      </w:r>
      <w:r w:rsidRPr="00E00CAD">
        <w:rPr>
          <w:spacing w:val="-4"/>
          <w:lang w:val="sq-AL"/>
        </w:rPr>
        <w:t xml:space="preserve"> dhe PM</w:t>
      </w:r>
      <w:r>
        <w:rPr>
          <w:spacing w:val="-4"/>
          <w:lang w:val="sq-AL"/>
        </w:rPr>
        <w:t xml:space="preserve"> </w:t>
      </w:r>
      <w:r w:rsidRPr="00012314">
        <w:rPr>
          <w:spacing w:val="-4"/>
          <w:vertAlign w:val="subscript"/>
          <w:lang w:val="sq-AL"/>
        </w:rPr>
        <w:t>2.5</w:t>
      </w:r>
      <w:r w:rsidRPr="00E00CAD">
        <w:rPr>
          <w:spacing w:val="-4"/>
          <w:lang w:val="sq-AL"/>
        </w:rPr>
        <w:t xml:space="preserve">), plumbit, benzenit dhe monoksidit të karbonit në ajrin e mjedisit në të gjitha zonat dhe aglomeratet. </w:t>
      </w:r>
    </w:p>
    <w:p w:rsidR="00ED3C64" w:rsidRPr="00E00CAD" w:rsidRDefault="00ED3C64" w:rsidP="00ED3C64">
      <w:pPr>
        <w:pStyle w:val="Paragrafi"/>
        <w:rPr>
          <w:spacing w:val="-4"/>
          <w:lang w:val="sq-AL"/>
        </w:rPr>
      </w:pPr>
      <w:r w:rsidRPr="00E00CAD">
        <w:rPr>
          <w:spacing w:val="-4"/>
          <w:lang w:val="sq-AL"/>
        </w:rPr>
        <w:t xml:space="preserve"> 4.2 Në të gjitha zonat dhe aglomeratet, ku niveli i ndotësve të referuar në pikën 4.1 kapërcen pragun e sipërm të vlerësimit të referuar në  pikën 3.1, përdoren matjet fikse, por ato mund të plotësohen edhe nga matjet treguese ose modelimi apo nga të dyja së bashku, me qëllim që të sigurohet informacioni i përshtatshëm për shpërndarjen hapësinore të cilësisë së ajrit të mjedisit.</w:t>
      </w:r>
    </w:p>
    <w:p w:rsidR="00ED3C64" w:rsidRPr="00E00CAD" w:rsidRDefault="00ED3C64" w:rsidP="00ED3C64">
      <w:pPr>
        <w:pStyle w:val="Paragrafi"/>
        <w:rPr>
          <w:spacing w:val="-4"/>
          <w:lang w:val="sq-AL"/>
        </w:rPr>
      </w:pPr>
      <w:r w:rsidRPr="00E00CAD">
        <w:rPr>
          <w:spacing w:val="-4"/>
          <w:lang w:val="sq-AL"/>
        </w:rPr>
        <w:t>4.3 Në të gjitha zonat dhe aglomeratet, ku niveli i ndotësve referuar në pikën 4.1 është nën pragun e sipërm të vlerësimit, por mbi pragun e poshtëm të vlerësimit të referuar në pikën 3.1, një kombinim i matjeve fikse dhe modelimit ose matjeve treguese apo të dyjave së bashku mund të përdoret me qëllim që të sigurohet informacioni i përshtatshëm për shpërndarjen hapësinore të cilësisë së ajrit të mjedisit.</w:t>
      </w:r>
    </w:p>
    <w:p w:rsidR="00ED3C64" w:rsidRPr="00E00CAD" w:rsidRDefault="00ED3C64" w:rsidP="00ED3C64">
      <w:pPr>
        <w:pStyle w:val="Paragrafi"/>
        <w:rPr>
          <w:spacing w:val="-4"/>
          <w:lang w:val="sq-AL"/>
        </w:rPr>
      </w:pPr>
      <w:r w:rsidRPr="00E00CAD">
        <w:rPr>
          <w:spacing w:val="-4"/>
          <w:lang w:val="sq-AL"/>
        </w:rPr>
        <w:t xml:space="preserve">4.4 Në të gjitha zonat dhe aglomeratet, ku niveli i ndotësve të referuar në pikën 4.1 është nën pragun e poshtëm të vlerësimit të referuar në pikën 3.1, në vend të matjes mund të përdoren modelimi ose teknikat e vlerësimit apo të dyja së bashku.  </w:t>
      </w:r>
    </w:p>
    <w:p w:rsidR="00ED3C64" w:rsidRPr="00E00CAD" w:rsidRDefault="00ED3C64" w:rsidP="00ED3C64">
      <w:pPr>
        <w:pStyle w:val="Paragrafi"/>
        <w:rPr>
          <w:spacing w:val="-4"/>
          <w:lang w:val="sq-AL"/>
        </w:rPr>
      </w:pPr>
      <w:r w:rsidRPr="00E00CAD">
        <w:rPr>
          <w:spacing w:val="-4"/>
          <w:lang w:val="sq-AL"/>
        </w:rPr>
        <w:t xml:space="preserve">4.5 Kriteret e vlerësimit që përdoren për qëllime të pikave 4.1, 4.2, 4.3 dhe 4.4 janë dhënë në aneksin III, </w:t>
      </w:r>
      <w:r w:rsidRPr="00E00CAD">
        <w:rPr>
          <w:spacing w:val="-4"/>
          <w:lang w:val="sq-AL"/>
        </w:rPr>
        <w:lastRenderedPageBreak/>
        <w:t>që i bashkëlidhet këtij vendimi.</w:t>
      </w:r>
    </w:p>
    <w:p w:rsidR="00ED3C64" w:rsidRPr="00E00CAD" w:rsidRDefault="00ED3C64" w:rsidP="00ED3C64">
      <w:pPr>
        <w:pStyle w:val="Paragrafi"/>
        <w:rPr>
          <w:spacing w:val="-4"/>
          <w:lang w:val="sq-AL"/>
        </w:rPr>
      </w:pPr>
      <w:r w:rsidRPr="00E00CAD">
        <w:rPr>
          <w:spacing w:val="-4"/>
          <w:lang w:val="sq-AL"/>
        </w:rPr>
        <w:t>4.6 Përveç vlerësimeve referuar në pikat 4.1, 4.2, 4.3 dhe 4.4, AKM-ja mat PM</w:t>
      </w:r>
      <w:r>
        <w:rPr>
          <w:spacing w:val="-4"/>
          <w:lang w:val="sq-AL"/>
        </w:rPr>
        <w:t xml:space="preserve"> </w:t>
      </w:r>
      <w:r w:rsidRPr="00012314">
        <w:rPr>
          <w:spacing w:val="-4"/>
          <w:vertAlign w:val="subscript"/>
          <w:lang w:val="sq-AL"/>
        </w:rPr>
        <w:t>2.5</w:t>
      </w:r>
      <w:r w:rsidRPr="00E00CAD">
        <w:rPr>
          <w:spacing w:val="-4"/>
          <w:lang w:val="sq-AL"/>
        </w:rPr>
        <w:t xml:space="preserve"> në vendet me karakter rural larg nga burimet e rëndësishme të ndotjes së ajrit, me qëllim që të sigurojë informacionin mbi baza mesatare vjetore për përqendrimin total të masës dhe përqendrimet specifike kimike të atij ndotësi.  </w:t>
      </w:r>
    </w:p>
    <w:p w:rsidR="00ED3C64" w:rsidRPr="00E00CAD" w:rsidRDefault="00ED3C64" w:rsidP="00ED3C64">
      <w:pPr>
        <w:pStyle w:val="Paragrafi"/>
        <w:rPr>
          <w:spacing w:val="-4"/>
          <w:lang w:val="sq-AL"/>
        </w:rPr>
      </w:pPr>
      <w:r w:rsidRPr="00E00CAD">
        <w:rPr>
          <w:spacing w:val="-4"/>
          <w:lang w:val="sq-AL"/>
        </w:rPr>
        <w:t>4.7 Gjatë kryerjes së vlerësimit referuar në pikën 4.6, AKM-ja bazohet në kriteret e mëposhtme:</w:t>
      </w:r>
    </w:p>
    <w:p w:rsidR="00ED3C64" w:rsidRPr="00E00CAD" w:rsidRDefault="00ED3C64" w:rsidP="00ED3C64">
      <w:pPr>
        <w:pStyle w:val="Paragrafi"/>
        <w:rPr>
          <w:spacing w:val="-4"/>
          <w:lang w:val="sq-AL"/>
        </w:rPr>
      </w:pPr>
      <w:r w:rsidRPr="00E00CAD">
        <w:rPr>
          <w:spacing w:val="-4"/>
          <w:lang w:val="sq-AL"/>
        </w:rPr>
        <w:t>a) Instalimin e të paktën një pike për marrjen e mostrave në vend;</w:t>
      </w:r>
    </w:p>
    <w:p w:rsidR="00ED3C64" w:rsidRPr="00E00CAD" w:rsidRDefault="00ED3C64" w:rsidP="00ED3C64">
      <w:pPr>
        <w:pStyle w:val="Paragrafi"/>
        <w:rPr>
          <w:spacing w:val="-4"/>
          <w:lang w:val="sq-AL"/>
        </w:rPr>
      </w:pPr>
      <w:r w:rsidRPr="00E00CAD">
        <w:rPr>
          <w:spacing w:val="-4"/>
          <w:lang w:val="sq-AL"/>
        </w:rPr>
        <w:t xml:space="preserve">b) Ngritjen e të paktën një stacioni matjeje, që mbulon zonat fqinje dhe aglomeratet (ose të barasvlefshme me to) në shtete të tjera për arritjen e shpërndarjes së nevojshme hapësinore; </w:t>
      </w:r>
    </w:p>
    <w:p w:rsidR="00ED3C64" w:rsidRPr="00E00CAD" w:rsidRDefault="00ED3C64" w:rsidP="00ED3C64">
      <w:pPr>
        <w:pStyle w:val="Paragrafi"/>
        <w:rPr>
          <w:spacing w:val="-4"/>
          <w:lang w:val="sq-AL"/>
        </w:rPr>
      </w:pPr>
      <w:r w:rsidRPr="00E00CAD">
        <w:rPr>
          <w:spacing w:val="-4"/>
          <w:lang w:val="sq-AL"/>
        </w:rPr>
        <w:t>c) Koordinimin e monitorimit, kur është e përshtatshme, me strategjinë e monitorimit dhe programin e matjes të Programit të Bashkëpunimit për Monitorimin dhe Vlerësimin e Transmetimit në Distancë të Largët të Ndotësve të Ajrit në Evropë.</w:t>
      </w:r>
    </w:p>
    <w:p w:rsidR="00ED3C64" w:rsidRPr="00E00CAD" w:rsidRDefault="00ED3C64" w:rsidP="00ED3C64">
      <w:pPr>
        <w:pStyle w:val="Paragrafi"/>
        <w:rPr>
          <w:spacing w:val="-4"/>
          <w:lang w:val="sq-AL"/>
        </w:rPr>
      </w:pPr>
      <w:r w:rsidRPr="00E00CAD">
        <w:rPr>
          <w:spacing w:val="-4"/>
          <w:lang w:val="sq-AL"/>
        </w:rPr>
        <w:t>ç)</w:t>
      </w:r>
      <w:r w:rsidRPr="00E00CAD">
        <w:rPr>
          <w:spacing w:val="-4"/>
          <w:lang w:val="sq-AL"/>
        </w:rPr>
        <w:tab/>
        <w:t xml:space="preserve">Zbatimin e seksioneve A dhe C, të aneksit I, bashkëlidhur këtij vendimi, në lidhje me objektivat e cilësisë të të dhënave për matjet e përqendrimit të masës së lëndës së ngurtë pezull; </w:t>
      </w:r>
    </w:p>
    <w:p w:rsidR="00ED3C64" w:rsidRPr="00E00CAD" w:rsidRDefault="00ED3C64" w:rsidP="00ED3C64">
      <w:pPr>
        <w:pStyle w:val="Paragrafi"/>
        <w:rPr>
          <w:spacing w:val="-4"/>
          <w:lang w:val="sq-AL"/>
        </w:rPr>
      </w:pPr>
      <w:r w:rsidRPr="00E00CAD">
        <w:rPr>
          <w:spacing w:val="-4"/>
          <w:lang w:val="sq-AL"/>
        </w:rPr>
        <w:t xml:space="preserve">d) Zbatimin në tërësi të aneksit IV, bashkëlidhur këtij vendimi. </w:t>
      </w:r>
    </w:p>
    <w:p w:rsidR="00ED3C64" w:rsidRPr="00E00CAD" w:rsidRDefault="00ED3C64" w:rsidP="00ED3C64">
      <w:pPr>
        <w:pStyle w:val="Paragrafi"/>
        <w:rPr>
          <w:spacing w:val="-4"/>
          <w:lang w:val="sq-AL"/>
        </w:rPr>
      </w:pPr>
      <w:r w:rsidRPr="00E00CAD">
        <w:rPr>
          <w:spacing w:val="-4"/>
          <w:lang w:val="sq-AL"/>
        </w:rPr>
        <w:t xml:space="preserve">5. Vendndodhja dhe numrat e pikave të marrjes së mostrave </w:t>
      </w:r>
    </w:p>
    <w:p w:rsidR="00ED3C64" w:rsidRPr="00E00CAD" w:rsidRDefault="00ED3C64" w:rsidP="00ED3C64">
      <w:pPr>
        <w:pStyle w:val="Paragrafi"/>
        <w:rPr>
          <w:spacing w:val="-4"/>
          <w:lang w:val="sq-AL"/>
        </w:rPr>
      </w:pPr>
      <w:r w:rsidRPr="00E00CAD">
        <w:rPr>
          <w:spacing w:val="-4"/>
          <w:lang w:val="sq-AL"/>
        </w:rPr>
        <w:t>5.1 AKM-ja instalon pikat e marrjes së mostrave për vlerësimin e dyoksidit të squfurit, dyoksidit të azotit dhe oksideve të azotit, lëndës së ngurtë pezull (PM</w:t>
      </w:r>
      <w:r w:rsidRPr="004255F4">
        <w:rPr>
          <w:spacing w:val="-4"/>
          <w:vertAlign w:val="subscript"/>
          <w:lang w:val="sq-AL"/>
        </w:rPr>
        <w:t>10</w:t>
      </w:r>
      <w:r w:rsidRPr="00E00CAD">
        <w:rPr>
          <w:spacing w:val="-4"/>
          <w:lang w:val="sq-AL"/>
        </w:rPr>
        <w:t xml:space="preserve"> dhe PM2.5), plumbit, benzenit dhe monoksidit të karbonit në ajrin e mjedisit në vendet e përcaktuara, në përputhje me kriteret e përcaktuara në aneksin III, bashkëlidhur këtij vendimi. </w:t>
      </w:r>
    </w:p>
    <w:p w:rsidR="00ED3C64" w:rsidRPr="00E00CAD" w:rsidRDefault="00ED3C64" w:rsidP="00ED3C64">
      <w:pPr>
        <w:pStyle w:val="Paragrafi"/>
        <w:rPr>
          <w:spacing w:val="-4"/>
          <w:lang w:val="sq-AL"/>
        </w:rPr>
      </w:pPr>
      <w:r w:rsidRPr="00E00CAD">
        <w:rPr>
          <w:spacing w:val="-4"/>
          <w:lang w:val="sq-AL"/>
        </w:rPr>
        <w:t>5.2 Në zona dhe aglomerate, ku matja fikse është burimi i vetëm i informacionit për vlerësimin e cilësisë së ajrit, numri i pikave të marrjes së mostrave duhet të jetë më i madh ose i barabartë me numrin minimal të përcaktuar në seksionin A, të aneksit V, bashkëlidhur këtij vendimi.</w:t>
      </w:r>
    </w:p>
    <w:p w:rsidR="00ED3C64" w:rsidRPr="00E00CAD" w:rsidRDefault="00ED3C64" w:rsidP="00ED3C64">
      <w:pPr>
        <w:pStyle w:val="Paragrafi"/>
        <w:rPr>
          <w:spacing w:val="-4"/>
          <w:lang w:val="sq-AL"/>
        </w:rPr>
      </w:pPr>
      <w:r w:rsidRPr="00E00CAD">
        <w:rPr>
          <w:spacing w:val="-4"/>
          <w:lang w:val="sq-AL"/>
        </w:rPr>
        <w:t>5.3 Në zona dhe aglomerate, përveç atyre të referuara në pikën 5.2, numri total i pikave të marrjes së mostrave të përcaktuara në seksionin A, të aneksit V, bashkëlidhur këtij vendimi, mund të pakësohet deri në 50%, me kusht që të plotësohen kërkesat e mëposhtme:</w:t>
      </w:r>
    </w:p>
    <w:p w:rsidR="00ED3C64" w:rsidRPr="00E00CAD" w:rsidRDefault="00ED3C64" w:rsidP="00ED3C64">
      <w:pPr>
        <w:pStyle w:val="Paragrafi"/>
        <w:rPr>
          <w:spacing w:val="-4"/>
          <w:lang w:val="sq-AL"/>
        </w:rPr>
      </w:pPr>
      <w:r w:rsidRPr="00E00CAD">
        <w:rPr>
          <w:spacing w:val="-4"/>
          <w:lang w:val="sq-AL"/>
        </w:rPr>
        <w:t>a) Metodat plotësuese të sigurojnë:</w:t>
      </w:r>
    </w:p>
    <w:p w:rsidR="00ED3C64" w:rsidRPr="00E00CAD" w:rsidRDefault="00ED3C64" w:rsidP="00ED3C64">
      <w:pPr>
        <w:pStyle w:val="Paragrafi"/>
        <w:rPr>
          <w:spacing w:val="-4"/>
          <w:lang w:val="sq-AL"/>
        </w:rPr>
      </w:pPr>
      <w:r w:rsidRPr="00E00CAD">
        <w:rPr>
          <w:spacing w:val="-4"/>
          <w:lang w:val="sq-AL"/>
        </w:rPr>
        <w:t xml:space="preserve"> i) informacion të mjaftueshëm për vlerësimin e cilësisë së ajrit në lidhje me vlerat kufi ose pragjet e alarmit; </w:t>
      </w:r>
    </w:p>
    <w:p w:rsidR="00ED3C64" w:rsidRPr="00E00CAD" w:rsidRDefault="00ED3C64" w:rsidP="00ED3C64">
      <w:pPr>
        <w:pStyle w:val="Paragrafi"/>
        <w:rPr>
          <w:spacing w:val="-4"/>
          <w:lang w:val="sq-AL"/>
        </w:rPr>
      </w:pPr>
      <w:r w:rsidRPr="00E00CAD">
        <w:rPr>
          <w:spacing w:val="-4"/>
          <w:lang w:val="sq-AL"/>
        </w:rPr>
        <w:t>ii) informacionin e përshtatshëm për publikun;</w:t>
      </w:r>
    </w:p>
    <w:p w:rsidR="00ED3C64" w:rsidRPr="00E00CAD" w:rsidRDefault="00ED3C64" w:rsidP="00ED3C64">
      <w:pPr>
        <w:pStyle w:val="Paragrafi"/>
        <w:rPr>
          <w:spacing w:val="-4"/>
          <w:lang w:val="sq-AL"/>
        </w:rPr>
      </w:pPr>
      <w:r w:rsidRPr="00E00CAD">
        <w:rPr>
          <w:spacing w:val="-4"/>
          <w:lang w:val="sq-AL"/>
        </w:rPr>
        <w:t>b) Numri i pikave të marrjes së mostrave që do të instalohen dhe shpërndarja hapësinore e teknikave të tjera:</w:t>
      </w:r>
    </w:p>
    <w:p w:rsidR="00ED3C64" w:rsidRPr="00E00CAD" w:rsidRDefault="00ED3C64" w:rsidP="00ED3C64">
      <w:pPr>
        <w:pStyle w:val="Paragrafi"/>
        <w:rPr>
          <w:spacing w:val="-4"/>
          <w:lang w:val="sq-AL"/>
        </w:rPr>
      </w:pPr>
      <w:r w:rsidRPr="00E00CAD">
        <w:rPr>
          <w:spacing w:val="-4"/>
          <w:lang w:val="sq-AL"/>
        </w:rPr>
        <w:t xml:space="preserve">i) të jenë të mjaftueshme për përqendrimin e ndotësit përkatës që do të përcaktohet në përputhje me objektivat e cilësisë të të dhënave të përcaktuara në seksionin A, të aneksit I, bashkëlidhur këtij vendimi; </w:t>
      </w:r>
    </w:p>
    <w:p w:rsidR="00ED3C64" w:rsidRPr="00E00CAD" w:rsidRDefault="00ED3C64" w:rsidP="00ED3C64">
      <w:pPr>
        <w:pStyle w:val="Paragrafi"/>
        <w:rPr>
          <w:spacing w:val="-4"/>
          <w:lang w:val="sq-AL"/>
        </w:rPr>
      </w:pPr>
      <w:r w:rsidRPr="00E00CAD">
        <w:rPr>
          <w:spacing w:val="-4"/>
          <w:lang w:val="sq-AL"/>
        </w:rPr>
        <w:t>ii) të mundësojnë përputhshmërinë e rezultateve të vlerësimit me kriteret e përcaktuara në seksionin B, të aneksit I, bashkëlidhur këtij vendimi.</w:t>
      </w:r>
    </w:p>
    <w:p w:rsidR="00ED3C64" w:rsidRPr="00E00CAD" w:rsidRDefault="00ED3C64" w:rsidP="00ED3C64">
      <w:pPr>
        <w:pStyle w:val="Paragrafi"/>
        <w:rPr>
          <w:spacing w:val="-4"/>
          <w:lang w:val="sq-AL"/>
        </w:rPr>
      </w:pPr>
      <w:r w:rsidRPr="00E00CAD">
        <w:rPr>
          <w:spacing w:val="-4"/>
          <w:lang w:val="sq-AL"/>
        </w:rPr>
        <w:t xml:space="preserve">5.4 Për qëllime të pikës 5.3, rezultatet e modelimit dhe/ose matjes treguese merren parasysh për vlerësimin e cilësisë së ajrit në lidhje me vlerat kufi. </w:t>
      </w:r>
    </w:p>
    <w:p w:rsidR="00ED3C64" w:rsidRPr="00E00CAD" w:rsidRDefault="00ED3C64" w:rsidP="00ED3C64">
      <w:pPr>
        <w:pStyle w:val="Paragrafi"/>
        <w:rPr>
          <w:spacing w:val="-4"/>
          <w:lang w:val="sq-AL"/>
        </w:rPr>
      </w:pPr>
      <w:r w:rsidRPr="00E00CAD">
        <w:rPr>
          <w:spacing w:val="-4"/>
          <w:lang w:val="sq-AL"/>
        </w:rPr>
        <w:t>6. Metodat referencë të matjes</w:t>
      </w:r>
    </w:p>
    <w:p w:rsidR="00ED3C64" w:rsidRPr="00E00CAD" w:rsidRDefault="00ED3C64" w:rsidP="00ED3C64">
      <w:pPr>
        <w:pStyle w:val="Paragrafi"/>
        <w:rPr>
          <w:spacing w:val="-4"/>
          <w:lang w:val="sq-AL"/>
        </w:rPr>
      </w:pPr>
      <w:r w:rsidRPr="00E00CAD">
        <w:rPr>
          <w:spacing w:val="-4"/>
          <w:lang w:val="sq-AL"/>
        </w:rPr>
        <w:t>6.1 Në varësi të pikës 6.2, për qëllime të këtij vendimi përdoren metodat referencë të matjes dhe kriteret e përcaktuara në seksionet A dhe C, të aneksit VI, bashkëlidhur këtij vendimi.</w:t>
      </w:r>
    </w:p>
    <w:p w:rsidR="00ED3C64" w:rsidRDefault="00ED3C64" w:rsidP="00ED3C64">
      <w:pPr>
        <w:pStyle w:val="Paragrafi"/>
        <w:rPr>
          <w:spacing w:val="-4"/>
          <w:lang w:val="sq-AL"/>
        </w:rPr>
      </w:pPr>
      <w:r w:rsidRPr="00E00CAD">
        <w:rPr>
          <w:spacing w:val="-4"/>
          <w:lang w:val="sq-AL"/>
        </w:rPr>
        <w:t>6.2 Në varësi të kushteve të përcaktuara në seksionin B, të aneksit VI, bashkëlidhur këtij vendimi, mund të përdoren metoda të ndryshme nga ato të përcaktuara në pikën 6.1.</w:t>
      </w:r>
    </w:p>
    <w:p w:rsidR="00ED3C64" w:rsidRPr="00E00CAD" w:rsidRDefault="00ED3C64" w:rsidP="00ED3C64">
      <w:pPr>
        <w:pStyle w:val="Paragrafi"/>
        <w:rPr>
          <w:spacing w:val="-4"/>
          <w:lang w:val="sq-AL"/>
        </w:rPr>
      </w:pPr>
      <w:r w:rsidRPr="00E00CAD">
        <w:rPr>
          <w:spacing w:val="-4"/>
          <w:lang w:val="sq-AL"/>
        </w:rPr>
        <w:t xml:space="preserve">  IV. VLERËSIMI I CILËSISË SË AJRIT TË MJEDISIT NË LIDHJE ME OZONIN</w:t>
      </w:r>
    </w:p>
    <w:p w:rsidR="00ED3C64" w:rsidRPr="00E00CAD" w:rsidRDefault="00ED3C64" w:rsidP="00ED3C64">
      <w:pPr>
        <w:pStyle w:val="Paragrafi"/>
        <w:rPr>
          <w:spacing w:val="-4"/>
          <w:lang w:val="sq-AL"/>
        </w:rPr>
      </w:pPr>
      <w:r w:rsidRPr="00E00CAD">
        <w:rPr>
          <w:spacing w:val="-4"/>
          <w:lang w:val="sq-AL"/>
        </w:rPr>
        <w:t>7. Kriteret e vlerësimit për ozonin</w:t>
      </w:r>
    </w:p>
    <w:p w:rsidR="00ED3C64" w:rsidRPr="00E00CAD" w:rsidRDefault="00ED3C64" w:rsidP="00ED3C64">
      <w:pPr>
        <w:pStyle w:val="Paragrafi"/>
        <w:rPr>
          <w:spacing w:val="-4"/>
          <w:lang w:val="sq-AL"/>
        </w:rPr>
      </w:pPr>
      <w:r w:rsidRPr="00E00CAD">
        <w:rPr>
          <w:spacing w:val="-4"/>
          <w:lang w:val="sq-AL"/>
        </w:rPr>
        <w:t xml:space="preserve">7.1 AKM-ja vlerëson nivelin e ozonit në të gjitha zonat dhe aglomeratet ku përqendrimet e ozonit kanë kapërcyer objektivat afatgjatë të përcaktuar në seksionin C, të aneksit VII, bashkëlidhur këtij vendimi, gjatë secilit prej pesëvjeçarëve të mëparshëm të matjeve. </w:t>
      </w:r>
    </w:p>
    <w:p w:rsidR="00ED3C64" w:rsidRPr="00E00CAD" w:rsidRDefault="00ED3C64" w:rsidP="00ED3C64">
      <w:pPr>
        <w:pStyle w:val="Paragrafi"/>
        <w:rPr>
          <w:spacing w:val="-4"/>
          <w:lang w:val="sq-AL"/>
        </w:rPr>
      </w:pPr>
      <w:r w:rsidRPr="00E00CAD">
        <w:rPr>
          <w:spacing w:val="-4"/>
          <w:lang w:val="sq-AL"/>
        </w:rPr>
        <w:t>7.2 Kur janë të disponueshme të dhëna për më pak se pesë vjet, AKM-ja mund të kombinojë rezultatet nga fushatat e matjeve për kohëzgjatje të shkurtra të kryera, ku dhe kur nivelet e ozonit kanë mundësi të jenë më të lartat me rezultatet e përftuara nga inventarët e shkarkimeve dhe modelimi, me qëllim që të përcaktohet në qoftë se objektivat afatgjatë të referuar në pikën 7.1 janë kapërcyer gjatë këtyre pesë vjetëve.</w:t>
      </w:r>
    </w:p>
    <w:p w:rsidR="00ED3C64" w:rsidRPr="00E00CAD" w:rsidRDefault="00ED3C64" w:rsidP="00ED3C64">
      <w:pPr>
        <w:pStyle w:val="Paragrafi"/>
        <w:rPr>
          <w:spacing w:val="-4"/>
          <w:lang w:val="sq-AL"/>
        </w:rPr>
      </w:pPr>
      <w:r w:rsidRPr="00E00CAD">
        <w:rPr>
          <w:spacing w:val="-4"/>
          <w:lang w:val="sq-AL"/>
        </w:rPr>
        <w:t>8. Pikat e marrjes së mostrave për ozonin</w:t>
      </w:r>
    </w:p>
    <w:p w:rsidR="00ED3C64" w:rsidRPr="00E00CAD" w:rsidRDefault="00ED3C64" w:rsidP="00ED3C64">
      <w:pPr>
        <w:pStyle w:val="Paragrafi"/>
        <w:rPr>
          <w:spacing w:val="-4"/>
          <w:lang w:val="sq-AL"/>
        </w:rPr>
      </w:pPr>
      <w:r w:rsidRPr="00E00CAD">
        <w:rPr>
          <w:spacing w:val="-4"/>
          <w:lang w:val="sq-AL"/>
        </w:rPr>
        <w:t>8.1 AKM-ja instalon pikat për marrjen e mostrave për vlerësimin e ozonit në vendet e parashikuara, në përputhje me kriteret e përcaktuara në aneksin VIII, bashkëlidhur këtij vendimi.</w:t>
      </w:r>
    </w:p>
    <w:p w:rsidR="00ED3C64" w:rsidRPr="00E00CAD" w:rsidRDefault="00ED3C64" w:rsidP="00ED3C64">
      <w:pPr>
        <w:pStyle w:val="Paragrafi"/>
        <w:rPr>
          <w:spacing w:val="-4"/>
          <w:lang w:val="sq-AL"/>
        </w:rPr>
      </w:pPr>
      <w:r w:rsidRPr="00E00CAD">
        <w:rPr>
          <w:spacing w:val="-4"/>
          <w:lang w:val="sq-AL"/>
        </w:rPr>
        <w:t xml:space="preserve">8.2 Në zona dhe aglomerate, ku matja fikse është burimi i vetëm i informacionit për vlerësimin e cilësisë </w:t>
      </w:r>
      <w:r w:rsidRPr="00E00CAD">
        <w:rPr>
          <w:spacing w:val="-4"/>
          <w:lang w:val="sq-AL"/>
        </w:rPr>
        <w:lastRenderedPageBreak/>
        <w:t xml:space="preserve">së ajrit, numri i pikave të marrjes së mostrave për matjet fikse të ozonit nuk duhet të jetë më i vogël se numri minimal i përcaktuar në seksionin A, të aneksit IX, bashkëlidhur këtij vendimi. </w:t>
      </w:r>
    </w:p>
    <w:p w:rsidR="00ED3C64" w:rsidRPr="00E00CAD" w:rsidRDefault="00ED3C64" w:rsidP="00ED3C64">
      <w:pPr>
        <w:pStyle w:val="Paragrafi"/>
        <w:rPr>
          <w:spacing w:val="-4"/>
          <w:lang w:val="sq-AL"/>
        </w:rPr>
      </w:pPr>
      <w:r w:rsidRPr="00E00CAD">
        <w:rPr>
          <w:spacing w:val="-4"/>
          <w:lang w:val="sq-AL"/>
        </w:rPr>
        <w:t>8.3 Në zona dhe aglomerate, ku informacioni nga matja fikse plotësohet nëpërmjet informacionit të marrë nga modelimi ose matja treguese apo të dyja së bashku, numri i pikave të marrjes së mostrave të referuara në seksionin A, të aneksit IX, bashkëlidhur këtij vendimi, mund të pakësohet me kusht që të plotësohen kërkesat e mëposhtme:</w:t>
      </w:r>
    </w:p>
    <w:p w:rsidR="00ED3C64" w:rsidRPr="00E00CAD" w:rsidRDefault="00ED3C64" w:rsidP="00ED3C64">
      <w:pPr>
        <w:pStyle w:val="Paragrafi"/>
        <w:rPr>
          <w:spacing w:val="-4"/>
          <w:lang w:val="sq-AL"/>
        </w:rPr>
      </w:pPr>
      <w:r w:rsidRPr="00E00CAD">
        <w:rPr>
          <w:spacing w:val="-4"/>
          <w:lang w:val="sq-AL"/>
        </w:rPr>
        <w:t>a) Metodat plotësuese të sigurojnë informacion të mjaftueshëm për vlerësimin e cilësisë së ajrit në lidhje me vlerat e synuara, objektivat afatgjatë, pragjet e informimit dhe të alarmit;</w:t>
      </w:r>
    </w:p>
    <w:p w:rsidR="00ED3C64" w:rsidRDefault="00ED3C64" w:rsidP="00ED3C64">
      <w:pPr>
        <w:pStyle w:val="Paragrafi"/>
        <w:rPr>
          <w:spacing w:val="-4"/>
          <w:lang w:val="sq-AL"/>
        </w:rPr>
      </w:pPr>
      <w:r w:rsidRPr="00E00CAD">
        <w:rPr>
          <w:spacing w:val="-4"/>
          <w:lang w:val="sq-AL"/>
        </w:rPr>
        <w:t xml:space="preserve">b) Numri i pikave të marrjes së mostrave që instalohen dhe shpërndarja hapësinore e teknikave të tjera të jenë të mjaftueshme për përqendrimin e ozonit që do të përcaktohet në përputhje me objektivat e cilësisë të të dhënave, të përcaktuar në seksionin A, të aneksit I, bashkëlidhur këtij vendimi, dhe të mundësojnë përputhshmërinë e rezultateve të vlerësimit me kriteret e përcaktuara në seksionin B, të aneksit I, bashkëlidhur këtij vendimi; </w:t>
      </w:r>
    </w:p>
    <w:p w:rsidR="00ED3C64" w:rsidRPr="00E00CAD" w:rsidRDefault="00ED3C64" w:rsidP="00ED3C64">
      <w:pPr>
        <w:pStyle w:val="Paragrafi"/>
        <w:rPr>
          <w:spacing w:val="-4"/>
          <w:lang w:val="sq-AL"/>
        </w:rPr>
      </w:pPr>
      <w:r w:rsidRPr="00E00CAD">
        <w:rPr>
          <w:spacing w:val="-4"/>
          <w:lang w:val="sq-AL"/>
        </w:rPr>
        <w:t>c) Numri i pikave të marrjes së mostrave në çdo zonë dhe aglomerat të jetë të paktën një për 2 milionë banorë ose një për të gjithë territorin e Republikës së Shqipërisë, duke zgjedhur numrin më të madh të pikave që rezulton prej tyre. Ky numër nuk duhet të jetë më pak se një pikë në çdo zonë apo aglomerat;</w:t>
      </w:r>
    </w:p>
    <w:p w:rsidR="00ED3C64" w:rsidRPr="00E00CAD" w:rsidRDefault="00ED3C64" w:rsidP="00ED3C64">
      <w:pPr>
        <w:pStyle w:val="Paragrafi"/>
        <w:rPr>
          <w:spacing w:val="-4"/>
          <w:lang w:val="sq-AL"/>
        </w:rPr>
      </w:pPr>
      <w:r w:rsidRPr="00E00CAD">
        <w:rPr>
          <w:spacing w:val="-4"/>
          <w:lang w:val="sq-AL"/>
        </w:rPr>
        <w:t>ç) Dyoksidi i azotit të matet në të gjitha pikat e mbetura të marrjes së mostrave me përjashtim të stacioneve në vendndodhje me karakter rural të referuara në seksionin A, të aneksit VIII, bashkëlidhur këtij vendimi.</w:t>
      </w:r>
    </w:p>
    <w:p w:rsidR="00ED3C64" w:rsidRPr="00E00CAD" w:rsidRDefault="00ED3C64" w:rsidP="00ED3C64">
      <w:pPr>
        <w:pStyle w:val="Paragrafi"/>
        <w:rPr>
          <w:spacing w:val="-4"/>
          <w:lang w:val="sq-AL"/>
        </w:rPr>
      </w:pPr>
      <w:r w:rsidRPr="00E00CAD">
        <w:rPr>
          <w:spacing w:val="-4"/>
          <w:lang w:val="sq-AL"/>
        </w:rPr>
        <w:t>8.4 Për qëllime të pikës 8.3, rezultatet e modelimit dhe/ose matjes treguese merren parasysh për vlerësimin e cilësisë së ajrit në lidhje me vlerat e synuara.</w:t>
      </w:r>
    </w:p>
    <w:p w:rsidR="00ED3C64" w:rsidRPr="00E00CAD" w:rsidRDefault="00ED3C64" w:rsidP="00ED3C64">
      <w:pPr>
        <w:pStyle w:val="Paragrafi"/>
        <w:rPr>
          <w:spacing w:val="-4"/>
          <w:lang w:val="sq-AL"/>
        </w:rPr>
      </w:pPr>
      <w:r w:rsidRPr="00E00CAD">
        <w:rPr>
          <w:spacing w:val="-4"/>
          <w:lang w:val="sq-AL"/>
        </w:rPr>
        <w:t xml:space="preserve">8.5 AKM-ja siguron që dyoksidi i azotit matet në jo më pak se 50% të pikave të marrjes së mostrave të kërkuara në seksionin A, të  aneksit IX, bashkëlidhur këtij vendimi. </w:t>
      </w:r>
    </w:p>
    <w:p w:rsidR="00ED3C64" w:rsidRPr="00E00CAD" w:rsidRDefault="00ED3C64" w:rsidP="00ED3C64">
      <w:pPr>
        <w:pStyle w:val="Paragrafi"/>
        <w:rPr>
          <w:spacing w:val="-4"/>
          <w:lang w:val="sq-AL"/>
        </w:rPr>
      </w:pPr>
      <w:r w:rsidRPr="00E00CAD">
        <w:rPr>
          <w:spacing w:val="-4"/>
          <w:lang w:val="sq-AL"/>
        </w:rPr>
        <w:t xml:space="preserve">8.6 Matja e referuar në pikën 8.5 duhet të jetë e vazhdueshme, me përjashtim të stacioneve në vendndodhje me karakter rural, siç referohet në seksionin A, të aneksit VIII, bashkëlidhur këtij vendimi, ku mund të përdoren metoda të tjera matjeje. </w:t>
      </w:r>
    </w:p>
    <w:p w:rsidR="00ED3C64" w:rsidRPr="00E00CAD" w:rsidRDefault="00ED3C64" w:rsidP="00ED3C64">
      <w:pPr>
        <w:pStyle w:val="Paragrafi"/>
        <w:rPr>
          <w:spacing w:val="-4"/>
          <w:lang w:val="sq-AL"/>
        </w:rPr>
      </w:pPr>
      <w:r w:rsidRPr="00E00CAD">
        <w:rPr>
          <w:spacing w:val="-4"/>
          <w:lang w:val="sq-AL"/>
        </w:rPr>
        <w:t>8.7 Në zona dhe aglomerate, ku përqendrimet e ozonit kanë qenë nën objektivat afatgjatë për secilën nga matjet e mëparshme pesëvjeçare, numri i pikave të marrjes së mostrave përcaktohet në përputhje me kriteret e përcaktuara në seksionin B, të aneksit IX, bashkëlidhur këtij vendimi.</w:t>
      </w:r>
    </w:p>
    <w:p w:rsidR="00ED3C64" w:rsidRPr="00E00CAD" w:rsidRDefault="00ED3C64" w:rsidP="00ED3C64">
      <w:pPr>
        <w:pStyle w:val="Paragrafi"/>
        <w:rPr>
          <w:spacing w:val="-4"/>
          <w:lang w:val="sq-AL"/>
        </w:rPr>
      </w:pPr>
      <w:r w:rsidRPr="00E00CAD">
        <w:rPr>
          <w:spacing w:val="-4"/>
          <w:lang w:val="sq-AL"/>
        </w:rPr>
        <w:t xml:space="preserve">8.8 AKM-ja siguron që përqendrimet e substancave pararendëse të ozonit të listuara në aneksin X, bashkëlidhur këtij vendimi, maten të paktën në një pikë të marrjes së mostrave.  </w:t>
      </w:r>
    </w:p>
    <w:p w:rsidR="00ED3C64" w:rsidRPr="00E00CAD" w:rsidRDefault="00ED3C64" w:rsidP="00ED3C64">
      <w:pPr>
        <w:pStyle w:val="Paragrafi"/>
        <w:rPr>
          <w:spacing w:val="-4"/>
          <w:lang w:val="sq-AL"/>
        </w:rPr>
      </w:pPr>
      <w:r w:rsidRPr="00E00CAD">
        <w:rPr>
          <w:spacing w:val="-4"/>
          <w:lang w:val="sq-AL"/>
        </w:rPr>
        <w:t>8.9 AKM-ja mund të zgjedhë vendndodhjen dhe numrin e pikave të marrjes së mostrave për matjet e substancave pararendëse të ozonit dhe duhet të marrë parasysh objektivat e metodat e përcaktuara në aneksin X, bashkëlidhur këtij vendimi.</w:t>
      </w:r>
    </w:p>
    <w:p w:rsidR="00ED3C64" w:rsidRPr="00E00CAD" w:rsidRDefault="00ED3C64" w:rsidP="00ED3C64">
      <w:pPr>
        <w:pStyle w:val="Paragrafi"/>
        <w:rPr>
          <w:spacing w:val="-4"/>
          <w:lang w:val="sq-AL"/>
        </w:rPr>
      </w:pPr>
      <w:r w:rsidRPr="00E00CAD">
        <w:rPr>
          <w:spacing w:val="-4"/>
          <w:lang w:val="sq-AL"/>
        </w:rPr>
        <w:t>9. Metodat referencë të matjes për ozonin</w:t>
      </w:r>
    </w:p>
    <w:p w:rsidR="00ED3C64" w:rsidRDefault="00ED3C64" w:rsidP="00ED3C64">
      <w:pPr>
        <w:pStyle w:val="Paragrafi"/>
        <w:rPr>
          <w:spacing w:val="-4"/>
          <w:lang w:val="sq-AL"/>
        </w:rPr>
      </w:pPr>
      <w:r w:rsidRPr="00E00CAD">
        <w:rPr>
          <w:spacing w:val="-4"/>
          <w:lang w:val="sq-AL"/>
        </w:rPr>
        <w:t xml:space="preserve">9.1 Sipas pikës 9.2, për matjen e ozonit zbatohen metodat referencë të përcaktuara në pikën 8, të seksionit A, të aneksit VI, bashkëlidhur këtij vendimi. </w:t>
      </w:r>
    </w:p>
    <w:p w:rsidR="00ED3C64" w:rsidRPr="00E00CAD" w:rsidRDefault="00ED3C64" w:rsidP="00ED3C64">
      <w:pPr>
        <w:pStyle w:val="Paragrafi"/>
        <w:rPr>
          <w:spacing w:val="-4"/>
          <w:lang w:val="sq-AL"/>
        </w:rPr>
      </w:pPr>
      <w:r w:rsidRPr="00E00CAD">
        <w:rPr>
          <w:spacing w:val="-4"/>
          <w:lang w:val="sq-AL"/>
        </w:rPr>
        <w:t xml:space="preserve">9.2 Metodat alternative të metodave të përcaktuara në pikën 9.1 mund të përdoren, me kusht që kërkesat e përcaktuara në seksionin B, të aneksit VI, bashkëlidhur këtij vendimi, të jenë përmbushur. </w:t>
      </w:r>
    </w:p>
    <w:p w:rsidR="00ED3C64" w:rsidRPr="00E00CAD" w:rsidRDefault="00ED3C64" w:rsidP="00ED3C64">
      <w:pPr>
        <w:pStyle w:val="Paragrafi"/>
        <w:rPr>
          <w:spacing w:val="-4"/>
          <w:lang w:val="sq-AL"/>
        </w:rPr>
      </w:pPr>
      <w:r w:rsidRPr="00E00CAD">
        <w:rPr>
          <w:spacing w:val="-4"/>
          <w:lang w:val="sq-AL"/>
        </w:rPr>
        <w:t>V. VLERËSIMI I AJRIT TË MJEDISIT NË LIDHJE ME ARSENIKUN, KADMIUMIN, MËRKURIN, BENZO(A)PIRENIN DHE HIDROKARBURE TË TJERA AROMATIKE POLICIKLIKE</w:t>
      </w:r>
    </w:p>
    <w:p w:rsidR="00ED3C64" w:rsidRPr="00E00CAD" w:rsidRDefault="00ED3C64" w:rsidP="00ED3C64">
      <w:pPr>
        <w:pStyle w:val="Paragrafi"/>
        <w:rPr>
          <w:spacing w:val="-4"/>
          <w:lang w:val="sq-AL"/>
        </w:rPr>
      </w:pPr>
      <w:r w:rsidRPr="00E00CAD">
        <w:rPr>
          <w:spacing w:val="-4"/>
          <w:lang w:val="sq-AL"/>
        </w:rPr>
        <w:t>10. Pragjet e vlerësimit</w:t>
      </w:r>
    </w:p>
    <w:p w:rsidR="00ED3C64" w:rsidRPr="00E00CAD" w:rsidRDefault="00ED3C64" w:rsidP="00ED3C64">
      <w:pPr>
        <w:pStyle w:val="Paragrafi"/>
        <w:rPr>
          <w:spacing w:val="-4"/>
          <w:lang w:val="sq-AL"/>
        </w:rPr>
      </w:pPr>
      <w:r w:rsidRPr="00E00CAD">
        <w:rPr>
          <w:spacing w:val="-4"/>
          <w:lang w:val="sq-AL"/>
        </w:rPr>
        <w:t>10.1 AKM-ja klasifikon çdo zonë dhe aglomerat në varësi të kapërcimit ose jo të pragut të sipërm dhe të poshtëm të vlerësimit të përcaktuar në seksionin I, të aneksit XVI, bashkëlidhur këtij vendimi, në lidhje me arsenikun, kadmiumin, nikelin dhe benzo(a)pirenin.</w:t>
      </w:r>
    </w:p>
    <w:p w:rsidR="00ED3C64" w:rsidRPr="00E00CAD" w:rsidRDefault="00ED3C64" w:rsidP="00ED3C64">
      <w:pPr>
        <w:pStyle w:val="Paragrafi"/>
        <w:rPr>
          <w:spacing w:val="-4"/>
          <w:lang w:val="sq-AL"/>
        </w:rPr>
      </w:pPr>
      <w:r w:rsidRPr="00E00CAD">
        <w:rPr>
          <w:spacing w:val="-4"/>
          <w:lang w:val="sq-AL"/>
        </w:rPr>
        <w:t xml:space="preserve">10.2 AKM-ja rishikon klasifikimin e zonave dhe aglomerateve referuar në pikën 10.1, të paktën çdo pesë vjet dhe më shpesh se çdo pesë vjet, në qoftë se ka ndryshime thelbësore në aktivitetet që mund të ndikojnë në nivelet e ndotësve të referuar në pikën 10.1 në ajrin e mjedisit. </w:t>
      </w:r>
    </w:p>
    <w:p w:rsidR="00ED3C64" w:rsidRPr="00E00CAD" w:rsidRDefault="00ED3C64" w:rsidP="00ED3C64">
      <w:pPr>
        <w:pStyle w:val="Paragrafi"/>
        <w:rPr>
          <w:spacing w:val="-4"/>
          <w:lang w:val="sq-AL"/>
        </w:rPr>
      </w:pPr>
      <w:r w:rsidRPr="00E00CAD">
        <w:rPr>
          <w:spacing w:val="-4"/>
          <w:lang w:val="sq-AL"/>
        </w:rPr>
        <w:t xml:space="preserve">10.3 AKM-ja rishikon zonat dhe aglomeratet referuar në pikën 10.2 në përputhje me procedurën e përcaktuar në seksionin II, të aneksit XVI, bashkëlidhur këtij vendimi.  </w:t>
      </w:r>
    </w:p>
    <w:p w:rsidR="00ED3C64" w:rsidRPr="00E00CAD" w:rsidRDefault="00ED3C64" w:rsidP="00ED3C64">
      <w:pPr>
        <w:pStyle w:val="Paragrafi"/>
        <w:rPr>
          <w:spacing w:val="-4"/>
          <w:lang w:val="sq-AL"/>
        </w:rPr>
      </w:pPr>
      <w:r w:rsidRPr="00E00CAD">
        <w:rPr>
          <w:spacing w:val="-4"/>
          <w:lang w:val="sq-AL"/>
        </w:rPr>
        <w:t>11. Kriteret e vlerësimit</w:t>
      </w:r>
    </w:p>
    <w:p w:rsidR="00ED3C64" w:rsidRPr="00E00CAD" w:rsidRDefault="00ED3C64" w:rsidP="00ED3C64">
      <w:pPr>
        <w:pStyle w:val="Paragrafi"/>
        <w:rPr>
          <w:spacing w:val="-4"/>
          <w:lang w:val="sq-AL"/>
        </w:rPr>
      </w:pPr>
      <w:r w:rsidRPr="00E00CAD">
        <w:rPr>
          <w:spacing w:val="-4"/>
          <w:lang w:val="sq-AL"/>
        </w:rPr>
        <w:t>11.1 AKM-ja vlerëson përqendrimet e arsenikut, kadmiumit, nikelit dhe benzo(a)pirenit në ajrin e mjedisit.</w:t>
      </w:r>
    </w:p>
    <w:p w:rsidR="00ED3C64" w:rsidRPr="00E00CAD" w:rsidRDefault="00ED3C64" w:rsidP="00ED3C64">
      <w:pPr>
        <w:pStyle w:val="Paragrafi"/>
        <w:rPr>
          <w:spacing w:val="-4"/>
          <w:lang w:val="sq-AL"/>
        </w:rPr>
      </w:pPr>
      <w:r w:rsidRPr="00E00CAD">
        <w:rPr>
          <w:spacing w:val="-4"/>
          <w:lang w:val="sq-AL"/>
        </w:rPr>
        <w:t xml:space="preserve">11.2 Në zona dhe aglomerate, ku nivelet e arsenikut, kadmiumit, nikelit dhe benzo(a)pirenit janë mbi </w:t>
      </w:r>
      <w:r w:rsidRPr="00E00CAD">
        <w:rPr>
          <w:spacing w:val="-4"/>
          <w:lang w:val="sq-AL"/>
        </w:rPr>
        <w:lastRenderedPageBreak/>
        <w:t xml:space="preserve">pragjet e poshtme të vlerësimit, përcaktuar në seksionin I, të aneksit XVI, bashkëlidhur këtij vendimi, kombinimi i matjeve fikse së bashku me matjet treguese të referuara në seksionin I, të aneksit XVIII, bashkëlidhur këtij vendimi, ose modelimi apo të dyja së bashku mund të përdoren për vlerësimin e nivelit të këtyre ndotësve në ajrin e mjedisit.  </w:t>
      </w:r>
    </w:p>
    <w:p w:rsidR="00ED3C64" w:rsidRPr="00E00CAD" w:rsidRDefault="00ED3C64" w:rsidP="00ED3C64">
      <w:pPr>
        <w:pStyle w:val="Paragrafi"/>
        <w:rPr>
          <w:spacing w:val="-4"/>
          <w:lang w:val="sq-AL"/>
        </w:rPr>
      </w:pPr>
      <w:r w:rsidRPr="00E00CAD">
        <w:rPr>
          <w:spacing w:val="-4"/>
          <w:lang w:val="sq-AL"/>
        </w:rPr>
        <w:t xml:space="preserve">11.3 Në zona dhe aglomerate, ku nivelet e arsenikut, kadmiumit, nikelit dhe benzo(a)pirenit janë nën pragjet e poshtme të vlerësimit, përcaktuar në seksionin I, të aneksit XVI, bashkëlidhur këtij vendimi, modelimi ose teknikat e vlerësimit objektiv mund të përdoren në vend të matjes. </w:t>
      </w:r>
    </w:p>
    <w:p w:rsidR="00ED3C64" w:rsidRPr="00E00CAD" w:rsidRDefault="00ED3C64" w:rsidP="00ED3C64">
      <w:pPr>
        <w:pStyle w:val="Paragrafi"/>
        <w:rPr>
          <w:spacing w:val="-4"/>
          <w:lang w:val="sq-AL"/>
        </w:rPr>
      </w:pPr>
      <w:r w:rsidRPr="00E00CAD">
        <w:rPr>
          <w:spacing w:val="-4"/>
          <w:lang w:val="sq-AL"/>
        </w:rPr>
        <w:t>11.4 Aty ku ndotësit duhen matur, matjet duhet të bëhen në pika fikse me marrje mostre të vazhdueshme ose të rastit.</w:t>
      </w:r>
    </w:p>
    <w:p w:rsidR="00ED3C64" w:rsidRPr="00E00CAD" w:rsidRDefault="00ED3C64" w:rsidP="00ED3C64">
      <w:pPr>
        <w:pStyle w:val="Paragrafi"/>
        <w:rPr>
          <w:spacing w:val="-4"/>
          <w:lang w:val="sq-AL"/>
        </w:rPr>
      </w:pPr>
      <w:r w:rsidRPr="00E00CAD">
        <w:rPr>
          <w:spacing w:val="-4"/>
          <w:lang w:val="sq-AL"/>
        </w:rPr>
        <w:t>11.5 Numri i matjeve duhet të jetë i mjaftueshëm për të lejuar përcaktimin e niveleve.</w:t>
      </w:r>
    </w:p>
    <w:p w:rsidR="00ED3C64" w:rsidRPr="00E00CAD" w:rsidRDefault="00ED3C64" w:rsidP="00ED3C64">
      <w:pPr>
        <w:pStyle w:val="Paragrafi"/>
        <w:rPr>
          <w:spacing w:val="-4"/>
          <w:lang w:val="sq-AL"/>
        </w:rPr>
      </w:pPr>
      <w:r w:rsidRPr="00E00CAD">
        <w:rPr>
          <w:spacing w:val="-4"/>
          <w:lang w:val="sq-AL"/>
        </w:rPr>
        <w:t>12. Objektivat për cilësinë e të dhënave</w:t>
      </w:r>
    </w:p>
    <w:p w:rsidR="00ED3C64" w:rsidRPr="00E00CAD" w:rsidRDefault="00ED3C64" w:rsidP="00ED3C64">
      <w:pPr>
        <w:pStyle w:val="Paragrafi"/>
        <w:rPr>
          <w:spacing w:val="-4"/>
          <w:lang w:val="sq-AL"/>
        </w:rPr>
      </w:pPr>
      <w:r w:rsidRPr="00E00CAD">
        <w:rPr>
          <w:spacing w:val="-4"/>
          <w:lang w:val="sq-AL"/>
        </w:rPr>
        <w:t>Gjatë vlerësimit të niveleve të arsenikut, kadmiumit, nikelit, benzo(a)pirenit, hidrokarbureve të tjera aromatike policiklike dhe merkurit të gaztë, AKM-ja zbaton objektivat për cilësinë e të dhënave dhe standarde të tjera të përcaktuara në aneksin XVIII, bashkëlidhur këtij vendimi.</w:t>
      </w:r>
    </w:p>
    <w:p w:rsidR="00ED3C64" w:rsidRDefault="00ED3C64" w:rsidP="00ED3C64">
      <w:pPr>
        <w:pStyle w:val="Paragrafi"/>
        <w:rPr>
          <w:spacing w:val="-4"/>
          <w:lang w:val="sq-AL"/>
        </w:rPr>
      </w:pPr>
      <w:r w:rsidRPr="00E00CAD">
        <w:rPr>
          <w:spacing w:val="-4"/>
          <w:lang w:val="sq-AL"/>
        </w:rPr>
        <w:t>13. Vendndodhja dhe numri i pikave të marrjes së mostrave</w:t>
      </w:r>
    </w:p>
    <w:p w:rsidR="00ED3C64" w:rsidRPr="00E00CAD" w:rsidRDefault="00ED3C64" w:rsidP="00ED3C64">
      <w:pPr>
        <w:pStyle w:val="Paragrafi"/>
        <w:rPr>
          <w:spacing w:val="-4"/>
          <w:lang w:val="sq-AL"/>
        </w:rPr>
      </w:pPr>
      <w:r w:rsidRPr="00E00CAD">
        <w:rPr>
          <w:spacing w:val="-4"/>
          <w:lang w:val="sq-AL"/>
        </w:rPr>
        <w:t>AKM-ja përcakton vendndodhjen dhe numrin e pikave të marrjes së mostrave për vlerësimin e arsenikut, kadmiumit, nikelit dhe benzo(a)pirenit në ajrin e mjedisit në përputhje me kriteret e përcaktuara në aneksin XVII, bashkëlidhur këtij vendimi.</w:t>
      </w:r>
    </w:p>
    <w:p w:rsidR="00ED3C64" w:rsidRPr="00E00CAD" w:rsidRDefault="00ED3C64" w:rsidP="00ED3C64">
      <w:pPr>
        <w:pStyle w:val="Paragrafi"/>
        <w:rPr>
          <w:spacing w:val="-4"/>
          <w:lang w:val="sq-AL"/>
        </w:rPr>
      </w:pPr>
      <w:r w:rsidRPr="00E00CAD">
        <w:rPr>
          <w:spacing w:val="-4"/>
          <w:lang w:val="sq-AL"/>
        </w:rPr>
        <w:t>14. Monitorimi i hidrokarbureve aromatike policiklike</w:t>
      </w:r>
    </w:p>
    <w:p w:rsidR="00ED3C64" w:rsidRPr="00E00CAD" w:rsidRDefault="00ED3C64" w:rsidP="00ED3C64">
      <w:pPr>
        <w:pStyle w:val="Paragrafi"/>
        <w:rPr>
          <w:spacing w:val="-4"/>
          <w:lang w:val="sq-AL"/>
        </w:rPr>
      </w:pPr>
      <w:r w:rsidRPr="00E00CAD">
        <w:rPr>
          <w:spacing w:val="-4"/>
          <w:lang w:val="sq-AL"/>
        </w:rPr>
        <w:t xml:space="preserve">14.1 AKM-ja, për vlerësimin e kontributit të benzo(a)pirenit në ajrin e mjedisit, monitoron hidrokarburet aromatike policiklike përkatëse të tjera në një numër të kufizuar territoresh monitorimi. </w:t>
      </w:r>
    </w:p>
    <w:p w:rsidR="00ED3C64" w:rsidRPr="00E00CAD" w:rsidRDefault="00ED3C64" w:rsidP="00ED3C64">
      <w:pPr>
        <w:pStyle w:val="Paragrafi"/>
        <w:rPr>
          <w:spacing w:val="-4"/>
          <w:lang w:val="sq-AL"/>
        </w:rPr>
      </w:pPr>
      <w:r w:rsidRPr="00E00CAD">
        <w:rPr>
          <w:spacing w:val="-4"/>
          <w:lang w:val="sq-AL"/>
        </w:rPr>
        <w:t>14.2 Në përbërësit e referuar në pikën 14.1 përfshihen minimalisht:</w:t>
      </w:r>
    </w:p>
    <w:p w:rsidR="00ED3C64" w:rsidRPr="00E00CAD" w:rsidRDefault="00ED3C64" w:rsidP="00ED3C64">
      <w:pPr>
        <w:pStyle w:val="Paragrafi"/>
        <w:rPr>
          <w:spacing w:val="-4"/>
          <w:lang w:val="sq-AL"/>
        </w:rPr>
      </w:pPr>
      <w:r w:rsidRPr="00E00CAD">
        <w:rPr>
          <w:spacing w:val="-4"/>
          <w:lang w:val="sq-AL"/>
        </w:rPr>
        <w:t xml:space="preserve">a) benzo(a)antraceni; </w:t>
      </w:r>
    </w:p>
    <w:p w:rsidR="00ED3C64" w:rsidRPr="00E00CAD" w:rsidRDefault="00ED3C64" w:rsidP="00ED3C64">
      <w:pPr>
        <w:pStyle w:val="Paragrafi"/>
        <w:rPr>
          <w:spacing w:val="-4"/>
          <w:lang w:val="sq-AL"/>
        </w:rPr>
      </w:pPr>
      <w:r w:rsidRPr="00E00CAD">
        <w:rPr>
          <w:spacing w:val="-4"/>
          <w:lang w:val="sq-AL"/>
        </w:rPr>
        <w:t xml:space="preserve">b) benzo(b)fluoranteni; </w:t>
      </w:r>
    </w:p>
    <w:p w:rsidR="00ED3C64" w:rsidRPr="00E00CAD" w:rsidRDefault="00ED3C64" w:rsidP="00ED3C64">
      <w:pPr>
        <w:pStyle w:val="Paragrafi"/>
        <w:rPr>
          <w:spacing w:val="-4"/>
          <w:lang w:val="sq-AL"/>
        </w:rPr>
      </w:pPr>
      <w:r w:rsidRPr="00E00CAD">
        <w:rPr>
          <w:spacing w:val="-4"/>
          <w:lang w:val="sq-AL"/>
        </w:rPr>
        <w:t xml:space="preserve">c) benzo(j)fluoranteni; </w:t>
      </w:r>
    </w:p>
    <w:p w:rsidR="00ED3C64" w:rsidRPr="00E00CAD" w:rsidRDefault="00ED3C64" w:rsidP="00ED3C64">
      <w:pPr>
        <w:pStyle w:val="Paragrafi"/>
        <w:rPr>
          <w:spacing w:val="-4"/>
          <w:lang w:val="sq-AL"/>
        </w:rPr>
      </w:pPr>
      <w:r w:rsidRPr="00E00CAD">
        <w:rPr>
          <w:spacing w:val="-4"/>
          <w:lang w:val="sq-AL"/>
        </w:rPr>
        <w:t xml:space="preserve">ç)  benzo(k)fluoranteni; </w:t>
      </w:r>
    </w:p>
    <w:p w:rsidR="00ED3C64" w:rsidRPr="00E00CAD" w:rsidRDefault="00ED3C64" w:rsidP="00ED3C64">
      <w:pPr>
        <w:pStyle w:val="Paragrafi"/>
        <w:rPr>
          <w:spacing w:val="-4"/>
          <w:lang w:val="sq-AL"/>
        </w:rPr>
      </w:pPr>
      <w:r w:rsidRPr="00E00CAD">
        <w:rPr>
          <w:spacing w:val="-4"/>
          <w:lang w:val="sq-AL"/>
        </w:rPr>
        <w:t xml:space="preserve">d) indeno(1,2,3-cd)pireni; </w:t>
      </w:r>
    </w:p>
    <w:p w:rsidR="00ED3C64" w:rsidRPr="00E00CAD" w:rsidRDefault="00ED3C64" w:rsidP="00ED3C64">
      <w:pPr>
        <w:pStyle w:val="Paragrafi"/>
        <w:rPr>
          <w:spacing w:val="-4"/>
          <w:lang w:val="sq-AL"/>
        </w:rPr>
      </w:pPr>
      <w:r w:rsidRPr="00E00CAD">
        <w:rPr>
          <w:spacing w:val="-4"/>
          <w:lang w:val="sq-AL"/>
        </w:rPr>
        <w:t xml:space="preserve">dh)  dibenz(a,h)antraceni. </w:t>
      </w:r>
    </w:p>
    <w:p w:rsidR="00ED3C64" w:rsidRPr="00E00CAD" w:rsidRDefault="00ED3C64" w:rsidP="00ED3C64">
      <w:pPr>
        <w:pStyle w:val="Paragrafi"/>
        <w:rPr>
          <w:spacing w:val="-4"/>
          <w:lang w:val="sq-AL"/>
        </w:rPr>
      </w:pPr>
      <w:r w:rsidRPr="00E00CAD">
        <w:rPr>
          <w:spacing w:val="-4"/>
          <w:lang w:val="sq-AL"/>
        </w:rPr>
        <w:t xml:space="preserve">14.3 Territoret e monitorimit referuar në pikën 14.1 vendosen së bashku me territoret e marrjes së mostrave të benzo(a)pirenit. </w:t>
      </w:r>
    </w:p>
    <w:p w:rsidR="00ED3C64" w:rsidRPr="00E00CAD" w:rsidRDefault="00ED3C64" w:rsidP="00ED3C64">
      <w:pPr>
        <w:pStyle w:val="Paragrafi"/>
        <w:rPr>
          <w:spacing w:val="-4"/>
          <w:lang w:val="sq-AL"/>
        </w:rPr>
      </w:pPr>
      <w:r w:rsidRPr="00E00CAD">
        <w:rPr>
          <w:spacing w:val="-4"/>
          <w:lang w:val="sq-AL"/>
        </w:rPr>
        <w:t xml:space="preserve">14.4 Territoret e monitorimit referuar në pikën 14.1 përzgjidhen në mënyrë të tillë që variacionet gjeografike dhe tendencat afatgjata të mund të identifikohen në përqendrimet e hidrokarbureve aromatike policiklike. </w:t>
      </w:r>
    </w:p>
    <w:p w:rsidR="00ED3C64" w:rsidRPr="00E00CAD" w:rsidRDefault="00ED3C64" w:rsidP="00ED3C64">
      <w:pPr>
        <w:pStyle w:val="Paragrafi"/>
        <w:rPr>
          <w:spacing w:val="-4"/>
          <w:lang w:val="sq-AL"/>
        </w:rPr>
      </w:pPr>
      <w:r w:rsidRPr="00E00CAD">
        <w:rPr>
          <w:spacing w:val="-4"/>
          <w:lang w:val="sq-AL"/>
        </w:rPr>
        <w:t>14.5 Territoret e monitorimit të referuara në pikën 14.1 përzgjidhen, në përputhje me kriteret e seksioneve nga I deri në III, të aneksit XVII, bashkëlidhur këtij vendimi.</w:t>
      </w:r>
    </w:p>
    <w:p w:rsidR="00ED3C64" w:rsidRPr="00E00CAD" w:rsidRDefault="00ED3C64" w:rsidP="00ED3C64">
      <w:pPr>
        <w:pStyle w:val="Paragrafi"/>
        <w:rPr>
          <w:spacing w:val="-4"/>
          <w:lang w:val="sq-AL"/>
        </w:rPr>
      </w:pPr>
      <w:r w:rsidRPr="00E00CAD">
        <w:rPr>
          <w:spacing w:val="-4"/>
          <w:lang w:val="sq-AL"/>
        </w:rPr>
        <w:t>15. Monitorimi në sfond</w:t>
      </w:r>
    </w:p>
    <w:p w:rsidR="00ED3C64" w:rsidRPr="00E00CAD" w:rsidRDefault="00ED3C64" w:rsidP="00ED3C64">
      <w:pPr>
        <w:pStyle w:val="Paragrafi"/>
        <w:rPr>
          <w:spacing w:val="-4"/>
          <w:lang w:val="sq-AL"/>
        </w:rPr>
      </w:pPr>
      <w:r w:rsidRPr="00E00CAD">
        <w:rPr>
          <w:spacing w:val="-4"/>
          <w:lang w:val="sq-AL"/>
        </w:rPr>
        <w:t>15.1 AKM-ja përdor pika për marrjen e mostrave në sfond për të siguruar matje treguese të:</w:t>
      </w:r>
    </w:p>
    <w:p w:rsidR="00ED3C64" w:rsidRPr="00E00CAD" w:rsidRDefault="00ED3C64" w:rsidP="00ED3C64">
      <w:pPr>
        <w:pStyle w:val="Paragrafi"/>
        <w:rPr>
          <w:spacing w:val="-4"/>
          <w:lang w:val="sq-AL"/>
        </w:rPr>
      </w:pPr>
      <w:r w:rsidRPr="00E00CAD">
        <w:rPr>
          <w:spacing w:val="-4"/>
          <w:lang w:val="sq-AL"/>
        </w:rPr>
        <w:t>a) përqendrimeve të:</w:t>
      </w:r>
    </w:p>
    <w:p w:rsidR="00ED3C64" w:rsidRPr="00E00CAD" w:rsidRDefault="00ED3C64" w:rsidP="00ED3C64">
      <w:pPr>
        <w:pStyle w:val="Paragrafi"/>
        <w:rPr>
          <w:spacing w:val="-4"/>
          <w:lang w:val="sq-AL"/>
        </w:rPr>
      </w:pPr>
      <w:r w:rsidRPr="00E00CAD">
        <w:rPr>
          <w:spacing w:val="-4"/>
          <w:lang w:val="sq-AL"/>
        </w:rPr>
        <w:t>i) arsenikut, kadmiumit, nikelit dhe benzo</w:t>
      </w:r>
      <w:r>
        <w:rPr>
          <w:spacing w:val="-4"/>
          <w:lang w:val="sq-AL"/>
        </w:rPr>
        <w:t>-</w:t>
      </w:r>
      <w:r w:rsidRPr="00E00CAD">
        <w:rPr>
          <w:spacing w:val="-4"/>
          <w:lang w:val="sq-AL"/>
        </w:rPr>
        <w:t xml:space="preserve">(a)pirenit; </w:t>
      </w:r>
    </w:p>
    <w:p w:rsidR="00ED3C64" w:rsidRPr="00E00CAD" w:rsidRDefault="00ED3C64" w:rsidP="00ED3C64">
      <w:pPr>
        <w:pStyle w:val="Paragrafi"/>
        <w:rPr>
          <w:spacing w:val="-4"/>
          <w:lang w:val="sq-AL"/>
        </w:rPr>
      </w:pPr>
      <w:r w:rsidRPr="00E00CAD">
        <w:rPr>
          <w:spacing w:val="-4"/>
          <w:lang w:val="sq-AL"/>
        </w:rPr>
        <w:t xml:space="preserve">ii) hidrokarbureve aromatike policiklike të referuara në pikën 14.1; </w:t>
      </w:r>
    </w:p>
    <w:p w:rsidR="00ED3C64" w:rsidRPr="00E00CAD" w:rsidRDefault="00ED3C64" w:rsidP="00ED3C64">
      <w:pPr>
        <w:pStyle w:val="Paragrafi"/>
        <w:rPr>
          <w:spacing w:val="-4"/>
          <w:lang w:val="sq-AL"/>
        </w:rPr>
      </w:pPr>
      <w:r w:rsidRPr="00E00CAD">
        <w:rPr>
          <w:spacing w:val="-4"/>
          <w:lang w:val="sq-AL"/>
        </w:rPr>
        <w:t xml:space="preserve">iii) merkurit të gaztë total. </w:t>
      </w:r>
    </w:p>
    <w:p w:rsidR="00ED3C64" w:rsidRPr="00E00CAD" w:rsidRDefault="00ED3C64" w:rsidP="00ED3C64">
      <w:pPr>
        <w:pStyle w:val="Paragrafi"/>
        <w:rPr>
          <w:spacing w:val="-4"/>
          <w:lang w:val="sq-AL"/>
        </w:rPr>
      </w:pPr>
      <w:r w:rsidRPr="00E00CAD">
        <w:rPr>
          <w:spacing w:val="-4"/>
          <w:lang w:val="sq-AL"/>
        </w:rPr>
        <w:t>b) depozitimit total të:</w:t>
      </w:r>
    </w:p>
    <w:p w:rsidR="00ED3C64" w:rsidRPr="00E00CAD" w:rsidRDefault="00ED3C64" w:rsidP="00ED3C64">
      <w:pPr>
        <w:pStyle w:val="Paragrafi"/>
        <w:rPr>
          <w:spacing w:val="-4"/>
          <w:lang w:val="sq-AL"/>
        </w:rPr>
      </w:pPr>
      <w:r w:rsidRPr="00E00CAD">
        <w:rPr>
          <w:spacing w:val="-4"/>
          <w:lang w:val="sq-AL"/>
        </w:rPr>
        <w:t>i)arsenikut, kadmiumit, nikelit dhe benzo(a)pirenit brenda fraksionit PM</w:t>
      </w:r>
      <w:r w:rsidRPr="004255F4">
        <w:rPr>
          <w:spacing w:val="-4"/>
          <w:vertAlign w:val="subscript"/>
          <w:lang w:val="sq-AL"/>
        </w:rPr>
        <w:t>10</w:t>
      </w:r>
      <w:r w:rsidRPr="00E00CAD">
        <w:rPr>
          <w:spacing w:val="-4"/>
          <w:lang w:val="sq-AL"/>
        </w:rPr>
        <w:t xml:space="preserve">; </w:t>
      </w:r>
    </w:p>
    <w:p w:rsidR="00ED3C64" w:rsidRPr="00E00CAD" w:rsidRDefault="00ED3C64" w:rsidP="00ED3C64">
      <w:pPr>
        <w:pStyle w:val="Paragrafi"/>
        <w:rPr>
          <w:spacing w:val="-4"/>
          <w:lang w:val="sq-AL"/>
        </w:rPr>
      </w:pPr>
      <w:r w:rsidRPr="00E00CAD">
        <w:rPr>
          <w:spacing w:val="-4"/>
          <w:lang w:val="sq-AL"/>
        </w:rPr>
        <w:t xml:space="preserve">ii) hidrokarbureve aromatike policiklike të referuara në pikën 14.1; </w:t>
      </w:r>
    </w:p>
    <w:p w:rsidR="00ED3C64" w:rsidRPr="00E00CAD" w:rsidRDefault="00ED3C64" w:rsidP="00ED3C64">
      <w:pPr>
        <w:pStyle w:val="Paragrafi"/>
        <w:rPr>
          <w:spacing w:val="-4"/>
          <w:lang w:val="sq-AL"/>
        </w:rPr>
      </w:pPr>
      <w:r w:rsidRPr="00E00CAD">
        <w:rPr>
          <w:spacing w:val="-4"/>
          <w:lang w:val="sq-AL"/>
        </w:rPr>
        <w:t xml:space="preserve">iii) merkurit. </w:t>
      </w:r>
    </w:p>
    <w:p w:rsidR="00ED3C64" w:rsidRPr="00E00CAD" w:rsidRDefault="00ED3C64" w:rsidP="00ED3C64">
      <w:pPr>
        <w:pStyle w:val="Paragrafi"/>
        <w:rPr>
          <w:spacing w:val="-4"/>
          <w:lang w:val="sq-AL"/>
        </w:rPr>
      </w:pPr>
      <w:r w:rsidRPr="00E00CAD">
        <w:rPr>
          <w:spacing w:val="-4"/>
          <w:lang w:val="sq-AL"/>
        </w:rPr>
        <w:t xml:space="preserve">15.2 Për qëllime të pikës 15.1, AKM-ja siguron që: </w:t>
      </w:r>
    </w:p>
    <w:p w:rsidR="00ED3C64" w:rsidRPr="00E00CAD" w:rsidRDefault="00ED3C64" w:rsidP="00ED3C64">
      <w:pPr>
        <w:pStyle w:val="Paragrafi"/>
        <w:rPr>
          <w:spacing w:val="-4"/>
          <w:lang w:val="sq-AL"/>
        </w:rPr>
      </w:pPr>
      <w:r w:rsidRPr="00E00CAD">
        <w:rPr>
          <w:spacing w:val="-4"/>
          <w:lang w:val="sq-AL"/>
        </w:rPr>
        <w:t>a) të paktën një pikë për marrjen e mostrave instalohet për të gjithë vendin;</w:t>
      </w:r>
    </w:p>
    <w:p w:rsidR="00ED3C64" w:rsidRPr="00E00CAD" w:rsidRDefault="00ED3C64" w:rsidP="00ED3C64">
      <w:pPr>
        <w:pStyle w:val="Paragrafi"/>
        <w:rPr>
          <w:spacing w:val="-4"/>
          <w:lang w:val="sq-AL"/>
        </w:rPr>
      </w:pPr>
      <w:r w:rsidRPr="00E00CAD">
        <w:rPr>
          <w:spacing w:val="-4"/>
          <w:lang w:val="sq-AL"/>
        </w:rPr>
        <w:t xml:space="preserve">b) </w:t>
      </w:r>
      <w:r>
        <w:rPr>
          <w:spacing w:val="-4"/>
          <w:lang w:val="sq-AL"/>
        </w:rPr>
        <w:t xml:space="preserve">çdo pikë për marrjen e mostrave vendoset në përputhje me përcaktimin e bërë në aneksin XVII, </w:t>
      </w:r>
      <w:r w:rsidRPr="00E00CAD">
        <w:rPr>
          <w:spacing w:val="-4"/>
          <w:lang w:val="sq-AL"/>
        </w:rPr>
        <w:t xml:space="preserve">bashkëlidhur këtij vendimi. </w:t>
      </w:r>
    </w:p>
    <w:p w:rsidR="00ED3C64" w:rsidRPr="00E00CAD" w:rsidRDefault="00ED3C64" w:rsidP="00ED3C64">
      <w:pPr>
        <w:pStyle w:val="Paragrafi"/>
        <w:rPr>
          <w:spacing w:val="-4"/>
          <w:lang w:val="sq-AL"/>
        </w:rPr>
      </w:pPr>
      <w:r w:rsidRPr="00E00CAD">
        <w:rPr>
          <w:spacing w:val="-4"/>
          <w:lang w:val="sq-AL"/>
        </w:rPr>
        <w:t>15.3 Për vlerësimin e ndikimit rajonal mbi ekosistemet mund të përdoren edhe bioindikatorët.</w:t>
      </w:r>
    </w:p>
    <w:p w:rsidR="00ED3C64" w:rsidRPr="00E00CAD" w:rsidRDefault="00ED3C64" w:rsidP="00ED3C64">
      <w:pPr>
        <w:pStyle w:val="Paragrafi"/>
        <w:rPr>
          <w:spacing w:val="-4"/>
          <w:lang w:val="sq-AL"/>
        </w:rPr>
      </w:pPr>
      <w:r w:rsidRPr="00E00CAD">
        <w:rPr>
          <w:spacing w:val="-4"/>
          <w:lang w:val="sq-AL"/>
        </w:rPr>
        <w:t>15.4 Në zonat dhe aglomeratet, ku informacioni nga stacionet e matjeve fikse plotësohet me informacion nga burime të tjera (si inventarët e shkarkimeve, metodat e matjeve treguese dhe modelimi i cilësisë së ajrit), numri i stacioneve fikse të matjeve dhe rezolucioni hapësinor i teknikave të tjera janë të mjaftueshme për përcaktimin e përqendrimit të ndotëve në ajër në përputhje me seksionin I, të aneksit XVII, dhe seksionin I, të aneksit XVIII, bashkëlidhur këtij vendimi.</w:t>
      </w:r>
    </w:p>
    <w:p w:rsidR="00ED3C64" w:rsidRPr="00E00CAD" w:rsidRDefault="00ED3C64" w:rsidP="00ED3C64">
      <w:pPr>
        <w:pStyle w:val="Paragrafi"/>
        <w:rPr>
          <w:spacing w:val="-4"/>
          <w:lang w:val="sq-AL"/>
        </w:rPr>
      </w:pPr>
      <w:r w:rsidRPr="00E00CAD">
        <w:rPr>
          <w:spacing w:val="-4"/>
          <w:lang w:val="sq-AL"/>
        </w:rPr>
        <w:lastRenderedPageBreak/>
        <w:t>15.5 Sipas rastit, monitorimi koordinohet me Strategjinë e Monitorimit dhe Programin e Matjeve për Monitorimin dhe Vlerësimin e Ndotësve (EMEP).</w:t>
      </w:r>
    </w:p>
    <w:p w:rsidR="00ED3C64" w:rsidRPr="00E00CAD" w:rsidRDefault="00ED3C64" w:rsidP="00ED3C64">
      <w:pPr>
        <w:pStyle w:val="Paragrafi"/>
        <w:rPr>
          <w:spacing w:val="-4"/>
          <w:lang w:val="sq-AL"/>
        </w:rPr>
      </w:pPr>
      <w:r w:rsidRPr="00E00CAD">
        <w:rPr>
          <w:spacing w:val="-4"/>
          <w:lang w:val="sq-AL"/>
        </w:rPr>
        <w:t xml:space="preserve">16. Metodat referencë për marrjen e mostrave </w:t>
      </w:r>
    </w:p>
    <w:p w:rsidR="00ED3C64" w:rsidRPr="00E00CAD" w:rsidRDefault="00ED3C64" w:rsidP="00ED3C64">
      <w:pPr>
        <w:pStyle w:val="Paragrafi"/>
        <w:rPr>
          <w:spacing w:val="-4"/>
          <w:lang w:val="sq-AL"/>
        </w:rPr>
      </w:pPr>
      <w:r w:rsidRPr="00E00CAD">
        <w:rPr>
          <w:spacing w:val="-4"/>
          <w:lang w:val="sq-AL"/>
        </w:rPr>
        <w:t>Marrja e mostrave për matjet e arsenikut, kadmiumit, merkurit, nikelit, benzo(a)pirenit, hidrokarbureve të tjera aromatike policiklike në ajrin e mjedisit dhe depozitimi për këta ndotës bëhet, në përputhje me metodat referencë për marrjen e mostrave të përcaktuara në aneksin XIX, bashkëlidhur këtij vendimi.</w:t>
      </w:r>
    </w:p>
    <w:p w:rsidR="00ED3C64" w:rsidRPr="00E00CAD" w:rsidRDefault="00ED3C64" w:rsidP="00ED3C64">
      <w:pPr>
        <w:pStyle w:val="Paragrafi"/>
        <w:rPr>
          <w:spacing w:val="-4"/>
          <w:lang w:val="sq-AL"/>
        </w:rPr>
      </w:pPr>
      <w:r w:rsidRPr="00E00CAD">
        <w:rPr>
          <w:spacing w:val="-4"/>
          <w:lang w:val="sq-AL"/>
        </w:rPr>
        <w:t>VI. DETYRIMET NË LIDHJE ME VLERAT KUFI, VLERAT E SYNUARA, PRAGJET DHE NIVELET</w:t>
      </w:r>
    </w:p>
    <w:p w:rsidR="00ED3C64" w:rsidRPr="00E00CAD" w:rsidRDefault="00ED3C64" w:rsidP="00ED3C64">
      <w:pPr>
        <w:pStyle w:val="Paragrafi"/>
        <w:rPr>
          <w:spacing w:val="-4"/>
          <w:lang w:val="sq-AL"/>
        </w:rPr>
      </w:pPr>
      <w:r w:rsidRPr="00E00CAD">
        <w:rPr>
          <w:spacing w:val="-4"/>
          <w:lang w:val="sq-AL"/>
        </w:rPr>
        <w:t>17. Vlerat kufi dhe pragjet e alarmit për mbrojtjen e shëndetit</w:t>
      </w:r>
    </w:p>
    <w:p w:rsidR="00ED3C64" w:rsidRPr="00E00CAD" w:rsidRDefault="00ED3C64" w:rsidP="00ED3C64">
      <w:pPr>
        <w:pStyle w:val="Paragrafi"/>
        <w:rPr>
          <w:spacing w:val="-4"/>
          <w:lang w:val="sq-AL"/>
        </w:rPr>
      </w:pPr>
      <w:r w:rsidRPr="00E00CAD">
        <w:rPr>
          <w:spacing w:val="-4"/>
          <w:lang w:val="sq-AL"/>
        </w:rPr>
        <w:t>17.1 Ministria, ministritë e linjës sipas rastit dhe njësitë e qeverisjes vendore, duke vepruar sipas kompetencave që kanë për fushat që ato mbulojnë, sigurojnë që gjatë zonave dhe aglomerateve nivelet e:</w:t>
      </w:r>
    </w:p>
    <w:p w:rsidR="00ED3C64" w:rsidRPr="00E00CAD" w:rsidRDefault="00ED3C64" w:rsidP="00ED3C64">
      <w:pPr>
        <w:pStyle w:val="Paragrafi"/>
        <w:rPr>
          <w:spacing w:val="-4"/>
          <w:lang w:val="sq-AL"/>
        </w:rPr>
      </w:pPr>
      <w:r w:rsidRPr="00E00CAD">
        <w:rPr>
          <w:spacing w:val="-4"/>
          <w:lang w:val="sq-AL"/>
        </w:rPr>
        <w:t xml:space="preserve"> a) dyoksidit të squfurit, PM10, plumbit dhe monoksidit të karbonit në ajrin e mjedisit të mos kapërcejnë vlerat kufi të përcaktuara në aneksin XI, bashkëlidhur këtij vendimi; </w:t>
      </w:r>
    </w:p>
    <w:p w:rsidR="00ED3C64" w:rsidRPr="00E00CAD" w:rsidRDefault="00ED3C64" w:rsidP="00ED3C64">
      <w:pPr>
        <w:pStyle w:val="Paragrafi"/>
        <w:rPr>
          <w:spacing w:val="-4"/>
          <w:lang w:val="sq-AL"/>
        </w:rPr>
      </w:pPr>
      <w:r w:rsidRPr="00E00CAD">
        <w:rPr>
          <w:spacing w:val="-4"/>
          <w:lang w:val="sq-AL"/>
        </w:rPr>
        <w:t>b) dyoksidit të azotit dhe benzenit në ajrin e mjedisit të mos kapërcejnë vlerat kufi të përcaktuara në aneksin XI, bashkëlidhur këtij vendimi, nga datat e përcaktuara në atë aneks.</w:t>
      </w:r>
    </w:p>
    <w:p w:rsidR="00ED3C64" w:rsidRDefault="00ED3C64" w:rsidP="00ED3C64">
      <w:pPr>
        <w:pStyle w:val="Paragrafi"/>
        <w:rPr>
          <w:spacing w:val="-4"/>
          <w:lang w:val="sq-AL"/>
        </w:rPr>
      </w:pPr>
      <w:r w:rsidRPr="00E00CAD">
        <w:rPr>
          <w:spacing w:val="-4"/>
          <w:lang w:val="sq-AL"/>
        </w:rPr>
        <w:t xml:space="preserve">17.2 Përputhshmëria me kërkesat e përcaktuara në shkronjat “a” dhe “b”, të pikës 17.1, vlerësohet në përputhje me përcaktimin e aneksit III, bashkëlidhur këtij vendimi. </w:t>
      </w:r>
    </w:p>
    <w:p w:rsidR="00ED3C64" w:rsidRDefault="00ED3C64" w:rsidP="00ED3C64">
      <w:pPr>
        <w:pStyle w:val="Paragrafi"/>
        <w:rPr>
          <w:spacing w:val="-4"/>
          <w:lang w:val="sq-AL"/>
        </w:rPr>
      </w:pPr>
      <w:r w:rsidRPr="00E00CAD">
        <w:rPr>
          <w:spacing w:val="-4"/>
          <w:lang w:val="sq-AL"/>
        </w:rPr>
        <w:t xml:space="preserve"> </w:t>
      </w:r>
    </w:p>
    <w:p w:rsidR="00ED3C64" w:rsidRPr="00E00CAD" w:rsidRDefault="00ED3C64" w:rsidP="00ED3C64">
      <w:pPr>
        <w:pStyle w:val="Paragrafi"/>
        <w:rPr>
          <w:spacing w:val="-4"/>
          <w:lang w:val="sq-AL"/>
        </w:rPr>
      </w:pPr>
      <w:r w:rsidRPr="00E00CAD">
        <w:rPr>
          <w:spacing w:val="-4"/>
          <w:lang w:val="sq-AL"/>
        </w:rPr>
        <w:t>17.3 Për qëllime të shkronjave “a” dhe “b”, të pikës 17.1, zbatohen marzhet e tolerancës të përcaktuara në aneksin XI, bashkëlidhur këtij vendimi.</w:t>
      </w:r>
    </w:p>
    <w:p w:rsidR="00ED3C64" w:rsidRPr="00E00CAD" w:rsidRDefault="00ED3C64" w:rsidP="00ED3C64">
      <w:pPr>
        <w:pStyle w:val="Paragrafi"/>
        <w:rPr>
          <w:spacing w:val="-4"/>
          <w:lang w:val="sq-AL"/>
        </w:rPr>
      </w:pPr>
      <w:r w:rsidRPr="00E00CAD">
        <w:rPr>
          <w:spacing w:val="-4"/>
          <w:lang w:val="sq-AL"/>
        </w:rPr>
        <w:t>17.4 Pragu i alarmit për përqendrimet e dyoksidit të squfurit dhe dyoksidit të azotit në ajrin e mjedisit përcaktohet në seksionin A, të aneksit XII, bashkëlidhur këtij vendimi.</w:t>
      </w:r>
    </w:p>
    <w:p w:rsidR="00ED3C64" w:rsidRPr="00E00CAD" w:rsidRDefault="00ED3C64" w:rsidP="00ED3C64">
      <w:pPr>
        <w:pStyle w:val="Paragrafi"/>
        <w:rPr>
          <w:spacing w:val="-4"/>
          <w:lang w:val="sq-AL"/>
        </w:rPr>
      </w:pPr>
      <w:r w:rsidRPr="00E00CAD">
        <w:rPr>
          <w:spacing w:val="-4"/>
          <w:lang w:val="sq-AL"/>
        </w:rPr>
        <w:t>17.5 Në zona dhe aglomerate, ku nivelet e dyoksidit të squfurit, dyoksidit të azotit, PM</w:t>
      </w:r>
      <w:r w:rsidRPr="004255F4">
        <w:rPr>
          <w:spacing w:val="-4"/>
          <w:vertAlign w:val="subscript"/>
          <w:lang w:val="sq-AL"/>
        </w:rPr>
        <w:t>10</w:t>
      </w:r>
      <w:r w:rsidRPr="00E00CAD">
        <w:rPr>
          <w:spacing w:val="-4"/>
          <w:lang w:val="sq-AL"/>
        </w:rPr>
        <w:t>, PM</w:t>
      </w:r>
      <w:r w:rsidRPr="004255F4">
        <w:rPr>
          <w:spacing w:val="-4"/>
          <w:vertAlign w:val="subscript"/>
          <w:lang w:val="sq-AL"/>
        </w:rPr>
        <w:t>2,5</w:t>
      </w:r>
      <w:r w:rsidRPr="00E00CAD">
        <w:rPr>
          <w:spacing w:val="-4"/>
          <w:lang w:val="sq-AL"/>
        </w:rPr>
        <w:t>, plumbit, benzenit dhe monoksidit të karbonit në ajrin e mjedisit janë nën vlerat përkatëse kufi, të përcaktuara në anekset XI dhe XIV, bashkëlidhur këtij vendimi, ministria, ministritë e linjës sipas rastit dhe njësitë e qeverisjes vendore, duke vepruar sipas kompetencave që kanë për fushat që ato mbulojnë, sigurojnë mbajtjen e niveleve të këtyre ndotësve nën vlerat kufi dhe përpiqen të ruajnë cilësinë më të mirë të ajrit të mjedisit, në përputhshmëri me zhvillimin e qëndrueshëm.</w:t>
      </w:r>
    </w:p>
    <w:p w:rsidR="00ED3C64" w:rsidRPr="00E00CAD" w:rsidRDefault="00ED3C64" w:rsidP="00ED3C64">
      <w:pPr>
        <w:pStyle w:val="Paragrafi"/>
        <w:rPr>
          <w:spacing w:val="-4"/>
          <w:lang w:val="sq-AL"/>
        </w:rPr>
      </w:pPr>
      <w:r w:rsidRPr="00E00CAD">
        <w:rPr>
          <w:spacing w:val="-4"/>
          <w:lang w:val="sq-AL"/>
        </w:rPr>
        <w:t xml:space="preserve">18. Vlerat e synuara për arsenikun, kadmiumin, nikelin, merkurin, benzo(a)pirenin dhe hidrokarburet policiklike aromatike </w:t>
      </w:r>
    </w:p>
    <w:p w:rsidR="00ED3C64" w:rsidRPr="00E00CAD" w:rsidRDefault="00ED3C64" w:rsidP="00ED3C64">
      <w:pPr>
        <w:pStyle w:val="Paragrafi"/>
        <w:rPr>
          <w:spacing w:val="-4"/>
          <w:lang w:val="sq-AL"/>
        </w:rPr>
      </w:pPr>
      <w:r w:rsidRPr="00E00CAD">
        <w:rPr>
          <w:spacing w:val="-4"/>
          <w:lang w:val="sq-AL"/>
        </w:rPr>
        <w:t xml:space="preserve">18.1 Ministria, ministritë e linjës sipas rastit dhe njësitë e qeverisjes vendore, duke vepruar sipas fushës që ata mbulojnë, marrin të gjitha masat e nevojshme pa shkaktuar kosto joproporcionale për të siguruar, që, nga data 31 dhjetor 2023, përqendrimet e arsenikut, kadmiumit, nikelit dhe benzo(a)pirenit, të përdorur si tregues për riskun kancerogjen të hidrokarbureve aromatike policiklike në ajrin e mjedisit të mos kapërcejnë vlerat e synuara të përcaktuara në aneksin XV, bashkëlidhur këtij vendimi. </w:t>
      </w:r>
    </w:p>
    <w:p w:rsidR="00ED3C64" w:rsidRDefault="00ED3C64" w:rsidP="00ED3C64">
      <w:pPr>
        <w:pStyle w:val="Paragrafi"/>
        <w:rPr>
          <w:spacing w:val="-4"/>
          <w:lang w:val="sq-AL"/>
        </w:rPr>
      </w:pPr>
      <w:r w:rsidRPr="00E00CAD">
        <w:rPr>
          <w:spacing w:val="-4"/>
          <w:lang w:val="sq-AL"/>
        </w:rPr>
        <w:t>18.2 AKM-ja përgatit listën e zonave dhe aglomerateve, në të cilat nivelet e arsenikut, kadmiumit, nikelit dhe benzo(a)pirenit janë nën vlerat e synuara përkatëse.</w:t>
      </w:r>
    </w:p>
    <w:p w:rsidR="00ED3C64" w:rsidRDefault="00ED3C64" w:rsidP="00ED3C64">
      <w:pPr>
        <w:pStyle w:val="Paragrafi"/>
        <w:rPr>
          <w:spacing w:val="-4"/>
          <w:lang w:val="sq-AL"/>
        </w:rPr>
      </w:pPr>
      <w:r w:rsidRPr="00E00CAD">
        <w:rPr>
          <w:spacing w:val="-4"/>
          <w:lang w:val="sq-AL"/>
        </w:rPr>
        <w:t>18.3 Ministria, ministritë e linjës dhe njësitë e qeverisjes vendore, duke vepruar sipas kompetencave që kanë për fushat që mbulojnë, sigurojnë ruajtjen e niveleve të arsenikut, kadmiumit, nikelit dhe benzo(a)pirenit në zonat dhe aglomeratet e referuara në pikën 18.2, vlerat e synuara përkatëse dhe bëjnë gjithçka/marrin të gjitha masat për  ruajtjen e cilësisë më të mirë të ajrit të mjedisit, në përputhshmëri me zhvillimin e qëndrueshëm.</w:t>
      </w:r>
    </w:p>
    <w:p w:rsidR="00ED3C64" w:rsidRDefault="00ED3C64" w:rsidP="00ED3C64">
      <w:pPr>
        <w:pStyle w:val="Paragrafi"/>
        <w:rPr>
          <w:spacing w:val="-4"/>
          <w:lang w:val="sq-AL"/>
        </w:rPr>
      </w:pPr>
    </w:p>
    <w:p w:rsidR="00ED3C64" w:rsidRPr="00E00CAD" w:rsidRDefault="00ED3C64" w:rsidP="00ED3C64">
      <w:pPr>
        <w:pStyle w:val="Paragrafi"/>
        <w:rPr>
          <w:spacing w:val="-4"/>
          <w:lang w:val="sq-AL"/>
        </w:rPr>
      </w:pPr>
      <w:r w:rsidRPr="00E00CAD">
        <w:rPr>
          <w:spacing w:val="-4"/>
          <w:lang w:val="sq-AL"/>
        </w:rPr>
        <w:t>18.4 AKM-ja harton listën e zonave dhe aglomerateve në të cilat niveli i arsenikut, kadmiumit, nikelit dhe benzo(a)pirenit është mbi vlerat e synuara përkatëse.</w:t>
      </w:r>
    </w:p>
    <w:p w:rsidR="00ED3C64" w:rsidRPr="00E00CAD" w:rsidRDefault="00ED3C64" w:rsidP="00ED3C64">
      <w:pPr>
        <w:pStyle w:val="Paragrafi"/>
        <w:rPr>
          <w:spacing w:val="-4"/>
          <w:lang w:val="sq-AL"/>
        </w:rPr>
      </w:pPr>
      <w:r w:rsidRPr="00E00CAD">
        <w:rPr>
          <w:spacing w:val="-4"/>
          <w:lang w:val="sq-AL"/>
        </w:rPr>
        <w:t xml:space="preserve">18.5 Për zonat dhe aglomeratet e referuara në pikën 18.4, AKM-ja përcakton zonat e kapërcimit dhe burimet që kontribuojnë në to. Për zona të tilla ministria, ministritë e linjës sipas rastit dhe njësitë e qeverisjes vendore duhet të demonstrojnë zbatimin e të gjitha masave të nevojshme pa kosto joproporcionale, drejtuar në veçanti në burimet e shkarkimeve më të mëdha, me qëllim arritjen e vlerave të synuara përkatëse. Për instalimet industriale që kërkojnë leje mjedisi të tipit A, në përputhje me ligjin nr. 10448, datë 14.7.2011, “Për lejet e mjedisit”, zbatohen teknikat më të mira të disponueshme (TMD). </w:t>
      </w:r>
    </w:p>
    <w:p w:rsidR="00ED3C64" w:rsidRPr="00E00CAD" w:rsidRDefault="00ED3C64" w:rsidP="00ED3C64">
      <w:pPr>
        <w:pStyle w:val="Paragrafi"/>
        <w:rPr>
          <w:spacing w:val="-4"/>
          <w:lang w:val="sq-AL"/>
        </w:rPr>
      </w:pPr>
      <w:r w:rsidRPr="00E00CAD">
        <w:rPr>
          <w:spacing w:val="-4"/>
          <w:lang w:val="sq-AL"/>
        </w:rPr>
        <w:t>19. Nivelet kritike për mbrojtjen e bimësisë</w:t>
      </w:r>
    </w:p>
    <w:p w:rsidR="00ED3C64" w:rsidRPr="00E00CAD" w:rsidRDefault="00ED3C64" w:rsidP="00ED3C64">
      <w:pPr>
        <w:pStyle w:val="Paragrafi"/>
        <w:rPr>
          <w:spacing w:val="-4"/>
          <w:lang w:val="sq-AL"/>
        </w:rPr>
      </w:pPr>
      <w:r w:rsidRPr="00E00CAD">
        <w:rPr>
          <w:spacing w:val="-4"/>
          <w:lang w:val="sq-AL"/>
        </w:rPr>
        <w:t xml:space="preserve">19.1 Ministria siguron përputhshmërinë me nivelet kritike për mbrojtjen e bimësisë, të përcaktuara aneksin XIII, siç vlerësohet, në përputhje me kërkesat e përcaktuara në seksionin A, të aneksit III, bashkëlidhur këtij vendimi. </w:t>
      </w:r>
    </w:p>
    <w:p w:rsidR="00ED3C64" w:rsidRPr="00E00CAD" w:rsidRDefault="00ED3C64" w:rsidP="00ED3C64">
      <w:pPr>
        <w:pStyle w:val="Paragrafi"/>
        <w:rPr>
          <w:spacing w:val="-4"/>
          <w:lang w:val="sq-AL"/>
        </w:rPr>
      </w:pPr>
      <w:r w:rsidRPr="00E00CAD">
        <w:rPr>
          <w:spacing w:val="-4"/>
          <w:lang w:val="sq-AL"/>
        </w:rPr>
        <w:lastRenderedPageBreak/>
        <w:t>19.2 Për qëllime të pikës 19.1, kur matjet fikse janë burimi i vetëm i informacionit për vlerësimin e cilësisë së ajrit, numri i pikave të marrjes së mostrave nuk duhet të jetë më i vogël se numri minimal i përcaktuar në seksionin C, të aneksit V, bashkëlidhur këtij vendimi.</w:t>
      </w:r>
    </w:p>
    <w:p w:rsidR="00ED3C64" w:rsidRPr="00E00CAD" w:rsidRDefault="00ED3C64" w:rsidP="00ED3C64">
      <w:pPr>
        <w:pStyle w:val="Paragrafi"/>
        <w:rPr>
          <w:spacing w:val="-4"/>
          <w:lang w:val="sq-AL"/>
        </w:rPr>
      </w:pPr>
      <w:r w:rsidRPr="00E00CAD">
        <w:rPr>
          <w:spacing w:val="-4"/>
          <w:lang w:val="sq-AL"/>
        </w:rPr>
        <w:t>19.3 Për qëllime të pikës 19.1, kur matjet fikse plotësohen nga matjet treguese ose modelimi, numri minimal i pikave të marrjes së mostrave mund të pakësohet deri në 50% për aq kohë sa përqendrimet e vlerësuara të ndotësve përkatës mund të përcaktohen, në përputhje me objektivat për cilësinë e të dhënave, përcaktuar në seksionin A të aneksit I, bashkëlidhur këtij vendimi.</w:t>
      </w:r>
    </w:p>
    <w:p w:rsidR="00ED3C64" w:rsidRPr="00E00CAD" w:rsidRDefault="00ED3C64" w:rsidP="00ED3C64">
      <w:pPr>
        <w:pStyle w:val="Paragrafi"/>
        <w:rPr>
          <w:spacing w:val="-4"/>
          <w:lang w:val="sq-AL"/>
        </w:rPr>
      </w:pPr>
      <w:r w:rsidRPr="00E00CAD">
        <w:rPr>
          <w:spacing w:val="-4"/>
          <w:lang w:val="sq-AL"/>
        </w:rPr>
        <w:t>20. Objektivat afatgjatë për ozonin</w:t>
      </w:r>
    </w:p>
    <w:p w:rsidR="00ED3C64" w:rsidRPr="00E00CAD" w:rsidRDefault="00ED3C64" w:rsidP="00ED3C64">
      <w:pPr>
        <w:pStyle w:val="Paragrafi"/>
        <w:rPr>
          <w:spacing w:val="-4"/>
          <w:lang w:val="sq-AL"/>
        </w:rPr>
      </w:pPr>
      <w:r w:rsidRPr="00E00CAD">
        <w:rPr>
          <w:spacing w:val="-4"/>
          <w:lang w:val="sq-AL"/>
        </w:rPr>
        <w:t>20.1 Ministria, ministritë e linjës sipas rastit dhe njësitë e qeverisjes vendore, duke vepruar sipas kompetencave që kanë për fushat që ato mbulojnë,:</w:t>
      </w:r>
    </w:p>
    <w:p w:rsidR="00ED3C64" w:rsidRPr="00E00CAD" w:rsidRDefault="00ED3C64" w:rsidP="00ED3C64">
      <w:pPr>
        <w:pStyle w:val="Paragrafi"/>
        <w:rPr>
          <w:spacing w:val="-4"/>
          <w:lang w:val="sq-AL"/>
        </w:rPr>
      </w:pPr>
      <w:r w:rsidRPr="00E00CAD">
        <w:rPr>
          <w:spacing w:val="-4"/>
          <w:lang w:val="sq-AL"/>
        </w:rPr>
        <w:t xml:space="preserve"> a) marrin të gjitha masat e nevojshme pa kosto joproporcionale për të siguruar arritjen e vlerave të synuara dhe objektivave afatgjatë për ozonin, përcaktuar në aneksin VII, bashkëlidhur këtij vendimi;  </w:t>
      </w:r>
    </w:p>
    <w:p w:rsidR="00ED3C64" w:rsidRPr="00E00CAD" w:rsidRDefault="00ED3C64" w:rsidP="00ED3C64">
      <w:pPr>
        <w:pStyle w:val="Paragrafi"/>
        <w:rPr>
          <w:spacing w:val="-4"/>
          <w:lang w:val="sq-AL"/>
        </w:rPr>
      </w:pPr>
      <w:r w:rsidRPr="00E00CAD">
        <w:rPr>
          <w:spacing w:val="-4"/>
          <w:lang w:val="sq-AL"/>
        </w:rPr>
        <w:t xml:space="preserve">b) për ato zona dhe aglomerate, ku vlera e synuar, referuar në shkronjën “a”, të kësaj pike, është kapërcyer, sigurojnë që programi përkatës për tavanet kombëtare të shkarkimeve dhe, në qoftë se është e përshtatshme, plani i menaxhimit të cilësisë së ajrit për arritjen e kësaj vlere të synuar të zbatohet për aq sa kjo vlerë e synuar është e arritshme nëpërmjet masave pa kosto joproporcionale duke filluar nga data e përcaktuar në seksionin B, të aneksit VII, bashkëlidhur këtij vendimi;   </w:t>
      </w:r>
    </w:p>
    <w:p w:rsidR="00ED3C64" w:rsidRPr="00E00CAD" w:rsidRDefault="00ED3C64" w:rsidP="00ED3C64">
      <w:pPr>
        <w:pStyle w:val="Paragrafi"/>
        <w:rPr>
          <w:spacing w:val="-4"/>
          <w:lang w:val="sq-AL"/>
        </w:rPr>
      </w:pPr>
      <w:r w:rsidRPr="00E00CAD">
        <w:rPr>
          <w:spacing w:val="-4"/>
          <w:lang w:val="sq-AL"/>
        </w:rPr>
        <w:t>c) për ato zona ose aglomerate, ku nivelet e ozonit në ajrin e mjedisit janë më poshtë ose të barabarta me vlerat e synuara, por më lart se objektivat afatgjatë, përgatitin dhe zbatojnë masa me kosto efektive me qëllim arritjen e këtyre objektivave afatgjatë. Masa të tilla duhet, të paktën, të jenë në harmoni me programin dhe të gjitha planet për cilësinë e ajrit të referuara në shkronjën “b”, të kësaj pike;</w:t>
      </w:r>
    </w:p>
    <w:p w:rsidR="00ED3C64" w:rsidRPr="00E00CAD" w:rsidRDefault="00ED3C64" w:rsidP="00ED3C64">
      <w:pPr>
        <w:pStyle w:val="Paragrafi"/>
        <w:rPr>
          <w:spacing w:val="-4"/>
          <w:lang w:val="sq-AL"/>
        </w:rPr>
      </w:pPr>
      <w:r w:rsidRPr="00E00CAD">
        <w:rPr>
          <w:spacing w:val="-4"/>
          <w:lang w:val="sq-AL"/>
        </w:rPr>
        <w:t>ç)</w:t>
      </w:r>
      <w:r w:rsidRPr="00E00CAD">
        <w:rPr>
          <w:spacing w:val="-4"/>
          <w:lang w:val="sq-AL"/>
        </w:rPr>
        <w:tab/>
        <w:t xml:space="preserve"> për ato zona dhe aglomerate, ku nivelet e ozonit arrijnë objektivat afatgjatë, marrin masat e nevojshme proporcionale:</w:t>
      </w:r>
    </w:p>
    <w:p w:rsidR="00ED3C64" w:rsidRPr="00E00CAD" w:rsidRDefault="00ED3C64" w:rsidP="00ED3C64">
      <w:pPr>
        <w:pStyle w:val="Paragrafi"/>
        <w:rPr>
          <w:spacing w:val="-4"/>
          <w:lang w:val="sq-AL"/>
        </w:rPr>
      </w:pPr>
      <w:r w:rsidRPr="00E00CAD">
        <w:rPr>
          <w:spacing w:val="-4"/>
          <w:lang w:val="sq-AL"/>
        </w:rPr>
        <w:t>i) për të mbajtur nivelet nën objektivat afatgjatë, për aq sa e lejojnë faktorët, përfshirë natyrën ndërkufitare të ndotjes së ozonit dhe kushtet meteorologjike;</w:t>
      </w:r>
    </w:p>
    <w:p w:rsidR="00ED3C64" w:rsidRPr="00E00CAD" w:rsidRDefault="00ED3C64" w:rsidP="00ED3C64">
      <w:pPr>
        <w:pStyle w:val="Paragrafi"/>
        <w:rPr>
          <w:spacing w:val="-4"/>
          <w:lang w:val="sq-AL"/>
        </w:rPr>
      </w:pPr>
      <w:r w:rsidRPr="00E00CAD">
        <w:rPr>
          <w:spacing w:val="-4"/>
          <w:lang w:val="sq-AL"/>
        </w:rPr>
        <w:t>ii) për të ruajtur cilësinë më të mirë të ajrit të mjedisit, në përputhshmëri me zhvillimin e qëndrueshëm dhe nivelin e lartë të mbrojtjes së mjedisit dhe shëndetit publik.</w:t>
      </w:r>
    </w:p>
    <w:p w:rsidR="00ED3C64" w:rsidRPr="00E00CAD" w:rsidRDefault="00ED3C64" w:rsidP="00ED3C64">
      <w:pPr>
        <w:pStyle w:val="Paragrafi"/>
        <w:rPr>
          <w:spacing w:val="-4"/>
          <w:lang w:val="sq-AL"/>
        </w:rPr>
      </w:pPr>
      <w:r w:rsidRPr="00E00CAD">
        <w:rPr>
          <w:spacing w:val="-4"/>
          <w:lang w:val="sq-AL"/>
        </w:rPr>
        <w:t>21. Pragjet e informimit dhe të alarmit</w:t>
      </w:r>
    </w:p>
    <w:p w:rsidR="00ED3C64" w:rsidRPr="00E00CAD" w:rsidRDefault="00ED3C64" w:rsidP="00ED3C64">
      <w:pPr>
        <w:pStyle w:val="Paragrafi"/>
        <w:rPr>
          <w:spacing w:val="-4"/>
          <w:lang w:val="sq-AL"/>
        </w:rPr>
      </w:pPr>
      <w:r w:rsidRPr="00E00CAD">
        <w:rPr>
          <w:spacing w:val="-4"/>
          <w:lang w:val="sq-AL"/>
        </w:rPr>
        <w:t xml:space="preserve">21.1 AKM-ja, në çdo rast kur kapërcehet pragu i informimit apo ndonjë nga pragjet e alarmit që përcaktohen në aneksin </w:t>
      </w:r>
      <w:r>
        <w:rPr>
          <w:spacing w:val="-4"/>
          <w:lang w:val="sq-AL"/>
        </w:rPr>
        <w:t>XII, bashkëlidhur këtij vendimi</w:t>
      </w:r>
      <w:r w:rsidRPr="00E00CAD">
        <w:rPr>
          <w:spacing w:val="-4"/>
          <w:lang w:val="sq-AL"/>
        </w:rPr>
        <w:t>:</w:t>
      </w:r>
    </w:p>
    <w:p w:rsidR="00ED3C64" w:rsidRPr="00E00CAD" w:rsidRDefault="00ED3C64" w:rsidP="00ED3C64">
      <w:pPr>
        <w:pStyle w:val="Paragrafi"/>
        <w:rPr>
          <w:spacing w:val="-4"/>
          <w:lang w:val="sq-AL"/>
        </w:rPr>
      </w:pPr>
      <w:r w:rsidRPr="00E00CAD">
        <w:rPr>
          <w:spacing w:val="-4"/>
          <w:lang w:val="sq-AL"/>
        </w:rPr>
        <w:t>a) ndërmerr të gjithë hapat e nevojshëm për të informuar publikun përmes radios, TV-së, gazetave apo faqes së vet në internet;</w:t>
      </w:r>
    </w:p>
    <w:p w:rsidR="00ED3C64" w:rsidRPr="00E00CAD" w:rsidRDefault="00ED3C64" w:rsidP="00ED3C64">
      <w:pPr>
        <w:pStyle w:val="Paragrafi"/>
        <w:rPr>
          <w:spacing w:val="-4"/>
          <w:lang w:val="sq-AL"/>
        </w:rPr>
      </w:pPr>
      <w:r w:rsidRPr="00E00CAD">
        <w:rPr>
          <w:spacing w:val="-4"/>
          <w:lang w:val="sq-AL"/>
        </w:rPr>
        <w:t xml:space="preserve">b) njofton ministrinë për nivelet e regjistruara dhe kohëzgjatjen gjatë së cilës pragu i alarmit apo i informimit është kapërcyer.  </w:t>
      </w:r>
    </w:p>
    <w:p w:rsidR="00ED3C64" w:rsidRPr="00E00CAD" w:rsidRDefault="00ED3C64" w:rsidP="00ED3C64">
      <w:pPr>
        <w:pStyle w:val="Paragrafi"/>
        <w:rPr>
          <w:spacing w:val="-4"/>
          <w:lang w:val="sq-AL"/>
        </w:rPr>
      </w:pPr>
      <w:r w:rsidRPr="00E00CAD">
        <w:rPr>
          <w:spacing w:val="-4"/>
          <w:lang w:val="sq-AL"/>
        </w:rPr>
        <w:t>22. Kontributet nga burimet natyrore</w:t>
      </w:r>
    </w:p>
    <w:p w:rsidR="00ED3C64" w:rsidRPr="00E00CAD" w:rsidRDefault="00ED3C64" w:rsidP="00ED3C64">
      <w:pPr>
        <w:pStyle w:val="Paragrafi"/>
        <w:rPr>
          <w:spacing w:val="-4"/>
          <w:lang w:val="sq-AL"/>
        </w:rPr>
      </w:pPr>
      <w:r w:rsidRPr="00E00CAD">
        <w:rPr>
          <w:spacing w:val="-4"/>
          <w:lang w:val="sq-AL"/>
        </w:rPr>
        <w:t>22.1 AKM-ja duhet:</w:t>
      </w:r>
    </w:p>
    <w:p w:rsidR="00ED3C64" w:rsidRPr="00E00CAD" w:rsidRDefault="00ED3C64" w:rsidP="00ED3C64">
      <w:pPr>
        <w:pStyle w:val="Paragrafi"/>
        <w:rPr>
          <w:spacing w:val="-4"/>
          <w:lang w:val="sq-AL"/>
        </w:rPr>
      </w:pPr>
      <w:r w:rsidRPr="00E00CAD">
        <w:rPr>
          <w:spacing w:val="-4"/>
          <w:lang w:val="sq-AL"/>
        </w:rPr>
        <w:t xml:space="preserve"> a) të mbajë për çdo vit listën e zonave dhe aglomerateve, ku kapërcimet e vlerave limit për çdo ndotës, për të cilat zbatohet ky vendim, i atribuohen burimeve natyrore;  </w:t>
      </w:r>
    </w:p>
    <w:p w:rsidR="00ED3C64" w:rsidRPr="00E00CAD" w:rsidRDefault="00ED3C64" w:rsidP="00ED3C64">
      <w:pPr>
        <w:pStyle w:val="Paragrafi"/>
        <w:rPr>
          <w:spacing w:val="-4"/>
          <w:lang w:val="sq-AL"/>
        </w:rPr>
      </w:pPr>
      <w:r w:rsidRPr="00E00CAD">
        <w:rPr>
          <w:spacing w:val="-4"/>
          <w:lang w:val="sq-AL"/>
        </w:rPr>
        <w:t>b) të japë në këtë listë:</w:t>
      </w:r>
    </w:p>
    <w:p w:rsidR="00ED3C64" w:rsidRPr="00E00CAD" w:rsidRDefault="00ED3C64" w:rsidP="00ED3C64">
      <w:pPr>
        <w:pStyle w:val="Paragrafi"/>
        <w:rPr>
          <w:spacing w:val="-4"/>
          <w:lang w:val="sq-AL"/>
        </w:rPr>
      </w:pPr>
      <w:r w:rsidRPr="00E00CAD">
        <w:rPr>
          <w:spacing w:val="-4"/>
          <w:lang w:val="sq-AL"/>
        </w:rPr>
        <w:t xml:space="preserve">i) informacionin mbi përqendrimet dhe burimet e ndotësve të tillë; </w:t>
      </w:r>
    </w:p>
    <w:p w:rsidR="00ED3C64" w:rsidRDefault="00ED3C64" w:rsidP="00ED3C64">
      <w:pPr>
        <w:pStyle w:val="Paragrafi"/>
        <w:rPr>
          <w:spacing w:val="-4"/>
          <w:lang w:val="sq-AL"/>
        </w:rPr>
      </w:pPr>
      <w:r w:rsidRPr="00E00CAD">
        <w:rPr>
          <w:spacing w:val="-4"/>
          <w:lang w:val="sq-AL"/>
        </w:rPr>
        <w:t>ii) evidenca që demonstrojnë se kapërcime të tilla i atribuohen burimeve natyrore.</w:t>
      </w:r>
    </w:p>
    <w:p w:rsidR="00ED3C64" w:rsidRDefault="00ED3C64" w:rsidP="00ED3C64">
      <w:pPr>
        <w:pStyle w:val="Paragrafi"/>
        <w:rPr>
          <w:spacing w:val="-4"/>
          <w:lang w:val="sq-AL"/>
        </w:rPr>
      </w:pPr>
    </w:p>
    <w:p w:rsidR="00ED3C64" w:rsidRPr="00E00CAD" w:rsidRDefault="00ED3C64" w:rsidP="00ED3C64">
      <w:pPr>
        <w:pStyle w:val="Paragrafi"/>
        <w:rPr>
          <w:spacing w:val="-4"/>
          <w:lang w:val="sq-AL"/>
        </w:rPr>
      </w:pPr>
      <w:r w:rsidRPr="00E00CAD">
        <w:rPr>
          <w:spacing w:val="-4"/>
          <w:lang w:val="sq-AL"/>
        </w:rPr>
        <w:t>c) të publikojë këtë listë së bashku me informacionin referuar në shkronjën “b” dhe ta bëjë të disponueshëm për publikun.</w:t>
      </w:r>
    </w:p>
    <w:p w:rsidR="00ED3C64" w:rsidRPr="00E00CAD" w:rsidRDefault="00ED3C64" w:rsidP="00ED3C64">
      <w:pPr>
        <w:pStyle w:val="Paragrafi"/>
        <w:rPr>
          <w:spacing w:val="-4"/>
          <w:lang w:val="sq-AL"/>
        </w:rPr>
      </w:pPr>
      <w:r w:rsidRPr="00E00CAD">
        <w:rPr>
          <w:spacing w:val="-4"/>
          <w:lang w:val="sq-AL"/>
        </w:rPr>
        <w:t xml:space="preserve"> 22.2 Kapërcimi i vlerave limit që i atribuohen burimeve natyrore nuk konsiderohet si kapër</w:t>
      </w:r>
      <w:r>
        <w:rPr>
          <w:spacing w:val="-4"/>
          <w:lang w:val="sq-AL"/>
        </w:rPr>
        <w:t>cim në kuptimin e këtij vendimi.</w:t>
      </w:r>
    </w:p>
    <w:p w:rsidR="00ED3C64" w:rsidRPr="00E00CAD" w:rsidRDefault="00ED3C64" w:rsidP="00ED3C64">
      <w:pPr>
        <w:pStyle w:val="Paragrafi"/>
        <w:rPr>
          <w:spacing w:val="-4"/>
          <w:lang w:val="sq-AL"/>
        </w:rPr>
      </w:pPr>
      <w:r w:rsidRPr="00E00CAD">
        <w:rPr>
          <w:spacing w:val="-4"/>
          <w:lang w:val="sq-AL"/>
        </w:rPr>
        <w:t>22.3 Ministri miraton një udhëzim për demonstrimin dhe zbritjen e masës së kapërcimit që i atribuohet burimeve natyrore.</w:t>
      </w:r>
    </w:p>
    <w:p w:rsidR="00ED3C64" w:rsidRPr="00E00CAD" w:rsidRDefault="00ED3C64" w:rsidP="00ED3C64">
      <w:pPr>
        <w:pStyle w:val="Paragrafi"/>
        <w:rPr>
          <w:spacing w:val="-4"/>
          <w:lang w:val="sq-AL"/>
        </w:rPr>
      </w:pPr>
      <w:r w:rsidRPr="00E00CAD">
        <w:rPr>
          <w:spacing w:val="-4"/>
          <w:lang w:val="sq-AL"/>
        </w:rPr>
        <w:t>23. Kapërcimi për shkak të hedhjes së rërës ose kripës në rrugë gjatë dimrit</w:t>
      </w:r>
    </w:p>
    <w:p w:rsidR="00ED3C64" w:rsidRPr="00E00CAD" w:rsidRDefault="00ED3C64" w:rsidP="00ED3C64">
      <w:pPr>
        <w:pStyle w:val="Paragrafi"/>
        <w:rPr>
          <w:spacing w:val="-4"/>
          <w:lang w:val="sq-AL"/>
        </w:rPr>
      </w:pPr>
      <w:r w:rsidRPr="00E00CAD">
        <w:rPr>
          <w:spacing w:val="-4"/>
          <w:lang w:val="sq-AL"/>
        </w:rPr>
        <w:t>23.1 AKM-ja:</w:t>
      </w:r>
    </w:p>
    <w:p w:rsidR="00ED3C64" w:rsidRPr="00E00CAD" w:rsidRDefault="00ED3C64" w:rsidP="00ED3C64">
      <w:pPr>
        <w:pStyle w:val="Paragrafi"/>
        <w:rPr>
          <w:spacing w:val="-4"/>
          <w:lang w:val="sq-AL"/>
        </w:rPr>
      </w:pPr>
      <w:r w:rsidRPr="00E00CAD">
        <w:rPr>
          <w:spacing w:val="-4"/>
          <w:lang w:val="sq-AL"/>
        </w:rPr>
        <w:t>a) mund të përcaktojë zona dhe aglomerate, brenda të cilave vlerat kufi për PM</w:t>
      </w:r>
      <w:r w:rsidRPr="004255F4">
        <w:rPr>
          <w:spacing w:val="-4"/>
          <w:vertAlign w:val="subscript"/>
          <w:lang w:val="sq-AL"/>
        </w:rPr>
        <w:t>10</w:t>
      </w:r>
      <w:r w:rsidRPr="00E00CAD">
        <w:rPr>
          <w:spacing w:val="-4"/>
          <w:lang w:val="sq-AL"/>
        </w:rPr>
        <w:t xml:space="preserve"> në ajrin e mjedisit janë kapërcyer për shkak  ripezullimit të lëndës së ngurtë si pasojë e hedhjes së rërës ose kripës nëpër rrugë gjatë dimrit;</w:t>
      </w:r>
    </w:p>
    <w:p w:rsidR="00ED3C64" w:rsidRPr="00E00CAD" w:rsidRDefault="00ED3C64" w:rsidP="00ED3C64">
      <w:pPr>
        <w:pStyle w:val="Paragrafi"/>
        <w:rPr>
          <w:spacing w:val="-4"/>
          <w:lang w:val="sq-AL"/>
        </w:rPr>
      </w:pPr>
      <w:r w:rsidRPr="00E00CAD">
        <w:rPr>
          <w:spacing w:val="-4"/>
          <w:lang w:val="sq-AL"/>
        </w:rPr>
        <w:t xml:space="preserve">b) mban një listë të zonave dhe aglomerateve të përcaktuara në përputhje me shkronjën “a”;  </w:t>
      </w:r>
    </w:p>
    <w:p w:rsidR="00ED3C64" w:rsidRPr="00E00CAD" w:rsidRDefault="00ED3C64" w:rsidP="00ED3C64">
      <w:pPr>
        <w:pStyle w:val="Paragrafi"/>
        <w:rPr>
          <w:spacing w:val="-4"/>
          <w:lang w:val="sq-AL"/>
        </w:rPr>
      </w:pPr>
      <w:r w:rsidRPr="00E00CAD">
        <w:rPr>
          <w:spacing w:val="-4"/>
          <w:lang w:val="sq-AL"/>
        </w:rPr>
        <w:t>c) jep në listën referuar në shkronjën “b”:</w:t>
      </w:r>
    </w:p>
    <w:p w:rsidR="00ED3C64" w:rsidRPr="00E00CAD" w:rsidRDefault="00ED3C64" w:rsidP="00ED3C64">
      <w:pPr>
        <w:pStyle w:val="Paragrafi"/>
        <w:rPr>
          <w:spacing w:val="-4"/>
          <w:lang w:val="sq-AL"/>
        </w:rPr>
      </w:pPr>
      <w:r w:rsidRPr="00E00CAD">
        <w:rPr>
          <w:spacing w:val="-4"/>
          <w:lang w:val="sq-AL"/>
        </w:rPr>
        <w:lastRenderedPageBreak/>
        <w:t>i) informacion mbi përqendrimet dhe burimet e PM</w:t>
      </w:r>
      <w:r w:rsidRPr="004255F4">
        <w:rPr>
          <w:spacing w:val="-4"/>
          <w:vertAlign w:val="subscript"/>
          <w:lang w:val="sq-AL"/>
        </w:rPr>
        <w:t>10</w:t>
      </w:r>
      <w:r w:rsidRPr="00E00CAD">
        <w:rPr>
          <w:spacing w:val="-4"/>
          <w:lang w:val="sq-AL"/>
        </w:rPr>
        <w:t xml:space="preserve"> në të; </w:t>
      </w:r>
    </w:p>
    <w:p w:rsidR="00ED3C64" w:rsidRPr="00E00CAD" w:rsidRDefault="00ED3C64" w:rsidP="00ED3C64">
      <w:pPr>
        <w:pStyle w:val="Paragrafi"/>
        <w:rPr>
          <w:spacing w:val="-4"/>
          <w:lang w:val="sq-AL"/>
        </w:rPr>
      </w:pPr>
      <w:r w:rsidRPr="00E00CAD">
        <w:rPr>
          <w:spacing w:val="-4"/>
          <w:lang w:val="sq-AL"/>
        </w:rPr>
        <w:t xml:space="preserve">ii) provat e nevojshme për të demonstruar që çdo kapërcim është për shkak të ripezullimit të lëndës së ngurtë; </w:t>
      </w:r>
    </w:p>
    <w:p w:rsidR="00ED3C64" w:rsidRPr="00E00CAD" w:rsidRDefault="00ED3C64" w:rsidP="00ED3C64">
      <w:pPr>
        <w:pStyle w:val="Paragrafi"/>
        <w:rPr>
          <w:spacing w:val="-4"/>
          <w:lang w:val="sq-AL"/>
        </w:rPr>
      </w:pPr>
      <w:r w:rsidRPr="00E00CAD">
        <w:rPr>
          <w:spacing w:val="-4"/>
          <w:lang w:val="sq-AL"/>
        </w:rPr>
        <w:t xml:space="preserve">iii) informacion se të gjitha masat e arsyeshme janë marrë për të ulur përqendrimet. </w:t>
      </w:r>
    </w:p>
    <w:p w:rsidR="00ED3C64" w:rsidRPr="00E00CAD" w:rsidRDefault="00ED3C64" w:rsidP="00ED3C64">
      <w:pPr>
        <w:pStyle w:val="Paragrafi"/>
        <w:rPr>
          <w:spacing w:val="-4"/>
          <w:lang w:val="sq-AL"/>
        </w:rPr>
      </w:pPr>
      <w:r w:rsidRPr="00E00CAD">
        <w:rPr>
          <w:spacing w:val="-4"/>
          <w:lang w:val="sq-AL"/>
        </w:rPr>
        <w:t>ç) publikon dhe e bën të disponueshme për publikun listën referuar në shkronjën “b” dhe informacionin referuar në shkronjën “c”, të kësaj pike.</w:t>
      </w:r>
    </w:p>
    <w:p w:rsidR="00ED3C64" w:rsidRPr="00E00CAD" w:rsidRDefault="00ED3C64" w:rsidP="00ED3C64">
      <w:pPr>
        <w:pStyle w:val="Paragrafi"/>
        <w:rPr>
          <w:spacing w:val="-4"/>
          <w:lang w:val="sq-AL"/>
        </w:rPr>
      </w:pPr>
      <w:r w:rsidRPr="00E00CAD">
        <w:rPr>
          <w:spacing w:val="-4"/>
          <w:lang w:val="sq-AL"/>
        </w:rPr>
        <w:t>23.2 Ministri miraton një udhëzim për përcakti</w:t>
      </w:r>
      <w:r>
        <w:rPr>
          <w:spacing w:val="-4"/>
          <w:lang w:val="sq-AL"/>
        </w:rPr>
        <w:t>min e kontributit nga</w:t>
      </w:r>
      <w:r w:rsidRPr="00E00CAD">
        <w:rPr>
          <w:spacing w:val="-4"/>
          <w:lang w:val="sq-AL"/>
        </w:rPr>
        <w:t xml:space="preserve"> ripezullimi i lëndës së ngurtë si rezultat i shtrimit të rrugëve me rërë ose kripë gjatë dimrit.</w:t>
      </w:r>
    </w:p>
    <w:p w:rsidR="00ED3C64" w:rsidRPr="00E00CAD" w:rsidRDefault="00ED3C64" w:rsidP="00ED3C64">
      <w:pPr>
        <w:pStyle w:val="Paragrafi"/>
        <w:rPr>
          <w:spacing w:val="-4"/>
          <w:lang w:val="sq-AL"/>
        </w:rPr>
      </w:pPr>
      <w:r w:rsidRPr="00E00CAD">
        <w:rPr>
          <w:spacing w:val="-4"/>
          <w:lang w:val="sq-AL"/>
        </w:rPr>
        <w:t>VII. PAKËSIMI I EKSPOZIMIT KOMBË</w:t>
      </w:r>
      <w:r>
        <w:rPr>
          <w:spacing w:val="-4"/>
          <w:lang w:val="sq-AL"/>
        </w:rPr>
        <w:t>-</w:t>
      </w:r>
      <w:r w:rsidRPr="00E00CAD">
        <w:rPr>
          <w:spacing w:val="-4"/>
          <w:lang w:val="sq-AL"/>
        </w:rPr>
        <w:t>TAR NDAJ PM</w:t>
      </w:r>
      <w:r w:rsidRPr="000D0CC0">
        <w:rPr>
          <w:spacing w:val="-4"/>
          <w:vertAlign w:val="subscript"/>
          <w:lang w:val="sq-AL"/>
        </w:rPr>
        <w:t>2,5</w:t>
      </w:r>
      <w:r w:rsidRPr="00E00CAD">
        <w:rPr>
          <w:spacing w:val="-4"/>
          <w:lang w:val="sq-AL"/>
        </w:rPr>
        <w:t xml:space="preserve"> PËR MBROJTJEN E SHËNDETIT</w:t>
      </w:r>
    </w:p>
    <w:p w:rsidR="00ED3C64" w:rsidRPr="00E00CAD" w:rsidRDefault="00ED3C64" w:rsidP="00ED3C64">
      <w:pPr>
        <w:pStyle w:val="Paragrafi"/>
        <w:rPr>
          <w:spacing w:val="-4"/>
          <w:lang w:val="sq-AL"/>
        </w:rPr>
      </w:pPr>
      <w:r w:rsidRPr="00E00CAD">
        <w:rPr>
          <w:spacing w:val="-4"/>
          <w:lang w:val="sq-AL"/>
        </w:rPr>
        <w:t>24. Treguesi i ekspozimit mesatar ndaj PM</w:t>
      </w:r>
      <w:r>
        <w:rPr>
          <w:spacing w:val="-4"/>
          <w:lang w:val="sq-AL"/>
        </w:rPr>
        <w:t xml:space="preserve"> </w:t>
      </w:r>
      <w:r w:rsidRPr="000D0CC0">
        <w:rPr>
          <w:spacing w:val="-4"/>
          <w:vertAlign w:val="subscript"/>
          <w:lang w:val="sq-AL"/>
        </w:rPr>
        <w:t>2,5</w:t>
      </w:r>
    </w:p>
    <w:p w:rsidR="00ED3C64" w:rsidRDefault="00ED3C64" w:rsidP="00ED3C64">
      <w:pPr>
        <w:pStyle w:val="Paragrafi"/>
        <w:rPr>
          <w:spacing w:val="-4"/>
          <w:lang w:val="sq-AL"/>
        </w:rPr>
      </w:pPr>
      <w:r w:rsidRPr="00E00CAD">
        <w:rPr>
          <w:spacing w:val="-4"/>
          <w:lang w:val="sq-AL"/>
        </w:rPr>
        <w:t>24.1 AKM-ja:</w:t>
      </w:r>
    </w:p>
    <w:p w:rsidR="00ED3C64" w:rsidRPr="00E00CAD" w:rsidRDefault="00ED3C64" w:rsidP="00ED3C64">
      <w:pPr>
        <w:pStyle w:val="Paragrafi"/>
        <w:rPr>
          <w:spacing w:val="-4"/>
          <w:lang w:val="sq-AL"/>
        </w:rPr>
      </w:pPr>
      <w:r w:rsidRPr="00E00CAD">
        <w:rPr>
          <w:spacing w:val="-4"/>
          <w:lang w:val="sq-AL"/>
        </w:rPr>
        <w:t>a) llogarit treguesin e ekspozimit mesatar ndaj PM</w:t>
      </w:r>
      <w:r w:rsidRPr="004255F4">
        <w:rPr>
          <w:spacing w:val="-4"/>
          <w:vertAlign w:val="subscript"/>
          <w:lang w:val="sq-AL"/>
        </w:rPr>
        <w:t>2,5</w:t>
      </w:r>
      <w:r w:rsidRPr="00E00CAD">
        <w:rPr>
          <w:spacing w:val="-4"/>
          <w:lang w:val="sq-AL"/>
        </w:rPr>
        <w:t xml:space="preserve"> për Republikën e Shqipërisë në përputhje me përcaktimin e seksionit A, të aneksit XIV, bashkëlidhur këtij vendimi; </w:t>
      </w:r>
    </w:p>
    <w:p w:rsidR="00ED3C64" w:rsidRPr="00E00CAD" w:rsidRDefault="00ED3C64" w:rsidP="00ED3C64">
      <w:pPr>
        <w:pStyle w:val="Paragrafi"/>
        <w:rPr>
          <w:spacing w:val="-4"/>
          <w:lang w:val="sq-AL"/>
        </w:rPr>
      </w:pPr>
      <w:r w:rsidRPr="00E00CAD">
        <w:rPr>
          <w:spacing w:val="-4"/>
          <w:lang w:val="sq-AL"/>
        </w:rPr>
        <w:t>b) siguron, në përputhje me aneksin III, bashkëlidhur këtij vendimi, që shpërndarja dhe numri i pikave të marrjes së mostrave në të cilat është mbështetur treguesi i ekspozimit mesatar ndaj PM</w:t>
      </w:r>
      <w:r w:rsidRPr="000D0CC0">
        <w:rPr>
          <w:spacing w:val="-4"/>
          <w:vertAlign w:val="subscript"/>
          <w:lang w:val="sq-AL"/>
        </w:rPr>
        <w:t>2,5</w:t>
      </w:r>
      <w:r w:rsidRPr="00E00CAD">
        <w:rPr>
          <w:spacing w:val="-4"/>
          <w:lang w:val="sq-AL"/>
        </w:rPr>
        <w:t xml:space="preserve"> reflekton ekspozimin e popullsisë së përgjithshme;  </w:t>
      </w:r>
    </w:p>
    <w:p w:rsidR="00ED3C64" w:rsidRPr="00E00CAD" w:rsidRDefault="00ED3C64" w:rsidP="00ED3C64">
      <w:pPr>
        <w:pStyle w:val="Paragrafi"/>
        <w:rPr>
          <w:spacing w:val="-4"/>
          <w:lang w:val="sq-AL"/>
        </w:rPr>
      </w:pPr>
      <w:r w:rsidRPr="00E00CAD">
        <w:rPr>
          <w:spacing w:val="-4"/>
          <w:lang w:val="sq-AL"/>
        </w:rPr>
        <w:t xml:space="preserve">c) siguron që më 1 janar 2019 numri i pikave të marrjes së mostrave referuar në shkronjën “b” nuk duhet të jetë më i vogël se ai i përcaktuar nga zbatimi i seksionit B, të aneksit V, bashkëlidhur këtij vendimi.  </w:t>
      </w:r>
    </w:p>
    <w:p w:rsidR="00ED3C64" w:rsidRPr="000D0CC0" w:rsidRDefault="00ED3C64" w:rsidP="00ED3C64">
      <w:pPr>
        <w:pStyle w:val="Paragrafi"/>
        <w:rPr>
          <w:spacing w:val="-4"/>
          <w:vertAlign w:val="subscript"/>
          <w:lang w:val="sq-AL"/>
        </w:rPr>
      </w:pPr>
      <w:r w:rsidRPr="00E00CAD">
        <w:rPr>
          <w:spacing w:val="-4"/>
          <w:lang w:val="sq-AL"/>
        </w:rPr>
        <w:t>25. Synimi për pakësimin e ekspozimit kombëtar ndaj PM</w:t>
      </w:r>
      <w:r>
        <w:rPr>
          <w:spacing w:val="-4"/>
          <w:lang w:val="sq-AL"/>
        </w:rPr>
        <w:t xml:space="preserve"> </w:t>
      </w:r>
      <w:r w:rsidRPr="000D0CC0">
        <w:rPr>
          <w:spacing w:val="-4"/>
          <w:vertAlign w:val="subscript"/>
          <w:lang w:val="sq-AL"/>
        </w:rPr>
        <w:t>2,5</w:t>
      </w:r>
    </w:p>
    <w:p w:rsidR="00ED3C64" w:rsidRPr="00E00CAD" w:rsidRDefault="00ED3C64" w:rsidP="00ED3C64">
      <w:pPr>
        <w:pStyle w:val="Paragrafi"/>
        <w:rPr>
          <w:spacing w:val="-4"/>
          <w:lang w:val="sq-AL"/>
        </w:rPr>
      </w:pPr>
      <w:r w:rsidRPr="00E00CAD">
        <w:rPr>
          <w:spacing w:val="-4"/>
          <w:lang w:val="sq-AL"/>
        </w:rPr>
        <w:t xml:space="preserve">25.1 Synimi për pakësimin e ekspozimit kombëtar për Republikën e Shqipërisë përcaktohet në përputhje me seksionin B, të aneksit XIV, bashkëlidhur këtij vendimi. </w:t>
      </w:r>
    </w:p>
    <w:p w:rsidR="00ED3C64" w:rsidRPr="00E00CAD" w:rsidRDefault="00ED3C64" w:rsidP="00ED3C64">
      <w:pPr>
        <w:pStyle w:val="Paragrafi"/>
        <w:rPr>
          <w:spacing w:val="-4"/>
          <w:lang w:val="sq-AL"/>
        </w:rPr>
      </w:pPr>
      <w:r w:rsidRPr="00E00CAD">
        <w:rPr>
          <w:spacing w:val="-4"/>
          <w:lang w:val="sq-AL"/>
        </w:rPr>
        <w:t>26. Kufizimi i ekspozimit ndaj PM</w:t>
      </w:r>
      <w:r>
        <w:rPr>
          <w:spacing w:val="-4"/>
          <w:lang w:val="sq-AL"/>
        </w:rPr>
        <w:t xml:space="preserve"> </w:t>
      </w:r>
      <w:r w:rsidRPr="000D0CC0">
        <w:rPr>
          <w:spacing w:val="-4"/>
          <w:vertAlign w:val="subscript"/>
          <w:lang w:val="sq-AL"/>
        </w:rPr>
        <w:t>2,5</w:t>
      </w:r>
      <w:r w:rsidRPr="00E00CAD">
        <w:rPr>
          <w:spacing w:val="-4"/>
          <w:lang w:val="sq-AL"/>
        </w:rPr>
        <w:t xml:space="preserve">    </w:t>
      </w:r>
    </w:p>
    <w:p w:rsidR="00ED3C64" w:rsidRPr="00E00CAD" w:rsidRDefault="00ED3C64" w:rsidP="00ED3C64">
      <w:pPr>
        <w:pStyle w:val="Paragrafi"/>
        <w:rPr>
          <w:spacing w:val="-4"/>
          <w:lang w:val="sq-AL"/>
        </w:rPr>
      </w:pPr>
      <w:r w:rsidRPr="00E00CAD">
        <w:rPr>
          <w:spacing w:val="-4"/>
          <w:lang w:val="sq-AL"/>
        </w:rPr>
        <w:t>26.1 Ministria, ministritë e linjës sipas rastit dhe njësitë e qeverisjes vendore, duke vepruar sipas fushave që ato mbulojnë, marrin të gjitha masat e nevojshme dhe pa kosto të tepruara për të siguruar:</w:t>
      </w:r>
    </w:p>
    <w:p w:rsidR="00ED3C64" w:rsidRPr="00E00CAD" w:rsidRDefault="00ED3C64" w:rsidP="00ED3C64">
      <w:pPr>
        <w:pStyle w:val="Paragrafi"/>
        <w:rPr>
          <w:spacing w:val="-4"/>
          <w:lang w:val="sq-AL"/>
        </w:rPr>
      </w:pPr>
      <w:r w:rsidRPr="00E00CAD">
        <w:rPr>
          <w:spacing w:val="-4"/>
          <w:lang w:val="sq-AL"/>
        </w:rPr>
        <w:t xml:space="preserve">a) arritjen e synimit për pakësimin e ekspozimit kombëtar në 2030;  </w:t>
      </w:r>
    </w:p>
    <w:p w:rsidR="00ED3C64" w:rsidRPr="00E00CAD" w:rsidRDefault="00ED3C64" w:rsidP="00ED3C64">
      <w:pPr>
        <w:pStyle w:val="Paragrafi"/>
        <w:rPr>
          <w:spacing w:val="-4"/>
          <w:lang w:val="sq-AL"/>
        </w:rPr>
      </w:pPr>
      <w:r w:rsidRPr="00E00CAD">
        <w:rPr>
          <w:spacing w:val="-4"/>
          <w:lang w:val="sq-AL"/>
        </w:rPr>
        <w:t>b) që përqendrimi i PM</w:t>
      </w:r>
      <w:r>
        <w:rPr>
          <w:spacing w:val="-4"/>
          <w:lang w:val="sq-AL"/>
        </w:rPr>
        <w:t xml:space="preserve"> </w:t>
      </w:r>
      <w:r w:rsidRPr="000D0CC0">
        <w:rPr>
          <w:spacing w:val="-4"/>
          <w:vertAlign w:val="subscript"/>
          <w:lang w:val="sq-AL"/>
        </w:rPr>
        <w:t>2,5</w:t>
      </w:r>
      <w:r w:rsidRPr="00E00CAD">
        <w:rPr>
          <w:spacing w:val="-4"/>
          <w:lang w:val="sq-AL"/>
        </w:rPr>
        <w:t xml:space="preserve"> në ajrin e mjedisit të mos kapërcejë vlerën e synuar të përcaktuar në seksionin D, të aneksit XIV, bashkëlidhur këtij vendimi, nga data e përcaktuar në këtë seksion.  </w:t>
      </w:r>
    </w:p>
    <w:p w:rsidR="00ED3C64" w:rsidRPr="00E00CAD" w:rsidRDefault="00ED3C64" w:rsidP="00ED3C64">
      <w:pPr>
        <w:pStyle w:val="Paragrafi"/>
        <w:rPr>
          <w:spacing w:val="-4"/>
          <w:lang w:val="sq-AL"/>
        </w:rPr>
      </w:pPr>
      <w:r w:rsidRPr="00E00CAD">
        <w:rPr>
          <w:spacing w:val="-4"/>
          <w:lang w:val="sq-AL"/>
        </w:rPr>
        <w:t>26.2 Ministria, ministritë e linjës sipas rastit dhe njësitë e qeverisjes vendore, duke vepruar sipas fushës që ata mbulojnë, marrin të gjitha masat e nevojshme për të siguruar që:</w:t>
      </w:r>
    </w:p>
    <w:p w:rsidR="00ED3C64" w:rsidRPr="00E00CAD" w:rsidRDefault="00ED3C64" w:rsidP="00ED3C64">
      <w:pPr>
        <w:pStyle w:val="Paragrafi"/>
        <w:rPr>
          <w:spacing w:val="-4"/>
          <w:lang w:val="sq-AL"/>
        </w:rPr>
      </w:pPr>
      <w:r w:rsidRPr="00E00CAD">
        <w:rPr>
          <w:spacing w:val="-4"/>
          <w:lang w:val="sq-AL"/>
        </w:rPr>
        <w:t>a) treguesi i ekspozimit mesatar ndaj PM</w:t>
      </w:r>
      <w:r>
        <w:rPr>
          <w:spacing w:val="-4"/>
          <w:lang w:val="sq-AL"/>
        </w:rPr>
        <w:t xml:space="preserve"> </w:t>
      </w:r>
      <w:r w:rsidRPr="000D0CC0">
        <w:rPr>
          <w:spacing w:val="-4"/>
          <w:vertAlign w:val="subscript"/>
          <w:lang w:val="sq-AL"/>
        </w:rPr>
        <w:t>2,5</w:t>
      </w:r>
      <w:r w:rsidRPr="00E00CAD">
        <w:rPr>
          <w:spacing w:val="-4"/>
          <w:lang w:val="sq-AL"/>
        </w:rPr>
        <w:t xml:space="preserve"> për vitin 2025 të mos kapërcejë detyrimin për ekspozimin e përqendruar, të përcaktuar në seksionin C, të aneksit XIV, bashkëlidhur këtij vendimi;  </w:t>
      </w:r>
    </w:p>
    <w:p w:rsidR="00ED3C64" w:rsidRPr="00E00CAD" w:rsidRDefault="00ED3C64" w:rsidP="00ED3C64">
      <w:pPr>
        <w:pStyle w:val="Paragrafi"/>
        <w:rPr>
          <w:spacing w:val="-4"/>
          <w:lang w:val="sq-AL"/>
        </w:rPr>
      </w:pPr>
      <w:r w:rsidRPr="00E00CAD">
        <w:rPr>
          <w:spacing w:val="-4"/>
          <w:lang w:val="sq-AL"/>
        </w:rPr>
        <w:t>b) përqendrimet e PM</w:t>
      </w:r>
      <w:r>
        <w:rPr>
          <w:spacing w:val="-4"/>
          <w:lang w:val="sq-AL"/>
        </w:rPr>
        <w:t xml:space="preserve"> </w:t>
      </w:r>
      <w:r w:rsidRPr="000D0CC0">
        <w:rPr>
          <w:spacing w:val="-4"/>
          <w:vertAlign w:val="subscript"/>
          <w:lang w:val="sq-AL"/>
        </w:rPr>
        <w:t>2,5</w:t>
      </w:r>
      <w:r w:rsidRPr="00E00CAD">
        <w:rPr>
          <w:spacing w:val="-4"/>
          <w:lang w:val="sq-AL"/>
        </w:rPr>
        <w:t xml:space="preserve"> në ajrin e mjedisit të mos kapërcejnë vlerën kufi të përcaktuar në seksionin E, të aneksit XIV, bashkëlidhur këtij vendimi, gjatë të gjitha zonave dhe aglomerateve nga data e përcaktuar në këtë seksion.  </w:t>
      </w:r>
    </w:p>
    <w:p w:rsidR="00ED3C64" w:rsidRPr="00E00CAD" w:rsidRDefault="00ED3C64" w:rsidP="00ED3C64">
      <w:pPr>
        <w:pStyle w:val="Paragrafi"/>
        <w:rPr>
          <w:spacing w:val="-4"/>
          <w:lang w:val="sq-AL"/>
        </w:rPr>
      </w:pPr>
      <w:r w:rsidRPr="00E00CAD">
        <w:rPr>
          <w:spacing w:val="-4"/>
          <w:lang w:val="sq-AL"/>
        </w:rPr>
        <w:t xml:space="preserve">26.3 Ministria vlerëson përputhshmërinë me kërkesat e përcaktuara në shkronjën “b”, të pikës 26.2, në përputhje me aneksin III, bashkëlidhur këtij vendimi.  </w:t>
      </w:r>
    </w:p>
    <w:p w:rsidR="00ED3C64" w:rsidRPr="00E00CAD" w:rsidRDefault="00ED3C64" w:rsidP="00ED3C64">
      <w:pPr>
        <w:pStyle w:val="Paragrafi"/>
        <w:rPr>
          <w:spacing w:val="-4"/>
          <w:lang w:val="sq-AL"/>
        </w:rPr>
      </w:pPr>
      <w:r w:rsidRPr="00E00CAD">
        <w:rPr>
          <w:spacing w:val="-4"/>
          <w:lang w:val="sq-AL"/>
        </w:rPr>
        <w:t xml:space="preserve">26.4 Në planet e cilësisë së ajrit konsiderohen marzhet e tolerancës të përcaktuara në seksionin E, të aneksit XIV, bashkëlidhur këtij vendimi.  </w:t>
      </w:r>
    </w:p>
    <w:p w:rsidR="00ED3C64" w:rsidRPr="00E00CAD" w:rsidRDefault="00ED3C64" w:rsidP="00ED3C64">
      <w:pPr>
        <w:pStyle w:val="Paragrafi"/>
        <w:rPr>
          <w:spacing w:val="-4"/>
          <w:lang w:val="sq-AL"/>
        </w:rPr>
      </w:pPr>
      <w:r w:rsidRPr="00E00CAD">
        <w:rPr>
          <w:spacing w:val="-4"/>
          <w:lang w:val="sq-AL"/>
        </w:rPr>
        <w:t>VIII. SHTYRJA E AFATEVE PËR ARRITJEN E VLERAVE KUFI DHE PËRJASHTIMET NGA ZBATIMI I VLERAVE KUFI</w:t>
      </w:r>
    </w:p>
    <w:p w:rsidR="00ED3C64" w:rsidRPr="00E00CAD" w:rsidRDefault="00ED3C64" w:rsidP="00ED3C64">
      <w:pPr>
        <w:pStyle w:val="Paragrafi"/>
        <w:rPr>
          <w:spacing w:val="-4"/>
          <w:lang w:val="sq-AL"/>
        </w:rPr>
      </w:pPr>
      <w:r w:rsidRPr="00E00CAD">
        <w:rPr>
          <w:spacing w:val="-4"/>
          <w:lang w:val="sq-AL"/>
        </w:rPr>
        <w:t>27. Shtyrja e disa afateve</w:t>
      </w:r>
    </w:p>
    <w:p w:rsidR="00ED3C64" w:rsidRPr="00E00CAD" w:rsidRDefault="00ED3C64" w:rsidP="00ED3C64">
      <w:pPr>
        <w:pStyle w:val="Paragrafi"/>
        <w:rPr>
          <w:spacing w:val="-4"/>
          <w:lang w:val="sq-AL"/>
        </w:rPr>
      </w:pPr>
      <w:r w:rsidRPr="00E00CAD">
        <w:rPr>
          <w:spacing w:val="-4"/>
          <w:lang w:val="sq-AL"/>
        </w:rPr>
        <w:t>27.1 Ministri mund të shtyjë maksimalisht me 5 vjet afatet</w:t>
      </w:r>
      <w:r w:rsidRPr="00E00CAD" w:rsidDel="008E6010">
        <w:rPr>
          <w:spacing w:val="-4"/>
          <w:lang w:val="sq-AL"/>
        </w:rPr>
        <w:t xml:space="preserve"> </w:t>
      </w:r>
      <w:r w:rsidRPr="00E00CAD">
        <w:rPr>
          <w:spacing w:val="-4"/>
          <w:lang w:val="sq-AL"/>
        </w:rPr>
        <w:t>e përcaktuara në aneksin XI, bashkëlidhur këtij vendimi,</w:t>
      </w:r>
      <w:r w:rsidRPr="00E00CAD" w:rsidDel="008E6010">
        <w:rPr>
          <w:spacing w:val="-4"/>
          <w:lang w:val="sq-AL"/>
        </w:rPr>
        <w:t xml:space="preserve"> </w:t>
      </w:r>
      <w:r w:rsidRPr="00E00CAD">
        <w:rPr>
          <w:spacing w:val="-4"/>
          <w:lang w:val="sq-AL"/>
        </w:rPr>
        <w:t>për zonat apo aglomeratet, ku vlerat kufi për dyoksidin e azotit ose benzenin nuk mund të arrihen brenda këtyre afateve.</w:t>
      </w:r>
    </w:p>
    <w:p w:rsidR="00ED3C64" w:rsidRPr="00E00CAD" w:rsidRDefault="00ED3C64" w:rsidP="00ED3C64">
      <w:pPr>
        <w:pStyle w:val="Paragrafi"/>
        <w:rPr>
          <w:spacing w:val="-4"/>
          <w:lang w:val="sq-AL"/>
        </w:rPr>
      </w:pPr>
      <w:r w:rsidRPr="00E00CAD">
        <w:rPr>
          <w:spacing w:val="-4"/>
          <w:lang w:val="sq-AL"/>
        </w:rPr>
        <w:t xml:space="preserve">27.2 Bashkia, komunat/bashkitë, komunat përkatëse që mbulojnë zona dhe aglomerate, për të cilat afati është shtyrë në përputhje me pikën 27.1, përgatitin një plan të cilësisë së ajrit për atë zonë ose aglomerat i cili duhet të plotësohet me informacionin e listuar në aneksin XX, bashkëlidhur këtij vendimi, në lidhje me ndotësit përkatës. Ky plan duhet të demonstrojë se si do të arrihen vlerat kufi brenda afatit të ri. </w:t>
      </w:r>
    </w:p>
    <w:p w:rsidR="00ED3C64" w:rsidRPr="00E00CAD" w:rsidRDefault="00ED3C64" w:rsidP="00ED3C64">
      <w:pPr>
        <w:pStyle w:val="Paragrafi"/>
        <w:rPr>
          <w:spacing w:val="-4"/>
          <w:lang w:val="sq-AL"/>
        </w:rPr>
      </w:pPr>
      <w:r w:rsidRPr="00E00CAD">
        <w:rPr>
          <w:spacing w:val="-4"/>
          <w:lang w:val="sq-AL"/>
        </w:rPr>
        <w:t>27.3 Kur zbatohet pika 27.1, ministria, ministritë e linjës sipas rastit dhe njësitë e qeverisjes vendore, duke vepruar sipas kompetencave që kanë për fushat që ato mbulojnë, sigurojnë që vlera kufi për çdo ndotës nuk është kapërcyer më shumë se maksimumi i kufijve të tolerancës të përcaktuar në aneksin XI, bashkëlidhur këtij vendimi, për çdo ndotës përkatës.</w:t>
      </w:r>
    </w:p>
    <w:p w:rsidR="00ED3C64" w:rsidRPr="00E00CAD" w:rsidRDefault="00ED3C64" w:rsidP="00ED3C64">
      <w:pPr>
        <w:pStyle w:val="Paragrafi"/>
        <w:rPr>
          <w:spacing w:val="-4"/>
          <w:lang w:val="sq-AL"/>
        </w:rPr>
      </w:pPr>
      <w:r w:rsidRPr="00E00CAD">
        <w:rPr>
          <w:spacing w:val="-4"/>
          <w:lang w:val="sq-AL"/>
        </w:rPr>
        <w:t>28. Përjashtimet nga zbatimi i vlerave kufi</w:t>
      </w:r>
    </w:p>
    <w:p w:rsidR="00ED3C64" w:rsidRPr="00E00CAD" w:rsidRDefault="00ED3C64" w:rsidP="00ED3C64">
      <w:pPr>
        <w:pStyle w:val="Paragrafi"/>
        <w:rPr>
          <w:spacing w:val="-4"/>
          <w:lang w:val="sq-AL"/>
        </w:rPr>
      </w:pPr>
      <w:r w:rsidRPr="00E00CAD">
        <w:rPr>
          <w:spacing w:val="-4"/>
          <w:lang w:val="sq-AL"/>
        </w:rPr>
        <w:t>28.1 Zonat ose aglomeratet, ku përputhshmëria me vlerat kufi të PM</w:t>
      </w:r>
      <w:r>
        <w:rPr>
          <w:spacing w:val="-4"/>
          <w:lang w:val="sq-AL"/>
        </w:rPr>
        <w:t xml:space="preserve"> </w:t>
      </w:r>
      <w:r w:rsidRPr="000D0CC0">
        <w:rPr>
          <w:spacing w:val="-4"/>
          <w:vertAlign w:val="subscript"/>
          <w:lang w:val="sq-AL"/>
        </w:rPr>
        <w:t>10</w:t>
      </w:r>
      <w:r w:rsidRPr="00E00CAD">
        <w:rPr>
          <w:spacing w:val="-4"/>
          <w:lang w:val="sq-AL"/>
        </w:rPr>
        <w:t xml:space="preserve"> të përcaktuara në aneksin XI, bashkëlidhur këtij vendimi, nuk mund të arrihet për shkak të karakteristikave të veçanta të territorit lidhur </w:t>
      </w:r>
      <w:r w:rsidRPr="00E00CAD">
        <w:rPr>
          <w:spacing w:val="-4"/>
          <w:lang w:val="sq-AL"/>
        </w:rPr>
        <w:lastRenderedPageBreak/>
        <w:t xml:space="preserve">me përhapjen në ajër të kushteve të këqija klimatike apo të kontributeve ndërkufitare, përjashtohen deri më 11 qershor 2021 nga detyrimi për zbatimin e këtyre vlerave kufi.  </w:t>
      </w:r>
    </w:p>
    <w:p w:rsidR="00ED3C64" w:rsidRPr="00E00CAD" w:rsidRDefault="00ED3C64" w:rsidP="00ED3C64">
      <w:pPr>
        <w:pStyle w:val="Paragrafi"/>
        <w:rPr>
          <w:spacing w:val="-4"/>
          <w:lang w:val="sq-AL"/>
        </w:rPr>
      </w:pPr>
      <w:r w:rsidRPr="00E00CAD">
        <w:rPr>
          <w:spacing w:val="-4"/>
          <w:lang w:val="sq-AL"/>
        </w:rPr>
        <w:t>28.2 Kur një vlerë kufi është përjashtuar në përputhje me pikën 28.1, bashkia, komuna/t përkatës/e përgatitin një plan për cilësinë e ajrit për atë zonë ose aglomerat, i cili duhet të plotësohet nga informacioni i listuar në aneksin XX, bashkëlidhur këtij vendimi në lidhje me ndotësit përkatës, dhe të demonstrojë se si do të arrihen. Në planin e cilësisë së ajrit duhet të tregohet që të gjitha masat e përshtatshme janë marrë në nivel lokal, rajonal dhe kombëtar për të arritur këtë afat.</w:t>
      </w:r>
    </w:p>
    <w:p w:rsidR="00ED3C64" w:rsidRDefault="00ED3C64" w:rsidP="00ED3C64">
      <w:pPr>
        <w:pStyle w:val="Paragrafi"/>
        <w:rPr>
          <w:spacing w:val="-4"/>
          <w:lang w:val="sq-AL"/>
        </w:rPr>
      </w:pPr>
      <w:r w:rsidRPr="00E00CAD">
        <w:rPr>
          <w:spacing w:val="-4"/>
          <w:lang w:val="sq-AL"/>
        </w:rPr>
        <w:t>28.3 Kur zbatohet pika 28.1, ministria, ministritë e linjës dhe njësitë e qeverisjes vendore, sipas kompetencave që kanë për fushat që mbulojnë, sigurojnë që vlera kufi për çdo ndotës nuk është kapërcyer nga më shumë se maksimumi i kufijve të tolerancës të përcaktuar në aneksin XI, bashkëlidhur këtij vendimi, për çdo ndotës përkatës.</w:t>
      </w:r>
    </w:p>
    <w:p w:rsidR="00ED3C64" w:rsidRPr="00E00CAD" w:rsidRDefault="00ED3C64" w:rsidP="00ED3C64">
      <w:pPr>
        <w:pStyle w:val="Paragrafi"/>
        <w:rPr>
          <w:spacing w:val="-4"/>
          <w:lang w:val="sq-AL"/>
        </w:rPr>
      </w:pPr>
      <w:r w:rsidRPr="00E00CAD">
        <w:rPr>
          <w:spacing w:val="-4"/>
          <w:lang w:val="sq-AL"/>
        </w:rPr>
        <w:t>IX. DISPOZITA PËRFUNDIMTARE</w:t>
      </w:r>
    </w:p>
    <w:p w:rsidR="00ED3C64" w:rsidRPr="00E00CAD" w:rsidRDefault="00ED3C64" w:rsidP="00ED3C64">
      <w:pPr>
        <w:pStyle w:val="Paragrafi"/>
        <w:rPr>
          <w:spacing w:val="-4"/>
          <w:lang w:val="sq-AL"/>
        </w:rPr>
      </w:pPr>
      <w:r w:rsidRPr="00E00CAD">
        <w:rPr>
          <w:spacing w:val="-4"/>
          <w:lang w:val="sq-AL"/>
        </w:rPr>
        <w:t>29. Ngarkohen Ministria e Mjedisit, ministritë e linjës, Agjencia Kombëtare e Mjedisit dhe bashkitë për zbatimin e këtij vendimi.</w:t>
      </w:r>
    </w:p>
    <w:p w:rsidR="00ED3C64" w:rsidRPr="00E00CAD" w:rsidRDefault="00ED3C64" w:rsidP="00ED3C64">
      <w:pPr>
        <w:pStyle w:val="Paragrafi"/>
        <w:rPr>
          <w:spacing w:val="-4"/>
          <w:lang w:val="sq-AL"/>
        </w:rPr>
      </w:pPr>
      <w:r w:rsidRPr="00E00CAD">
        <w:rPr>
          <w:spacing w:val="-4"/>
          <w:lang w:val="sq-AL"/>
        </w:rPr>
        <w:t>Ky ven</w:t>
      </w:r>
      <w:r>
        <w:rPr>
          <w:spacing w:val="-4"/>
          <w:lang w:val="sq-AL"/>
        </w:rPr>
        <w:t xml:space="preserve">dim hyn në fuqi pas botimit në </w:t>
      </w:r>
      <w:r w:rsidRPr="00E00CAD">
        <w:rPr>
          <w:spacing w:val="-4"/>
          <w:lang w:val="sq-AL"/>
        </w:rPr>
        <w:t>Fletoren Zyrtare dhe i fillon efektet juridike më 1 korrik 2018.</w:t>
      </w:r>
    </w:p>
    <w:p w:rsidR="00ED3C64" w:rsidRPr="00E00CAD" w:rsidRDefault="00ED3C64" w:rsidP="00ED3C64">
      <w:pPr>
        <w:pStyle w:val="Paragrafi"/>
        <w:jc w:val="right"/>
        <w:rPr>
          <w:spacing w:val="-4"/>
          <w:lang w:val="sq-AL"/>
        </w:rPr>
      </w:pPr>
      <w:r w:rsidRPr="00E00CAD">
        <w:rPr>
          <w:spacing w:val="-4"/>
          <w:lang w:val="sq-AL"/>
        </w:rPr>
        <w:t>KRYEMINISTRI</w:t>
      </w:r>
    </w:p>
    <w:p w:rsidR="00ED3C64" w:rsidRDefault="00ED3C64" w:rsidP="00ED3C64">
      <w:pPr>
        <w:pStyle w:val="Paragrafi"/>
        <w:jc w:val="right"/>
        <w:rPr>
          <w:b/>
          <w:spacing w:val="-4"/>
          <w:lang w:val="sq-AL"/>
        </w:rPr>
      </w:pPr>
      <w:r w:rsidRPr="000D0CC0">
        <w:rPr>
          <w:b/>
          <w:spacing w:val="-4"/>
          <w:lang w:val="sq-AL"/>
        </w:rPr>
        <w:t>Edi Rama</w:t>
      </w:r>
    </w:p>
    <w:p w:rsidR="00ED3C64" w:rsidRDefault="00ED3C64" w:rsidP="00ED3C64">
      <w:pPr>
        <w:pStyle w:val="Paragrafi"/>
        <w:jc w:val="right"/>
        <w:rPr>
          <w:b/>
          <w:spacing w:val="-4"/>
          <w:lang w:val="sq-AL"/>
        </w:rPr>
      </w:pPr>
    </w:p>
    <w:p w:rsidR="00ED3C64" w:rsidRPr="00DC42C4" w:rsidRDefault="00ED3C64" w:rsidP="00ED3C64">
      <w:pPr>
        <w:pStyle w:val="Hapesira7"/>
        <w:rPr>
          <w:lang w:val="sq-AL"/>
        </w:rPr>
      </w:pPr>
    </w:p>
    <w:p w:rsidR="00ED3C64" w:rsidRDefault="00ED3C64" w:rsidP="00ED3C64">
      <w:pPr>
        <w:pStyle w:val="Paragrafi"/>
        <w:ind w:firstLine="0"/>
        <w:rPr>
          <w:lang w:val="sq-AL"/>
        </w:rPr>
        <w:sectPr w:rsidR="00ED3C64" w:rsidSect="001E746C">
          <w:headerReference w:type="even" r:id="rId8"/>
          <w:footerReference w:type="even" r:id="rId9"/>
          <w:footerReference w:type="default" r:id="rId10"/>
          <w:pgSz w:w="11907" w:h="16840" w:code="9"/>
          <w:pgMar w:top="720" w:right="1134" w:bottom="720" w:left="1134" w:header="851" w:footer="851" w:gutter="0"/>
          <w:pgNumType w:start="3183"/>
          <w:cols w:space="454"/>
          <w:docGrid w:linePitch="360"/>
        </w:sectPr>
      </w:pPr>
    </w:p>
    <w:p w:rsidR="00ED3C64" w:rsidRPr="00DC42C4" w:rsidRDefault="00ED3C64" w:rsidP="00ED3C64">
      <w:pPr>
        <w:pStyle w:val="Paragrafi"/>
        <w:jc w:val="center"/>
        <w:rPr>
          <w:lang w:val="sq-AL"/>
        </w:rPr>
      </w:pPr>
      <w:r w:rsidRPr="00DC42C4">
        <w:rPr>
          <w:lang w:val="sq-AL"/>
        </w:rPr>
        <w:lastRenderedPageBreak/>
        <w:t>ANEKSI I</w:t>
      </w:r>
    </w:p>
    <w:p w:rsidR="00ED3C64" w:rsidRPr="00DC42C4" w:rsidRDefault="00ED3C64" w:rsidP="00ED3C64">
      <w:pPr>
        <w:pStyle w:val="Paragrafi"/>
        <w:jc w:val="center"/>
        <w:rPr>
          <w:lang w:val="sq-AL"/>
        </w:rPr>
      </w:pPr>
      <w:r w:rsidRPr="00DC42C4">
        <w:rPr>
          <w:lang w:val="sq-AL"/>
        </w:rPr>
        <w:t>Objektivat për cilësinë e të dhënave</w:t>
      </w:r>
    </w:p>
    <w:p w:rsidR="00ED3C64" w:rsidRPr="00DC42C4" w:rsidRDefault="00ED3C64" w:rsidP="00ED3C64">
      <w:pPr>
        <w:pStyle w:val="Paragrafi"/>
        <w:jc w:val="center"/>
        <w:rPr>
          <w:lang w:val="sq-AL"/>
        </w:rPr>
      </w:pPr>
      <w:r w:rsidRPr="00DC42C4">
        <w:rPr>
          <w:lang w:val="sq-AL"/>
        </w:rPr>
        <w:t>(Referuar në pikat 4.7.c, 5.3.b, 8.3.b dhe 19.3 të këtij vendimi)</w:t>
      </w:r>
    </w:p>
    <w:p w:rsidR="00ED3C64" w:rsidRPr="00DC42C4" w:rsidRDefault="00ED3C64" w:rsidP="00ED3C64">
      <w:pPr>
        <w:pStyle w:val="Paragrafi"/>
        <w:jc w:val="center"/>
        <w:rPr>
          <w:lang w:val="sq-AL"/>
        </w:rPr>
      </w:pPr>
      <w:r w:rsidRPr="00DC42C4">
        <w:rPr>
          <w:lang w:val="sq-AL"/>
        </w:rPr>
        <w:t>Seksioni A. Objektivat për cilësinë e të dhënave për vlerësimin e cilësisë së ajrit të mjedisit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52"/>
        <w:gridCol w:w="2042"/>
        <w:gridCol w:w="1764"/>
        <w:gridCol w:w="2042"/>
        <w:gridCol w:w="1855"/>
      </w:tblGrid>
      <w:tr w:rsidR="00ED3C64" w:rsidRPr="00DC42C4" w:rsidTr="00BC62B1">
        <w:tc>
          <w:tcPr>
            <w:tcW w:w="1092"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Dyoksidi i squfurit, dyoksidi i azotit dhe oksidet e azotit, si dhe monoksidi i karbonit</w:t>
            </w:r>
          </w:p>
        </w:tc>
        <w:tc>
          <w:tcPr>
            <w:tcW w:w="895"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Benzeni</w:t>
            </w: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Lëndë e ngurtë pezull (PM</w:t>
            </w:r>
            <w:r w:rsidRPr="00DC42C4">
              <w:rPr>
                <w:rFonts w:ascii="Garamond" w:hAnsi="Garamond"/>
                <w:sz w:val="16"/>
                <w:szCs w:val="16"/>
                <w:vertAlign w:val="subscript"/>
                <w:lang w:val="sq-AL"/>
              </w:rPr>
              <w:t>10</w:t>
            </w:r>
            <w:r w:rsidRPr="00DC42C4">
              <w:rPr>
                <w:rFonts w:ascii="Garamond" w:hAnsi="Garamond"/>
                <w:sz w:val="16"/>
                <w:szCs w:val="16"/>
                <w:lang w:val="sq-AL"/>
              </w:rPr>
              <w:t>/PM</w:t>
            </w:r>
            <w:r w:rsidRPr="00DC42C4">
              <w:rPr>
                <w:rFonts w:ascii="Garamond" w:hAnsi="Garamond"/>
                <w:sz w:val="16"/>
                <w:szCs w:val="16"/>
                <w:vertAlign w:val="subscript"/>
                <w:lang w:val="sq-AL"/>
              </w:rPr>
              <w:t>2,5</w:t>
            </w:r>
            <w:r w:rsidRPr="00DC42C4">
              <w:rPr>
                <w:rFonts w:ascii="Garamond" w:hAnsi="Garamond"/>
                <w:sz w:val="16"/>
                <w:szCs w:val="16"/>
                <w:lang w:val="sq-AL"/>
              </w:rPr>
              <w:t>) dhe plumb</w:t>
            </w:r>
          </w:p>
        </w:tc>
        <w:tc>
          <w:tcPr>
            <w:tcW w:w="941"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Ozoni dhe NO dhe NO</w:t>
            </w:r>
            <w:r w:rsidRPr="00DC42C4">
              <w:rPr>
                <w:rFonts w:ascii="Garamond" w:hAnsi="Garamond"/>
                <w:sz w:val="16"/>
                <w:szCs w:val="16"/>
                <w:vertAlign w:val="subscript"/>
                <w:lang w:val="sq-AL"/>
              </w:rPr>
              <w:t xml:space="preserve">2 </w:t>
            </w:r>
            <w:r w:rsidRPr="00DC42C4">
              <w:rPr>
                <w:rFonts w:ascii="Garamond" w:hAnsi="Garamond"/>
                <w:sz w:val="16"/>
                <w:szCs w:val="16"/>
                <w:lang w:val="sq-AL"/>
              </w:rPr>
              <w:t>përkatës</w:t>
            </w:r>
          </w:p>
        </w:tc>
      </w:tr>
      <w:tr w:rsidR="00ED3C64" w:rsidRPr="00DC42C4" w:rsidTr="00BC62B1">
        <w:tc>
          <w:tcPr>
            <w:tcW w:w="5000" w:type="pct"/>
            <w:gridSpan w:val="5"/>
          </w:tcPr>
          <w:p w:rsidR="00ED3C64" w:rsidRPr="00DC42C4" w:rsidRDefault="00ED3C64" w:rsidP="00BC62B1">
            <w:pPr>
              <w:pStyle w:val="ListParagraph"/>
              <w:widowControl w:val="0"/>
              <w:spacing w:after="0" w:line="240" w:lineRule="auto"/>
              <w:ind w:left="0"/>
              <w:jc w:val="both"/>
              <w:rPr>
                <w:rFonts w:ascii="Garamond" w:hAnsi="Garamond"/>
                <w:b/>
                <w:sz w:val="16"/>
                <w:szCs w:val="16"/>
                <w:lang w:val="sq-AL"/>
              </w:rPr>
            </w:pPr>
            <w:r w:rsidRPr="00DC42C4">
              <w:rPr>
                <w:rFonts w:ascii="Garamond" w:hAnsi="Garamond"/>
                <w:b/>
                <w:sz w:val="16"/>
                <w:szCs w:val="16"/>
                <w:lang w:val="sq-AL"/>
              </w:rPr>
              <w:t>Matje fikse (1)</w:t>
            </w:r>
          </w:p>
        </w:tc>
      </w:tr>
      <w:tr w:rsidR="00ED3C64" w:rsidRPr="00DC42C4" w:rsidTr="00BC62B1">
        <w:tc>
          <w:tcPr>
            <w:tcW w:w="1092"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Pasiguria</w:t>
            </w: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15%</w:t>
            </w:r>
          </w:p>
        </w:tc>
        <w:tc>
          <w:tcPr>
            <w:tcW w:w="895"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25%</w:t>
            </w: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25%</w:t>
            </w:r>
          </w:p>
        </w:tc>
        <w:tc>
          <w:tcPr>
            <w:tcW w:w="941"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15%</w:t>
            </w:r>
          </w:p>
        </w:tc>
      </w:tr>
      <w:tr w:rsidR="00ED3C64" w:rsidRPr="00DC42C4" w:rsidTr="00BC62B1">
        <w:tc>
          <w:tcPr>
            <w:tcW w:w="1092"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Sigurimi i të dhënave minimale</w:t>
            </w: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90%</w:t>
            </w:r>
          </w:p>
        </w:tc>
        <w:tc>
          <w:tcPr>
            <w:tcW w:w="895"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90%</w:t>
            </w: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90%</w:t>
            </w:r>
          </w:p>
        </w:tc>
        <w:tc>
          <w:tcPr>
            <w:tcW w:w="941"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90% në verë</w:t>
            </w:r>
          </w:p>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75% në dimër</w:t>
            </w:r>
          </w:p>
        </w:tc>
      </w:tr>
      <w:tr w:rsidR="00ED3C64" w:rsidRPr="00DC42C4" w:rsidTr="00BC62B1">
        <w:tc>
          <w:tcPr>
            <w:tcW w:w="5000" w:type="pct"/>
            <w:gridSpan w:val="5"/>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Mbulimi kohor minimal:</w:t>
            </w:r>
          </w:p>
        </w:tc>
      </w:tr>
      <w:tr w:rsidR="00ED3C64" w:rsidRPr="00DC42C4" w:rsidTr="00BC62B1">
        <w:tc>
          <w:tcPr>
            <w:tcW w:w="1092"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 në zonë urbane dhe trafiku</w:t>
            </w: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w:t>
            </w:r>
          </w:p>
        </w:tc>
        <w:tc>
          <w:tcPr>
            <w:tcW w:w="895"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35% (2)</w:t>
            </w: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w:t>
            </w:r>
          </w:p>
        </w:tc>
        <w:tc>
          <w:tcPr>
            <w:tcW w:w="941"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w:t>
            </w:r>
          </w:p>
        </w:tc>
      </w:tr>
      <w:tr w:rsidR="00ED3C64" w:rsidRPr="00DC42C4" w:rsidTr="00BC62B1">
        <w:tc>
          <w:tcPr>
            <w:tcW w:w="1092"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 xml:space="preserve">- në zonat industriale </w:t>
            </w: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w:t>
            </w:r>
          </w:p>
        </w:tc>
        <w:tc>
          <w:tcPr>
            <w:tcW w:w="895"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90%</w:t>
            </w: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w:t>
            </w:r>
          </w:p>
        </w:tc>
        <w:tc>
          <w:tcPr>
            <w:tcW w:w="941"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w:t>
            </w:r>
          </w:p>
        </w:tc>
      </w:tr>
      <w:tr w:rsidR="00ED3C64" w:rsidRPr="00DC42C4" w:rsidTr="00BC62B1">
        <w:tc>
          <w:tcPr>
            <w:tcW w:w="1092" w:type="pct"/>
            <w:shd w:val="clear" w:color="auto" w:fill="B3B3B3"/>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p>
        </w:tc>
        <w:tc>
          <w:tcPr>
            <w:tcW w:w="1036" w:type="pct"/>
            <w:shd w:val="clear" w:color="auto" w:fill="B3B3B3"/>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p>
        </w:tc>
        <w:tc>
          <w:tcPr>
            <w:tcW w:w="895" w:type="pct"/>
            <w:shd w:val="clear" w:color="auto" w:fill="B3B3B3"/>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p>
        </w:tc>
        <w:tc>
          <w:tcPr>
            <w:tcW w:w="1036" w:type="pct"/>
            <w:shd w:val="clear" w:color="auto" w:fill="B3B3B3"/>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p>
        </w:tc>
        <w:tc>
          <w:tcPr>
            <w:tcW w:w="941" w:type="pct"/>
            <w:shd w:val="clear" w:color="auto" w:fill="B3B3B3"/>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p>
        </w:tc>
      </w:tr>
      <w:tr w:rsidR="00ED3C64" w:rsidRPr="00DC42C4" w:rsidTr="00BC62B1">
        <w:tc>
          <w:tcPr>
            <w:tcW w:w="5000" w:type="pct"/>
            <w:gridSpan w:val="5"/>
          </w:tcPr>
          <w:p w:rsidR="00ED3C64" w:rsidRPr="00DC42C4" w:rsidRDefault="00ED3C64" w:rsidP="00BC62B1">
            <w:pPr>
              <w:pStyle w:val="ListParagraph"/>
              <w:widowControl w:val="0"/>
              <w:spacing w:after="0" w:line="240" w:lineRule="auto"/>
              <w:ind w:left="0"/>
              <w:jc w:val="both"/>
              <w:rPr>
                <w:rFonts w:ascii="Garamond" w:hAnsi="Garamond"/>
                <w:b/>
                <w:sz w:val="16"/>
                <w:szCs w:val="16"/>
                <w:lang w:val="sq-AL"/>
              </w:rPr>
            </w:pPr>
            <w:r w:rsidRPr="00DC42C4">
              <w:rPr>
                <w:rFonts w:ascii="Garamond" w:hAnsi="Garamond"/>
                <w:b/>
                <w:sz w:val="16"/>
                <w:szCs w:val="16"/>
                <w:lang w:val="sq-AL"/>
              </w:rPr>
              <w:t>Matjet treguese</w:t>
            </w:r>
          </w:p>
        </w:tc>
      </w:tr>
      <w:tr w:rsidR="00ED3C64" w:rsidRPr="00DC42C4" w:rsidTr="00BC62B1">
        <w:tc>
          <w:tcPr>
            <w:tcW w:w="1092"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Pasiguria</w:t>
            </w: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25%</w:t>
            </w:r>
          </w:p>
        </w:tc>
        <w:tc>
          <w:tcPr>
            <w:tcW w:w="895"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30%</w:t>
            </w: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50%</w:t>
            </w:r>
          </w:p>
        </w:tc>
        <w:tc>
          <w:tcPr>
            <w:tcW w:w="941"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30%</w:t>
            </w:r>
          </w:p>
        </w:tc>
      </w:tr>
      <w:tr w:rsidR="00ED3C64" w:rsidRPr="00DC42C4" w:rsidTr="00BC62B1">
        <w:tc>
          <w:tcPr>
            <w:tcW w:w="1092"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Sigurimi i të dhënave minimale</w:t>
            </w: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90%</w:t>
            </w:r>
          </w:p>
        </w:tc>
        <w:tc>
          <w:tcPr>
            <w:tcW w:w="895"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90%</w:t>
            </w: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90%</w:t>
            </w:r>
          </w:p>
        </w:tc>
        <w:tc>
          <w:tcPr>
            <w:tcW w:w="941"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90%</w:t>
            </w:r>
          </w:p>
        </w:tc>
      </w:tr>
      <w:tr w:rsidR="00ED3C64" w:rsidRPr="00DC42C4" w:rsidTr="00BC62B1">
        <w:tc>
          <w:tcPr>
            <w:tcW w:w="1092"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Mbulimi kohor minimal</w:t>
            </w: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14% (4)</w:t>
            </w:r>
          </w:p>
        </w:tc>
        <w:tc>
          <w:tcPr>
            <w:tcW w:w="895"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14% (3)</w:t>
            </w: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14% (4)</w:t>
            </w:r>
          </w:p>
        </w:tc>
        <w:tc>
          <w:tcPr>
            <w:tcW w:w="941"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Më shumë se 10% në verë</w:t>
            </w:r>
          </w:p>
        </w:tc>
      </w:tr>
      <w:tr w:rsidR="00ED3C64" w:rsidRPr="00DC42C4" w:rsidTr="00BC62B1">
        <w:tc>
          <w:tcPr>
            <w:tcW w:w="1092" w:type="pct"/>
            <w:shd w:val="clear" w:color="auto" w:fill="B3B3B3"/>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p>
        </w:tc>
        <w:tc>
          <w:tcPr>
            <w:tcW w:w="1036" w:type="pct"/>
            <w:shd w:val="clear" w:color="auto" w:fill="B3B3B3"/>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p>
        </w:tc>
        <w:tc>
          <w:tcPr>
            <w:tcW w:w="895" w:type="pct"/>
            <w:shd w:val="clear" w:color="auto" w:fill="B3B3B3"/>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p>
        </w:tc>
        <w:tc>
          <w:tcPr>
            <w:tcW w:w="1036" w:type="pct"/>
            <w:shd w:val="clear" w:color="auto" w:fill="B3B3B3"/>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p>
        </w:tc>
        <w:tc>
          <w:tcPr>
            <w:tcW w:w="941" w:type="pct"/>
            <w:shd w:val="clear" w:color="auto" w:fill="B3B3B3"/>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p>
        </w:tc>
      </w:tr>
      <w:tr w:rsidR="00ED3C64" w:rsidRPr="00DC42C4" w:rsidTr="00BC62B1">
        <w:tc>
          <w:tcPr>
            <w:tcW w:w="5000" w:type="pct"/>
            <w:gridSpan w:val="5"/>
          </w:tcPr>
          <w:p w:rsidR="00ED3C64" w:rsidRPr="00DC42C4" w:rsidRDefault="00ED3C64" w:rsidP="00BC62B1">
            <w:pPr>
              <w:pStyle w:val="ListParagraph"/>
              <w:widowControl w:val="0"/>
              <w:spacing w:after="0" w:line="240" w:lineRule="auto"/>
              <w:ind w:left="0"/>
              <w:jc w:val="both"/>
              <w:rPr>
                <w:rFonts w:ascii="Garamond" w:hAnsi="Garamond"/>
                <w:b/>
                <w:sz w:val="16"/>
                <w:szCs w:val="16"/>
                <w:lang w:val="sq-AL"/>
              </w:rPr>
            </w:pPr>
            <w:r w:rsidRPr="00DC42C4">
              <w:rPr>
                <w:rFonts w:ascii="Garamond" w:hAnsi="Garamond"/>
                <w:b/>
                <w:sz w:val="16"/>
                <w:szCs w:val="16"/>
                <w:lang w:val="sq-AL"/>
              </w:rPr>
              <w:t>Pasiguria e modelimit</w:t>
            </w:r>
          </w:p>
        </w:tc>
      </w:tr>
      <w:tr w:rsidR="00ED3C64" w:rsidRPr="00DC42C4" w:rsidTr="00BC62B1">
        <w:tc>
          <w:tcPr>
            <w:tcW w:w="1092"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Orare</w:t>
            </w: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50%</w:t>
            </w:r>
          </w:p>
        </w:tc>
        <w:tc>
          <w:tcPr>
            <w:tcW w:w="895"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w:t>
            </w: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w:t>
            </w:r>
          </w:p>
        </w:tc>
        <w:tc>
          <w:tcPr>
            <w:tcW w:w="941"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50%</w:t>
            </w:r>
          </w:p>
        </w:tc>
      </w:tr>
      <w:tr w:rsidR="00ED3C64" w:rsidRPr="00DC42C4" w:rsidTr="00BC62B1">
        <w:tc>
          <w:tcPr>
            <w:tcW w:w="1092"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Mesatare e tetë orëve</w:t>
            </w: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50%</w:t>
            </w:r>
          </w:p>
        </w:tc>
        <w:tc>
          <w:tcPr>
            <w:tcW w:w="895"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w:t>
            </w: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w:t>
            </w:r>
          </w:p>
        </w:tc>
        <w:tc>
          <w:tcPr>
            <w:tcW w:w="941"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50%</w:t>
            </w:r>
          </w:p>
        </w:tc>
      </w:tr>
      <w:tr w:rsidR="00ED3C64" w:rsidRPr="00DC42C4" w:rsidTr="00BC62B1">
        <w:tc>
          <w:tcPr>
            <w:tcW w:w="1092"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Mesatare ditore</w:t>
            </w: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50%</w:t>
            </w:r>
          </w:p>
        </w:tc>
        <w:tc>
          <w:tcPr>
            <w:tcW w:w="895"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w:t>
            </w: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w:t>
            </w:r>
          </w:p>
        </w:tc>
        <w:tc>
          <w:tcPr>
            <w:tcW w:w="941"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w:t>
            </w:r>
          </w:p>
        </w:tc>
      </w:tr>
      <w:tr w:rsidR="00ED3C64" w:rsidRPr="00DC42C4" w:rsidTr="00BC62B1">
        <w:tc>
          <w:tcPr>
            <w:tcW w:w="1092"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Mesatare vjetore</w:t>
            </w: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30%</w:t>
            </w:r>
          </w:p>
        </w:tc>
        <w:tc>
          <w:tcPr>
            <w:tcW w:w="895"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50%</w:t>
            </w: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50%</w:t>
            </w:r>
          </w:p>
        </w:tc>
        <w:tc>
          <w:tcPr>
            <w:tcW w:w="941"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w:t>
            </w:r>
          </w:p>
        </w:tc>
      </w:tr>
      <w:tr w:rsidR="00ED3C64" w:rsidRPr="00DC42C4" w:rsidTr="00BC62B1">
        <w:tc>
          <w:tcPr>
            <w:tcW w:w="1092"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 xml:space="preserve">Pasiguria e vlerësimit të objektivit </w:t>
            </w: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75%</w:t>
            </w:r>
          </w:p>
        </w:tc>
        <w:tc>
          <w:tcPr>
            <w:tcW w:w="895"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100%</w:t>
            </w:r>
          </w:p>
        </w:tc>
        <w:tc>
          <w:tcPr>
            <w:tcW w:w="1036"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100%</w:t>
            </w:r>
          </w:p>
        </w:tc>
        <w:tc>
          <w:tcPr>
            <w:tcW w:w="941" w:type="pct"/>
          </w:tcPr>
          <w:p w:rsidR="00ED3C64" w:rsidRPr="00DC42C4" w:rsidRDefault="00ED3C64" w:rsidP="00BC62B1">
            <w:pPr>
              <w:pStyle w:val="ListParagraph"/>
              <w:widowControl w:val="0"/>
              <w:spacing w:after="0" w:line="240" w:lineRule="auto"/>
              <w:ind w:left="0"/>
              <w:jc w:val="both"/>
              <w:rPr>
                <w:rFonts w:ascii="Garamond" w:hAnsi="Garamond"/>
                <w:sz w:val="16"/>
                <w:szCs w:val="16"/>
                <w:lang w:val="sq-AL"/>
              </w:rPr>
            </w:pPr>
            <w:r w:rsidRPr="00DC42C4">
              <w:rPr>
                <w:rFonts w:ascii="Garamond" w:hAnsi="Garamond"/>
                <w:sz w:val="16"/>
                <w:szCs w:val="16"/>
                <w:lang w:val="sq-AL"/>
              </w:rPr>
              <w:t>75%</w:t>
            </w:r>
          </w:p>
        </w:tc>
      </w:tr>
    </w:tbl>
    <w:p w:rsidR="00ED3C64" w:rsidRDefault="00ED3C64" w:rsidP="00ED3C64">
      <w:pPr>
        <w:pStyle w:val="Hapesira7"/>
        <w:rPr>
          <w:lang w:val="sq-AL"/>
        </w:rPr>
        <w:sectPr w:rsidR="00ED3C64" w:rsidSect="001E746C">
          <w:type w:val="continuous"/>
          <w:pgSz w:w="11907" w:h="16840" w:code="9"/>
          <w:pgMar w:top="720" w:right="1134" w:bottom="720" w:left="1134" w:header="851" w:footer="851" w:gutter="0"/>
          <w:cols w:space="720"/>
          <w:docGrid w:linePitch="360"/>
        </w:sectPr>
      </w:pPr>
    </w:p>
    <w:p w:rsidR="00ED3C64" w:rsidRPr="00E00CAD" w:rsidRDefault="00ED3C64" w:rsidP="00ED3C64">
      <w:pPr>
        <w:pStyle w:val="Paragrafi"/>
        <w:rPr>
          <w:spacing w:val="-4"/>
          <w:lang w:val="sq-AL"/>
        </w:rPr>
      </w:pPr>
      <w:r w:rsidRPr="00E00CAD">
        <w:rPr>
          <w:spacing w:val="-4"/>
          <w:lang w:val="sq-AL"/>
        </w:rPr>
        <w:lastRenderedPageBreak/>
        <w:t>Shënime për tabelën</w:t>
      </w:r>
    </w:p>
    <w:p w:rsidR="00ED3C64" w:rsidRPr="00E00CAD" w:rsidRDefault="00ED3C64" w:rsidP="00ED3C64">
      <w:pPr>
        <w:pStyle w:val="Paragrafi"/>
        <w:rPr>
          <w:spacing w:val="-4"/>
          <w:lang w:val="sq-AL"/>
        </w:rPr>
      </w:pPr>
      <w:r w:rsidRPr="00E00CAD">
        <w:rPr>
          <w:spacing w:val="-4"/>
          <w:lang w:val="sq-AL"/>
        </w:rPr>
        <w:t>1. AKM mund të zbatojë matje të rastësishme në vend të matjeve të vazhdueshme për benzenin, plumbin dhe lëndën e ngurtë pezull në qoftë se i provon Ministrisë që pasiguria, përfshirë pasigurinë për shkak të marrjes së mostrave të rastësishme, arrin objektivin e cilësisë prej 25 % dhe mbulimi kohor është akoma më i madh se mbulimi kohor minimal për matjet treguese. Marrja e mostrave të rastësishme duhet të shpërndahet njëtrajtësisht gjatë vitit me qëllim që të shmanget shtrembërimi i rezultateve. Pasiguria për shkak të marrjes së rastësishme të mostrave mund të përcaktohet nga procedura e përcaktuar në ISO 11222 (2002) ‘Cilësia e Ajrit — Përcaktimi i Pasigurisë së Kohës Mesatare i Matjeve të Cilësisë së Ajrit’. Në qoftë se për të vlerësuar kërkesat e vlerës kufi PM</w:t>
      </w:r>
      <w:r w:rsidRPr="00F1129F">
        <w:rPr>
          <w:spacing w:val="-4"/>
          <w:vertAlign w:val="subscript"/>
          <w:lang w:val="sq-AL"/>
        </w:rPr>
        <w:t>10</w:t>
      </w:r>
      <w:r w:rsidRPr="00E00CAD">
        <w:rPr>
          <w:spacing w:val="-4"/>
          <w:lang w:val="sq-AL"/>
        </w:rPr>
        <w:t xml:space="preserve"> përdoren matjet e rastësishme, në vend të numrit të kapërcimeve, që influencohet shumë nga masa e mbulimit të të dhënave,</w:t>
      </w:r>
      <w:r w:rsidRPr="00E00CAD" w:rsidDel="00E15A7E">
        <w:rPr>
          <w:spacing w:val="-4"/>
          <w:lang w:val="sq-AL"/>
        </w:rPr>
        <w:t xml:space="preserve"> </w:t>
      </w:r>
      <w:r w:rsidRPr="00E00CAD">
        <w:rPr>
          <w:spacing w:val="-4"/>
          <w:lang w:val="sq-AL"/>
        </w:rPr>
        <w:t>duhet të vlerësohet</w:t>
      </w:r>
      <w:r w:rsidRPr="00E00CAD" w:rsidDel="00E15A7E">
        <w:rPr>
          <w:spacing w:val="-4"/>
          <w:lang w:val="sq-AL"/>
        </w:rPr>
        <w:t xml:space="preserve"> </w:t>
      </w:r>
      <w:r w:rsidRPr="00E00CAD">
        <w:rPr>
          <w:spacing w:val="-4"/>
          <w:lang w:val="sq-AL"/>
        </w:rPr>
        <w:t>niveli në percentile prej 90,4 (të jetë më i vogël se ose i barabartë me 50 μg/m³).</w:t>
      </w:r>
    </w:p>
    <w:p w:rsidR="00ED3C64" w:rsidRPr="00E00CAD" w:rsidRDefault="00ED3C64" w:rsidP="00ED3C64">
      <w:pPr>
        <w:pStyle w:val="Paragrafi"/>
        <w:rPr>
          <w:spacing w:val="-4"/>
          <w:lang w:val="sq-AL"/>
        </w:rPr>
      </w:pPr>
      <w:r w:rsidRPr="00E00CAD">
        <w:rPr>
          <w:spacing w:val="-4"/>
          <w:lang w:val="sq-AL"/>
        </w:rPr>
        <w:t>2. Të shpërndara gjatë vitit për të qenë përfaqësuese të kushteve të ndryshme që lidhen me klimën dhe trafikun.</w:t>
      </w:r>
    </w:p>
    <w:p w:rsidR="00ED3C64" w:rsidRPr="00E00CAD" w:rsidRDefault="00ED3C64" w:rsidP="00ED3C64">
      <w:pPr>
        <w:pStyle w:val="Paragrafi"/>
        <w:rPr>
          <w:spacing w:val="-4"/>
          <w:lang w:val="sq-AL"/>
        </w:rPr>
      </w:pPr>
      <w:r w:rsidRPr="00E00CAD">
        <w:rPr>
          <w:spacing w:val="-4"/>
          <w:lang w:val="sq-AL"/>
        </w:rPr>
        <w:t xml:space="preserve">3. Matjet e një ditë në javë, në mënyrë rastësore, të shpërndara njëtrajtësisht gjatë vitit, ose tetë javë të shpërndara njëtrajtësisht gjatë vitit. </w:t>
      </w:r>
    </w:p>
    <w:p w:rsidR="00ED3C64" w:rsidRPr="00E00CAD" w:rsidRDefault="00ED3C64" w:rsidP="00ED3C64">
      <w:pPr>
        <w:pStyle w:val="Paragrafi"/>
        <w:rPr>
          <w:spacing w:val="-4"/>
          <w:lang w:val="sq-AL"/>
        </w:rPr>
      </w:pPr>
      <w:r w:rsidRPr="00E00CAD">
        <w:rPr>
          <w:spacing w:val="-4"/>
          <w:lang w:val="sq-AL"/>
        </w:rPr>
        <w:t xml:space="preserve">4. Një matje në javë në mënyrë rastësore, të shpërndara njëtrajtësisht gjatë vitit, ose tetë javë të </w:t>
      </w:r>
      <w:r w:rsidRPr="00E00CAD">
        <w:rPr>
          <w:spacing w:val="-4"/>
          <w:lang w:val="sq-AL"/>
        </w:rPr>
        <w:lastRenderedPageBreak/>
        <w:t xml:space="preserve">shpërndara njëtrajtësisht gjatë vitit. </w:t>
      </w:r>
    </w:p>
    <w:p w:rsidR="00ED3C64" w:rsidRPr="00E00CAD" w:rsidRDefault="00ED3C64" w:rsidP="00ED3C64">
      <w:pPr>
        <w:pStyle w:val="Paragrafi"/>
        <w:rPr>
          <w:spacing w:val="-4"/>
          <w:lang w:val="sq-AL"/>
        </w:rPr>
      </w:pPr>
      <w:r w:rsidRPr="00E00CAD">
        <w:rPr>
          <w:spacing w:val="-4"/>
          <w:lang w:val="sq-AL"/>
        </w:rPr>
        <w:t xml:space="preserve">Pasiguria (me besueshmëri 95 %) e metodave të vlerësimit do të vlerësohet në përputhje me parimet e SSH ENV 13005-1999, në lidhje me Shprehjen e Pasigurisë në Matje, me metodologjinë e </w:t>
      </w:r>
      <w:hyperlink r:id="rId11" w:tgtFrame="_blank" w:history="1">
        <w:r w:rsidRPr="00E00CAD">
          <w:rPr>
            <w:rStyle w:val="Hyperlink"/>
            <w:spacing w:val="-4"/>
            <w:lang w:val="sq-AL"/>
          </w:rPr>
          <w:t>S SH ISO 5725-1:2008</w:t>
        </w:r>
      </w:hyperlink>
      <w:r w:rsidRPr="00E00CAD">
        <w:rPr>
          <w:spacing w:val="-4"/>
          <w:lang w:val="sq-AL"/>
        </w:rPr>
        <w:t xml:space="preserve"> - 2, 3, 4, 5, 6 dhe me udhëzuesin e dhënë në DS CR 14377:2002 në lidhje me cilësinë e ajrit -  Përqasja për Vlerësimin e Pasigurisë për Metodat e Matjes Referencë për Ajrin e Mjedisit’. Përqindjet e pasigurisë në tabelën e mësipërme jepen për matjet individuale të mesatarizuara për periudhën e konsideruar nga vlera kufi (ose vlera e synuar në rastin e ozonit), për një intervalconfidences besueshmërie prej 95 %. Pasiguria për matjet fikse konsiderohet e zbatueshme rrotull masës së përshtatshme të vlerës kufi (ose vlerës së synuar në rastin e ozonit).</w:t>
      </w:r>
    </w:p>
    <w:p w:rsidR="00ED3C64" w:rsidRPr="00E00CAD" w:rsidRDefault="00ED3C64" w:rsidP="00ED3C64">
      <w:pPr>
        <w:pStyle w:val="Paragrafi"/>
        <w:rPr>
          <w:spacing w:val="-4"/>
          <w:lang w:val="sq-AL"/>
        </w:rPr>
      </w:pPr>
      <w:r w:rsidRPr="00E00CAD">
        <w:rPr>
          <w:spacing w:val="-4"/>
          <w:lang w:val="sq-AL"/>
        </w:rPr>
        <w:t xml:space="preserve">Pasiguria për modelimin përcaktohet si shmangia maksimale (prej vlerës kufi ose prej vlerës së synuar në rastin e ozonit) e niveleve të përqendrimit të matur dhe të llogaritur gjatë periudhës në fjalë për 90 % të pikave individuale të monitorimit, pa marrë parasysh kohën e ndodhjes së ngjarjeve. Pasiguria për modelimin konsiderohet si e zbatueshme rrotull masës së përshtatshme të vlerës kufi ose vlerës së synuar në rastin e ozonit. Matjet fikse që duhen përzgjedhur për krahasim me rezultatet e modelimit duhet të jenë përfaqësuese të shkallës së mbulimit nga modeli. </w:t>
      </w:r>
    </w:p>
    <w:p w:rsidR="00ED3C64" w:rsidRPr="00E00CAD" w:rsidRDefault="00ED3C64" w:rsidP="00ED3C64">
      <w:pPr>
        <w:pStyle w:val="Paragrafi"/>
        <w:rPr>
          <w:spacing w:val="-4"/>
          <w:lang w:val="sq-AL"/>
        </w:rPr>
      </w:pPr>
      <w:r w:rsidRPr="00E00CAD">
        <w:rPr>
          <w:spacing w:val="-4"/>
          <w:lang w:val="sq-AL"/>
        </w:rPr>
        <w:t>Pasiguria për vlerësimin objektiv përcaktohet si shmangia maksimale (prej vlerës kufi ose prej vlerës së synuar në rastin e ozonit) e niveleve të matur dhe të llogaritur të përqendrimit gjatë periudhës në fjalë,pa marrë parasysh kohën e ndodhjes së ngjarjeve.</w:t>
      </w:r>
    </w:p>
    <w:p w:rsidR="00ED3C64" w:rsidRPr="00E00CAD" w:rsidRDefault="00ED3C64" w:rsidP="00ED3C64">
      <w:pPr>
        <w:pStyle w:val="Paragrafi"/>
        <w:rPr>
          <w:spacing w:val="-4"/>
          <w:lang w:val="sq-AL"/>
        </w:rPr>
      </w:pPr>
      <w:r w:rsidRPr="00E00CAD">
        <w:rPr>
          <w:spacing w:val="-4"/>
          <w:lang w:val="sq-AL"/>
        </w:rPr>
        <w:t>Kërkesat për sigurimin e të dhënave minimale dhe mbulimi kohor nuk përfshijnë humbjet e të dhënave për shkak të kalibrimit të rregullt apo mirëmbajtjes normale të instrumenteve.</w:t>
      </w:r>
    </w:p>
    <w:p w:rsidR="00ED3C64" w:rsidRPr="00E00CAD" w:rsidRDefault="00ED3C64" w:rsidP="00ED3C64">
      <w:pPr>
        <w:pStyle w:val="Paragrafi"/>
        <w:rPr>
          <w:spacing w:val="-4"/>
          <w:lang w:val="sq-AL"/>
        </w:rPr>
      </w:pPr>
      <w:r w:rsidRPr="00E00CAD">
        <w:rPr>
          <w:spacing w:val="-4"/>
          <w:lang w:val="sq-AL"/>
        </w:rPr>
        <w:t>Seksioni B. Rezultatet e vlerësimit të cilësisë së ajrit</w:t>
      </w:r>
    </w:p>
    <w:p w:rsidR="00ED3C64" w:rsidRPr="00E00CAD" w:rsidRDefault="00ED3C64" w:rsidP="00ED3C64">
      <w:pPr>
        <w:pStyle w:val="Paragrafi"/>
        <w:rPr>
          <w:spacing w:val="-4"/>
          <w:lang w:val="sq-AL"/>
        </w:rPr>
      </w:pPr>
      <w:r w:rsidRPr="00E00CAD">
        <w:rPr>
          <w:spacing w:val="-4"/>
          <w:lang w:val="sq-AL"/>
        </w:rPr>
        <w:t xml:space="preserve">Informacioni i mëposhtëm hartohet për zonat dhe aglomeratet ku, për vlerësimin e cilësisë së ajrit, përdoren burime të tjera të cilat mund të plotësojnë informacionin e siguruar nga matjet, por mund të përdoren edhe si mënyra e vetme: </w:t>
      </w:r>
    </w:p>
    <w:p w:rsidR="00ED3C64" w:rsidRPr="00E00CAD" w:rsidRDefault="00ED3C64" w:rsidP="00ED3C64">
      <w:pPr>
        <w:pStyle w:val="Paragrafi"/>
        <w:rPr>
          <w:spacing w:val="-4"/>
          <w:lang w:val="sq-AL"/>
        </w:rPr>
      </w:pPr>
      <w:r w:rsidRPr="00E00CAD">
        <w:rPr>
          <w:spacing w:val="-4"/>
          <w:lang w:val="sq-AL"/>
        </w:rPr>
        <w:t>a) përshkrimi i aktiviteteve të kryera për vlerësimin;</w:t>
      </w:r>
    </w:p>
    <w:p w:rsidR="00ED3C64" w:rsidRPr="00E00CAD" w:rsidRDefault="00ED3C64" w:rsidP="00ED3C64">
      <w:pPr>
        <w:pStyle w:val="Paragrafi"/>
        <w:rPr>
          <w:spacing w:val="-4"/>
          <w:lang w:val="sq-AL"/>
        </w:rPr>
      </w:pPr>
      <w:r w:rsidRPr="00E00CAD">
        <w:rPr>
          <w:spacing w:val="-4"/>
          <w:lang w:val="sq-AL"/>
        </w:rPr>
        <w:t>b) metodat specifike që janë përdorur, me referenca për përshkrimet e metodës;</w:t>
      </w:r>
    </w:p>
    <w:p w:rsidR="00ED3C64" w:rsidRPr="00E00CAD" w:rsidRDefault="00ED3C64" w:rsidP="00ED3C64">
      <w:pPr>
        <w:pStyle w:val="Paragrafi"/>
        <w:rPr>
          <w:spacing w:val="-4"/>
          <w:lang w:val="sq-AL"/>
        </w:rPr>
      </w:pPr>
      <w:r w:rsidRPr="00E00CAD">
        <w:rPr>
          <w:spacing w:val="-4"/>
          <w:lang w:val="sq-AL"/>
        </w:rPr>
        <w:t>c) burimet e të dhënave dhe informacionit;</w:t>
      </w:r>
    </w:p>
    <w:p w:rsidR="00ED3C64" w:rsidRDefault="00ED3C64" w:rsidP="00ED3C64">
      <w:pPr>
        <w:pStyle w:val="Paragrafi"/>
        <w:rPr>
          <w:spacing w:val="-4"/>
          <w:lang w:val="sq-AL"/>
        </w:rPr>
      </w:pPr>
      <w:r w:rsidRPr="00E00CAD">
        <w:rPr>
          <w:spacing w:val="-4"/>
          <w:lang w:val="sq-AL"/>
        </w:rPr>
        <w:t>d) përshkrimi i rezultateve, përfshirë pasiguritë dhe, në veçanti:</w:t>
      </w:r>
    </w:p>
    <w:p w:rsidR="00ED3C64" w:rsidRPr="00E00CAD" w:rsidRDefault="00ED3C64" w:rsidP="00ED3C64">
      <w:pPr>
        <w:pStyle w:val="Paragrafi"/>
        <w:rPr>
          <w:spacing w:val="-4"/>
          <w:lang w:val="sq-AL"/>
        </w:rPr>
      </w:pPr>
      <w:r w:rsidRPr="00E00CAD">
        <w:rPr>
          <w:spacing w:val="-4"/>
          <w:lang w:val="sq-AL"/>
        </w:rPr>
        <w:t xml:space="preserve">i) shtrirjen e çdo zone apo gjatësinë e rrugës brenda zonave dhe aglomerateve përgjatë të cilës përqendrimet kapërcejnë sipas rastit vlerën kufi, vlerën e synuar apo objektivin afatgjatë plus marzhin e tolerancës, dhe </w:t>
      </w:r>
    </w:p>
    <w:p w:rsidR="00ED3C64" w:rsidRPr="00E00CAD" w:rsidRDefault="00ED3C64" w:rsidP="00ED3C64">
      <w:pPr>
        <w:pStyle w:val="Paragrafi"/>
        <w:rPr>
          <w:spacing w:val="-4"/>
          <w:lang w:val="sq-AL"/>
        </w:rPr>
      </w:pPr>
      <w:r w:rsidRPr="00E00CAD">
        <w:rPr>
          <w:spacing w:val="-4"/>
          <w:lang w:val="sq-AL"/>
        </w:rPr>
        <w:t xml:space="preserve">ii) shtrirjen e çdo zone ku përqendrimet kapërcejnë pragun e sipërm ose të poshtëm të vlerësimit; </w:t>
      </w:r>
    </w:p>
    <w:p w:rsidR="00ED3C64" w:rsidRPr="00E00CAD" w:rsidRDefault="00ED3C64" w:rsidP="00ED3C64">
      <w:pPr>
        <w:pStyle w:val="Paragrafi"/>
        <w:rPr>
          <w:spacing w:val="-4"/>
          <w:lang w:val="sq-AL"/>
        </w:rPr>
      </w:pPr>
      <w:r w:rsidRPr="00E00CAD">
        <w:rPr>
          <w:spacing w:val="-4"/>
          <w:lang w:val="sq-AL"/>
        </w:rPr>
        <w:t>e) popullsia potencialisht e ekspozuar ndaj niveleve që kapërcejnë cilëndo vlerë kufi për mbrojtjen e shëndetit publik.</w:t>
      </w:r>
    </w:p>
    <w:p w:rsidR="00ED3C64" w:rsidRPr="00E00CAD" w:rsidRDefault="00ED3C64" w:rsidP="00ED3C64">
      <w:pPr>
        <w:pStyle w:val="Paragrafi"/>
        <w:rPr>
          <w:spacing w:val="-4"/>
          <w:lang w:val="sq-AL"/>
        </w:rPr>
      </w:pPr>
      <w:r w:rsidRPr="00E00CAD">
        <w:rPr>
          <w:spacing w:val="-4"/>
          <w:lang w:val="sq-AL"/>
        </w:rPr>
        <w:t>Seksioni C. Sigurimi i cilësisë për cilësinë e ajrit të mjedisit: vlefshmëria e të dhënave</w:t>
      </w:r>
    </w:p>
    <w:p w:rsidR="00ED3C64" w:rsidRPr="00E00CAD" w:rsidRDefault="00ED3C64" w:rsidP="00ED3C64">
      <w:pPr>
        <w:pStyle w:val="Paragrafi"/>
        <w:rPr>
          <w:spacing w:val="-4"/>
          <w:lang w:val="sq-AL"/>
        </w:rPr>
      </w:pPr>
      <w:r w:rsidRPr="00E00CAD">
        <w:rPr>
          <w:spacing w:val="-4"/>
          <w:lang w:val="sq-AL"/>
        </w:rPr>
        <w:t xml:space="preserve"> 1. Për të siguruar saktësinë e matjeve dhe përputhshmërinë me objektivat për cilësinë e të dhënave të përcaktuara në seksionin A, AKM siguron që: </w:t>
      </w:r>
    </w:p>
    <w:p w:rsidR="00ED3C64" w:rsidRPr="00E00CAD" w:rsidRDefault="00ED3C64" w:rsidP="00ED3C64">
      <w:pPr>
        <w:pStyle w:val="Paragrafi"/>
        <w:rPr>
          <w:spacing w:val="-4"/>
          <w:lang w:val="sq-AL"/>
        </w:rPr>
      </w:pPr>
      <w:r w:rsidRPr="00E00CAD">
        <w:rPr>
          <w:spacing w:val="-4"/>
          <w:lang w:val="sq-AL"/>
        </w:rPr>
        <w:t>a) të gjitha matjet e ndërmarra në lidhje me vlerësimin e cilësisë së ajrit të mjedisit në bazë të seksioneve V dhe VII të jenë të gjurmueshme në përputhje me kërkesat e përcaktuara në seksionin 5.6.2.2 të S SH EN ISO/IEC 17025:2005 dhe S SH EN ISO/IEC 17025:2005/AC:2006;</w:t>
      </w:r>
    </w:p>
    <w:p w:rsidR="00ED3C64" w:rsidRPr="00E00CAD" w:rsidRDefault="00ED3C64" w:rsidP="00ED3C64">
      <w:pPr>
        <w:pStyle w:val="Paragrafi"/>
        <w:rPr>
          <w:spacing w:val="-4"/>
          <w:lang w:val="sq-AL"/>
        </w:rPr>
      </w:pPr>
      <w:r w:rsidRPr="00E00CAD">
        <w:rPr>
          <w:spacing w:val="-4"/>
          <w:lang w:val="sq-AL"/>
        </w:rPr>
        <w:t>b) institucionet që operojnë rrjete dhe stacione individuale të ngrenë sisteme të kontrollit dhe sigurimit të cilësisë, të cilët për të garantuar saktësinë e mjeteve matëse kërkojnë mirëmbajtje të rregullt;</w:t>
      </w:r>
    </w:p>
    <w:p w:rsidR="00ED3C64" w:rsidRPr="00E00CAD" w:rsidRDefault="00ED3C64" w:rsidP="00ED3C64">
      <w:pPr>
        <w:pStyle w:val="Paragrafi"/>
        <w:rPr>
          <w:spacing w:val="-4"/>
          <w:lang w:val="sq-AL"/>
        </w:rPr>
      </w:pPr>
      <w:r w:rsidRPr="00E00CAD">
        <w:rPr>
          <w:spacing w:val="-4"/>
          <w:lang w:val="sq-AL"/>
        </w:rPr>
        <w:t>c) të funksionojë kontrolli dhe sigurimi i cilësisë për procesin e mbledhjes dhe raportimit të të dhënave dhe që institucionet e caktuara me këtë detyrë të marrin pjesë në mënyrë akti</w:t>
      </w:r>
      <w:r>
        <w:rPr>
          <w:spacing w:val="-4"/>
          <w:lang w:val="sq-AL"/>
        </w:rPr>
        <w:t>ve në programet përkatëse mbarëk</w:t>
      </w:r>
      <w:r w:rsidRPr="00E00CAD">
        <w:rPr>
          <w:spacing w:val="-4"/>
          <w:lang w:val="sq-AL"/>
        </w:rPr>
        <w:t>omunitare për sigurimin e cilësisë;</w:t>
      </w:r>
    </w:p>
    <w:p w:rsidR="00ED3C64" w:rsidRPr="00E00CAD" w:rsidRDefault="00ED3C64" w:rsidP="00ED3C64">
      <w:pPr>
        <w:pStyle w:val="Paragrafi"/>
        <w:rPr>
          <w:spacing w:val="-4"/>
          <w:lang w:val="sq-AL"/>
        </w:rPr>
      </w:pPr>
      <w:r w:rsidRPr="00E00CAD">
        <w:rPr>
          <w:spacing w:val="-4"/>
          <w:lang w:val="sq-AL"/>
        </w:rPr>
        <w:t>d) deri në vitin 2010 laboratorët kombëtarë të akreditohen sipas S SH EN ISO/IEC 17025:2005 dhe S SH EN ISO/IEC 17025:2005/AC:2006 për metodat referencë të referuara në aneksin VI të këtij vendimi. Këta laboratorë koordinojnë në nivel kombëtar realizimin siç duhet të metodave referencë dhe demonstrimin e ekuivalencës së metodave jo-referencë.</w:t>
      </w:r>
    </w:p>
    <w:p w:rsidR="00ED3C64" w:rsidRPr="00E00CAD" w:rsidRDefault="00ED3C64" w:rsidP="00ED3C64">
      <w:pPr>
        <w:pStyle w:val="Paragrafi"/>
        <w:rPr>
          <w:spacing w:val="-4"/>
          <w:lang w:val="sq-AL"/>
        </w:rPr>
      </w:pPr>
      <w:r w:rsidRPr="00E00CAD">
        <w:rPr>
          <w:spacing w:val="-4"/>
          <w:lang w:val="sq-AL"/>
        </w:rPr>
        <w:t>2. Të gjitha të dhënat për cilësinë e ajrit të mjedisit të raportuara sipas draft ligjit nr.  datë…”Për mbrojtjen e cilësisë se ajrit të mjedisit” nenit 12, paragrafit 1 dhe nenit 13, paragrafi 1 do të konsiderohen të vlefshme me përjashtim të të dhënave të shënjuara si të përkohshme.</w:t>
      </w:r>
    </w:p>
    <w:p w:rsidR="00ED3C64" w:rsidRPr="004F46A6" w:rsidRDefault="00ED3C64" w:rsidP="00ED3C64">
      <w:pPr>
        <w:pStyle w:val="Paragrafi"/>
        <w:jc w:val="center"/>
        <w:rPr>
          <w:spacing w:val="-4"/>
          <w:sz w:val="14"/>
          <w:lang w:val="sq-AL"/>
        </w:rPr>
      </w:pPr>
    </w:p>
    <w:p w:rsidR="00ED3C64" w:rsidRPr="00E00CAD" w:rsidRDefault="00ED3C64" w:rsidP="00ED3C64">
      <w:pPr>
        <w:pStyle w:val="Paragrafi"/>
        <w:jc w:val="center"/>
        <w:rPr>
          <w:spacing w:val="-4"/>
          <w:lang w:val="sq-AL"/>
        </w:rPr>
      </w:pPr>
      <w:r w:rsidRPr="00E00CAD">
        <w:rPr>
          <w:spacing w:val="-4"/>
          <w:lang w:val="sq-AL"/>
        </w:rPr>
        <w:t>ANEKSI II</w:t>
      </w:r>
    </w:p>
    <w:p w:rsidR="00ED3C64" w:rsidRPr="00E00CAD" w:rsidRDefault="00ED3C64" w:rsidP="00ED3C64">
      <w:pPr>
        <w:pStyle w:val="Paragrafi"/>
        <w:jc w:val="center"/>
        <w:rPr>
          <w:spacing w:val="-4"/>
          <w:lang w:val="sq-AL"/>
        </w:rPr>
      </w:pPr>
      <w:r w:rsidRPr="00E00CAD">
        <w:rPr>
          <w:spacing w:val="-4"/>
          <w:lang w:val="sq-AL"/>
        </w:rPr>
        <w:t xml:space="preserve">Përcaktimi i kërkesave për vlerësimin e përqendrimeve të dyoksidit të squfurit, dyoksidit të azotit dhe </w:t>
      </w:r>
      <w:r w:rsidRPr="00E00CAD">
        <w:rPr>
          <w:spacing w:val="-4"/>
          <w:lang w:val="sq-AL"/>
        </w:rPr>
        <w:lastRenderedPageBreak/>
        <w:t>oksideve të azotit, lëndës së ngurtë pezull (PM</w:t>
      </w:r>
      <w:r w:rsidRPr="00F1129F">
        <w:rPr>
          <w:spacing w:val="-4"/>
          <w:vertAlign w:val="subscript"/>
          <w:lang w:val="sq-AL"/>
        </w:rPr>
        <w:t xml:space="preserve">10 </w:t>
      </w:r>
      <w:r w:rsidRPr="00E00CAD">
        <w:rPr>
          <w:spacing w:val="-4"/>
          <w:lang w:val="sq-AL"/>
        </w:rPr>
        <w:t>dhe PM</w:t>
      </w:r>
      <w:r w:rsidRPr="00F1129F">
        <w:rPr>
          <w:spacing w:val="-4"/>
          <w:vertAlign w:val="subscript"/>
          <w:lang w:val="sq-AL"/>
        </w:rPr>
        <w:t>2,5</w:t>
      </w:r>
      <w:r w:rsidRPr="00E00CAD">
        <w:rPr>
          <w:spacing w:val="-4"/>
          <w:lang w:val="sq-AL"/>
        </w:rPr>
        <w:t>), plumbit, benzenit dhe monoksidit të karbonit në ajrin e mjedisit brenda një zone ose aglomerati</w:t>
      </w:r>
    </w:p>
    <w:p w:rsidR="00ED3C64" w:rsidRPr="00E00CAD" w:rsidRDefault="00ED3C64" w:rsidP="00ED3C64">
      <w:pPr>
        <w:pStyle w:val="Paragrafi"/>
        <w:rPr>
          <w:spacing w:val="-4"/>
          <w:lang w:val="sq-AL"/>
        </w:rPr>
      </w:pPr>
      <w:r w:rsidRPr="00E00CAD">
        <w:rPr>
          <w:spacing w:val="-4"/>
          <w:lang w:val="sq-AL"/>
        </w:rPr>
        <w:t>(Referuar në pikat 3.1 dhe 3.4 të këtij vendimi)</w:t>
      </w:r>
    </w:p>
    <w:p w:rsidR="00ED3C64" w:rsidRPr="00362C0D" w:rsidRDefault="00ED3C64" w:rsidP="00ED3C64">
      <w:pPr>
        <w:pStyle w:val="Paragrafi"/>
        <w:rPr>
          <w:spacing w:val="-4"/>
          <w:sz w:val="14"/>
          <w:lang w:val="sq-AL"/>
        </w:rPr>
      </w:pPr>
    </w:p>
    <w:p w:rsidR="00ED3C64" w:rsidRPr="00E00CAD" w:rsidRDefault="00ED3C64" w:rsidP="00ED3C64">
      <w:pPr>
        <w:pStyle w:val="Paragrafi"/>
        <w:rPr>
          <w:spacing w:val="-4"/>
          <w:lang w:val="sq-AL"/>
        </w:rPr>
      </w:pPr>
      <w:r w:rsidRPr="00E00CAD">
        <w:rPr>
          <w:spacing w:val="-4"/>
          <w:lang w:val="sq-AL"/>
        </w:rPr>
        <w:t>Seksioni A. Pragjet e sipërme dhe të poshtme të vlerësimit</w:t>
      </w:r>
    </w:p>
    <w:p w:rsidR="00ED3C64" w:rsidRPr="00E00CAD" w:rsidRDefault="00ED3C64" w:rsidP="00ED3C64">
      <w:pPr>
        <w:pStyle w:val="Paragrafi"/>
        <w:rPr>
          <w:spacing w:val="-4"/>
          <w:lang w:val="sq-AL"/>
        </w:rPr>
      </w:pPr>
      <w:r w:rsidRPr="00E00CAD">
        <w:rPr>
          <w:spacing w:val="-4"/>
          <w:lang w:val="sq-AL"/>
        </w:rPr>
        <w:t>Për ndotësit e mëposhtëm zbatohen këto pragje të sipërme dhe të poshtme të vlerësimit:</w:t>
      </w:r>
    </w:p>
    <w:p w:rsidR="00ED3C64" w:rsidRDefault="00ED3C64" w:rsidP="00ED3C64">
      <w:pPr>
        <w:pStyle w:val="Paragrafi"/>
        <w:rPr>
          <w:lang w:val="sq-AL"/>
        </w:rPr>
        <w:sectPr w:rsidR="00ED3C64" w:rsidSect="001E746C">
          <w:type w:val="continuous"/>
          <w:pgSz w:w="11907" w:h="16840" w:code="9"/>
          <w:pgMar w:top="720" w:right="1134" w:bottom="720" w:left="1134" w:header="851" w:footer="851" w:gutter="0"/>
          <w:cols w:space="454"/>
          <w:docGrid w:linePitch="360"/>
        </w:sectPr>
      </w:pPr>
    </w:p>
    <w:p w:rsidR="00ED3C64" w:rsidRPr="004F46A6" w:rsidRDefault="00ED3C64" w:rsidP="00ED3C64">
      <w:pPr>
        <w:pStyle w:val="Hapesira7"/>
        <w:rPr>
          <w:sz w:val="6"/>
          <w:lang w:val="sq-AL"/>
        </w:rPr>
      </w:pPr>
    </w:p>
    <w:p w:rsidR="00ED3C64" w:rsidRPr="00DC42C4" w:rsidRDefault="00ED3C64" w:rsidP="00ED3C64">
      <w:pPr>
        <w:pStyle w:val="Paragrafi"/>
        <w:rPr>
          <w:lang w:val="sq-AL"/>
        </w:rPr>
      </w:pPr>
      <w:r w:rsidRPr="00DC42C4">
        <w:rPr>
          <w:lang w:val="sq-AL"/>
        </w:rPr>
        <w:t>1. Dyoksidi i squfurit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33"/>
        <w:gridCol w:w="4435"/>
        <w:gridCol w:w="3087"/>
      </w:tblGrid>
      <w:tr w:rsidR="00ED3C64" w:rsidRPr="00DC42C4" w:rsidTr="00BC62B1">
        <w:tc>
          <w:tcPr>
            <w:tcW w:w="1184" w:type="pct"/>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p>
        </w:tc>
        <w:tc>
          <w:tcPr>
            <w:tcW w:w="2250" w:type="pct"/>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Mbrojtja e shëndetit</w:t>
            </w:r>
          </w:p>
        </w:tc>
        <w:tc>
          <w:tcPr>
            <w:tcW w:w="1566" w:type="pct"/>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Mbrojtja e bimësisë</w:t>
            </w:r>
          </w:p>
        </w:tc>
      </w:tr>
      <w:tr w:rsidR="00ED3C64" w:rsidRPr="00DC42C4" w:rsidTr="00BC62B1">
        <w:tc>
          <w:tcPr>
            <w:tcW w:w="1184"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Pragu i sipërm i vlerësimit</w:t>
            </w:r>
          </w:p>
        </w:tc>
        <w:tc>
          <w:tcPr>
            <w:tcW w:w="2250" w:type="pct"/>
          </w:tcPr>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60 % e vlerës kufi  24-orëshe (75 μg/m³, të mos kapërcehet më shumë se sa 3 herë në një vit kalendarik)</w:t>
            </w:r>
          </w:p>
        </w:tc>
        <w:tc>
          <w:tcPr>
            <w:tcW w:w="1566" w:type="pct"/>
          </w:tcPr>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 xml:space="preserve">60 % e nivelit kritik të dimrit </w:t>
            </w:r>
          </w:p>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(12 μg/m³)</w:t>
            </w:r>
          </w:p>
        </w:tc>
      </w:tr>
      <w:tr w:rsidR="00ED3C64" w:rsidRPr="00DC42C4" w:rsidTr="00BC62B1">
        <w:tc>
          <w:tcPr>
            <w:tcW w:w="1184"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Pragu i poshtëm i vlerësimit</w:t>
            </w:r>
          </w:p>
        </w:tc>
        <w:tc>
          <w:tcPr>
            <w:tcW w:w="2250" w:type="pct"/>
          </w:tcPr>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40 %  të vlerës kufi 24-orëshe (50 μg/m³, të mos kapërcehet më shumë se 3 herë në një vit kalendarik)</w:t>
            </w:r>
          </w:p>
        </w:tc>
        <w:tc>
          <w:tcPr>
            <w:tcW w:w="1566" w:type="pct"/>
          </w:tcPr>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40 % nivelit kritik të dimrit</w:t>
            </w:r>
            <w:r w:rsidRPr="00DC42C4" w:rsidDel="00573D41">
              <w:rPr>
                <w:rFonts w:ascii="Garamond" w:hAnsi="Garamond"/>
                <w:sz w:val="20"/>
                <w:szCs w:val="20"/>
                <w:lang w:val="sq-AL"/>
              </w:rPr>
              <w:t xml:space="preserve"> </w:t>
            </w:r>
          </w:p>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(8 μg/m³)</w:t>
            </w:r>
          </w:p>
        </w:tc>
      </w:tr>
    </w:tbl>
    <w:p w:rsidR="00ED3C64" w:rsidRPr="00DC42C4" w:rsidRDefault="00ED3C64" w:rsidP="00ED3C64">
      <w:pPr>
        <w:pStyle w:val="ListParagraph"/>
        <w:widowControl w:val="0"/>
        <w:spacing w:after="0" w:line="240" w:lineRule="auto"/>
        <w:ind w:left="426"/>
        <w:rPr>
          <w:rFonts w:ascii="Garamond" w:hAnsi="Garamond"/>
          <w:lang w:val="sq-AL"/>
        </w:rPr>
      </w:pPr>
      <w:r w:rsidRPr="00DC42C4">
        <w:rPr>
          <w:rFonts w:ascii="Garamond" w:hAnsi="Garamond"/>
          <w:lang w:val="sq-AL"/>
        </w:rPr>
        <w:t>2. Dyoksidi i azotit dhe oksidet e azotit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81"/>
        <w:gridCol w:w="2281"/>
        <w:gridCol w:w="2281"/>
        <w:gridCol w:w="3012"/>
      </w:tblGrid>
      <w:tr w:rsidR="00ED3C64" w:rsidRPr="00DC42C4" w:rsidTr="00BC62B1">
        <w:tc>
          <w:tcPr>
            <w:tcW w:w="1157"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p>
        </w:tc>
        <w:tc>
          <w:tcPr>
            <w:tcW w:w="1157"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Vlera kufi orare për mbrojtjen e shëndetit publik (NO</w:t>
            </w:r>
            <w:r w:rsidRPr="00362C0D">
              <w:rPr>
                <w:rFonts w:ascii="Garamond" w:hAnsi="Garamond"/>
                <w:sz w:val="20"/>
                <w:szCs w:val="20"/>
                <w:vertAlign w:val="subscript"/>
                <w:lang w:val="sq-AL"/>
              </w:rPr>
              <w:t>2</w:t>
            </w:r>
            <w:r w:rsidRPr="00DC42C4">
              <w:rPr>
                <w:rFonts w:ascii="Garamond" w:hAnsi="Garamond"/>
                <w:sz w:val="20"/>
                <w:szCs w:val="20"/>
                <w:lang w:val="sq-AL"/>
              </w:rPr>
              <w:t>)</w:t>
            </w:r>
          </w:p>
        </w:tc>
        <w:tc>
          <w:tcPr>
            <w:tcW w:w="1157"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Vlera kufi vjetore për mbrojtjen e shëndetit publik (NO</w:t>
            </w:r>
            <w:r w:rsidRPr="00362C0D">
              <w:rPr>
                <w:rFonts w:ascii="Garamond" w:hAnsi="Garamond"/>
                <w:sz w:val="20"/>
                <w:szCs w:val="20"/>
                <w:vertAlign w:val="subscript"/>
                <w:lang w:val="sq-AL"/>
              </w:rPr>
              <w:t>2</w:t>
            </w:r>
            <w:r w:rsidRPr="00DC42C4">
              <w:rPr>
                <w:rFonts w:ascii="Garamond" w:hAnsi="Garamond"/>
                <w:sz w:val="20"/>
                <w:szCs w:val="20"/>
                <w:lang w:val="sq-AL"/>
              </w:rPr>
              <w:t>)</w:t>
            </w:r>
          </w:p>
        </w:tc>
        <w:tc>
          <w:tcPr>
            <w:tcW w:w="1528"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Niveli kritik vjetor për mbrojtjen e bimësisë dhe ekosistemeve natyrore (NOx)</w:t>
            </w:r>
          </w:p>
        </w:tc>
      </w:tr>
      <w:tr w:rsidR="00ED3C64" w:rsidRPr="00DC42C4" w:rsidTr="00BC62B1">
        <w:tc>
          <w:tcPr>
            <w:tcW w:w="1157"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Pragu i sipërm i vlerësimit</w:t>
            </w:r>
          </w:p>
        </w:tc>
        <w:tc>
          <w:tcPr>
            <w:tcW w:w="1157"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70 % e vlerës kufi (140 μg/ m³, të mos kapërcehet më shumë se 18 herë në një vit kalendarik)</w:t>
            </w:r>
          </w:p>
        </w:tc>
        <w:tc>
          <w:tcPr>
            <w:tcW w:w="1157"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80 % e vlerës kufi</w:t>
            </w:r>
          </w:p>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(32 μg/ m³)</w:t>
            </w:r>
          </w:p>
        </w:tc>
        <w:tc>
          <w:tcPr>
            <w:tcW w:w="1528"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80 % e nivelit kritik</w:t>
            </w:r>
          </w:p>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(24 μg/ m³)</w:t>
            </w:r>
          </w:p>
        </w:tc>
      </w:tr>
      <w:tr w:rsidR="00ED3C64" w:rsidRPr="00DC42C4" w:rsidTr="00BC62B1">
        <w:tc>
          <w:tcPr>
            <w:tcW w:w="1157"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Pragu i poshtëm i vlerësimit</w:t>
            </w:r>
          </w:p>
        </w:tc>
        <w:tc>
          <w:tcPr>
            <w:tcW w:w="1157"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50 % e vlerës kufi (100 μg/ m³, të mos kapërcehet më shumë se 18 herë në një vit kalendarik)</w:t>
            </w:r>
          </w:p>
        </w:tc>
        <w:tc>
          <w:tcPr>
            <w:tcW w:w="1157"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65 % e vlerës kufi</w:t>
            </w:r>
          </w:p>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(26 μg/ m³)</w:t>
            </w:r>
          </w:p>
        </w:tc>
        <w:tc>
          <w:tcPr>
            <w:tcW w:w="1528"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65 % e nivelit kritik</w:t>
            </w:r>
          </w:p>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(19,5 μg/ m³)</w:t>
            </w:r>
          </w:p>
        </w:tc>
      </w:tr>
    </w:tbl>
    <w:p w:rsidR="00ED3C64" w:rsidRPr="00DC42C4" w:rsidRDefault="00ED3C64" w:rsidP="00ED3C64">
      <w:pPr>
        <w:pStyle w:val="ListParagraph"/>
        <w:widowControl w:val="0"/>
        <w:spacing w:after="0" w:line="240" w:lineRule="auto"/>
        <w:ind w:left="426"/>
        <w:rPr>
          <w:rFonts w:ascii="Garamond" w:hAnsi="Garamond"/>
          <w:lang w:val="sq-AL"/>
        </w:rPr>
      </w:pPr>
      <w:r w:rsidRPr="00DC42C4">
        <w:rPr>
          <w:rFonts w:ascii="Garamond" w:hAnsi="Garamond"/>
          <w:lang w:val="sq-AL"/>
        </w:rPr>
        <w:t>3. Lënda e ngurtë pezull (PM</w:t>
      </w:r>
      <w:r w:rsidRPr="00DC42C4">
        <w:rPr>
          <w:rFonts w:ascii="Garamond" w:hAnsi="Garamond"/>
          <w:vertAlign w:val="subscript"/>
          <w:lang w:val="sq-AL"/>
        </w:rPr>
        <w:t>10</w:t>
      </w:r>
      <w:r w:rsidRPr="00DC42C4">
        <w:rPr>
          <w:rFonts w:ascii="Garamond" w:hAnsi="Garamond"/>
          <w:lang w:val="sq-AL"/>
        </w:rPr>
        <w:t>/ PM</w:t>
      </w:r>
      <w:r w:rsidRPr="00DC42C4">
        <w:rPr>
          <w:rFonts w:ascii="Garamond" w:hAnsi="Garamond"/>
          <w:vertAlign w:val="subscript"/>
          <w:lang w:val="sq-AL"/>
        </w:rPr>
        <w:t>2,5</w:t>
      </w:r>
      <w:r w:rsidRPr="00DC42C4">
        <w:rPr>
          <w:rFonts w:ascii="Garamond" w:hAnsi="Garamond"/>
          <w:lang w:val="sq-AL"/>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81"/>
        <w:gridCol w:w="2280"/>
        <w:gridCol w:w="2280"/>
        <w:gridCol w:w="3014"/>
      </w:tblGrid>
      <w:tr w:rsidR="00ED3C64" w:rsidRPr="004F46A6" w:rsidTr="00BC62B1">
        <w:tc>
          <w:tcPr>
            <w:tcW w:w="1157" w:type="pct"/>
          </w:tcPr>
          <w:p w:rsidR="00ED3C64" w:rsidRPr="004F46A6" w:rsidRDefault="00ED3C64" w:rsidP="00BC62B1">
            <w:pPr>
              <w:pStyle w:val="ListParagraph"/>
              <w:widowControl w:val="0"/>
              <w:spacing w:after="0" w:line="240" w:lineRule="auto"/>
              <w:ind w:left="0"/>
              <w:rPr>
                <w:rFonts w:ascii="Garamond" w:hAnsi="Garamond"/>
                <w:sz w:val="18"/>
                <w:szCs w:val="18"/>
                <w:lang w:val="sq-AL"/>
              </w:rPr>
            </w:pPr>
          </w:p>
        </w:tc>
        <w:tc>
          <w:tcPr>
            <w:tcW w:w="1157" w:type="pct"/>
          </w:tcPr>
          <w:p w:rsidR="00ED3C64" w:rsidRPr="004F46A6" w:rsidRDefault="00ED3C64" w:rsidP="00BC62B1">
            <w:pPr>
              <w:pStyle w:val="ListParagraph"/>
              <w:widowControl w:val="0"/>
              <w:spacing w:after="0" w:line="240" w:lineRule="auto"/>
              <w:ind w:left="0"/>
              <w:rPr>
                <w:rFonts w:ascii="Garamond" w:hAnsi="Garamond"/>
                <w:sz w:val="18"/>
                <w:szCs w:val="18"/>
                <w:lang w:val="sq-AL"/>
              </w:rPr>
            </w:pPr>
            <w:r w:rsidRPr="004F46A6">
              <w:rPr>
                <w:rFonts w:ascii="Garamond" w:hAnsi="Garamond"/>
                <w:sz w:val="18"/>
                <w:szCs w:val="18"/>
                <w:lang w:val="sq-AL"/>
              </w:rPr>
              <w:t>Mesatarja 24-orëshe e PM</w:t>
            </w:r>
            <w:r w:rsidRPr="004F46A6">
              <w:rPr>
                <w:rFonts w:ascii="Garamond" w:hAnsi="Garamond"/>
                <w:sz w:val="18"/>
                <w:szCs w:val="18"/>
                <w:vertAlign w:val="subscript"/>
                <w:lang w:val="sq-AL"/>
              </w:rPr>
              <w:t>10</w:t>
            </w:r>
          </w:p>
        </w:tc>
        <w:tc>
          <w:tcPr>
            <w:tcW w:w="1157" w:type="pct"/>
          </w:tcPr>
          <w:p w:rsidR="00ED3C64" w:rsidRPr="004F46A6" w:rsidRDefault="00ED3C64" w:rsidP="00BC62B1">
            <w:pPr>
              <w:pStyle w:val="ListParagraph"/>
              <w:widowControl w:val="0"/>
              <w:spacing w:after="0" w:line="240" w:lineRule="auto"/>
              <w:ind w:left="0"/>
              <w:rPr>
                <w:rFonts w:ascii="Garamond" w:hAnsi="Garamond"/>
                <w:sz w:val="18"/>
                <w:szCs w:val="18"/>
                <w:lang w:val="sq-AL"/>
              </w:rPr>
            </w:pPr>
            <w:r w:rsidRPr="004F46A6">
              <w:rPr>
                <w:rFonts w:ascii="Garamond" w:hAnsi="Garamond"/>
                <w:sz w:val="18"/>
                <w:szCs w:val="18"/>
                <w:lang w:val="sq-AL"/>
              </w:rPr>
              <w:t>Mesatarja vjetore e  PM</w:t>
            </w:r>
            <w:r w:rsidRPr="004F46A6">
              <w:rPr>
                <w:rFonts w:ascii="Garamond" w:hAnsi="Garamond"/>
                <w:sz w:val="18"/>
                <w:szCs w:val="18"/>
                <w:vertAlign w:val="subscript"/>
                <w:lang w:val="sq-AL"/>
              </w:rPr>
              <w:t>10</w:t>
            </w:r>
          </w:p>
        </w:tc>
        <w:tc>
          <w:tcPr>
            <w:tcW w:w="1528" w:type="pct"/>
          </w:tcPr>
          <w:p w:rsidR="00ED3C64" w:rsidRPr="004F46A6" w:rsidRDefault="00ED3C64" w:rsidP="00BC62B1">
            <w:pPr>
              <w:pStyle w:val="ListParagraph"/>
              <w:widowControl w:val="0"/>
              <w:spacing w:after="0" w:line="240" w:lineRule="auto"/>
              <w:ind w:left="0"/>
              <w:rPr>
                <w:rFonts w:ascii="Garamond" w:hAnsi="Garamond"/>
                <w:sz w:val="18"/>
                <w:szCs w:val="18"/>
                <w:lang w:val="sq-AL"/>
              </w:rPr>
            </w:pPr>
            <w:r w:rsidRPr="004F46A6">
              <w:rPr>
                <w:rFonts w:ascii="Garamond" w:hAnsi="Garamond"/>
                <w:sz w:val="18"/>
                <w:szCs w:val="18"/>
                <w:lang w:val="sq-AL"/>
              </w:rPr>
              <w:t xml:space="preserve">Mesatarja vjetore e </w:t>
            </w:r>
          </w:p>
          <w:p w:rsidR="00ED3C64" w:rsidRPr="004F46A6" w:rsidRDefault="00ED3C64" w:rsidP="00BC62B1">
            <w:pPr>
              <w:pStyle w:val="ListParagraph"/>
              <w:widowControl w:val="0"/>
              <w:spacing w:after="0" w:line="240" w:lineRule="auto"/>
              <w:ind w:left="0"/>
              <w:rPr>
                <w:rFonts w:ascii="Garamond" w:hAnsi="Garamond"/>
                <w:sz w:val="18"/>
                <w:szCs w:val="18"/>
                <w:lang w:val="sq-AL"/>
              </w:rPr>
            </w:pPr>
            <w:r w:rsidRPr="004F46A6">
              <w:rPr>
                <w:rFonts w:ascii="Garamond" w:hAnsi="Garamond"/>
                <w:sz w:val="18"/>
                <w:szCs w:val="18"/>
                <w:lang w:val="sq-AL"/>
              </w:rPr>
              <w:t>PM</w:t>
            </w:r>
            <w:r w:rsidRPr="004F46A6">
              <w:rPr>
                <w:rFonts w:ascii="Garamond" w:hAnsi="Garamond"/>
                <w:sz w:val="18"/>
                <w:szCs w:val="18"/>
                <w:vertAlign w:val="subscript"/>
                <w:lang w:val="sq-AL"/>
              </w:rPr>
              <w:t xml:space="preserve">2,5 </w:t>
            </w:r>
            <w:r w:rsidRPr="004F46A6">
              <w:rPr>
                <w:rFonts w:ascii="Garamond" w:hAnsi="Garamond"/>
                <w:sz w:val="18"/>
                <w:szCs w:val="18"/>
                <w:lang w:val="sq-AL"/>
              </w:rPr>
              <w:t>(1)</w:t>
            </w:r>
          </w:p>
        </w:tc>
      </w:tr>
      <w:tr w:rsidR="00ED3C64" w:rsidRPr="004F46A6" w:rsidTr="00BC62B1">
        <w:tc>
          <w:tcPr>
            <w:tcW w:w="1157" w:type="pct"/>
          </w:tcPr>
          <w:p w:rsidR="00ED3C64" w:rsidRPr="004F46A6" w:rsidRDefault="00ED3C64" w:rsidP="00BC62B1">
            <w:pPr>
              <w:pStyle w:val="ListParagraph"/>
              <w:widowControl w:val="0"/>
              <w:spacing w:after="0" w:line="240" w:lineRule="auto"/>
              <w:ind w:left="0"/>
              <w:rPr>
                <w:rFonts w:ascii="Garamond" w:hAnsi="Garamond"/>
                <w:sz w:val="18"/>
                <w:szCs w:val="18"/>
                <w:lang w:val="sq-AL"/>
              </w:rPr>
            </w:pPr>
            <w:r w:rsidRPr="004F46A6">
              <w:rPr>
                <w:rFonts w:ascii="Garamond" w:hAnsi="Garamond"/>
                <w:sz w:val="18"/>
                <w:szCs w:val="18"/>
                <w:lang w:val="sq-AL"/>
              </w:rPr>
              <w:t>Pragu i sipërm i vlerësimit</w:t>
            </w:r>
          </w:p>
        </w:tc>
        <w:tc>
          <w:tcPr>
            <w:tcW w:w="1157" w:type="pct"/>
          </w:tcPr>
          <w:p w:rsidR="00ED3C64" w:rsidRPr="004F46A6" w:rsidRDefault="00ED3C64" w:rsidP="00BC62B1">
            <w:pPr>
              <w:pStyle w:val="ListParagraph"/>
              <w:widowControl w:val="0"/>
              <w:spacing w:after="0" w:line="240" w:lineRule="auto"/>
              <w:ind w:left="0"/>
              <w:rPr>
                <w:rFonts w:ascii="Garamond" w:hAnsi="Garamond"/>
                <w:sz w:val="18"/>
                <w:szCs w:val="18"/>
                <w:lang w:val="sq-AL"/>
              </w:rPr>
            </w:pPr>
            <w:r w:rsidRPr="004F46A6">
              <w:rPr>
                <w:rFonts w:ascii="Garamond" w:hAnsi="Garamond"/>
                <w:sz w:val="18"/>
                <w:szCs w:val="18"/>
                <w:lang w:val="sq-AL"/>
              </w:rPr>
              <w:t>70 % e vlerës kufi (35 μg/ m³, të mos kapërcehet më shumë se 35 herë në një vit kalendarik)</w:t>
            </w:r>
          </w:p>
        </w:tc>
        <w:tc>
          <w:tcPr>
            <w:tcW w:w="1157" w:type="pct"/>
          </w:tcPr>
          <w:p w:rsidR="00ED3C64" w:rsidRPr="004F46A6" w:rsidRDefault="00ED3C64" w:rsidP="00BC62B1">
            <w:pPr>
              <w:pStyle w:val="ListParagraph"/>
              <w:widowControl w:val="0"/>
              <w:spacing w:after="0" w:line="240" w:lineRule="auto"/>
              <w:ind w:left="0"/>
              <w:rPr>
                <w:rFonts w:ascii="Garamond" w:hAnsi="Garamond"/>
                <w:sz w:val="18"/>
                <w:szCs w:val="18"/>
                <w:lang w:val="sq-AL"/>
              </w:rPr>
            </w:pPr>
            <w:r w:rsidRPr="004F46A6">
              <w:rPr>
                <w:rFonts w:ascii="Garamond" w:hAnsi="Garamond"/>
                <w:sz w:val="18"/>
                <w:szCs w:val="18"/>
                <w:lang w:val="sq-AL"/>
              </w:rPr>
              <w:t xml:space="preserve">70 % e vlerës kufi së </w:t>
            </w:r>
          </w:p>
          <w:p w:rsidR="00ED3C64" w:rsidRPr="004F46A6" w:rsidRDefault="00ED3C64" w:rsidP="00BC62B1">
            <w:pPr>
              <w:pStyle w:val="ListParagraph"/>
              <w:widowControl w:val="0"/>
              <w:spacing w:after="0" w:line="240" w:lineRule="auto"/>
              <w:ind w:left="0"/>
              <w:rPr>
                <w:rFonts w:ascii="Garamond" w:hAnsi="Garamond"/>
                <w:sz w:val="18"/>
                <w:szCs w:val="18"/>
                <w:lang w:val="sq-AL"/>
              </w:rPr>
            </w:pPr>
            <w:r w:rsidRPr="004F46A6">
              <w:rPr>
                <w:rFonts w:ascii="Garamond" w:hAnsi="Garamond"/>
                <w:sz w:val="18"/>
                <w:szCs w:val="18"/>
                <w:lang w:val="sq-AL"/>
              </w:rPr>
              <w:t>(28 μg/ m³)</w:t>
            </w:r>
          </w:p>
        </w:tc>
        <w:tc>
          <w:tcPr>
            <w:tcW w:w="1528" w:type="pct"/>
          </w:tcPr>
          <w:p w:rsidR="00ED3C64" w:rsidRPr="004F46A6" w:rsidRDefault="00ED3C64" w:rsidP="00BC62B1">
            <w:pPr>
              <w:pStyle w:val="ListParagraph"/>
              <w:widowControl w:val="0"/>
              <w:spacing w:after="0" w:line="240" w:lineRule="auto"/>
              <w:ind w:left="0"/>
              <w:rPr>
                <w:rFonts w:ascii="Garamond" w:hAnsi="Garamond"/>
                <w:sz w:val="18"/>
                <w:szCs w:val="18"/>
                <w:lang w:val="sq-AL"/>
              </w:rPr>
            </w:pPr>
            <w:r w:rsidRPr="004F46A6">
              <w:rPr>
                <w:rFonts w:ascii="Garamond" w:hAnsi="Garamond"/>
                <w:sz w:val="18"/>
                <w:szCs w:val="18"/>
                <w:lang w:val="sq-AL"/>
              </w:rPr>
              <w:t xml:space="preserve">70 % e vlerës kufi të </w:t>
            </w:r>
          </w:p>
          <w:p w:rsidR="00ED3C64" w:rsidRPr="004F46A6" w:rsidRDefault="00ED3C64" w:rsidP="00BC62B1">
            <w:pPr>
              <w:pStyle w:val="ListParagraph"/>
              <w:widowControl w:val="0"/>
              <w:spacing w:after="0" w:line="240" w:lineRule="auto"/>
              <w:ind w:left="0"/>
              <w:rPr>
                <w:rFonts w:ascii="Garamond" w:hAnsi="Garamond"/>
                <w:sz w:val="18"/>
                <w:szCs w:val="18"/>
                <w:lang w:val="sq-AL"/>
              </w:rPr>
            </w:pPr>
            <w:r w:rsidRPr="004F46A6">
              <w:rPr>
                <w:rFonts w:ascii="Garamond" w:hAnsi="Garamond"/>
                <w:sz w:val="18"/>
                <w:szCs w:val="18"/>
                <w:lang w:val="sq-AL"/>
              </w:rPr>
              <w:t>(17 μg/ m³)</w:t>
            </w:r>
          </w:p>
        </w:tc>
      </w:tr>
      <w:tr w:rsidR="00ED3C64" w:rsidRPr="004F46A6" w:rsidTr="00BC62B1">
        <w:tc>
          <w:tcPr>
            <w:tcW w:w="1157" w:type="pct"/>
          </w:tcPr>
          <w:p w:rsidR="00ED3C64" w:rsidRPr="004F46A6" w:rsidRDefault="00ED3C64" w:rsidP="00BC62B1">
            <w:pPr>
              <w:pStyle w:val="ListParagraph"/>
              <w:widowControl w:val="0"/>
              <w:spacing w:after="0" w:line="240" w:lineRule="auto"/>
              <w:ind w:left="0"/>
              <w:rPr>
                <w:rFonts w:ascii="Garamond" w:hAnsi="Garamond"/>
                <w:sz w:val="18"/>
                <w:szCs w:val="18"/>
                <w:lang w:val="sq-AL"/>
              </w:rPr>
            </w:pPr>
            <w:r w:rsidRPr="004F46A6">
              <w:rPr>
                <w:rFonts w:ascii="Garamond" w:hAnsi="Garamond"/>
                <w:sz w:val="18"/>
                <w:szCs w:val="18"/>
                <w:lang w:val="sq-AL"/>
              </w:rPr>
              <w:t>Pragu i poshtëm i vlerësimit</w:t>
            </w:r>
          </w:p>
        </w:tc>
        <w:tc>
          <w:tcPr>
            <w:tcW w:w="1157" w:type="pct"/>
          </w:tcPr>
          <w:p w:rsidR="00ED3C64" w:rsidRPr="004F46A6" w:rsidRDefault="00ED3C64" w:rsidP="00BC62B1">
            <w:pPr>
              <w:pStyle w:val="ListParagraph"/>
              <w:widowControl w:val="0"/>
              <w:spacing w:after="0" w:line="240" w:lineRule="auto"/>
              <w:ind w:left="0"/>
              <w:rPr>
                <w:rFonts w:ascii="Garamond" w:hAnsi="Garamond"/>
                <w:sz w:val="18"/>
                <w:szCs w:val="18"/>
                <w:lang w:val="sq-AL"/>
              </w:rPr>
            </w:pPr>
            <w:r w:rsidRPr="004F46A6">
              <w:rPr>
                <w:rFonts w:ascii="Garamond" w:hAnsi="Garamond"/>
                <w:sz w:val="18"/>
                <w:szCs w:val="18"/>
                <w:lang w:val="sq-AL"/>
              </w:rPr>
              <w:t>50 % e vlerës kufi (25 μg/ m³, të mos kapërcehet më shumë se 35 herë në një vit kalendarik)</w:t>
            </w:r>
          </w:p>
        </w:tc>
        <w:tc>
          <w:tcPr>
            <w:tcW w:w="1157" w:type="pct"/>
          </w:tcPr>
          <w:p w:rsidR="00ED3C64" w:rsidRPr="004F46A6" w:rsidRDefault="00ED3C64" w:rsidP="00BC62B1">
            <w:pPr>
              <w:pStyle w:val="ListParagraph"/>
              <w:widowControl w:val="0"/>
              <w:spacing w:after="0" w:line="240" w:lineRule="auto"/>
              <w:ind w:left="0"/>
              <w:rPr>
                <w:rFonts w:ascii="Garamond" w:hAnsi="Garamond"/>
                <w:sz w:val="18"/>
                <w:szCs w:val="18"/>
                <w:lang w:val="sq-AL"/>
              </w:rPr>
            </w:pPr>
            <w:r w:rsidRPr="004F46A6">
              <w:rPr>
                <w:rFonts w:ascii="Garamond" w:hAnsi="Garamond"/>
                <w:sz w:val="18"/>
                <w:szCs w:val="18"/>
                <w:lang w:val="sq-AL"/>
              </w:rPr>
              <w:t>50 % e vlerës kufi</w:t>
            </w:r>
          </w:p>
          <w:p w:rsidR="00ED3C64" w:rsidRPr="004F46A6" w:rsidRDefault="00ED3C64" w:rsidP="00BC62B1">
            <w:pPr>
              <w:pStyle w:val="ListParagraph"/>
              <w:widowControl w:val="0"/>
              <w:spacing w:after="0" w:line="240" w:lineRule="auto"/>
              <w:ind w:left="0"/>
              <w:rPr>
                <w:rFonts w:ascii="Garamond" w:hAnsi="Garamond"/>
                <w:sz w:val="18"/>
                <w:szCs w:val="18"/>
                <w:lang w:val="sq-AL"/>
              </w:rPr>
            </w:pPr>
            <w:r w:rsidRPr="004F46A6">
              <w:rPr>
                <w:rFonts w:ascii="Garamond" w:hAnsi="Garamond"/>
                <w:sz w:val="18"/>
                <w:szCs w:val="18"/>
                <w:lang w:val="sq-AL"/>
              </w:rPr>
              <w:t>(20 μg/ m³)</w:t>
            </w:r>
          </w:p>
        </w:tc>
        <w:tc>
          <w:tcPr>
            <w:tcW w:w="1528" w:type="pct"/>
          </w:tcPr>
          <w:p w:rsidR="00ED3C64" w:rsidRPr="004F46A6" w:rsidRDefault="00ED3C64" w:rsidP="00BC62B1">
            <w:pPr>
              <w:pStyle w:val="ListParagraph"/>
              <w:widowControl w:val="0"/>
              <w:spacing w:after="0" w:line="240" w:lineRule="auto"/>
              <w:ind w:left="0"/>
              <w:rPr>
                <w:rFonts w:ascii="Garamond" w:hAnsi="Garamond"/>
                <w:sz w:val="18"/>
                <w:szCs w:val="18"/>
                <w:lang w:val="sq-AL"/>
              </w:rPr>
            </w:pPr>
            <w:r w:rsidRPr="004F46A6">
              <w:rPr>
                <w:rFonts w:ascii="Garamond" w:hAnsi="Garamond"/>
                <w:sz w:val="18"/>
                <w:szCs w:val="18"/>
                <w:lang w:val="sq-AL"/>
              </w:rPr>
              <w:t xml:space="preserve">50 % e vlerës kufi </w:t>
            </w:r>
          </w:p>
          <w:p w:rsidR="00ED3C64" w:rsidRPr="004F46A6" w:rsidRDefault="00ED3C64" w:rsidP="00BC62B1">
            <w:pPr>
              <w:pStyle w:val="ListParagraph"/>
              <w:widowControl w:val="0"/>
              <w:spacing w:after="0" w:line="240" w:lineRule="auto"/>
              <w:ind w:left="0"/>
              <w:rPr>
                <w:rFonts w:ascii="Garamond" w:hAnsi="Garamond"/>
                <w:sz w:val="18"/>
                <w:szCs w:val="18"/>
                <w:lang w:val="sq-AL"/>
              </w:rPr>
            </w:pPr>
            <w:r w:rsidRPr="004F46A6">
              <w:rPr>
                <w:rFonts w:ascii="Garamond" w:hAnsi="Garamond"/>
                <w:sz w:val="18"/>
                <w:szCs w:val="18"/>
                <w:lang w:val="sq-AL"/>
              </w:rPr>
              <w:t>(12 μg/ m³)</w:t>
            </w:r>
          </w:p>
        </w:tc>
      </w:tr>
      <w:tr w:rsidR="00ED3C64" w:rsidRPr="004F46A6" w:rsidTr="00BC62B1">
        <w:trPr>
          <w:trHeight w:val="478"/>
        </w:trPr>
        <w:tc>
          <w:tcPr>
            <w:tcW w:w="5000" w:type="pct"/>
            <w:gridSpan w:val="4"/>
          </w:tcPr>
          <w:p w:rsidR="00ED3C64" w:rsidRPr="004F46A6" w:rsidRDefault="00ED3C64" w:rsidP="00BC62B1">
            <w:pPr>
              <w:pStyle w:val="ListParagraph"/>
              <w:widowControl w:val="0"/>
              <w:spacing w:after="0" w:line="240" w:lineRule="auto"/>
              <w:ind w:left="0"/>
              <w:jc w:val="both"/>
              <w:rPr>
                <w:rFonts w:ascii="Garamond" w:hAnsi="Garamond"/>
                <w:sz w:val="18"/>
                <w:szCs w:val="18"/>
                <w:lang w:val="sq-AL"/>
              </w:rPr>
            </w:pPr>
            <w:r w:rsidRPr="004F46A6">
              <w:rPr>
                <w:rFonts w:ascii="Garamond" w:hAnsi="Garamond"/>
                <w:sz w:val="18"/>
                <w:szCs w:val="18"/>
                <w:lang w:val="sq-AL"/>
              </w:rPr>
              <w:t>(1) Pragu i sipërm dhe i poshtëm i vlerësimit për PM</w:t>
            </w:r>
            <w:r w:rsidRPr="004F46A6">
              <w:rPr>
                <w:rFonts w:ascii="Garamond" w:hAnsi="Garamond"/>
                <w:sz w:val="18"/>
                <w:szCs w:val="18"/>
                <w:vertAlign w:val="subscript"/>
                <w:lang w:val="sq-AL"/>
              </w:rPr>
              <w:t xml:space="preserve">2,5 </w:t>
            </w:r>
            <w:r w:rsidRPr="004F46A6">
              <w:rPr>
                <w:rFonts w:ascii="Garamond" w:hAnsi="Garamond"/>
                <w:sz w:val="18"/>
                <w:szCs w:val="18"/>
                <w:lang w:val="sq-AL"/>
              </w:rPr>
              <w:t>nuk zbatohen në matjet që bëhen për vlerësimin e përputhshmërisë me synimin për pakësimin e ekspozimit ndaj PM</w:t>
            </w:r>
            <w:r w:rsidRPr="004F46A6">
              <w:rPr>
                <w:rFonts w:ascii="Garamond" w:hAnsi="Garamond"/>
                <w:sz w:val="18"/>
                <w:szCs w:val="18"/>
                <w:vertAlign w:val="subscript"/>
                <w:lang w:val="sq-AL"/>
              </w:rPr>
              <w:t xml:space="preserve">2,5 </w:t>
            </w:r>
            <w:r w:rsidRPr="004F46A6">
              <w:rPr>
                <w:rFonts w:ascii="Garamond" w:hAnsi="Garamond"/>
                <w:sz w:val="18"/>
                <w:szCs w:val="18"/>
                <w:lang w:val="sq-AL"/>
              </w:rPr>
              <w:t>për mbrojtjen e shëndetit publik.</w:t>
            </w:r>
          </w:p>
        </w:tc>
      </w:tr>
    </w:tbl>
    <w:p w:rsidR="00ED3C64" w:rsidRDefault="00ED3C64" w:rsidP="00ED3C64">
      <w:pPr>
        <w:pStyle w:val="ListParagraph"/>
        <w:widowControl w:val="0"/>
        <w:spacing w:after="0" w:line="240" w:lineRule="auto"/>
        <w:ind w:left="426"/>
        <w:jc w:val="both"/>
        <w:rPr>
          <w:rFonts w:ascii="Garamond" w:hAnsi="Garamond"/>
          <w:lang w:val="sq-AL"/>
        </w:rPr>
        <w:sectPr w:rsidR="00ED3C64" w:rsidSect="001E746C">
          <w:type w:val="continuous"/>
          <w:pgSz w:w="11907" w:h="16840" w:code="9"/>
          <w:pgMar w:top="720" w:right="1134" w:bottom="720" w:left="1134" w:header="851" w:footer="851" w:gutter="0"/>
          <w:cols w:space="720"/>
          <w:docGrid w:linePitch="360"/>
        </w:sectPr>
      </w:pPr>
    </w:p>
    <w:p w:rsidR="00ED3C64" w:rsidRPr="00DC42C4" w:rsidRDefault="00ED3C64" w:rsidP="00ED3C64">
      <w:pPr>
        <w:pStyle w:val="ListParagraph"/>
        <w:widowControl w:val="0"/>
        <w:spacing w:after="0" w:line="240" w:lineRule="auto"/>
        <w:ind w:left="0"/>
        <w:jc w:val="both"/>
        <w:rPr>
          <w:rFonts w:ascii="Garamond" w:hAnsi="Garamond"/>
          <w:lang w:val="sq-AL"/>
        </w:rPr>
      </w:pPr>
      <w:r>
        <w:rPr>
          <w:rFonts w:ascii="Garamond" w:hAnsi="Garamond"/>
          <w:lang w:val="sq-AL"/>
        </w:rPr>
        <w:lastRenderedPageBreak/>
        <w:t>4</w:t>
      </w:r>
      <w:r w:rsidRPr="00DC42C4">
        <w:rPr>
          <w:rFonts w:ascii="Garamond" w:hAnsi="Garamond"/>
          <w:lang w:val="sq-AL"/>
        </w:rPr>
        <w:t>. Plumbi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35"/>
        <w:gridCol w:w="2551"/>
      </w:tblGrid>
      <w:tr w:rsidR="00ED3C64" w:rsidRPr="00FC21B0" w:rsidTr="00BC62B1">
        <w:tc>
          <w:tcPr>
            <w:tcW w:w="2235" w:type="dxa"/>
          </w:tcPr>
          <w:p w:rsidR="00ED3C64" w:rsidRPr="00FC21B0" w:rsidRDefault="00ED3C64" w:rsidP="00BC62B1">
            <w:pPr>
              <w:pStyle w:val="ListParagraph"/>
              <w:widowControl w:val="0"/>
              <w:spacing w:after="0" w:line="240" w:lineRule="auto"/>
              <w:ind w:left="0"/>
              <w:jc w:val="both"/>
              <w:rPr>
                <w:rFonts w:ascii="Garamond" w:hAnsi="Garamond"/>
                <w:sz w:val="18"/>
                <w:szCs w:val="18"/>
                <w:lang w:val="sq-AL"/>
              </w:rPr>
            </w:pPr>
          </w:p>
        </w:tc>
        <w:tc>
          <w:tcPr>
            <w:tcW w:w="2551" w:type="dxa"/>
          </w:tcPr>
          <w:p w:rsidR="00ED3C64" w:rsidRPr="00FC21B0" w:rsidRDefault="00ED3C64" w:rsidP="00BC62B1">
            <w:pPr>
              <w:pStyle w:val="ListParagraph"/>
              <w:widowControl w:val="0"/>
              <w:spacing w:after="0" w:line="240" w:lineRule="auto"/>
              <w:ind w:left="0"/>
              <w:jc w:val="both"/>
              <w:rPr>
                <w:rFonts w:ascii="Garamond" w:hAnsi="Garamond"/>
                <w:sz w:val="18"/>
                <w:szCs w:val="18"/>
                <w:lang w:val="sq-AL"/>
              </w:rPr>
            </w:pPr>
            <w:r w:rsidRPr="00FC21B0">
              <w:rPr>
                <w:rFonts w:ascii="Garamond" w:hAnsi="Garamond"/>
                <w:sz w:val="18"/>
                <w:szCs w:val="18"/>
                <w:lang w:val="sq-AL"/>
              </w:rPr>
              <w:t>Mesatarja vjetore</w:t>
            </w:r>
          </w:p>
        </w:tc>
      </w:tr>
      <w:tr w:rsidR="00ED3C64" w:rsidRPr="00FC21B0" w:rsidTr="00BC62B1">
        <w:tc>
          <w:tcPr>
            <w:tcW w:w="2235" w:type="dxa"/>
          </w:tcPr>
          <w:p w:rsidR="00ED3C64" w:rsidRPr="00FC21B0" w:rsidRDefault="00ED3C64" w:rsidP="00BC62B1">
            <w:pPr>
              <w:pStyle w:val="ListParagraph"/>
              <w:widowControl w:val="0"/>
              <w:spacing w:after="0" w:line="240" w:lineRule="auto"/>
              <w:ind w:left="0"/>
              <w:jc w:val="both"/>
              <w:rPr>
                <w:rFonts w:ascii="Garamond" w:hAnsi="Garamond"/>
                <w:sz w:val="18"/>
                <w:szCs w:val="18"/>
                <w:lang w:val="sq-AL"/>
              </w:rPr>
            </w:pPr>
            <w:r w:rsidRPr="00FC21B0">
              <w:rPr>
                <w:rFonts w:ascii="Garamond" w:hAnsi="Garamond"/>
                <w:sz w:val="18"/>
                <w:szCs w:val="18"/>
                <w:lang w:val="sq-AL"/>
              </w:rPr>
              <w:t>Pragu i sipërm i vlerësimit</w:t>
            </w:r>
          </w:p>
        </w:tc>
        <w:tc>
          <w:tcPr>
            <w:tcW w:w="2551" w:type="dxa"/>
          </w:tcPr>
          <w:p w:rsidR="00ED3C64" w:rsidRPr="00FC21B0" w:rsidRDefault="00ED3C64" w:rsidP="00BC62B1">
            <w:pPr>
              <w:pStyle w:val="ListParagraph"/>
              <w:widowControl w:val="0"/>
              <w:spacing w:after="0" w:line="240" w:lineRule="auto"/>
              <w:ind w:left="0"/>
              <w:jc w:val="both"/>
              <w:rPr>
                <w:rFonts w:ascii="Garamond" w:hAnsi="Garamond"/>
                <w:sz w:val="18"/>
                <w:szCs w:val="18"/>
                <w:lang w:val="sq-AL"/>
              </w:rPr>
            </w:pPr>
            <w:r w:rsidRPr="00FC21B0">
              <w:rPr>
                <w:rFonts w:ascii="Garamond" w:hAnsi="Garamond"/>
                <w:sz w:val="18"/>
                <w:szCs w:val="18"/>
                <w:lang w:val="sq-AL"/>
              </w:rPr>
              <w:t>70 % e vlerës kufi (0,35 μg/ m³)</w:t>
            </w:r>
          </w:p>
        </w:tc>
      </w:tr>
      <w:tr w:rsidR="00ED3C64" w:rsidRPr="00FC21B0" w:rsidTr="00BC62B1">
        <w:tc>
          <w:tcPr>
            <w:tcW w:w="2235" w:type="dxa"/>
          </w:tcPr>
          <w:p w:rsidR="00ED3C64" w:rsidRPr="00FC21B0" w:rsidRDefault="00ED3C64" w:rsidP="00BC62B1">
            <w:pPr>
              <w:pStyle w:val="ListParagraph"/>
              <w:widowControl w:val="0"/>
              <w:spacing w:after="0" w:line="240" w:lineRule="auto"/>
              <w:ind w:left="0"/>
              <w:jc w:val="both"/>
              <w:rPr>
                <w:rFonts w:ascii="Garamond" w:hAnsi="Garamond"/>
                <w:sz w:val="18"/>
                <w:szCs w:val="18"/>
                <w:lang w:val="sq-AL"/>
              </w:rPr>
            </w:pPr>
            <w:r w:rsidRPr="00FC21B0">
              <w:rPr>
                <w:rFonts w:ascii="Garamond" w:hAnsi="Garamond"/>
                <w:sz w:val="18"/>
                <w:szCs w:val="18"/>
                <w:lang w:val="sq-AL"/>
              </w:rPr>
              <w:t>Pragu i poshtëm i vlerësimit</w:t>
            </w:r>
          </w:p>
        </w:tc>
        <w:tc>
          <w:tcPr>
            <w:tcW w:w="2551" w:type="dxa"/>
          </w:tcPr>
          <w:p w:rsidR="00ED3C64" w:rsidRPr="00FC21B0" w:rsidRDefault="00ED3C64" w:rsidP="00BC62B1">
            <w:pPr>
              <w:pStyle w:val="ListParagraph"/>
              <w:widowControl w:val="0"/>
              <w:spacing w:after="0" w:line="240" w:lineRule="auto"/>
              <w:ind w:left="0"/>
              <w:jc w:val="both"/>
              <w:rPr>
                <w:rFonts w:ascii="Garamond" w:hAnsi="Garamond"/>
                <w:sz w:val="18"/>
                <w:szCs w:val="18"/>
                <w:lang w:val="sq-AL"/>
              </w:rPr>
            </w:pPr>
            <w:r w:rsidRPr="00FC21B0">
              <w:rPr>
                <w:rFonts w:ascii="Garamond" w:hAnsi="Garamond"/>
                <w:sz w:val="18"/>
                <w:szCs w:val="18"/>
                <w:lang w:val="sq-AL"/>
              </w:rPr>
              <w:t>50 % e vlerës kufi (0,25 μg/ m³)</w:t>
            </w:r>
          </w:p>
        </w:tc>
      </w:tr>
    </w:tbl>
    <w:p w:rsidR="00ED3C64" w:rsidRPr="00362C0D" w:rsidRDefault="00ED3C64" w:rsidP="00ED3C64">
      <w:pPr>
        <w:widowControl w:val="0"/>
        <w:spacing w:after="0" w:line="240" w:lineRule="auto"/>
        <w:ind w:firstLine="0"/>
        <w:rPr>
          <w:rFonts w:ascii="Garamond" w:hAnsi="Garamond"/>
          <w:lang w:val="sq-AL"/>
        </w:rPr>
      </w:pPr>
      <w:r w:rsidRPr="00DC42C4">
        <w:rPr>
          <w:rFonts w:ascii="Garamond" w:hAnsi="Garamond"/>
          <w:b/>
          <w:lang w:val="sq-AL"/>
        </w:rPr>
        <w:tab/>
      </w:r>
      <w:r w:rsidRPr="00362C0D">
        <w:rPr>
          <w:rFonts w:ascii="Garamond" w:hAnsi="Garamond"/>
          <w:lang w:val="sq-AL"/>
        </w:rPr>
        <w:t>5. Benzeni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35"/>
        <w:gridCol w:w="2551"/>
      </w:tblGrid>
      <w:tr w:rsidR="00ED3C64" w:rsidRPr="00FC21B0" w:rsidTr="00BC62B1">
        <w:tc>
          <w:tcPr>
            <w:tcW w:w="2235" w:type="dxa"/>
          </w:tcPr>
          <w:p w:rsidR="00ED3C64" w:rsidRPr="00FC21B0" w:rsidRDefault="00ED3C64" w:rsidP="00BC62B1">
            <w:pPr>
              <w:pStyle w:val="ListParagraph"/>
              <w:widowControl w:val="0"/>
              <w:spacing w:after="0" w:line="240" w:lineRule="auto"/>
              <w:ind w:left="0"/>
              <w:jc w:val="both"/>
              <w:rPr>
                <w:rFonts w:ascii="Garamond" w:hAnsi="Garamond"/>
                <w:sz w:val="18"/>
                <w:szCs w:val="18"/>
                <w:lang w:val="sq-AL"/>
              </w:rPr>
            </w:pPr>
          </w:p>
        </w:tc>
        <w:tc>
          <w:tcPr>
            <w:tcW w:w="2551" w:type="dxa"/>
          </w:tcPr>
          <w:p w:rsidR="00ED3C64" w:rsidRPr="00FC21B0" w:rsidRDefault="00ED3C64" w:rsidP="00BC62B1">
            <w:pPr>
              <w:pStyle w:val="ListParagraph"/>
              <w:widowControl w:val="0"/>
              <w:spacing w:after="0" w:line="240" w:lineRule="auto"/>
              <w:ind w:left="0"/>
              <w:jc w:val="both"/>
              <w:rPr>
                <w:rFonts w:ascii="Garamond" w:hAnsi="Garamond"/>
                <w:sz w:val="18"/>
                <w:szCs w:val="18"/>
                <w:lang w:val="sq-AL"/>
              </w:rPr>
            </w:pPr>
            <w:r w:rsidRPr="00FC21B0">
              <w:rPr>
                <w:rFonts w:ascii="Garamond" w:hAnsi="Garamond"/>
                <w:sz w:val="18"/>
                <w:szCs w:val="18"/>
                <w:lang w:val="sq-AL"/>
              </w:rPr>
              <w:t>Mesatarja vjetore</w:t>
            </w:r>
          </w:p>
        </w:tc>
      </w:tr>
      <w:tr w:rsidR="00ED3C64" w:rsidRPr="00FC21B0" w:rsidTr="00BC62B1">
        <w:tc>
          <w:tcPr>
            <w:tcW w:w="2235" w:type="dxa"/>
          </w:tcPr>
          <w:p w:rsidR="00ED3C64" w:rsidRPr="00FC21B0" w:rsidRDefault="00ED3C64" w:rsidP="00BC62B1">
            <w:pPr>
              <w:pStyle w:val="ListParagraph"/>
              <w:widowControl w:val="0"/>
              <w:spacing w:after="0" w:line="240" w:lineRule="auto"/>
              <w:ind w:left="0"/>
              <w:jc w:val="both"/>
              <w:rPr>
                <w:rFonts w:ascii="Garamond" w:hAnsi="Garamond"/>
                <w:sz w:val="18"/>
                <w:szCs w:val="18"/>
                <w:lang w:val="sq-AL"/>
              </w:rPr>
            </w:pPr>
            <w:r w:rsidRPr="00FC21B0">
              <w:rPr>
                <w:rFonts w:ascii="Garamond" w:hAnsi="Garamond"/>
                <w:sz w:val="18"/>
                <w:szCs w:val="18"/>
                <w:lang w:val="sq-AL"/>
              </w:rPr>
              <w:t>Pragu i sipërm i vlerësimit</w:t>
            </w:r>
          </w:p>
        </w:tc>
        <w:tc>
          <w:tcPr>
            <w:tcW w:w="2551" w:type="dxa"/>
          </w:tcPr>
          <w:p w:rsidR="00ED3C64" w:rsidRPr="00FC21B0" w:rsidRDefault="00ED3C64" w:rsidP="00BC62B1">
            <w:pPr>
              <w:pStyle w:val="ListParagraph"/>
              <w:widowControl w:val="0"/>
              <w:spacing w:after="0" w:line="240" w:lineRule="auto"/>
              <w:ind w:left="0"/>
              <w:jc w:val="both"/>
              <w:rPr>
                <w:rFonts w:ascii="Garamond" w:hAnsi="Garamond"/>
                <w:sz w:val="18"/>
                <w:szCs w:val="18"/>
                <w:lang w:val="sq-AL"/>
              </w:rPr>
            </w:pPr>
            <w:r w:rsidRPr="00FC21B0">
              <w:rPr>
                <w:rFonts w:ascii="Garamond" w:hAnsi="Garamond"/>
                <w:sz w:val="18"/>
                <w:szCs w:val="18"/>
                <w:lang w:val="sq-AL"/>
              </w:rPr>
              <w:t>70 % e vlerës kufi (3,5 μg/ m³)</w:t>
            </w:r>
          </w:p>
        </w:tc>
      </w:tr>
      <w:tr w:rsidR="00ED3C64" w:rsidRPr="00FC21B0" w:rsidTr="00BC62B1">
        <w:tc>
          <w:tcPr>
            <w:tcW w:w="2235" w:type="dxa"/>
          </w:tcPr>
          <w:p w:rsidR="00ED3C64" w:rsidRPr="00FC21B0" w:rsidRDefault="00ED3C64" w:rsidP="00BC62B1">
            <w:pPr>
              <w:pStyle w:val="ListParagraph"/>
              <w:widowControl w:val="0"/>
              <w:spacing w:after="0" w:line="240" w:lineRule="auto"/>
              <w:ind w:left="0"/>
              <w:jc w:val="both"/>
              <w:rPr>
                <w:rFonts w:ascii="Garamond" w:hAnsi="Garamond"/>
                <w:sz w:val="18"/>
                <w:szCs w:val="18"/>
                <w:lang w:val="sq-AL"/>
              </w:rPr>
            </w:pPr>
            <w:r w:rsidRPr="00FC21B0">
              <w:rPr>
                <w:rFonts w:ascii="Garamond" w:hAnsi="Garamond"/>
                <w:sz w:val="18"/>
                <w:szCs w:val="18"/>
                <w:lang w:val="sq-AL"/>
              </w:rPr>
              <w:t>Pragu i Poshtëm i vlerësimit</w:t>
            </w:r>
          </w:p>
        </w:tc>
        <w:tc>
          <w:tcPr>
            <w:tcW w:w="2551" w:type="dxa"/>
          </w:tcPr>
          <w:p w:rsidR="00ED3C64" w:rsidRPr="00FC21B0" w:rsidRDefault="00ED3C64" w:rsidP="00BC62B1">
            <w:pPr>
              <w:pStyle w:val="ListParagraph"/>
              <w:widowControl w:val="0"/>
              <w:spacing w:after="0" w:line="240" w:lineRule="auto"/>
              <w:ind w:left="0"/>
              <w:jc w:val="both"/>
              <w:rPr>
                <w:rFonts w:ascii="Garamond" w:hAnsi="Garamond"/>
                <w:sz w:val="18"/>
                <w:szCs w:val="18"/>
                <w:lang w:val="sq-AL"/>
              </w:rPr>
            </w:pPr>
            <w:r w:rsidRPr="00FC21B0">
              <w:rPr>
                <w:rFonts w:ascii="Garamond" w:hAnsi="Garamond"/>
                <w:sz w:val="18"/>
                <w:szCs w:val="18"/>
                <w:lang w:val="sq-AL"/>
              </w:rPr>
              <w:t>40 % e vlerës kufi (2 μg/ m³)</w:t>
            </w:r>
          </w:p>
        </w:tc>
      </w:tr>
    </w:tbl>
    <w:p w:rsidR="00ED3C64" w:rsidRPr="008B4CDB" w:rsidRDefault="00ED3C64" w:rsidP="00ED3C64">
      <w:pPr>
        <w:widowControl w:val="0"/>
        <w:spacing w:after="0" w:line="240" w:lineRule="auto"/>
        <w:ind w:firstLine="0"/>
        <w:rPr>
          <w:rFonts w:ascii="Times New Roman" w:hAnsi="Times New Roman"/>
          <w:b/>
          <w:sz w:val="6"/>
          <w:lang w:val="sq-AL"/>
        </w:rPr>
      </w:pPr>
    </w:p>
    <w:p w:rsidR="00ED3C64" w:rsidRPr="00DC42C4" w:rsidRDefault="00ED3C64" w:rsidP="00ED3C64">
      <w:pPr>
        <w:pStyle w:val="ListParagraph"/>
        <w:widowControl w:val="0"/>
        <w:spacing w:after="0" w:line="240" w:lineRule="auto"/>
        <w:ind w:left="0"/>
        <w:jc w:val="both"/>
        <w:rPr>
          <w:rFonts w:ascii="Times New Roman" w:hAnsi="Times New Roman"/>
          <w:lang w:val="sq-AL"/>
        </w:rPr>
      </w:pPr>
      <w:r w:rsidRPr="00DC42C4">
        <w:rPr>
          <w:rFonts w:ascii="Times New Roman" w:hAnsi="Times New Roman"/>
          <w:lang w:val="sq-AL"/>
        </w:rPr>
        <w:t>6. Monoksidi i karbonit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35"/>
        <w:gridCol w:w="2409"/>
      </w:tblGrid>
      <w:tr w:rsidR="00ED3C64" w:rsidRPr="00FC21B0" w:rsidTr="00BC62B1">
        <w:tc>
          <w:tcPr>
            <w:tcW w:w="2235" w:type="dxa"/>
          </w:tcPr>
          <w:p w:rsidR="00ED3C64" w:rsidRPr="00FC21B0" w:rsidRDefault="00ED3C64" w:rsidP="00BC62B1">
            <w:pPr>
              <w:pStyle w:val="ListParagraph"/>
              <w:widowControl w:val="0"/>
              <w:spacing w:after="0" w:line="240" w:lineRule="auto"/>
              <w:ind w:left="0"/>
              <w:jc w:val="both"/>
              <w:rPr>
                <w:rFonts w:ascii="Garamond" w:hAnsi="Garamond"/>
                <w:sz w:val="18"/>
                <w:szCs w:val="18"/>
                <w:lang w:val="sq-AL"/>
              </w:rPr>
            </w:pPr>
          </w:p>
        </w:tc>
        <w:tc>
          <w:tcPr>
            <w:tcW w:w="2409" w:type="dxa"/>
          </w:tcPr>
          <w:p w:rsidR="00ED3C64" w:rsidRPr="00FC21B0" w:rsidRDefault="00ED3C64" w:rsidP="00BC62B1">
            <w:pPr>
              <w:pStyle w:val="ListParagraph"/>
              <w:widowControl w:val="0"/>
              <w:spacing w:after="0" w:line="240" w:lineRule="auto"/>
              <w:ind w:left="0"/>
              <w:jc w:val="both"/>
              <w:rPr>
                <w:rFonts w:ascii="Garamond" w:hAnsi="Garamond"/>
                <w:sz w:val="18"/>
                <w:szCs w:val="18"/>
                <w:lang w:val="sq-AL"/>
              </w:rPr>
            </w:pPr>
            <w:r w:rsidRPr="00FC21B0">
              <w:rPr>
                <w:rFonts w:ascii="Garamond" w:hAnsi="Garamond"/>
                <w:sz w:val="18"/>
                <w:szCs w:val="18"/>
                <w:lang w:val="sq-AL"/>
              </w:rPr>
              <w:t>Mesatarja e tetë orëve</w:t>
            </w:r>
          </w:p>
        </w:tc>
      </w:tr>
      <w:tr w:rsidR="00ED3C64" w:rsidRPr="00FC21B0" w:rsidTr="00BC62B1">
        <w:tc>
          <w:tcPr>
            <w:tcW w:w="2235" w:type="dxa"/>
          </w:tcPr>
          <w:p w:rsidR="00ED3C64" w:rsidRPr="00FC21B0" w:rsidRDefault="00ED3C64" w:rsidP="00BC62B1">
            <w:pPr>
              <w:pStyle w:val="ListParagraph"/>
              <w:widowControl w:val="0"/>
              <w:spacing w:after="0" w:line="240" w:lineRule="auto"/>
              <w:ind w:left="0"/>
              <w:jc w:val="both"/>
              <w:rPr>
                <w:rFonts w:ascii="Garamond" w:hAnsi="Garamond"/>
                <w:sz w:val="18"/>
                <w:szCs w:val="18"/>
                <w:lang w:val="sq-AL"/>
              </w:rPr>
            </w:pPr>
            <w:r w:rsidRPr="00FC21B0">
              <w:rPr>
                <w:rFonts w:ascii="Garamond" w:hAnsi="Garamond"/>
                <w:sz w:val="18"/>
                <w:szCs w:val="18"/>
                <w:lang w:val="sq-AL"/>
              </w:rPr>
              <w:t>Pragu i sipërm i vlerësimit</w:t>
            </w:r>
          </w:p>
        </w:tc>
        <w:tc>
          <w:tcPr>
            <w:tcW w:w="2409" w:type="dxa"/>
          </w:tcPr>
          <w:p w:rsidR="00ED3C64" w:rsidRPr="00FC21B0" w:rsidRDefault="00ED3C64" w:rsidP="00BC62B1">
            <w:pPr>
              <w:pStyle w:val="ListParagraph"/>
              <w:widowControl w:val="0"/>
              <w:spacing w:after="0" w:line="240" w:lineRule="auto"/>
              <w:ind w:left="0"/>
              <w:jc w:val="both"/>
              <w:rPr>
                <w:rFonts w:ascii="Garamond" w:hAnsi="Garamond"/>
                <w:sz w:val="18"/>
                <w:szCs w:val="18"/>
                <w:lang w:val="sq-AL"/>
              </w:rPr>
            </w:pPr>
            <w:r w:rsidRPr="00FC21B0">
              <w:rPr>
                <w:rFonts w:ascii="Garamond" w:hAnsi="Garamond"/>
                <w:sz w:val="18"/>
                <w:szCs w:val="18"/>
                <w:lang w:val="sq-AL"/>
              </w:rPr>
              <w:t>70 % e vlerës kufi (7 mg/ m³)</w:t>
            </w:r>
          </w:p>
        </w:tc>
      </w:tr>
      <w:tr w:rsidR="00ED3C64" w:rsidRPr="00FC21B0" w:rsidTr="00BC62B1">
        <w:tc>
          <w:tcPr>
            <w:tcW w:w="2235" w:type="dxa"/>
          </w:tcPr>
          <w:p w:rsidR="00ED3C64" w:rsidRPr="00FC21B0" w:rsidRDefault="00ED3C64" w:rsidP="00BC62B1">
            <w:pPr>
              <w:pStyle w:val="ListParagraph"/>
              <w:widowControl w:val="0"/>
              <w:spacing w:after="0" w:line="240" w:lineRule="auto"/>
              <w:ind w:left="0"/>
              <w:jc w:val="both"/>
              <w:rPr>
                <w:rFonts w:ascii="Garamond" w:hAnsi="Garamond"/>
                <w:sz w:val="18"/>
                <w:szCs w:val="18"/>
                <w:lang w:val="sq-AL"/>
              </w:rPr>
            </w:pPr>
            <w:r w:rsidRPr="00FC21B0">
              <w:rPr>
                <w:rFonts w:ascii="Garamond" w:hAnsi="Garamond"/>
                <w:sz w:val="18"/>
                <w:szCs w:val="18"/>
                <w:lang w:val="sq-AL"/>
              </w:rPr>
              <w:t>Pragu i poshtëm i vlerësimit</w:t>
            </w:r>
          </w:p>
        </w:tc>
        <w:tc>
          <w:tcPr>
            <w:tcW w:w="2409" w:type="dxa"/>
          </w:tcPr>
          <w:p w:rsidR="00ED3C64" w:rsidRPr="00FC21B0" w:rsidRDefault="00ED3C64" w:rsidP="00BC62B1">
            <w:pPr>
              <w:pStyle w:val="ListParagraph"/>
              <w:widowControl w:val="0"/>
              <w:spacing w:after="0" w:line="240" w:lineRule="auto"/>
              <w:ind w:left="0"/>
              <w:jc w:val="both"/>
              <w:rPr>
                <w:rFonts w:ascii="Garamond" w:hAnsi="Garamond"/>
                <w:sz w:val="18"/>
                <w:szCs w:val="18"/>
                <w:lang w:val="sq-AL"/>
              </w:rPr>
            </w:pPr>
            <w:r w:rsidRPr="00FC21B0">
              <w:rPr>
                <w:rFonts w:ascii="Garamond" w:hAnsi="Garamond"/>
                <w:sz w:val="18"/>
                <w:szCs w:val="18"/>
                <w:lang w:val="sq-AL"/>
              </w:rPr>
              <w:t>50 % e vlerës kufi (5 mg/ m³)</w:t>
            </w:r>
          </w:p>
        </w:tc>
      </w:tr>
    </w:tbl>
    <w:p w:rsidR="00ED3C64" w:rsidRDefault="00ED3C64" w:rsidP="00ED3C64">
      <w:pPr>
        <w:pStyle w:val="Hapesira7"/>
        <w:rPr>
          <w:lang w:val="sq-AL"/>
        </w:rPr>
      </w:pPr>
    </w:p>
    <w:p w:rsidR="00ED3C64" w:rsidRPr="00E00CAD" w:rsidRDefault="00ED3C64" w:rsidP="00ED3C64">
      <w:pPr>
        <w:pStyle w:val="Paragrafi"/>
        <w:rPr>
          <w:spacing w:val="-4"/>
          <w:lang w:val="sq-AL"/>
        </w:rPr>
      </w:pPr>
      <w:r w:rsidRPr="00E00CAD">
        <w:rPr>
          <w:spacing w:val="-4"/>
          <w:lang w:val="sq-AL"/>
        </w:rPr>
        <w:t>Seksioni B. Përcaktimi i kapërcimeve të pragut të sipërm dhe të poshtëm të vlerësimit</w:t>
      </w:r>
    </w:p>
    <w:p w:rsidR="00ED3C64" w:rsidRPr="00E00CAD" w:rsidRDefault="00ED3C64" w:rsidP="00ED3C64">
      <w:pPr>
        <w:pStyle w:val="Paragrafi"/>
        <w:rPr>
          <w:spacing w:val="-4"/>
          <w:lang w:val="sq-AL"/>
        </w:rPr>
      </w:pPr>
      <w:r w:rsidRPr="00E00CAD">
        <w:rPr>
          <w:spacing w:val="-4"/>
          <w:lang w:val="sq-AL"/>
        </w:rPr>
        <w:t xml:space="preserve">Kapërcimet e pragjeve të sipërme dhe të poshtme të vlerësimit përcaktohen në bazë të përqendrimeve gjatë 5 viteve të mëparshme, kur disponohen të dhëna të mjaftueshme. Pragu i vlerësimit konsiderohet si i kapërcyer në qoftë se është kapërcyer gjatë të paktën 3 nga pesë vitet e mëparshme. </w:t>
      </w:r>
    </w:p>
    <w:p w:rsidR="00ED3C64" w:rsidRPr="00E00CAD" w:rsidRDefault="00ED3C64" w:rsidP="00ED3C64">
      <w:pPr>
        <w:pStyle w:val="Paragrafi"/>
        <w:rPr>
          <w:spacing w:val="-4"/>
          <w:lang w:val="sq-AL"/>
        </w:rPr>
      </w:pPr>
      <w:r w:rsidRPr="00E00CAD">
        <w:rPr>
          <w:spacing w:val="-4"/>
          <w:lang w:val="sq-AL"/>
        </w:rPr>
        <w:t>Kur të dhënat disponohen për më pak se 5 vjet, për të përcaktuar kapërcimet e pragjeve të sipërme dhe të poshtme të vlerësimit, AKM mund të kombinojë fushata të shkurtra matjesh në kohën dhe vendndodhjet më tipike për nivelet maksimale të ndotjes, me rezultatet e përftuara nga informacioni që japin inventarët e shkarkimit dhe modelimi.</w:t>
      </w:r>
    </w:p>
    <w:p w:rsidR="00ED3C64" w:rsidRDefault="00ED3C64" w:rsidP="00ED3C64">
      <w:pPr>
        <w:pStyle w:val="Paragrafi"/>
        <w:jc w:val="center"/>
        <w:rPr>
          <w:spacing w:val="-4"/>
          <w:lang w:val="sq-AL"/>
        </w:rPr>
      </w:pPr>
      <w:r w:rsidRPr="00E00CAD">
        <w:rPr>
          <w:spacing w:val="-4"/>
          <w:lang w:val="sq-AL"/>
        </w:rPr>
        <w:t>ANEKSI III</w:t>
      </w:r>
    </w:p>
    <w:p w:rsidR="00ED3C64" w:rsidRPr="00E00CAD" w:rsidRDefault="00ED3C64" w:rsidP="00ED3C64">
      <w:pPr>
        <w:pStyle w:val="Hapesira7"/>
        <w:rPr>
          <w:lang w:val="sq-AL"/>
        </w:rPr>
      </w:pPr>
    </w:p>
    <w:p w:rsidR="00ED3C64" w:rsidRPr="00E00CAD" w:rsidRDefault="00ED3C64" w:rsidP="00ED3C64">
      <w:pPr>
        <w:pStyle w:val="Paragrafi"/>
        <w:jc w:val="center"/>
        <w:rPr>
          <w:spacing w:val="-4"/>
          <w:lang w:val="sq-AL"/>
        </w:rPr>
      </w:pPr>
      <w:r w:rsidRPr="00E00CAD">
        <w:rPr>
          <w:spacing w:val="-4"/>
          <w:lang w:val="sq-AL"/>
        </w:rPr>
        <w:t>Vlerësimi i cilësisë së ajrit të mjedisit dhe vendndodhja e pikave të marrjes së mostrave për matjen e dyoksidit të squfurit, dyoksidit të azotit dhe oksideve të azotit, lëndës së ngurtë pezull (PM</w:t>
      </w:r>
      <w:r w:rsidRPr="00362C0D">
        <w:rPr>
          <w:spacing w:val="-4"/>
          <w:vertAlign w:val="subscript"/>
          <w:lang w:val="sq-AL"/>
        </w:rPr>
        <w:t>10</w:t>
      </w:r>
      <w:r w:rsidRPr="00E00CAD">
        <w:rPr>
          <w:spacing w:val="-4"/>
          <w:lang w:val="sq-AL"/>
        </w:rPr>
        <w:t xml:space="preserve"> dhe PM</w:t>
      </w:r>
      <w:r>
        <w:rPr>
          <w:spacing w:val="-4"/>
          <w:lang w:val="sq-AL"/>
        </w:rPr>
        <w:t xml:space="preserve"> </w:t>
      </w:r>
      <w:r w:rsidRPr="00362C0D">
        <w:rPr>
          <w:spacing w:val="-4"/>
          <w:vertAlign w:val="subscript"/>
          <w:lang w:val="sq-AL"/>
        </w:rPr>
        <w:t>2,5</w:t>
      </w:r>
      <w:r w:rsidRPr="00E00CAD">
        <w:rPr>
          <w:spacing w:val="-4"/>
          <w:lang w:val="sq-AL"/>
        </w:rPr>
        <w:t xml:space="preserve">), </w:t>
      </w:r>
      <w:r w:rsidRPr="00E00CAD">
        <w:rPr>
          <w:spacing w:val="-4"/>
          <w:lang w:val="sq-AL"/>
        </w:rPr>
        <w:lastRenderedPageBreak/>
        <w:t>plumbit, benzenit dhe monoksidit të karbonit në ajrin e mjedisit</w:t>
      </w:r>
    </w:p>
    <w:p w:rsidR="00ED3C64" w:rsidRDefault="00ED3C64" w:rsidP="00ED3C64">
      <w:pPr>
        <w:pStyle w:val="Paragrafi"/>
        <w:jc w:val="center"/>
        <w:rPr>
          <w:spacing w:val="-4"/>
          <w:lang w:val="sq-AL"/>
        </w:rPr>
      </w:pPr>
      <w:r w:rsidRPr="00E00CAD">
        <w:rPr>
          <w:spacing w:val="-4"/>
          <w:lang w:val="sq-AL"/>
        </w:rPr>
        <w:t>(Referuar në pikat 4.5, 5.1, 17.3, 19.1, 24.1.b, 26.3 dhe aneksit IV.C.1 dhe aneksit VIII.B dhe D të këtij vendimi)</w:t>
      </w:r>
    </w:p>
    <w:p w:rsidR="00ED3C64" w:rsidRPr="00E00CAD" w:rsidRDefault="00ED3C64" w:rsidP="00ED3C64">
      <w:pPr>
        <w:pStyle w:val="Hapesira7"/>
        <w:rPr>
          <w:lang w:val="sq-AL"/>
        </w:rPr>
      </w:pPr>
    </w:p>
    <w:p w:rsidR="00ED3C64" w:rsidRPr="00E00CAD" w:rsidRDefault="00ED3C64" w:rsidP="00ED3C64">
      <w:pPr>
        <w:pStyle w:val="Paragrafi"/>
        <w:rPr>
          <w:spacing w:val="-4"/>
          <w:lang w:val="sq-AL"/>
        </w:rPr>
      </w:pPr>
      <w:r w:rsidRPr="00E00CAD">
        <w:rPr>
          <w:spacing w:val="-4"/>
          <w:lang w:val="sq-AL"/>
        </w:rPr>
        <w:t>Seksioni A. Të përgjithshme</w:t>
      </w:r>
    </w:p>
    <w:p w:rsidR="00ED3C64" w:rsidRDefault="00ED3C64" w:rsidP="00ED3C64">
      <w:pPr>
        <w:pStyle w:val="Paragrafi"/>
        <w:rPr>
          <w:spacing w:val="-4"/>
          <w:lang w:val="sq-AL"/>
        </w:rPr>
      </w:pPr>
      <w:r w:rsidRPr="00E00CAD">
        <w:rPr>
          <w:spacing w:val="-4"/>
          <w:lang w:val="sq-AL"/>
        </w:rPr>
        <w:t>1. Cilësia e ajrit të mjedisit vlerësohet në të gjitha zonat dhe aglomeratet sipas kritereve të  mëposhtme:</w:t>
      </w:r>
    </w:p>
    <w:p w:rsidR="00ED3C64" w:rsidRPr="00E00CAD" w:rsidRDefault="00ED3C64" w:rsidP="00ED3C64">
      <w:pPr>
        <w:pStyle w:val="Paragrafi"/>
        <w:rPr>
          <w:spacing w:val="-4"/>
          <w:lang w:val="sq-AL"/>
        </w:rPr>
      </w:pPr>
      <w:r w:rsidRPr="00E00CAD">
        <w:rPr>
          <w:spacing w:val="-4"/>
          <w:lang w:val="sq-AL"/>
        </w:rPr>
        <w:t xml:space="preserve">Cilësia e ajrit të mjedisit në të gjitha vendndodhjet, me përjashtim të atyre të listuara në paragrafin 2, vlerësohet në përputhje me kriteret e përcaktuara nga seksionet B dhe C për vendndodhjen e pikave të marrjes së mostrave për matje fikse. Parimet e përcaktuara nga seksionet B dhe C zbatohen për identifikimin e vendndodhjeve specifike me përqendrime të ndotësve përkatës ku cilësia e ajrit të mjedisit vlerësohet me matje treguese ose modelim. </w:t>
      </w:r>
    </w:p>
    <w:p w:rsidR="00ED3C64" w:rsidRPr="00E00CAD" w:rsidRDefault="00ED3C64" w:rsidP="00ED3C64">
      <w:pPr>
        <w:pStyle w:val="Paragrafi"/>
        <w:rPr>
          <w:spacing w:val="-4"/>
          <w:lang w:val="sq-AL"/>
        </w:rPr>
      </w:pPr>
      <w:r w:rsidRPr="00E00CAD">
        <w:rPr>
          <w:spacing w:val="-4"/>
          <w:lang w:val="sq-AL"/>
        </w:rPr>
        <w:t>2. Përputhshmëria me vlerat kufi në drejtim të mbrojtjes së shëndetit publik nuk vlerësohet në vendndodhjet e mëposhtme:</w:t>
      </w:r>
    </w:p>
    <w:p w:rsidR="00ED3C64" w:rsidRPr="00E00CAD" w:rsidRDefault="00ED3C64" w:rsidP="00ED3C64">
      <w:pPr>
        <w:pStyle w:val="Paragrafi"/>
        <w:rPr>
          <w:spacing w:val="-4"/>
          <w:lang w:val="sq-AL"/>
        </w:rPr>
      </w:pPr>
      <w:r w:rsidRPr="00E00CAD">
        <w:rPr>
          <w:spacing w:val="-4"/>
          <w:lang w:val="sq-AL"/>
        </w:rPr>
        <w:t>a) brenda territoreve ku publiku nuk ka akses dhe nuk ka vendbanime të përhershme;</w:t>
      </w:r>
    </w:p>
    <w:p w:rsidR="00ED3C64" w:rsidRPr="00E00CAD" w:rsidRDefault="00ED3C64" w:rsidP="00ED3C64">
      <w:pPr>
        <w:pStyle w:val="Paragrafi"/>
        <w:rPr>
          <w:spacing w:val="-4"/>
          <w:lang w:val="sq-AL"/>
        </w:rPr>
      </w:pPr>
      <w:r w:rsidRPr="00E00CAD">
        <w:rPr>
          <w:spacing w:val="-4"/>
          <w:lang w:val="sq-AL"/>
        </w:rPr>
        <w:t xml:space="preserve">a) në përputhje me përkufizimin e ‘ajrit të mjedisit’ të dhënë në ligjin nr.  datë “Për cilësinë e ajrit të mjedisit dhe ajër më të pastër”, në mjediset e fabrikave ose instalimeve industriale ku zbatohen të gjitha dispozitat përkatëse në lidhje me shëndetin dhe sigurinë në punë; </w:t>
      </w:r>
    </w:p>
    <w:p w:rsidR="00ED3C64" w:rsidRPr="00E00CAD" w:rsidRDefault="00ED3C64" w:rsidP="00ED3C64">
      <w:pPr>
        <w:pStyle w:val="Paragrafi"/>
        <w:rPr>
          <w:spacing w:val="-4"/>
          <w:lang w:val="sq-AL"/>
        </w:rPr>
      </w:pPr>
      <w:r w:rsidRPr="00E00CAD">
        <w:rPr>
          <w:spacing w:val="-4"/>
          <w:lang w:val="sq-AL"/>
        </w:rPr>
        <w:t xml:space="preserve">b) në karrexhatat e rrugëve; dhe në pjesët qendrore të rrugëve përjashtuar ato ku normalisht kanë akses këmbësorët. </w:t>
      </w:r>
    </w:p>
    <w:p w:rsidR="00ED3C64" w:rsidRPr="00E00CAD" w:rsidRDefault="00ED3C64" w:rsidP="00ED3C64">
      <w:pPr>
        <w:pStyle w:val="Paragrafi"/>
        <w:rPr>
          <w:spacing w:val="-4"/>
          <w:lang w:val="sq-AL"/>
        </w:rPr>
      </w:pPr>
      <w:r w:rsidRPr="00E00CAD">
        <w:rPr>
          <w:spacing w:val="-4"/>
          <w:lang w:val="sq-AL"/>
        </w:rPr>
        <w:t>Seksioni B. Përcaktimi i territorit të pikave për marrjen e mostrave në shkallë makro</w:t>
      </w:r>
    </w:p>
    <w:p w:rsidR="00ED3C64" w:rsidRPr="00E00CAD" w:rsidRDefault="00ED3C64" w:rsidP="00ED3C64">
      <w:pPr>
        <w:pStyle w:val="Paragrafi"/>
        <w:rPr>
          <w:spacing w:val="-4"/>
          <w:lang w:val="sq-AL"/>
        </w:rPr>
      </w:pPr>
      <w:r w:rsidRPr="00E00CAD">
        <w:rPr>
          <w:spacing w:val="-4"/>
          <w:lang w:val="sq-AL"/>
        </w:rPr>
        <w:t>1. Mbrojtja e shëndetit publik:</w:t>
      </w:r>
    </w:p>
    <w:p w:rsidR="00ED3C64" w:rsidRPr="00E00CAD" w:rsidRDefault="00ED3C64" w:rsidP="00ED3C64">
      <w:pPr>
        <w:pStyle w:val="Paragrafi"/>
        <w:rPr>
          <w:spacing w:val="-4"/>
          <w:lang w:val="sq-AL"/>
        </w:rPr>
      </w:pPr>
      <w:r w:rsidRPr="00E00CAD">
        <w:rPr>
          <w:spacing w:val="-4"/>
          <w:lang w:val="sq-AL"/>
        </w:rPr>
        <w:t>a) Pikat për marrjen e mostrave për mbrojtjen e shëndetit publik vendosen në mënyrë të tillë që të që japin të dhëna për sa më poshtë:</w:t>
      </w:r>
    </w:p>
    <w:p w:rsidR="00ED3C64" w:rsidRPr="00E00CAD" w:rsidRDefault="00ED3C64" w:rsidP="00ED3C64">
      <w:pPr>
        <w:pStyle w:val="Paragrafi"/>
        <w:rPr>
          <w:spacing w:val="-4"/>
          <w:lang w:val="sq-AL"/>
        </w:rPr>
      </w:pPr>
      <w:r w:rsidRPr="00E00CAD">
        <w:rPr>
          <w:spacing w:val="-4"/>
          <w:lang w:val="sq-AL"/>
        </w:rPr>
        <w:t xml:space="preserve">i) territoret brenda zonave dhe aglomeratëve ku ndodhin përqendrimet më të larta, ndaj të cilave popullsia ka gjasa të jetë e ekspozuar drejtpërsëdrejti ose tërthorazi për një periudhë kohore të konsiderueshme krahasuar me periudhën mesatare të vler/ës/ave kufi; </w:t>
      </w:r>
    </w:p>
    <w:p w:rsidR="00ED3C64" w:rsidRPr="00E00CAD" w:rsidRDefault="00ED3C64" w:rsidP="00ED3C64">
      <w:pPr>
        <w:pStyle w:val="Paragrafi"/>
        <w:rPr>
          <w:spacing w:val="-4"/>
          <w:lang w:val="sq-AL"/>
        </w:rPr>
      </w:pPr>
      <w:r w:rsidRPr="00E00CAD">
        <w:rPr>
          <w:spacing w:val="-4"/>
          <w:lang w:val="sq-AL"/>
        </w:rPr>
        <w:t>ii) nivelet në territore të tjera brenda zonave dhe aglomeratëve që janë përfaqësues të ekspozimit të popullsisë në përgjithësi.</w:t>
      </w:r>
    </w:p>
    <w:p w:rsidR="00ED3C64" w:rsidRPr="00E00CAD" w:rsidRDefault="00ED3C64" w:rsidP="00ED3C64">
      <w:pPr>
        <w:pStyle w:val="Paragrafi"/>
        <w:rPr>
          <w:spacing w:val="-4"/>
          <w:lang w:val="sq-AL"/>
        </w:rPr>
      </w:pPr>
      <w:r w:rsidRPr="00E00CAD">
        <w:rPr>
          <w:spacing w:val="-4"/>
          <w:lang w:val="sq-AL"/>
        </w:rPr>
        <w:t>b) Pikat për marrjen e mostrave në përgjithësi duhen vendosur në mënyrë të tillë që të shmanget matja në mikromjedise shumë të vogla direkt pranë tyre, që do të thotë që pika për marrjen e mostrave duhet vendosur në mënyrë të tillë që ajri i marrë si mostër të jetë përfaqësues i cilësisë së ajrit në një segment rruge jo më pak se 100 m të gjatë në zonat me trafik dhe i një sipërfaqe prej të paktën 250 m × 250 m në zonat industriale, cilido rast që të jetë i mundur;</w:t>
      </w:r>
    </w:p>
    <w:p w:rsidR="00ED3C64" w:rsidRPr="00E00CAD" w:rsidRDefault="00ED3C64" w:rsidP="00ED3C64">
      <w:pPr>
        <w:pStyle w:val="Paragrafi"/>
        <w:rPr>
          <w:spacing w:val="-4"/>
          <w:lang w:val="sq-AL"/>
        </w:rPr>
      </w:pPr>
      <w:r w:rsidRPr="00E00CAD">
        <w:rPr>
          <w:spacing w:val="-4"/>
          <w:lang w:val="sq-AL"/>
        </w:rPr>
        <w:t>c) Vendndodhjet me karakter urban caktohen në mënyrë të tillë që niveli i ndotjes të influencohet nga kontributi i integruar i të gjitha burimeve që ndodhen në drejtim të kundërt me erën në lidhje me stacionin. Niveli i ndotjes nuk duhet dominuar nga një burim i vetëm po qe se një situatë e tillë nuk është tipike për një zonë më të madhe urbane. Këto pika për marrjen e mostrave, si rregull i përgjithshëm, duhet të jenë përfaqësuese për disa kilometra katrorë;</w:t>
      </w:r>
    </w:p>
    <w:p w:rsidR="00ED3C64" w:rsidRPr="00E00CAD" w:rsidRDefault="00ED3C64" w:rsidP="00ED3C64">
      <w:pPr>
        <w:pStyle w:val="Paragrafi"/>
        <w:rPr>
          <w:spacing w:val="-4"/>
          <w:lang w:val="sq-AL"/>
        </w:rPr>
      </w:pPr>
      <w:r w:rsidRPr="00E00CAD">
        <w:rPr>
          <w:spacing w:val="-4"/>
          <w:lang w:val="sq-AL"/>
        </w:rPr>
        <w:t>d) Kur vlerësohen nivelet në sfond rural, pika për marrjen e mostrave nuk duhet të influencohet nga aglomeratët ose zonat industriale në afërsi të saj, që do të thotë zona më afër se 5 kilometra;</w:t>
      </w:r>
    </w:p>
    <w:p w:rsidR="00ED3C64" w:rsidRPr="00E00CAD" w:rsidRDefault="00ED3C64" w:rsidP="00ED3C64">
      <w:pPr>
        <w:pStyle w:val="Paragrafi"/>
        <w:rPr>
          <w:spacing w:val="-4"/>
          <w:lang w:val="sq-AL"/>
        </w:rPr>
      </w:pPr>
      <w:r w:rsidRPr="00E00CAD">
        <w:rPr>
          <w:spacing w:val="-4"/>
          <w:lang w:val="sq-AL"/>
        </w:rPr>
        <w:t>e) Kur vlerësohen kontributet e zonave industriale, të paktën një pikë për marrjen e mostrave instalohet në zonën më të afërt të banimit në drejtimin e erës në lidhje me burimin. Kur nuk njihet përqendrimi në sfond vendoset</w:t>
      </w:r>
      <w:r w:rsidRPr="00E00CAD" w:rsidDel="002F7CAD">
        <w:rPr>
          <w:spacing w:val="-4"/>
          <w:lang w:val="sq-AL"/>
        </w:rPr>
        <w:t xml:space="preserve"> </w:t>
      </w:r>
      <w:r w:rsidRPr="00E00CAD">
        <w:rPr>
          <w:spacing w:val="-4"/>
          <w:lang w:val="sq-AL"/>
        </w:rPr>
        <w:t xml:space="preserve"> një pikë shtesë për marrjen e mostrave brenda drejtimit kryesor të erës;</w:t>
      </w:r>
    </w:p>
    <w:p w:rsidR="00ED3C64" w:rsidRPr="00E00CAD" w:rsidRDefault="00ED3C64" w:rsidP="00ED3C64">
      <w:pPr>
        <w:pStyle w:val="Paragrafi"/>
        <w:rPr>
          <w:spacing w:val="-4"/>
          <w:lang w:val="sq-AL"/>
        </w:rPr>
      </w:pPr>
      <w:r w:rsidRPr="00E00CAD">
        <w:rPr>
          <w:spacing w:val="-4"/>
          <w:lang w:val="sq-AL"/>
        </w:rPr>
        <w:t>f) Pikat për marrjen e mostrave, kudo që është e mundur, do të jenë gjithashtu përfaqësuese të territoreve të ngjashme jo direkt pranë tyre;</w:t>
      </w:r>
    </w:p>
    <w:p w:rsidR="00ED3C64" w:rsidRPr="00E00CAD" w:rsidRDefault="00ED3C64" w:rsidP="00ED3C64">
      <w:pPr>
        <w:pStyle w:val="Paragrafi"/>
        <w:rPr>
          <w:spacing w:val="-4"/>
          <w:lang w:val="sq-AL"/>
        </w:rPr>
      </w:pPr>
      <w:r w:rsidRPr="00E00CAD">
        <w:rPr>
          <w:spacing w:val="-4"/>
          <w:lang w:val="sq-AL"/>
        </w:rPr>
        <w:t xml:space="preserve">g) Kur është e nevojshme për mbrojtjen e shëndetit publik duhet konsideruar edhe nevoja për të caktuar pikat e marrjes së mostrave në ishuj. </w:t>
      </w:r>
    </w:p>
    <w:p w:rsidR="00ED3C64" w:rsidRPr="00E00CAD" w:rsidRDefault="00ED3C64" w:rsidP="00ED3C64">
      <w:pPr>
        <w:pStyle w:val="Paragrafi"/>
        <w:rPr>
          <w:spacing w:val="-4"/>
          <w:lang w:val="sq-AL"/>
        </w:rPr>
      </w:pPr>
      <w:r w:rsidRPr="00E00CAD">
        <w:rPr>
          <w:spacing w:val="-4"/>
          <w:lang w:val="sq-AL"/>
        </w:rPr>
        <w:t>2. Mbrojtja e bimësisë dhe ekosistemeve natyrore</w:t>
      </w:r>
    </w:p>
    <w:p w:rsidR="00ED3C64" w:rsidRPr="00E00CAD" w:rsidRDefault="00ED3C64" w:rsidP="00ED3C64">
      <w:pPr>
        <w:pStyle w:val="Paragrafi"/>
        <w:rPr>
          <w:spacing w:val="-4"/>
          <w:lang w:val="sq-AL"/>
        </w:rPr>
      </w:pPr>
      <w:r w:rsidRPr="00E00CAD">
        <w:rPr>
          <w:spacing w:val="-4"/>
          <w:lang w:val="sq-AL"/>
        </w:rPr>
        <w:t>a) Pikat e marrjes së mostrave për mbrojtjen e bimësisë dhe ekosistemeve natyrore duhet të vendosen më larg se 20 km prej zonave dhe aglomeratëve ose më larg se 5 km prej zonave të tjera të urbanizuara, instalimeve industriale, rrugëve automobilistike apo rrugëve kryesore me trafik të llogaritur prej më shumë se 50000 automjete në ditë, që do të thotë se një pikë për marrjen e mostrave vendoset në mënyrë të tillë që ajri i marrë si mostër të jetë përfaqësues i cilësisë së ajrit në zonën përreth prej të paktën 1000 km</w:t>
      </w:r>
      <w:r w:rsidRPr="00E1539A">
        <w:rPr>
          <w:spacing w:val="-4"/>
          <w:vertAlign w:val="superscript"/>
          <w:lang w:val="sq-AL"/>
        </w:rPr>
        <w:t>2</w:t>
      </w:r>
      <w:r w:rsidRPr="00E00CAD">
        <w:rPr>
          <w:spacing w:val="-4"/>
          <w:lang w:val="sq-AL"/>
        </w:rPr>
        <w:t xml:space="preserve">. Duke konsdieruar kushtet gjeografike apo mundësinë për të mbrojtur zona veçanërisht të rrezikuara AKM mund të sigurojë që pika për marrjen e mostrave të vendoset në distancë më të vogël apo të jetë përfaqësuese e </w:t>
      </w:r>
      <w:r w:rsidRPr="00E00CAD">
        <w:rPr>
          <w:spacing w:val="-4"/>
          <w:lang w:val="sq-AL"/>
        </w:rPr>
        <w:lastRenderedPageBreak/>
        <w:t xml:space="preserve">cilësisë së ajrit në një zonë me shtrirje më të vogël. </w:t>
      </w:r>
    </w:p>
    <w:p w:rsidR="00ED3C64" w:rsidRPr="00E00CAD" w:rsidRDefault="00ED3C64" w:rsidP="00ED3C64">
      <w:pPr>
        <w:pStyle w:val="Paragrafi"/>
        <w:rPr>
          <w:spacing w:val="-4"/>
          <w:lang w:val="sq-AL"/>
        </w:rPr>
      </w:pPr>
      <w:r w:rsidRPr="00E00CAD">
        <w:rPr>
          <w:spacing w:val="-4"/>
          <w:lang w:val="sq-AL"/>
        </w:rPr>
        <w:t xml:space="preserve">b) Duhet konsideruar nevoja për të vlerësuar cilësinë e ajrit në ishuj. </w:t>
      </w:r>
    </w:p>
    <w:p w:rsidR="00ED3C64" w:rsidRPr="00E00CAD" w:rsidRDefault="00ED3C64" w:rsidP="00ED3C64">
      <w:pPr>
        <w:pStyle w:val="Paragrafi"/>
        <w:rPr>
          <w:spacing w:val="-4"/>
          <w:lang w:val="sq-AL"/>
        </w:rPr>
      </w:pPr>
      <w:r w:rsidRPr="00E00CAD">
        <w:rPr>
          <w:spacing w:val="-4"/>
          <w:lang w:val="sq-AL"/>
        </w:rPr>
        <w:t>Seksioni C. Përcaktimi i territorit të pikave për marrjen e mostrave në shkallë mikro</w:t>
      </w:r>
    </w:p>
    <w:p w:rsidR="00ED3C64" w:rsidRPr="00E00CAD" w:rsidRDefault="00ED3C64" w:rsidP="00ED3C64">
      <w:pPr>
        <w:pStyle w:val="Paragrafi"/>
        <w:rPr>
          <w:spacing w:val="-4"/>
          <w:lang w:val="sq-AL"/>
        </w:rPr>
      </w:pPr>
      <w:r w:rsidRPr="00E00CAD">
        <w:rPr>
          <w:spacing w:val="-4"/>
          <w:lang w:val="sq-AL"/>
        </w:rPr>
        <w:t>1. Për aq sa është praktikisht e mundur, zbatohet sa më poshtë:</w:t>
      </w:r>
    </w:p>
    <w:p w:rsidR="00ED3C64" w:rsidRPr="00E00CAD" w:rsidRDefault="00ED3C64" w:rsidP="00ED3C64">
      <w:pPr>
        <w:pStyle w:val="Paragrafi"/>
        <w:rPr>
          <w:spacing w:val="-4"/>
          <w:lang w:val="sq-AL"/>
        </w:rPr>
      </w:pPr>
      <w:r>
        <w:rPr>
          <w:spacing w:val="-4"/>
          <w:lang w:val="sq-AL"/>
        </w:rPr>
        <w:t xml:space="preserve">a) </w:t>
      </w:r>
      <w:r w:rsidRPr="00E00CAD">
        <w:rPr>
          <w:spacing w:val="-4"/>
          <w:lang w:val="sq-AL"/>
        </w:rPr>
        <w:t>hapësira rreth grykës së sondës për marrjen e mostrave është e pakufizuar (e lirë në një hark prej të paktën 270°) nga pengesa që ndikojnë futjen e ajrit në afërsi të marrësit të mostrës (normalisht disa metra larg ndërtesave, ballkonëve, pemëve dhe pengesave të tjera dhe të paktën 0,5 m nga ndërtesa më e afërt në rastin e pikave të marrjes së mostrave që përfaqësojnë cilësinë e ajrit në vijën e ndërtesës);</w:t>
      </w:r>
    </w:p>
    <w:p w:rsidR="00ED3C64" w:rsidRPr="00E00CAD" w:rsidRDefault="00ED3C64" w:rsidP="00ED3C64">
      <w:pPr>
        <w:pStyle w:val="Paragrafi"/>
        <w:rPr>
          <w:spacing w:val="-4"/>
          <w:lang w:val="sq-AL"/>
        </w:rPr>
      </w:pPr>
      <w:r w:rsidRPr="00E00CAD">
        <w:rPr>
          <w:spacing w:val="-4"/>
          <w:lang w:val="sq-AL"/>
        </w:rPr>
        <w:t xml:space="preserve">b) në përgjithësi, pika e marrjes së mostrave duhet të jetë midis 1,5 m (niveli i frymëmarrjes) dhe 4 m mbi tokë. Në disa rrethana mund të jenë të nevojshme pozicione më të larta (deri në 8 m).  Një pozicion akoma më i lartë se kaq mund të jetë gjithashtu i përshtatshëm në qoftë se stacioni është përfaqësues i një zone të madhe; </w:t>
      </w:r>
    </w:p>
    <w:p w:rsidR="00ED3C64" w:rsidRPr="00E00CAD" w:rsidRDefault="00ED3C64" w:rsidP="00ED3C64">
      <w:pPr>
        <w:pStyle w:val="Paragrafi"/>
        <w:rPr>
          <w:spacing w:val="-4"/>
          <w:lang w:val="sq-AL"/>
        </w:rPr>
      </w:pPr>
      <w:r w:rsidRPr="00E00CAD">
        <w:rPr>
          <w:spacing w:val="-4"/>
          <w:lang w:val="sq-AL"/>
        </w:rPr>
        <w:t xml:space="preserve">c) me qëllim që të shmanget futja direkte e shkarkimeve që nuk janë përzier me ajrin e mjedisit sonda hyrëse nuk vendoset ngjitur me burimet; </w:t>
      </w:r>
    </w:p>
    <w:p w:rsidR="00ED3C64" w:rsidRPr="00E00CAD" w:rsidRDefault="00ED3C64" w:rsidP="00ED3C64">
      <w:pPr>
        <w:pStyle w:val="Paragrafi"/>
        <w:rPr>
          <w:spacing w:val="-4"/>
          <w:lang w:val="sq-AL"/>
        </w:rPr>
      </w:pPr>
      <w:r w:rsidRPr="00E00CAD">
        <w:rPr>
          <w:spacing w:val="-4"/>
          <w:lang w:val="sq-AL"/>
        </w:rPr>
        <w:t>d) gryka dalëse e shkarkimit të mostrës pozicionohet në mënyrë të tillë që të shmanget riqarkullimi i ajrit të shkarkuar në hyrjen e mostrës;</w:t>
      </w:r>
    </w:p>
    <w:p w:rsidR="00ED3C64" w:rsidRPr="00E00CAD" w:rsidRDefault="00ED3C64" w:rsidP="00ED3C64">
      <w:pPr>
        <w:pStyle w:val="Paragrafi"/>
        <w:rPr>
          <w:spacing w:val="-4"/>
          <w:lang w:val="sq-AL"/>
        </w:rPr>
      </w:pPr>
      <w:r w:rsidRPr="00E00CAD">
        <w:rPr>
          <w:spacing w:val="-4"/>
          <w:lang w:val="sq-AL"/>
        </w:rPr>
        <w:t>e) për të gjithë ndotësit, sondat e marrjes së mostrave në zonë trafiku vendosen të paktën 25 m nga kryqëzimet e mëdha dhe jo më shumë se 10 m nga skaji i trotuarit.</w:t>
      </w:r>
    </w:p>
    <w:p w:rsidR="00ED3C64" w:rsidRPr="00E00CAD" w:rsidRDefault="00ED3C64" w:rsidP="00ED3C64">
      <w:pPr>
        <w:pStyle w:val="Paragrafi"/>
        <w:rPr>
          <w:spacing w:val="-4"/>
          <w:lang w:val="sq-AL"/>
        </w:rPr>
      </w:pPr>
      <w:r w:rsidRPr="00E00CAD">
        <w:rPr>
          <w:spacing w:val="-4"/>
          <w:lang w:val="sq-AL"/>
        </w:rPr>
        <w:t>2. Gjithashtu, duhet të merren parasysh faktorët e mëposhtëm:</w:t>
      </w:r>
    </w:p>
    <w:p w:rsidR="00ED3C64" w:rsidRPr="00E00CAD" w:rsidRDefault="00ED3C64" w:rsidP="00ED3C64">
      <w:pPr>
        <w:pStyle w:val="Paragrafi"/>
        <w:rPr>
          <w:spacing w:val="-4"/>
          <w:lang w:val="sq-AL"/>
        </w:rPr>
      </w:pPr>
      <w:r w:rsidRPr="00E00CAD">
        <w:rPr>
          <w:spacing w:val="-4"/>
          <w:lang w:val="sq-AL"/>
        </w:rPr>
        <w:t>a) burimet interferuese;</w:t>
      </w:r>
    </w:p>
    <w:p w:rsidR="00ED3C64" w:rsidRPr="00E00CAD" w:rsidRDefault="00ED3C64" w:rsidP="00ED3C64">
      <w:pPr>
        <w:pStyle w:val="Paragrafi"/>
        <w:rPr>
          <w:spacing w:val="-4"/>
          <w:lang w:val="sq-AL"/>
        </w:rPr>
      </w:pPr>
      <w:r w:rsidRPr="00E00CAD">
        <w:rPr>
          <w:spacing w:val="-4"/>
          <w:lang w:val="sq-AL"/>
        </w:rPr>
        <w:t>b) siguria;</w:t>
      </w:r>
    </w:p>
    <w:p w:rsidR="00ED3C64" w:rsidRPr="00E00CAD" w:rsidRDefault="00ED3C64" w:rsidP="00ED3C64">
      <w:pPr>
        <w:pStyle w:val="Paragrafi"/>
        <w:rPr>
          <w:spacing w:val="-4"/>
          <w:lang w:val="sq-AL"/>
        </w:rPr>
      </w:pPr>
      <w:r w:rsidRPr="00E00CAD">
        <w:rPr>
          <w:spacing w:val="-4"/>
          <w:lang w:val="sq-AL"/>
        </w:rPr>
        <w:t>c) aksesi;</w:t>
      </w:r>
    </w:p>
    <w:p w:rsidR="00ED3C64" w:rsidRPr="00E00CAD" w:rsidRDefault="00ED3C64" w:rsidP="00ED3C64">
      <w:pPr>
        <w:pStyle w:val="Paragrafi"/>
        <w:rPr>
          <w:spacing w:val="-4"/>
          <w:lang w:val="sq-AL"/>
        </w:rPr>
      </w:pPr>
      <w:r w:rsidRPr="00E00CAD">
        <w:rPr>
          <w:spacing w:val="-4"/>
          <w:lang w:val="sq-AL"/>
        </w:rPr>
        <w:t>d) aksesi në rrjetin e energjisë elektrike dhe të telefonisë;</w:t>
      </w:r>
    </w:p>
    <w:p w:rsidR="00ED3C64" w:rsidRPr="00E00CAD" w:rsidRDefault="00ED3C64" w:rsidP="00ED3C64">
      <w:pPr>
        <w:pStyle w:val="Paragrafi"/>
        <w:rPr>
          <w:spacing w:val="-4"/>
          <w:lang w:val="sq-AL"/>
        </w:rPr>
      </w:pPr>
      <w:r w:rsidRPr="00E00CAD">
        <w:rPr>
          <w:spacing w:val="-4"/>
          <w:lang w:val="sq-AL"/>
        </w:rPr>
        <w:t>e) vizibiliteti i territorit në lidhje me zonat përreth tij;</w:t>
      </w:r>
    </w:p>
    <w:p w:rsidR="00ED3C64" w:rsidRPr="00E00CAD" w:rsidRDefault="00ED3C64" w:rsidP="00ED3C64">
      <w:pPr>
        <w:pStyle w:val="Paragrafi"/>
        <w:rPr>
          <w:spacing w:val="-4"/>
          <w:lang w:val="sq-AL"/>
        </w:rPr>
      </w:pPr>
      <w:r w:rsidRPr="00E00CAD">
        <w:rPr>
          <w:spacing w:val="-4"/>
          <w:lang w:val="sq-AL"/>
        </w:rPr>
        <w:t>f) siguria e publikut dhe operatorëve;</w:t>
      </w:r>
    </w:p>
    <w:p w:rsidR="00ED3C64" w:rsidRPr="00E00CAD" w:rsidRDefault="00ED3C64" w:rsidP="00ED3C64">
      <w:pPr>
        <w:pStyle w:val="Paragrafi"/>
        <w:rPr>
          <w:spacing w:val="-4"/>
          <w:lang w:val="sq-AL"/>
        </w:rPr>
      </w:pPr>
      <w:r w:rsidRPr="00E00CAD">
        <w:rPr>
          <w:spacing w:val="-4"/>
          <w:lang w:val="sq-AL"/>
        </w:rPr>
        <w:t>g) preferenca për pika integrale për marrjen e mostrave për ndotës të ndryshëm;</w:t>
      </w:r>
    </w:p>
    <w:p w:rsidR="00ED3C64" w:rsidRPr="00E00CAD" w:rsidRDefault="00ED3C64" w:rsidP="00ED3C64">
      <w:pPr>
        <w:pStyle w:val="Paragrafi"/>
        <w:rPr>
          <w:spacing w:val="-4"/>
          <w:lang w:val="sq-AL"/>
        </w:rPr>
      </w:pPr>
      <w:r w:rsidRPr="00E00CAD">
        <w:rPr>
          <w:spacing w:val="-4"/>
          <w:lang w:val="sq-AL"/>
        </w:rPr>
        <w:t>h) nevoja për planifikim.</w:t>
      </w:r>
    </w:p>
    <w:p w:rsidR="00ED3C64" w:rsidRPr="00E00CAD" w:rsidRDefault="00ED3C64" w:rsidP="00ED3C64">
      <w:pPr>
        <w:pStyle w:val="Paragrafi"/>
        <w:rPr>
          <w:spacing w:val="-4"/>
          <w:lang w:val="sq-AL"/>
        </w:rPr>
      </w:pPr>
      <w:r w:rsidRPr="00E00CAD">
        <w:rPr>
          <w:spacing w:val="-4"/>
          <w:lang w:val="sq-AL"/>
        </w:rPr>
        <w:t>Seksioni D. Dokumentacioni dhe rishikimi i përzgjedhjes së territorit</w:t>
      </w:r>
    </w:p>
    <w:p w:rsidR="00ED3C64" w:rsidRDefault="00ED3C64" w:rsidP="00ED3C64">
      <w:pPr>
        <w:pStyle w:val="Paragrafi"/>
        <w:rPr>
          <w:spacing w:val="-4"/>
          <w:lang w:val="sq-AL"/>
        </w:rPr>
      </w:pPr>
      <w:r w:rsidRPr="00E00CAD">
        <w:rPr>
          <w:spacing w:val="-4"/>
          <w:lang w:val="sq-AL"/>
        </w:rPr>
        <w:t xml:space="preserve">1. Në fazën e klasifikimit procedurat për përzgjedhjen e pikave së marrjes së mostrës dokumentohen plotësisht me mjete të tilla si fotografitë e zonës përreth dhe harta e detajuar. Këto pika rishikohen në intervale të rregullta me dokumentacion të përsëritur për të siguruar që kriteret e përzgjedhjes të mbeten të vlefshme gjatë gjithë kohës. </w:t>
      </w:r>
    </w:p>
    <w:p w:rsidR="00ED3C64" w:rsidRDefault="00ED3C64" w:rsidP="00ED3C64">
      <w:pPr>
        <w:pStyle w:val="Paragrafi"/>
        <w:jc w:val="center"/>
        <w:rPr>
          <w:spacing w:val="-4"/>
          <w:lang w:val="sq-AL"/>
        </w:rPr>
      </w:pPr>
      <w:r w:rsidRPr="00E00CAD">
        <w:rPr>
          <w:spacing w:val="-4"/>
          <w:lang w:val="sq-AL"/>
        </w:rPr>
        <w:t>ANEKSI IV</w:t>
      </w:r>
    </w:p>
    <w:p w:rsidR="00ED3C64" w:rsidRPr="00E00CAD" w:rsidRDefault="00ED3C64" w:rsidP="00ED3C64">
      <w:pPr>
        <w:pStyle w:val="Hapesira7"/>
        <w:rPr>
          <w:lang w:val="sq-AL"/>
        </w:rPr>
      </w:pPr>
    </w:p>
    <w:p w:rsidR="00ED3C64" w:rsidRPr="00E00CAD" w:rsidRDefault="00ED3C64" w:rsidP="00ED3C64">
      <w:pPr>
        <w:pStyle w:val="Paragrafi"/>
        <w:jc w:val="center"/>
        <w:rPr>
          <w:spacing w:val="-4"/>
          <w:lang w:val="sq-AL"/>
        </w:rPr>
      </w:pPr>
      <w:r w:rsidRPr="00E00CAD">
        <w:rPr>
          <w:spacing w:val="-4"/>
          <w:lang w:val="sq-AL"/>
        </w:rPr>
        <w:t>Matjet në vendndodhje me karakter rural pavarësisht nga përqendrimi</w:t>
      </w:r>
    </w:p>
    <w:p w:rsidR="00ED3C64" w:rsidRDefault="00ED3C64" w:rsidP="00ED3C64">
      <w:pPr>
        <w:pStyle w:val="Paragrafi"/>
        <w:jc w:val="center"/>
        <w:rPr>
          <w:spacing w:val="-4"/>
          <w:lang w:val="sq-AL"/>
        </w:rPr>
      </w:pPr>
      <w:r w:rsidRPr="00E00CAD">
        <w:rPr>
          <w:spacing w:val="-4"/>
          <w:lang w:val="sq-AL"/>
        </w:rPr>
        <w:t>(Referuar në pikën 4.7.ç të këtij vendimi)</w:t>
      </w:r>
    </w:p>
    <w:p w:rsidR="00ED3C64" w:rsidRPr="00E00CAD" w:rsidRDefault="00ED3C64" w:rsidP="00ED3C64">
      <w:pPr>
        <w:pStyle w:val="Hapesira7"/>
        <w:rPr>
          <w:lang w:val="sq-AL"/>
        </w:rPr>
      </w:pPr>
    </w:p>
    <w:p w:rsidR="00ED3C64" w:rsidRPr="00E00CAD" w:rsidRDefault="00ED3C64" w:rsidP="00ED3C64">
      <w:pPr>
        <w:pStyle w:val="Paragrafi"/>
        <w:rPr>
          <w:spacing w:val="-4"/>
          <w:lang w:val="sq-AL"/>
        </w:rPr>
      </w:pPr>
      <w:r w:rsidRPr="00E00CAD">
        <w:rPr>
          <w:spacing w:val="-4"/>
          <w:lang w:val="sq-AL"/>
        </w:rPr>
        <w:t>Seksioni A. Objektivat</w:t>
      </w:r>
    </w:p>
    <w:p w:rsidR="00ED3C64" w:rsidRPr="00E00CAD" w:rsidRDefault="00ED3C64" w:rsidP="00ED3C64">
      <w:pPr>
        <w:pStyle w:val="Paragrafi"/>
        <w:rPr>
          <w:spacing w:val="-4"/>
          <w:lang w:val="sq-AL"/>
        </w:rPr>
      </w:pPr>
      <w:r w:rsidRPr="00E00CAD">
        <w:rPr>
          <w:spacing w:val="-4"/>
          <w:lang w:val="sq-AL"/>
        </w:rPr>
        <w:t>Objektiv kryesor i këtyre matjeve është që të sigurojnë informacionin e duhur për nivelet në sfond. Ky informacion është thelbësor për të gjykuar rritjen e këtyre niveleve në zonat më shumë të ndotura (si zona me karakter urban, zonat e lidhura me industrinë, zonat e lidhura me trafikun), për të vlerësuar kontributin e mundshëm nga transporti i ndotësve të ajrit në distancë të largët, për të mbështetur analizën e përhapjes nga burimi dhe për të kuptuar ndotësit specifikë siç është lënda e ngurtë pezull. Ky informacion është gjithashtu thelbësor për të garantuar më shumë përdorim të modelimit në zonat urbane.</w:t>
      </w:r>
    </w:p>
    <w:p w:rsidR="00ED3C64" w:rsidRPr="00E00CAD" w:rsidRDefault="00ED3C64" w:rsidP="00ED3C64">
      <w:pPr>
        <w:pStyle w:val="Paragrafi"/>
        <w:rPr>
          <w:spacing w:val="-4"/>
          <w:lang w:val="sq-AL"/>
        </w:rPr>
      </w:pPr>
      <w:r w:rsidRPr="00E00CAD">
        <w:rPr>
          <w:spacing w:val="-4"/>
          <w:lang w:val="sq-AL"/>
        </w:rPr>
        <w:t>Seksioni B. Substancat</w:t>
      </w:r>
    </w:p>
    <w:p w:rsidR="00ED3C64" w:rsidRDefault="00ED3C64" w:rsidP="00ED3C64">
      <w:pPr>
        <w:pStyle w:val="Paragrafi"/>
        <w:rPr>
          <w:spacing w:val="-4"/>
          <w:lang w:val="sq-AL"/>
        </w:rPr>
      </w:pPr>
      <w:r w:rsidRPr="00E00CAD">
        <w:rPr>
          <w:spacing w:val="-4"/>
          <w:lang w:val="sq-AL"/>
        </w:rPr>
        <w:t>Për të karakterizuar përbërjen e vet kimike matja e PM</w:t>
      </w:r>
      <w:r w:rsidRPr="00AB3752">
        <w:rPr>
          <w:spacing w:val="-4"/>
          <w:vertAlign w:val="subscript"/>
          <w:lang w:val="sq-AL"/>
        </w:rPr>
        <w:t>2,5</w:t>
      </w:r>
      <w:r w:rsidRPr="00E00CAD">
        <w:rPr>
          <w:spacing w:val="-4"/>
          <w:lang w:val="sq-AL"/>
        </w:rPr>
        <w:t xml:space="preserve"> duhet të përfshijë të paktën përqendrimin e masës totale dhe përqendrimet e përbërësve të duhur. Kjo matje duhet të përfshijë të paktën listën</w:t>
      </w:r>
      <w:r>
        <w:rPr>
          <w:spacing w:val="-4"/>
          <w:lang w:val="sq-AL"/>
        </w:rPr>
        <w:t xml:space="preserve"> </w:t>
      </w:r>
      <w:r w:rsidRPr="00E00CAD">
        <w:rPr>
          <w:spacing w:val="-4"/>
          <w:lang w:val="sq-AL"/>
        </w:rPr>
        <w:t>e llojeve të kimikateve të dhëna më poshtë:</w:t>
      </w:r>
    </w:p>
    <w:p w:rsidR="00ED3C64" w:rsidRPr="00031315" w:rsidRDefault="00ED3C64" w:rsidP="00ED3C64">
      <w:pPr>
        <w:pStyle w:val="Paragrafi"/>
        <w:rPr>
          <w:spacing w:val="-4"/>
          <w:sz w:val="14"/>
          <w:lang w:val="sq-AL"/>
        </w:rPr>
      </w:pPr>
    </w:p>
    <w:tbl>
      <w:tblPr>
        <w:tblStyle w:val="TableGrid"/>
        <w:tblW w:w="4826" w:type="pct"/>
        <w:tblLook w:val="04A0" w:firstRow="1" w:lastRow="0" w:firstColumn="1" w:lastColumn="0" w:noHBand="0" w:noVBand="1"/>
      </w:tblPr>
      <w:tblGrid>
        <w:gridCol w:w="1570"/>
        <w:gridCol w:w="1271"/>
        <w:gridCol w:w="1539"/>
        <w:gridCol w:w="1457"/>
        <w:gridCol w:w="3675"/>
      </w:tblGrid>
      <w:tr w:rsidR="00ED3C64" w:rsidRPr="00FC21B0" w:rsidTr="00BC62B1">
        <w:trPr>
          <w:trHeight w:val="176"/>
        </w:trPr>
        <w:tc>
          <w:tcPr>
            <w:tcW w:w="825" w:type="pct"/>
          </w:tcPr>
          <w:p w:rsidR="00ED3C64" w:rsidRPr="00FC21B0" w:rsidRDefault="00ED3C64" w:rsidP="00BC62B1">
            <w:pPr>
              <w:widowControl w:val="0"/>
              <w:ind w:firstLine="0"/>
              <w:rPr>
                <w:rFonts w:ascii="Garamond" w:hAnsi="Garamond"/>
                <w:sz w:val="16"/>
                <w:szCs w:val="16"/>
                <w:lang w:val="sq-AL"/>
              </w:rPr>
            </w:pPr>
            <w:r w:rsidRPr="00FC21B0">
              <w:rPr>
                <w:rFonts w:ascii="Garamond" w:hAnsi="Garamond"/>
                <w:sz w:val="16"/>
                <w:szCs w:val="16"/>
                <w:lang w:val="sq-AL"/>
              </w:rPr>
              <w:t xml:space="preserve">2-SO4 </w:t>
            </w:r>
          </w:p>
        </w:tc>
        <w:tc>
          <w:tcPr>
            <w:tcW w:w="668" w:type="pct"/>
          </w:tcPr>
          <w:p w:rsidR="00ED3C64" w:rsidRPr="00FC21B0" w:rsidRDefault="00ED3C64" w:rsidP="00BC62B1">
            <w:pPr>
              <w:widowControl w:val="0"/>
              <w:ind w:firstLine="0"/>
              <w:rPr>
                <w:rFonts w:ascii="Garamond" w:hAnsi="Garamond"/>
                <w:sz w:val="16"/>
                <w:szCs w:val="16"/>
                <w:lang w:val="sq-AL"/>
              </w:rPr>
            </w:pPr>
            <w:r w:rsidRPr="00FC21B0">
              <w:rPr>
                <w:rFonts w:ascii="Garamond" w:hAnsi="Garamond"/>
                <w:sz w:val="16"/>
                <w:szCs w:val="16"/>
                <w:lang w:val="sq-AL"/>
              </w:rPr>
              <w:t>Na+</w:t>
            </w:r>
          </w:p>
        </w:tc>
        <w:tc>
          <w:tcPr>
            <w:tcW w:w="809" w:type="pct"/>
          </w:tcPr>
          <w:p w:rsidR="00ED3C64" w:rsidRPr="00FC21B0" w:rsidRDefault="00ED3C64" w:rsidP="00BC62B1">
            <w:pPr>
              <w:pStyle w:val="ListParagraph"/>
              <w:widowControl w:val="0"/>
              <w:ind w:left="0"/>
              <w:jc w:val="both"/>
              <w:rPr>
                <w:rFonts w:ascii="Garamond" w:hAnsi="Garamond"/>
                <w:sz w:val="16"/>
                <w:szCs w:val="16"/>
                <w:lang w:val="sq-AL"/>
              </w:rPr>
            </w:pPr>
            <w:r w:rsidRPr="00FC21B0">
              <w:rPr>
                <w:rFonts w:ascii="Garamond" w:hAnsi="Garamond"/>
                <w:sz w:val="16"/>
                <w:szCs w:val="16"/>
                <w:lang w:val="sq-AL"/>
              </w:rPr>
              <w:t>NH4+</w:t>
            </w:r>
          </w:p>
        </w:tc>
        <w:tc>
          <w:tcPr>
            <w:tcW w:w="766" w:type="pct"/>
          </w:tcPr>
          <w:p w:rsidR="00ED3C64" w:rsidRPr="00FC21B0" w:rsidRDefault="00ED3C64" w:rsidP="00BC62B1">
            <w:pPr>
              <w:pStyle w:val="ListParagraph"/>
              <w:widowControl w:val="0"/>
              <w:ind w:left="0"/>
              <w:jc w:val="both"/>
              <w:rPr>
                <w:rFonts w:ascii="Garamond" w:hAnsi="Garamond"/>
                <w:sz w:val="16"/>
                <w:szCs w:val="16"/>
                <w:lang w:val="sq-AL"/>
              </w:rPr>
            </w:pPr>
            <w:r w:rsidRPr="00FC21B0">
              <w:rPr>
                <w:rFonts w:ascii="Garamond" w:hAnsi="Garamond"/>
                <w:sz w:val="16"/>
                <w:szCs w:val="16"/>
                <w:lang w:val="sq-AL"/>
              </w:rPr>
              <w:t>Ca2+</w:t>
            </w:r>
          </w:p>
        </w:tc>
        <w:tc>
          <w:tcPr>
            <w:tcW w:w="1932" w:type="pct"/>
          </w:tcPr>
          <w:p w:rsidR="00ED3C64" w:rsidRPr="00FC21B0" w:rsidRDefault="00ED3C64" w:rsidP="00BC62B1">
            <w:pPr>
              <w:widowControl w:val="0"/>
              <w:ind w:firstLine="0"/>
              <w:rPr>
                <w:rFonts w:ascii="Garamond" w:hAnsi="Garamond"/>
                <w:sz w:val="16"/>
                <w:szCs w:val="16"/>
                <w:lang w:val="sq-AL"/>
              </w:rPr>
            </w:pPr>
            <w:r w:rsidRPr="00FC21B0">
              <w:rPr>
                <w:rFonts w:ascii="Garamond" w:hAnsi="Garamond"/>
                <w:sz w:val="16"/>
                <w:szCs w:val="16"/>
                <w:lang w:val="sq-AL"/>
              </w:rPr>
              <w:t>Karbon elementar (EC)</w:t>
            </w:r>
          </w:p>
        </w:tc>
      </w:tr>
      <w:tr w:rsidR="00ED3C64" w:rsidRPr="00FC21B0" w:rsidTr="00BC62B1">
        <w:tc>
          <w:tcPr>
            <w:tcW w:w="825" w:type="pct"/>
          </w:tcPr>
          <w:p w:rsidR="00ED3C64" w:rsidRPr="00FC21B0" w:rsidRDefault="00ED3C64" w:rsidP="00BC62B1">
            <w:pPr>
              <w:widowControl w:val="0"/>
              <w:ind w:firstLine="0"/>
              <w:rPr>
                <w:rFonts w:ascii="Garamond" w:hAnsi="Garamond"/>
                <w:sz w:val="16"/>
                <w:szCs w:val="16"/>
                <w:lang w:val="sq-AL"/>
              </w:rPr>
            </w:pPr>
            <w:r w:rsidRPr="00FC21B0">
              <w:rPr>
                <w:rFonts w:ascii="Garamond" w:hAnsi="Garamond"/>
                <w:sz w:val="16"/>
                <w:szCs w:val="16"/>
                <w:lang w:val="sq-AL"/>
              </w:rPr>
              <w:t>NO3-</w:t>
            </w:r>
          </w:p>
        </w:tc>
        <w:tc>
          <w:tcPr>
            <w:tcW w:w="668" w:type="pct"/>
          </w:tcPr>
          <w:p w:rsidR="00ED3C64" w:rsidRPr="00FC21B0" w:rsidRDefault="00ED3C64" w:rsidP="00BC62B1">
            <w:pPr>
              <w:widowControl w:val="0"/>
              <w:ind w:firstLine="0"/>
              <w:rPr>
                <w:rFonts w:ascii="Garamond" w:hAnsi="Garamond"/>
                <w:sz w:val="16"/>
                <w:szCs w:val="16"/>
                <w:lang w:val="sq-AL"/>
              </w:rPr>
            </w:pPr>
            <w:r w:rsidRPr="00FC21B0">
              <w:rPr>
                <w:rFonts w:ascii="Garamond" w:hAnsi="Garamond"/>
                <w:sz w:val="16"/>
                <w:szCs w:val="16"/>
                <w:lang w:val="sq-AL"/>
              </w:rPr>
              <w:t>K+</w:t>
            </w:r>
          </w:p>
        </w:tc>
        <w:tc>
          <w:tcPr>
            <w:tcW w:w="809" w:type="pct"/>
          </w:tcPr>
          <w:p w:rsidR="00ED3C64" w:rsidRPr="00FC21B0" w:rsidRDefault="00ED3C64" w:rsidP="00BC62B1">
            <w:pPr>
              <w:pStyle w:val="ListParagraph"/>
              <w:widowControl w:val="0"/>
              <w:ind w:left="0"/>
              <w:jc w:val="both"/>
              <w:rPr>
                <w:rFonts w:ascii="Garamond" w:hAnsi="Garamond"/>
                <w:sz w:val="16"/>
                <w:szCs w:val="16"/>
                <w:lang w:val="sq-AL"/>
              </w:rPr>
            </w:pPr>
            <w:r w:rsidRPr="00FC21B0">
              <w:rPr>
                <w:rFonts w:ascii="Garamond" w:hAnsi="Garamond"/>
                <w:sz w:val="16"/>
                <w:szCs w:val="16"/>
                <w:lang w:val="sq-AL"/>
              </w:rPr>
              <w:t>Cl-</w:t>
            </w:r>
          </w:p>
        </w:tc>
        <w:tc>
          <w:tcPr>
            <w:tcW w:w="766" w:type="pct"/>
          </w:tcPr>
          <w:p w:rsidR="00ED3C64" w:rsidRPr="00FC21B0" w:rsidRDefault="00ED3C64" w:rsidP="00BC62B1">
            <w:pPr>
              <w:pStyle w:val="ListParagraph"/>
              <w:widowControl w:val="0"/>
              <w:ind w:left="0"/>
              <w:jc w:val="both"/>
              <w:rPr>
                <w:rFonts w:ascii="Garamond" w:hAnsi="Garamond"/>
                <w:sz w:val="16"/>
                <w:szCs w:val="16"/>
                <w:lang w:val="sq-AL"/>
              </w:rPr>
            </w:pPr>
            <w:r w:rsidRPr="00FC21B0">
              <w:rPr>
                <w:rFonts w:ascii="Garamond" w:hAnsi="Garamond"/>
                <w:sz w:val="16"/>
                <w:szCs w:val="16"/>
                <w:lang w:val="sq-AL"/>
              </w:rPr>
              <w:t>Mg2+</w:t>
            </w:r>
          </w:p>
        </w:tc>
        <w:tc>
          <w:tcPr>
            <w:tcW w:w="1932" w:type="pct"/>
          </w:tcPr>
          <w:p w:rsidR="00ED3C64" w:rsidRPr="00FC21B0" w:rsidRDefault="00ED3C64" w:rsidP="00BC62B1">
            <w:pPr>
              <w:widowControl w:val="0"/>
              <w:ind w:firstLine="0"/>
              <w:rPr>
                <w:rFonts w:ascii="Garamond" w:hAnsi="Garamond"/>
                <w:sz w:val="16"/>
                <w:szCs w:val="16"/>
                <w:lang w:val="sq-AL"/>
              </w:rPr>
            </w:pPr>
            <w:r w:rsidRPr="00FC21B0">
              <w:rPr>
                <w:rFonts w:ascii="Garamond" w:hAnsi="Garamond"/>
                <w:sz w:val="16"/>
                <w:szCs w:val="16"/>
                <w:lang w:val="sq-AL"/>
              </w:rPr>
              <w:t>Karbon organik (OC).</w:t>
            </w:r>
          </w:p>
        </w:tc>
      </w:tr>
    </w:tbl>
    <w:p w:rsidR="00ED3C64" w:rsidRDefault="00ED3C64" w:rsidP="00ED3C64">
      <w:pPr>
        <w:pStyle w:val="Hapesira7"/>
        <w:rPr>
          <w:lang w:val="sq-AL"/>
        </w:rPr>
      </w:pPr>
    </w:p>
    <w:p w:rsidR="00ED3C64" w:rsidRPr="00E00CAD" w:rsidRDefault="00ED3C64" w:rsidP="00ED3C64">
      <w:pPr>
        <w:pStyle w:val="Paragrafi"/>
        <w:rPr>
          <w:spacing w:val="-4"/>
          <w:lang w:val="sq-AL"/>
        </w:rPr>
      </w:pPr>
      <w:r w:rsidRPr="00E00CAD">
        <w:rPr>
          <w:spacing w:val="-4"/>
          <w:lang w:val="sq-AL"/>
        </w:rPr>
        <w:t>Seksioni C. Përcaktimi i vendit për matje</w:t>
      </w:r>
    </w:p>
    <w:p w:rsidR="00ED3C64" w:rsidRPr="00E00CAD" w:rsidRDefault="00ED3C64" w:rsidP="00ED3C64">
      <w:pPr>
        <w:pStyle w:val="Paragrafi"/>
        <w:rPr>
          <w:spacing w:val="-4"/>
          <w:lang w:val="sq-AL"/>
        </w:rPr>
      </w:pPr>
      <w:r w:rsidRPr="00E00CAD">
        <w:rPr>
          <w:spacing w:val="-4"/>
          <w:lang w:val="sq-AL"/>
        </w:rPr>
        <w:t>1. Matjet duhen kryer veçanërisht në zona rurale në përputhje me seksionin A, b dhe C të aneksit III të këtij vendimi.</w:t>
      </w:r>
    </w:p>
    <w:p w:rsidR="00ED3C64" w:rsidRPr="00E00CAD" w:rsidRDefault="00ED3C64" w:rsidP="00ED3C64">
      <w:pPr>
        <w:pStyle w:val="Hapesira7"/>
        <w:rPr>
          <w:lang w:val="sq-AL"/>
        </w:rPr>
      </w:pPr>
    </w:p>
    <w:p w:rsidR="00ED3C64" w:rsidRDefault="00ED3C64" w:rsidP="00ED3C64">
      <w:pPr>
        <w:pStyle w:val="Paragrafi"/>
        <w:jc w:val="center"/>
        <w:rPr>
          <w:spacing w:val="-4"/>
          <w:lang w:val="sq-AL"/>
        </w:rPr>
      </w:pPr>
      <w:r w:rsidRPr="00E00CAD">
        <w:rPr>
          <w:spacing w:val="-4"/>
          <w:lang w:val="sq-AL"/>
        </w:rPr>
        <w:lastRenderedPageBreak/>
        <w:t>ANEKSI V</w:t>
      </w:r>
    </w:p>
    <w:p w:rsidR="00ED3C64" w:rsidRPr="00031315" w:rsidRDefault="00ED3C64" w:rsidP="00ED3C64">
      <w:pPr>
        <w:pStyle w:val="Paragrafi"/>
        <w:jc w:val="center"/>
        <w:rPr>
          <w:spacing w:val="-4"/>
          <w:sz w:val="14"/>
          <w:lang w:val="sq-AL"/>
        </w:rPr>
      </w:pPr>
    </w:p>
    <w:p w:rsidR="00ED3C64" w:rsidRPr="00E00CAD" w:rsidRDefault="00ED3C64" w:rsidP="00ED3C64">
      <w:pPr>
        <w:pStyle w:val="Paragrafi"/>
        <w:jc w:val="center"/>
        <w:rPr>
          <w:spacing w:val="-4"/>
          <w:lang w:val="sq-AL"/>
        </w:rPr>
      </w:pPr>
      <w:r w:rsidRPr="00E00CAD">
        <w:rPr>
          <w:spacing w:val="-4"/>
          <w:lang w:val="sq-AL"/>
        </w:rPr>
        <w:t>Kriteret për përcaktimin e numrave minimalë të pikave për marrjen e mostrave për matjet fikse të përqendrimit të dyoksidit të squfurit, dyoksidit të azotit dhe oksideve të azotit, lëndës së ngurtë pezull (PM</w:t>
      </w:r>
      <w:r w:rsidRPr="00405627">
        <w:rPr>
          <w:spacing w:val="-4"/>
          <w:vertAlign w:val="subscript"/>
          <w:lang w:val="sq-AL"/>
        </w:rPr>
        <w:t>10</w:t>
      </w:r>
      <w:r w:rsidRPr="00E00CAD">
        <w:rPr>
          <w:spacing w:val="-4"/>
          <w:lang w:val="sq-AL"/>
        </w:rPr>
        <w:t>, PM</w:t>
      </w:r>
      <w:r w:rsidRPr="00AB3752">
        <w:rPr>
          <w:spacing w:val="-4"/>
          <w:vertAlign w:val="subscript"/>
          <w:lang w:val="sq-AL"/>
        </w:rPr>
        <w:t>2,5</w:t>
      </w:r>
      <w:r w:rsidRPr="00E00CAD">
        <w:rPr>
          <w:spacing w:val="-4"/>
          <w:lang w:val="sq-AL"/>
        </w:rPr>
        <w:t>), plumbit, benzenit dhe monoksidit të karbonit në ajrin e mjedisit</w:t>
      </w:r>
    </w:p>
    <w:p w:rsidR="00ED3C64" w:rsidRPr="00E00CAD" w:rsidRDefault="00ED3C64" w:rsidP="00ED3C64">
      <w:pPr>
        <w:pStyle w:val="Paragrafi"/>
        <w:jc w:val="center"/>
        <w:rPr>
          <w:spacing w:val="-4"/>
          <w:lang w:val="sq-AL"/>
        </w:rPr>
      </w:pPr>
      <w:r w:rsidRPr="00E00CAD">
        <w:rPr>
          <w:spacing w:val="-4"/>
          <w:lang w:val="sq-AL"/>
        </w:rPr>
        <w:t>(Referuar në pikat 5.2, 5.3, 19.2, 24.1.c, dhe aneksin XIV.A.1 të këtij vendimi)</w:t>
      </w:r>
    </w:p>
    <w:p w:rsidR="00ED3C64" w:rsidRDefault="00ED3C64" w:rsidP="00ED3C64">
      <w:pPr>
        <w:pStyle w:val="Paragrafi"/>
        <w:rPr>
          <w:spacing w:val="-4"/>
          <w:lang w:val="sq-AL"/>
        </w:rPr>
      </w:pPr>
      <w:r>
        <w:rPr>
          <w:spacing w:val="-4"/>
          <w:lang w:val="sq-AL"/>
        </w:rPr>
        <w:t xml:space="preserve">A. </w:t>
      </w:r>
      <w:r w:rsidRPr="00E00CAD">
        <w:rPr>
          <w:spacing w:val="-4"/>
          <w:lang w:val="sq-AL"/>
        </w:rPr>
        <w:t>Numri minimal i pikave për marrjen e mostrave për matje fikse për vlerësimin e përputhshmërisë me vlerat kufi për mbrojtjen e shëndetit publik dhe pragjet e alarmit në zona dhe aglomerate ku matja fikse është burimi i vetëm i informacionit.</w:t>
      </w:r>
    </w:p>
    <w:p w:rsidR="00ED3C64" w:rsidRPr="00DC42C4" w:rsidRDefault="00ED3C64" w:rsidP="00ED3C64">
      <w:pPr>
        <w:pStyle w:val="Paragrafi"/>
        <w:rPr>
          <w:lang w:val="sq-AL"/>
        </w:rPr>
      </w:pPr>
    </w:p>
    <w:p w:rsidR="00ED3C64" w:rsidRDefault="00ED3C64" w:rsidP="00ED3C64">
      <w:pPr>
        <w:pStyle w:val="Paragrafi"/>
        <w:rPr>
          <w:lang w:val="sq-AL"/>
        </w:rPr>
        <w:sectPr w:rsidR="00ED3C64" w:rsidSect="001E746C">
          <w:type w:val="continuous"/>
          <w:pgSz w:w="11907" w:h="16840" w:code="9"/>
          <w:pgMar w:top="720" w:right="1134" w:bottom="720" w:left="1134" w:header="851" w:footer="851" w:gutter="0"/>
          <w:cols w:space="454"/>
          <w:docGrid w:linePitch="360"/>
        </w:sectPr>
      </w:pPr>
    </w:p>
    <w:p w:rsidR="00ED3C64" w:rsidRPr="00DC42C4" w:rsidRDefault="00ED3C64" w:rsidP="00ED3C64">
      <w:pPr>
        <w:pStyle w:val="Paragrafi"/>
        <w:rPr>
          <w:lang w:val="sq-AL"/>
        </w:rPr>
      </w:pPr>
      <w:r w:rsidRPr="00DC42C4">
        <w:rPr>
          <w:lang w:val="sq-AL"/>
        </w:rPr>
        <w:lastRenderedPageBreak/>
        <w:t>Burimet e shpërndarjes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03"/>
        <w:gridCol w:w="1703"/>
        <w:gridCol w:w="1703"/>
        <w:gridCol w:w="1703"/>
        <w:gridCol w:w="1704"/>
      </w:tblGrid>
      <w:tr w:rsidR="00ED3C64" w:rsidRPr="001A7A75" w:rsidTr="00BC62B1">
        <w:trPr>
          <w:jc w:val="center"/>
        </w:trPr>
        <w:tc>
          <w:tcPr>
            <w:tcW w:w="1703" w:type="dxa"/>
            <w:vMerge w:val="restart"/>
          </w:tcPr>
          <w:p w:rsidR="00ED3C64" w:rsidRPr="001A7A75" w:rsidRDefault="00ED3C64" w:rsidP="00BC62B1">
            <w:pPr>
              <w:pStyle w:val="ListParagraph"/>
              <w:widowControl w:val="0"/>
              <w:spacing w:after="0" w:line="240" w:lineRule="auto"/>
              <w:ind w:left="0"/>
              <w:rPr>
                <w:rFonts w:ascii="Garamond" w:hAnsi="Garamond"/>
                <w:sz w:val="18"/>
                <w:szCs w:val="18"/>
                <w:lang w:val="sq-AL"/>
              </w:rPr>
            </w:pPr>
            <w:r w:rsidRPr="001A7A75">
              <w:rPr>
                <w:rFonts w:ascii="Garamond" w:hAnsi="Garamond"/>
                <w:sz w:val="18"/>
                <w:szCs w:val="18"/>
                <w:lang w:val="sq-AL"/>
              </w:rPr>
              <w:t>Popullsia e zonës ose aglomeratit (mijë)</w:t>
            </w:r>
          </w:p>
        </w:tc>
        <w:tc>
          <w:tcPr>
            <w:tcW w:w="3406" w:type="dxa"/>
            <w:gridSpan w:val="2"/>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Në qoftë se përqendrimet maksimale kapërcejnë pragun e sipërm të vlerësimit (1)</w:t>
            </w:r>
          </w:p>
        </w:tc>
        <w:tc>
          <w:tcPr>
            <w:tcW w:w="3407" w:type="dxa"/>
            <w:gridSpan w:val="2"/>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 xml:space="preserve">Në qoftë se përqendrimet maksimale janë midis pragut të sipërm dhe të poshtëm të vlerësimit </w:t>
            </w:r>
          </w:p>
        </w:tc>
      </w:tr>
      <w:tr w:rsidR="00ED3C64" w:rsidRPr="001A7A75" w:rsidTr="00BC62B1">
        <w:trPr>
          <w:jc w:val="center"/>
        </w:trPr>
        <w:tc>
          <w:tcPr>
            <w:tcW w:w="1703" w:type="dxa"/>
            <w:vMerge/>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p>
        </w:tc>
        <w:tc>
          <w:tcPr>
            <w:tcW w:w="1703"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Ndotësit përveç PM</w:t>
            </w:r>
          </w:p>
        </w:tc>
        <w:tc>
          <w:tcPr>
            <w:tcW w:w="1703" w:type="dxa"/>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PM (2) (shuma e PM</w:t>
            </w:r>
            <w:r w:rsidRPr="001A7A75">
              <w:rPr>
                <w:rFonts w:ascii="Garamond" w:hAnsi="Garamond"/>
                <w:b/>
                <w:sz w:val="18"/>
                <w:szCs w:val="18"/>
                <w:vertAlign w:val="subscript"/>
                <w:lang w:val="sq-AL"/>
              </w:rPr>
              <w:t xml:space="preserve">10 </w:t>
            </w:r>
            <w:r w:rsidRPr="001A7A75">
              <w:rPr>
                <w:rFonts w:ascii="Garamond" w:hAnsi="Garamond"/>
                <w:sz w:val="18"/>
                <w:szCs w:val="18"/>
                <w:lang w:val="sq-AL"/>
              </w:rPr>
              <w:t>dhe  PM</w:t>
            </w:r>
            <w:r w:rsidRPr="001A7A75">
              <w:rPr>
                <w:rFonts w:ascii="Garamond" w:hAnsi="Garamond"/>
                <w:b/>
                <w:sz w:val="18"/>
                <w:szCs w:val="18"/>
                <w:vertAlign w:val="subscript"/>
                <w:lang w:val="sq-AL"/>
              </w:rPr>
              <w:t>2,5</w:t>
            </w:r>
            <w:r w:rsidRPr="001A7A75">
              <w:rPr>
                <w:rFonts w:ascii="Garamond" w:hAnsi="Garamond"/>
                <w:sz w:val="18"/>
                <w:szCs w:val="18"/>
                <w:lang w:val="sq-AL"/>
              </w:rPr>
              <w:t>)</w:t>
            </w:r>
          </w:p>
        </w:tc>
        <w:tc>
          <w:tcPr>
            <w:tcW w:w="1703"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Ndotësit përveç PM</w:t>
            </w:r>
          </w:p>
        </w:tc>
        <w:tc>
          <w:tcPr>
            <w:tcW w:w="1704" w:type="dxa"/>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PM (2) (shuma e PM</w:t>
            </w:r>
            <w:r w:rsidRPr="001A7A75">
              <w:rPr>
                <w:rFonts w:ascii="Garamond" w:hAnsi="Garamond"/>
                <w:b/>
                <w:sz w:val="18"/>
                <w:szCs w:val="18"/>
                <w:vertAlign w:val="subscript"/>
                <w:lang w:val="sq-AL"/>
              </w:rPr>
              <w:t>10</w:t>
            </w:r>
            <w:r w:rsidRPr="001A7A75">
              <w:rPr>
                <w:rFonts w:ascii="Garamond" w:hAnsi="Garamond"/>
                <w:sz w:val="18"/>
                <w:szCs w:val="18"/>
                <w:lang w:val="sq-AL"/>
              </w:rPr>
              <w:t xml:space="preserve"> dhe PM</w:t>
            </w:r>
            <w:r w:rsidRPr="001A7A75">
              <w:rPr>
                <w:rFonts w:ascii="Garamond" w:hAnsi="Garamond"/>
                <w:b/>
                <w:sz w:val="18"/>
                <w:szCs w:val="18"/>
                <w:vertAlign w:val="subscript"/>
                <w:lang w:val="sq-AL"/>
              </w:rPr>
              <w:t>2,5</w:t>
            </w:r>
            <w:r w:rsidRPr="001A7A75">
              <w:rPr>
                <w:rFonts w:ascii="Garamond" w:hAnsi="Garamond"/>
                <w:sz w:val="18"/>
                <w:szCs w:val="18"/>
                <w:lang w:val="sq-AL"/>
              </w:rPr>
              <w:t>)</w:t>
            </w:r>
          </w:p>
        </w:tc>
      </w:tr>
      <w:tr w:rsidR="00ED3C64" w:rsidRPr="001A7A75" w:rsidTr="00BC62B1">
        <w:trPr>
          <w:jc w:val="center"/>
        </w:trPr>
        <w:tc>
          <w:tcPr>
            <w:tcW w:w="1703"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0-249</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1</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2</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1</w:t>
            </w:r>
          </w:p>
        </w:tc>
        <w:tc>
          <w:tcPr>
            <w:tcW w:w="1704"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1</w:t>
            </w:r>
          </w:p>
        </w:tc>
      </w:tr>
      <w:tr w:rsidR="00ED3C64" w:rsidRPr="001A7A75" w:rsidTr="00BC62B1">
        <w:trPr>
          <w:jc w:val="center"/>
        </w:trPr>
        <w:tc>
          <w:tcPr>
            <w:tcW w:w="1703"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250-499</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2</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3</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1</w:t>
            </w:r>
          </w:p>
        </w:tc>
        <w:tc>
          <w:tcPr>
            <w:tcW w:w="1704"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2</w:t>
            </w:r>
          </w:p>
        </w:tc>
      </w:tr>
      <w:tr w:rsidR="00ED3C64" w:rsidRPr="001A7A75" w:rsidTr="00BC62B1">
        <w:trPr>
          <w:jc w:val="center"/>
        </w:trPr>
        <w:tc>
          <w:tcPr>
            <w:tcW w:w="1703"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500-749</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2</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3</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1</w:t>
            </w:r>
          </w:p>
        </w:tc>
        <w:tc>
          <w:tcPr>
            <w:tcW w:w="1704"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2</w:t>
            </w:r>
          </w:p>
        </w:tc>
      </w:tr>
      <w:tr w:rsidR="00ED3C64" w:rsidRPr="001A7A75" w:rsidTr="00BC62B1">
        <w:trPr>
          <w:jc w:val="center"/>
        </w:trPr>
        <w:tc>
          <w:tcPr>
            <w:tcW w:w="1703"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750-999</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3</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4</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1</w:t>
            </w:r>
          </w:p>
        </w:tc>
        <w:tc>
          <w:tcPr>
            <w:tcW w:w="1704"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2</w:t>
            </w:r>
          </w:p>
        </w:tc>
      </w:tr>
      <w:tr w:rsidR="00ED3C64" w:rsidRPr="001A7A75" w:rsidTr="00BC62B1">
        <w:trPr>
          <w:jc w:val="center"/>
        </w:trPr>
        <w:tc>
          <w:tcPr>
            <w:tcW w:w="1703"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1 000-1 499</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4</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6</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2</w:t>
            </w:r>
          </w:p>
        </w:tc>
        <w:tc>
          <w:tcPr>
            <w:tcW w:w="1704"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3</w:t>
            </w:r>
          </w:p>
        </w:tc>
      </w:tr>
      <w:tr w:rsidR="00ED3C64" w:rsidRPr="001A7A75" w:rsidTr="00BC62B1">
        <w:trPr>
          <w:jc w:val="center"/>
        </w:trPr>
        <w:tc>
          <w:tcPr>
            <w:tcW w:w="1703"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1 500-1 999</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5</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7</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2</w:t>
            </w:r>
          </w:p>
        </w:tc>
        <w:tc>
          <w:tcPr>
            <w:tcW w:w="1704"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3</w:t>
            </w:r>
          </w:p>
        </w:tc>
      </w:tr>
      <w:tr w:rsidR="00ED3C64" w:rsidRPr="001A7A75" w:rsidTr="00BC62B1">
        <w:trPr>
          <w:jc w:val="center"/>
        </w:trPr>
        <w:tc>
          <w:tcPr>
            <w:tcW w:w="1703"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2 000-2 749</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6</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8</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3</w:t>
            </w:r>
          </w:p>
        </w:tc>
        <w:tc>
          <w:tcPr>
            <w:tcW w:w="1704"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4</w:t>
            </w:r>
          </w:p>
        </w:tc>
      </w:tr>
      <w:tr w:rsidR="00ED3C64" w:rsidRPr="001A7A75" w:rsidTr="00BC62B1">
        <w:trPr>
          <w:jc w:val="center"/>
        </w:trPr>
        <w:tc>
          <w:tcPr>
            <w:tcW w:w="1703"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2 750-3 749</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7</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10</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3</w:t>
            </w:r>
          </w:p>
        </w:tc>
        <w:tc>
          <w:tcPr>
            <w:tcW w:w="1704"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4</w:t>
            </w:r>
          </w:p>
        </w:tc>
      </w:tr>
      <w:tr w:rsidR="00ED3C64" w:rsidRPr="001A7A75" w:rsidTr="00BC62B1">
        <w:trPr>
          <w:jc w:val="center"/>
        </w:trPr>
        <w:tc>
          <w:tcPr>
            <w:tcW w:w="1703"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3 750-4 749</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8</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11</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3</w:t>
            </w:r>
          </w:p>
        </w:tc>
        <w:tc>
          <w:tcPr>
            <w:tcW w:w="1704"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6</w:t>
            </w:r>
          </w:p>
        </w:tc>
      </w:tr>
      <w:tr w:rsidR="00ED3C64" w:rsidRPr="001A7A75" w:rsidTr="00BC62B1">
        <w:trPr>
          <w:jc w:val="center"/>
        </w:trPr>
        <w:tc>
          <w:tcPr>
            <w:tcW w:w="1703"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4 750-5 999</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9</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13</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4</w:t>
            </w:r>
          </w:p>
        </w:tc>
        <w:tc>
          <w:tcPr>
            <w:tcW w:w="1704"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6</w:t>
            </w:r>
          </w:p>
        </w:tc>
      </w:tr>
      <w:tr w:rsidR="00ED3C64" w:rsidRPr="001A7A75" w:rsidTr="00BC62B1">
        <w:trPr>
          <w:jc w:val="center"/>
        </w:trPr>
        <w:tc>
          <w:tcPr>
            <w:tcW w:w="1703"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 6 000</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10</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15</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4</w:t>
            </w:r>
          </w:p>
        </w:tc>
        <w:tc>
          <w:tcPr>
            <w:tcW w:w="1704"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7</w:t>
            </w:r>
          </w:p>
        </w:tc>
      </w:tr>
      <w:tr w:rsidR="00ED3C64" w:rsidRPr="001A7A75" w:rsidTr="00BC62B1">
        <w:trPr>
          <w:jc w:val="center"/>
        </w:trPr>
        <w:tc>
          <w:tcPr>
            <w:tcW w:w="8516" w:type="dxa"/>
            <w:gridSpan w:val="5"/>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(1) Për dyoksidin e azotit, lëndën e ngurtë pezull, benzenin dhe monoksidin e karbonit: të përfshihet të paktën një stacion monitorimi për zonat urbane dhe një stacion i orientuar nga trafiku me kusht që numri i pikave të marrjes së mostrave të mos rritet. Për këta ndotës, numri total i stacioneve në zona urbane dhe numri total i stacioneve të orientuara nga trafiku në Republikën e Shqipërisë sic kërkohet nga seksioni A(1) nuk ndryshon me më shumë se 2 herë . Pikat e marrjes së mostrave ku në 3 vitet e fundit ka pasur kapërcime të vlerës kufi të PM</w:t>
            </w:r>
            <w:r w:rsidRPr="001A7A75">
              <w:rPr>
                <w:rFonts w:ascii="Garamond" w:hAnsi="Garamond"/>
                <w:b/>
                <w:sz w:val="18"/>
                <w:szCs w:val="18"/>
                <w:vertAlign w:val="subscript"/>
                <w:lang w:val="sq-AL"/>
              </w:rPr>
              <w:t>10</w:t>
            </w:r>
            <w:r w:rsidRPr="001A7A75">
              <w:rPr>
                <w:rFonts w:ascii="Garamond" w:hAnsi="Garamond"/>
                <w:sz w:val="18"/>
                <w:szCs w:val="18"/>
                <w:lang w:val="sq-AL"/>
              </w:rPr>
              <w:t xml:space="preserve"> ruhen, përveç se kur ndryshimi i vendit bëhet i nevojshëm të rrethanave të veçanta, sidomos nga zhvillimi hapësinor.</w:t>
            </w:r>
          </w:p>
        </w:tc>
      </w:tr>
      <w:tr w:rsidR="00ED3C64" w:rsidRPr="001A7A75" w:rsidTr="00BC62B1">
        <w:trPr>
          <w:jc w:val="center"/>
        </w:trPr>
        <w:tc>
          <w:tcPr>
            <w:tcW w:w="8516" w:type="dxa"/>
            <w:gridSpan w:val="5"/>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(2)Kur PM</w:t>
            </w:r>
            <w:r w:rsidRPr="001A7A75">
              <w:rPr>
                <w:rFonts w:ascii="Garamond" w:hAnsi="Garamond"/>
                <w:sz w:val="18"/>
                <w:szCs w:val="18"/>
                <w:vertAlign w:val="subscript"/>
                <w:lang w:val="sq-AL"/>
              </w:rPr>
              <w:t>2,5</w:t>
            </w:r>
            <w:r w:rsidRPr="001A7A75">
              <w:rPr>
                <w:rFonts w:ascii="Garamond" w:hAnsi="Garamond"/>
                <w:sz w:val="18"/>
                <w:szCs w:val="18"/>
                <w:lang w:val="sq-AL"/>
              </w:rPr>
              <w:t xml:space="preserve"> dhe PM</w:t>
            </w:r>
            <w:r w:rsidRPr="001A7A75">
              <w:rPr>
                <w:rFonts w:ascii="Garamond" w:hAnsi="Garamond"/>
                <w:sz w:val="18"/>
                <w:szCs w:val="18"/>
                <w:vertAlign w:val="subscript"/>
                <w:lang w:val="sq-AL"/>
              </w:rPr>
              <w:t>10</w:t>
            </w:r>
            <w:r w:rsidRPr="001A7A75">
              <w:rPr>
                <w:rFonts w:ascii="Garamond" w:hAnsi="Garamond"/>
                <w:sz w:val="18"/>
                <w:szCs w:val="18"/>
                <w:lang w:val="sq-AL"/>
              </w:rPr>
              <w:t xml:space="preserve"> maten në të njëjtin stacion monitorimi, këto do të numërohen si dy pika të veçanta monitorimi. Numri total i pikave të monitorimit PM</w:t>
            </w:r>
            <w:r w:rsidRPr="001A7A75">
              <w:rPr>
                <w:rFonts w:ascii="Garamond" w:hAnsi="Garamond"/>
                <w:sz w:val="18"/>
                <w:szCs w:val="18"/>
                <w:vertAlign w:val="subscript"/>
                <w:lang w:val="sq-AL"/>
              </w:rPr>
              <w:t>2,5</w:t>
            </w:r>
            <w:r w:rsidRPr="001A7A75">
              <w:rPr>
                <w:rFonts w:ascii="Garamond" w:hAnsi="Garamond"/>
                <w:sz w:val="18"/>
                <w:szCs w:val="18"/>
                <w:lang w:val="sq-AL"/>
              </w:rPr>
              <w:t xml:space="preserve"> dhe PM</w:t>
            </w:r>
            <w:r w:rsidRPr="001A7A75">
              <w:rPr>
                <w:rFonts w:ascii="Garamond" w:hAnsi="Garamond"/>
                <w:sz w:val="18"/>
                <w:szCs w:val="18"/>
                <w:vertAlign w:val="subscript"/>
                <w:lang w:val="sq-AL"/>
              </w:rPr>
              <w:t xml:space="preserve">10 </w:t>
            </w:r>
            <w:r w:rsidRPr="001A7A75">
              <w:rPr>
                <w:rFonts w:ascii="Garamond" w:hAnsi="Garamond"/>
                <w:sz w:val="18"/>
                <w:szCs w:val="18"/>
                <w:lang w:val="sq-AL"/>
              </w:rPr>
              <w:t>në Republikën e Shqipërisë që kërkohet nga seksioni A(1) nuk ndryshon me më shumë se 2 herë, dhe numri i pikave të monitorimit të PM</w:t>
            </w:r>
            <w:r>
              <w:rPr>
                <w:rFonts w:ascii="Garamond" w:hAnsi="Garamond"/>
                <w:sz w:val="18"/>
                <w:szCs w:val="18"/>
                <w:lang w:val="sq-AL"/>
              </w:rPr>
              <w:t xml:space="preserve"> </w:t>
            </w:r>
            <w:r w:rsidRPr="005379B7">
              <w:rPr>
                <w:rFonts w:ascii="Garamond" w:hAnsi="Garamond"/>
                <w:sz w:val="18"/>
                <w:szCs w:val="18"/>
                <w:vertAlign w:val="subscript"/>
                <w:lang w:val="sq-AL"/>
              </w:rPr>
              <w:t>2,5</w:t>
            </w:r>
            <w:r w:rsidRPr="001A7A75">
              <w:rPr>
                <w:rFonts w:ascii="Garamond" w:hAnsi="Garamond"/>
                <w:sz w:val="18"/>
                <w:szCs w:val="18"/>
                <w:lang w:val="sq-AL"/>
              </w:rPr>
              <w:t xml:space="preserve"> në mjedise urbane të aglomerateve dhe zonave urbane plotëson kërkesat sipas seksionit B të mëposhtëm.</w:t>
            </w:r>
          </w:p>
        </w:tc>
      </w:tr>
    </w:tbl>
    <w:p w:rsidR="00ED3C64" w:rsidRPr="00F078E2" w:rsidRDefault="00ED3C64" w:rsidP="00ED3C64">
      <w:pPr>
        <w:pStyle w:val="Paragrafi"/>
        <w:rPr>
          <w:sz w:val="14"/>
          <w:lang w:val="sq-AL"/>
        </w:rPr>
      </w:pPr>
    </w:p>
    <w:p w:rsidR="00ED3C64" w:rsidRPr="00F078E2" w:rsidRDefault="00ED3C64" w:rsidP="00ED3C64">
      <w:pPr>
        <w:pStyle w:val="Paragrafi"/>
        <w:rPr>
          <w:sz w:val="14"/>
          <w:lang w:val="sq-AL"/>
        </w:rPr>
        <w:sectPr w:rsidR="00ED3C64" w:rsidRPr="00F078E2" w:rsidSect="001E746C">
          <w:type w:val="continuous"/>
          <w:pgSz w:w="11907" w:h="16840" w:code="9"/>
          <w:pgMar w:top="720" w:right="1134" w:bottom="720" w:left="1134" w:header="851" w:footer="851" w:gutter="0"/>
          <w:cols w:space="720"/>
          <w:docGrid w:linePitch="360"/>
        </w:sectPr>
      </w:pPr>
    </w:p>
    <w:p w:rsidR="00ED3C64" w:rsidRPr="00E00CAD" w:rsidRDefault="00ED3C64" w:rsidP="00ED3C64">
      <w:pPr>
        <w:pStyle w:val="Paragrafi"/>
        <w:rPr>
          <w:spacing w:val="4"/>
          <w:lang w:val="sq-AL"/>
        </w:rPr>
      </w:pPr>
      <w:r w:rsidRPr="00E00CAD">
        <w:rPr>
          <w:spacing w:val="4"/>
          <w:lang w:val="sq-AL"/>
        </w:rPr>
        <w:lastRenderedPageBreak/>
        <w:t>2. Burimet e identifikueshme</w:t>
      </w:r>
    </w:p>
    <w:p w:rsidR="00ED3C64" w:rsidRPr="00E00CAD" w:rsidRDefault="00ED3C64" w:rsidP="00ED3C64">
      <w:pPr>
        <w:pStyle w:val="Paragrafi"/>
        <w:rPr>
          <w:spacing w:val="4"/>
          <w:lang w:val="sq-AL"/>
        </w:rPr>
      </w:pPr>
      <w:r w:rsidRPr="00E00CAD">
        <w:rPr>
          <w:spacing w:val="4"/>
          <w:lang w:val="sq-AL"/>
        </w:rPr>
        <w:t>Për vlerësimin e ndotjes në afërsi të burimeve identifikueshme, numri i pikave për marrjen e mostrave për matje fikse llogaritet duke marrë në konsideratë dendësitë e shkarkimit, modelet e shpërndarjes së mundshme të ndotjes së ajrit të mjedisit dhe ekspozimin potencial të popullsisë.</w:t>
      </w:r>
    </w:p>
    <w:p w:rsidR="00ED3C64" w:rsidRPr="00E00CAD" w:rsidRDefault="00ED3C64" w:rsidP="00ED3C64">
      <w:pPr>
        <w:pStyle w:val="Paragrafi"/>
        <w:rPr>
          <w:spacing w:val="4"/>
          <w:lang w:val="sq-AL"/>
        </w:rPr>
      </w:pPr>
      <w:r w:rsidRPr="00E00CAD">
        <w:rPr>
          <w:spacing w:val="4"/>
          <w:lang w:val="sq-AL"/>
        </w:rPr>
        <w:t xml:space="preserve">B. Numri minimal i pikave të marrjes së mostrave për matje fikse për të vlerësuar përputhshmërinë me synimin për pakësimin e ekspozimit ndaj </w:t>
      </w:r>
      <w:r w:rsidRPr="001A7A75">
        <w:rPr>
          <w:sz w:val="18"/>
          <w:szCs w:val="18"/>
          <w:lang w:val="sq-AL"/>
        </w:rPr>
        <w:t>PM</w:t>
      </w:r>
      <w:r>
        <w:rPr>
          <w:sz w:val="18"/>
          <w:szCs w:val="18"/>
          <w:lang w:val="sq-AL"/>
        </w:rPr>
        <w:t xml:space="preserve"> </w:t>
      </w:r>
      <w:r w:rsidRPr="005379B7">
        <w:rPr>
          <w:sz w:val="18"/>
          <w:szCs w:val="18"/>
          <w:vertAlign w:val="subscript"/>
          <w:lang w:val="sq-AL"/>
        </w:rPr>
        <w:t>2,5</w:t>
      </w:r>
      <w:r w:rsidRPr="001A7A75">
        <w:rPr>
          <w:sz w:val="18"/>
          <w:szCs w:val="18"/>
          <w:lang w:val="sq-AL"/>
        </w:rPr>
        <w:t xml:space="preserve"> </w:t>
      </w:r>
      <w:r w:rsidRPr="00E00CAD">
        <w:rPr>
          <w:spacing w:val="4"/>
          <w:lang w:val="sq-AL"/>
        </w:rPr>
        <w:t xml:space="preserve"> për mbrojtjen e shëndetit publik. </w:t>
      </w:r>
    </w:p>
    <w:p w:rsidR="00ED3C64" w:rsidRPr="00E00CAD" w:rsidRDefault="00ED3C64" w:rsidP="00ED3C64">
      <w:pPr>
        <w:pStyle w:val="Paragrafi"/>
        <w:rPr>
          <w:spacing w:val="4"/>
          <w:lang w:val="sq-AL"/>
        </w:rPr>
      </w:pPr>
      <w:r w:rsidRPr="00E00CAD">
        <w:rPr>
          <w:spacing w:val="4"/>
          <w:lang w:val="sq-AL"/>
        </w:rPr>
        <w:t>Për këtë qëllim operohet me një pikë për marrje mostrash për një milionë banorë që përmbledh aglomeratet dhe zonat urbane që kanë më shumë se 100 000 banorë. Këto pika për marrjen e mostrave mund të përkojnë me pikat e marrjes së mostrave sipas seksionit A më sipër.</w:t>
      </w:r>
    </w:p>
    <w:p w:rsidR="00ED3C64" w:rsidRPr="00E00CAD" w:rsidRDefault="00ED3C64" w:rsidP="00ED3C64">
      <w:pPr>
        <w:pStyle w:val="Paragrafi"/>
        <w:rPr>
          <w:spacing w:val="4"/>
          <w:lang w:val="sq-AL"/>
        </w:rPr>
      </w:pPr>
      <w:r w:rsidRPr="00E00CAD">
        <w:rPr>
          <w:spacing w:val="4"/>
          <w:lang w:val="sq-AL"/>
        </w:rPr>
        <w:t>C. Numri minimal i pikave të marrjes së mostrave për matje fikse për të vlerësuar përputhshmërinë e niveleve kritike për mbrojtjen e bimësisë në zonat përveç aglomerateve.</w:t>
      </w:r>
    </w:p>
    <w:p w:rsidR="00ED3C64" w:rsidRPr="00E00CAD" w:rsidRDefault="00ED3C64" w:rsidP="00ED3C64">
      <w:pPr>
        <w:pStyle w:val="Hapesira7"/>
        <w:rPr>
          <w:spacing w:val="4"/>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93"/>
        <w:gridCol w:w="4762"/>
      </w:tblGrid>
      <w:tr w:rsidR="00ED3C64" w:rsidRPr="00E00CAD" w:rsidTr="00BC62B1">
        <w:tc>
          <w:tcPr>
            <w:tcW w:w="2584" w:type="pct"/>
          </w:tcPr>
          <w:p w:rsidR="00ED3C64" w:rsidRPr="00E00CAD" w:rsidRDefault="00ED3C64" w:rsidP="00BC62B1">
            <w:pPr>
              <w:pStyle w:val="ListParagraph"/>
              <w:widowControl w:val="0"/>
              <w:spacing w:after="0" w:line="240" w:lineRule="auto"/>
              <w:ind w:left="0"/>
              <w:jc w:val="center"/>
              <w:rPr>
                <w:rFonts w:ascii="Garamond" w:hAnsi="Garamond"/>
                <w:spacing w:val="4"/>
                <w:sz w:val="18"/>
                <w:szCs w:val="18"/>
                <w:lang w:val="sq-AL"/>
              </w:rPr>
            </w:pPr>
            <w:r w:rsidRPr="00E00CAD">
              <w:rPr>
                <w:rFonts w:ascii="Garamond" w:hAnsi="Garamond"/>
                <w:spacing w:val="4"/>
                <w:sz w:val="18"/>
                <w:szCs w:val="18"/>
                <w:lang w:val="sq-AL"/>
              </w:rPr>
              <w:t>Në qoftë se përqendrimet maksimale kapërcejnë pragun e sipërm të vlerësimit</w:t>
            </w:r>
          </w:p>
        </w:tc>
        <w:tc>
          <w:tcPr>
            <w:tcW w:w="2416" w:type="pct"/>
          </w:tcPr>
          <w:p w:rsidR="00ED3C64" w:rsidRPr="00E00CAD" w:rsidRDefault="00ED3C64" w:rsidP="00BC62B1">
            <w:pPr>
              <w:pStyle w:val="ListParagraph"/>
              <w:widowControl w:val="0"/>
              <w:spacing w:after="0" w:line="240" w:lineRule="auto"/>
              <w:ind w:left="0"/>
              <w:jc w:val="center"/>
              <w:rPr>
                <w:rFonts w:ascii="Garamond" w:hAnsi="Garamond"/>
                <w:spacing w:val="4"/>
                <w:sz w:val="18"/>
                <w:szCs w:val="18"/>
                <w:lang w:val="sq-AL"/>
              </w:rPr>
            </w:pPr>
            <w:r w:rsidRPr="00E00CAD">
              <w:rPr>
                <w:rFonts w:ascii="Garamond" w:hAnsi="Garamond"/>
                <w:spacing w:val="4"/>
                <w:sz w:val="18"/>
                <w:szCs w:val="18"/>
                <w:lang w:val="sq-AL"/>
              </w:rPr>
              <w:t>Në qoftë se përqendrimet janë midis pragut të sipërm dhe të poshtëm të vlerësimit</w:t>
            </w:r>
          </w:p>
        </w:tc>
      </w:tr>
      <w:tr w:rsidR="00ED3C64" w:rsidRPr="00E00CAD" w:rsidTr="00BC62B1">
        <w:tc>
          <w:tcPr>
            <w:tcW w:w="2584" w:type="pct"/>
          </w:tcPr>
          <w:p w:rsidR="00ED3C64" w:rsidRPr="00E00CAD" w:rsidRDefault="00ED3C64" w:rsidP="00BC62B1">
            <w:pPr>
              <w:pStyle w:val="ListParagraph"/>
              <w:widowControl w:val="0"/>
              <w:spacing w:after="0" w:line="240" w:lineRule="auto"/>
              <w:ind w:left="0"/>
              <w:jc w:val="both"/>
              <w:rPr>
                <w:rFonts w:ascii="Garamond" w:hAnsi="Garamond"/>
                <w:spacing w:val="4"/>
                <w:sz w:val="18"/>
                <w:szCs w:val="18"/>
                <w:lang w:val="sq-AL"/>
              </w:rPr>
            </w:pPr>
            <w:r w:rsidRPr="00E00CAD">
              <w:rPr>
                <w:rFonts w:ascii="Garamond" w:hAnsi="Garamond"/>
                <w:spacing w:val="4"/>
                <w:sz w:val="18"/>
                <w:szCs w:val="18"/>
                <w:lang w:val="sq-AL"/>
              </w:rPr>
              <w:t>1 stacion çdo  14 000 km</w:t>
            </w:r>
            <w:r w:rsidRPr="00E00CAD">
              <w:rPr>
                <w:rFonts w:ascii="Garamond" w:hAnsi="Garamond"/>
                <w:spacing w:val="4"/>
                <w:sz w:val="18"/>
                <w:szCs w:val="18"/>
                <w:vertAlign w:val="superscript"/>
                <w:lang w:val="sq-AL"/>
              </w:rPr>
              <w:t>2</w:t>
            </w:r>
          </w:p>
        </w:tc>
        <w:tc>
          <w:tcPr>
            <w:tcW w:w="2416" w:type="pct"/>
          </w:tcPr>
          <w:p w:rsidR="00ED3C64" w:rsidRPr="00E00CAD" w:rsidRDefault="00ED3C64" w:rsidP="00BC62B1">
            <w:pPr>
              <w:pStyle w:val="ListParagraph"/>
              <w:widowControl w:val="0"/>
              <w:spacing w:after="0" w:line="240" w:lineRule="auto"/>
              <w:ind w:left="0"/>
              <w:jc w:val="both"/>
              <w:rPr>
                <w:rFonts w:ascii="Garamond" w:hAnsi="Garamond"/>
                <w:spacing w:val="4"/>
                <w:sz w:val="18"/>
                <w:szCs w:val="18"/>
                <w:lang w:val="sq-AL"/>
              </w:rPr>
            </w:pPr>
            <w:r w:rsidRPr="00E00CAD">
              <w:rPr>
                <w:rFonts w:ascii="Garamond" w:hAnsi="Garamond"/>
                <w:spacing w:val="4"/>
                <w:sz w:val="18"/>
                <w:szCs w:val="18"/>
                <w:lang w:val="sq-AL"/>
              </w:rPr>
              <w:t>1 stacion çdo 28 000 km</w:t>
            </w:r>
            <w:r w:rsidRPr="00E00CAD">
              <w:rPr>
                <w:rFonts w:ascii="Garamond" w:hAnsi="Garamond"/>
                <w:spacing w:val="4"/>
                <w:sz w:val="18"/>
                <w:szCs w:val="18"/>
                <w:vertAlign w:val="superscript"/>
                <w:lang w:val="sq-AL"/>
              </w:rPr>
              <w:t>2</w:t>
            </w:r>
          </w:p>
        </w:tc>
      </w:tr>
    </w:tbl>
    <w:p w:rsidR="00ED3C64" w:rsidRPr="00E00CAD" w:rsidRDefault="00ED3C64" w:rsidP="00ED3C64">
      <w:pPr>
        <w:pStyle w:val="Hapesira7"/>
        <w:rPr>
          <w:spacing w:val="4"/>
          <w:lang w:val="sq-AL"/>
        </w:rPr>
      </w:pPr>
    </w:p>
    <w:p w:rsidR="00ED3C64" w:rsidRPr="00E00CAD" w:rsidRDefault="00ED3C64" w:rsidP="00ED3C64">
      <w:pPr>
        <w:pStyle w:val="Paragrafi"/>
        <w:rPr>
          <w:spacing w:val="4"/>
          <w:lang w:val="sq-AL"/>
        </w:rPr>
      </w:pPr>
      <w:r w:rsidRPr="00E00CAD">
        <w:rPr>
          <w:spacing w:val="4"/>
          <w:lang w:val="sq-AL"/>
        </w:rPr>
        <w:t xml:space="preserve">Për monitorimin e cilësisë së ajrit në ishull numri i pikave të marrjes së mostrave për matjet fikse llogaritet duke marrë parasysh modelet e shpërndarjes së mundshme të ndotjes së ajrit të mjedisit dhe ekspozimin potencial të bimësisë.  </w:t>
      </w:r>
    </w:p>
    <w:p w:rsidR="00ED3C64" w:rsidRPr="001A7A75" w:rsidRDefault="00ED3C64" w:rsidP="00ED3C64">
      <w:pPr>
        <w:pStyle w:val="Hapesira7"/>
        <w:rPr>
          <w:sz w:val="8"/>
          <w:lang w:val="sq-AL"/>
        </w:rPr>
      </w:pPr>
    </w:p>
    <w:p w:rsidR="00ED3C64" w:rsidRPr="00E00CAD" w:rsidRDefault="00ED3C64" w:rsidP="00ED3C64">
      <w:pPr>
        <w:pStyle w:val="Paragrafi"/>
        <w:jc w:val="center"/>
        <w:rPr>
          <w:spacing w:val="-4"/>
          <w:lang w:val="sq-AL"/>
        </w:rPr>
      </w:pPr>
      <w:r w:rsidRPr="00E00CAD">
        <w:rPr>
          <w:spacing w:val="-4"/>
          <w:lang w:val="sq-AL"/>
        </w:rPr>
        <w:t>ANEKSI VI</w:t>
      </w:r>
    </w:p>
    <w:p w:rsidR="00ED3C64" w:rsidRPr="00E00CAD" w:rsidRDefault="00ED3C64" w:rsidP="00ED3C64">
      <w:pPr>
        <w:pStyle w:val="Paragrafi"/>
        <w:jc w:val="center"/>
        <w:rPr>
          <w:spacing w:val="-4"/>
          <w:lang w:val="sq-AL"/>
        </w:rPr>
      </w:pPr>
      <w:r w:rsidRPr="00E00CAD">
        <w:rPr>
          <w:spacing w:val="-4"/>
          <w:lang w:val="sq-AL"/>
        </w:rPr>
        <w:t>Metodat referencë për vlerësimin e përqendrimeve të dyoksidit të squfurit, dyoksidit të azotit dhe oksideve të azotit, lëndës së ngurtë pezull (PM</w:t>
      </w:r>
      <w:r w:rsidRPr="005379B7">
        <w:rPr>
          <w:spacing w:val="-4"/>
          <w:vertAlign w:val="subscript"/>
          <w:lang w:val="sq-AL"/>
        </w:rPr>
        <w:t>10</w:t>
      </w:r>
      <w:r w:rsidRPr="00E00CAD">
        <w:rPr>
          <w:spacing w:val="-4"/>
          <w:lang w:val="sq-AL"/>
        </w:rPr>
        <w:t xml:space="preserve"> AND </w:t>
      </w:r>
      <w:r w:rsidRPr="001A7A75">
        <w:rPr>
          <w:sz w:val="18"/>
          <w:szCs w:val="18"/>
          <w:lang w:val="sq-AL"/>
        </w:rPr>
        <w:t>PM</w:t>
      </w:r>
      <w:r>
        <w:rPr>
          <w:sz w:val="18"/>
          <w:szCs w:val="18"/>
          <w:lang w:val="sq-AL"/>
        </w:rPr>
        <w:t xml:space="preserve"> </w:t>
      </w:r>
      <w:r w:rsidRPr="005379B7">
        <w:rPr>
          <w:sz w:val="18"/>
          <w:szCs w:val="18"/>
          <w:vertAlign w:val="subscript"/>
          <w:lang w:val="sq-AL"/>
        </w:rPr>
        <w:t>2,5</w:t>
      </w:r>
      <w:r w:rsidRPr="00E00CAD">
        <w:rPr>
          <w:spacing w:val="-4"/>
          <w:lang w:val="sq-AL"/>
        </w:rPr>
        <w:t>), plumbit, benzenit, monoksidit të karbonit dhe ozonit</w:t>
      </w:r>
    </w:p>
    <w:p w:rsidR="00ED3C64" w:rsidRDefault="00ED3C64" w:rsidP="00ED3C64">
      <w:pPr>
        <w:pStyle w:val="Paragrafi"/>
        <w:jc w:val="center"/>
        <w:rPr>
          <w:spacing w:val="-4"/>
          <w:lang w:val="sq-AL"/>
        </w:rPr>
      </w:pPr>
      <w:r w:rsidRPr="00E00CAD">
        <w:rPr>
          <w:spacing w:val="-4"/>
          <w:lang w:val="sq-AL"/>
        </w:rPr>
        <w:t>(Referuar në pikat 6.1, 6.2, 9.1, 9.2, aneksin I.C.d i këtij vendimi)</w:t>
      </w:r>
    </w:p>
    <w:p w:rsidR="00ED3C64" w:rsidRPr="001A7A75" w:rsidRDefault="00ED3C64" w:rsidP="00ED3C64">
      <w:pPr>
        <w:pStyle w:val="Hapesira7"/>
        <w:rPr>
          <w:sz w:val="8"/>
          <w:lang w:val="sq-AL"/>
        </w:rPr>
      </w:pPr>
    </w:p>
    <w:p w:rsidR="00ED3C64" w:rsidRPr="00E00CAD" w:rsidRDefault="00ED3C64" w:rsidP="00ED3C64">
      <w:pPr>
        <w:pStyle w:val="Paragrafi"/>
        <w:rPr>
          <w:spacing w:val="-4"/>
          <w:lang w:val="sq-AL"/>
        </w:rPr>
      </w:pPr>
      <w:r w:rsidRPr="00E00CAD">
        <w:rPr>
          <w:spacing w:val="-4"/>
          <w:lang w:val="sq-AL"/>
        </w:rPr>
        <w:lastRenderedPageBreak/>
        <w:t>Seksioni A. Metodat referencë të matjes</w:t>
      </w:r>
    </w:p>
    <w:p w:rsidR="00ED3C64" w:rsidRPr="00E00CAD" w:rsidRDefault="00ED3C64" w:rsidP="00ED3C64">
      <w:pPr>
        <w:pStyle w:val="Paragrafi"/>
        <w:rPr>
          <w:spacing w:val="-4"/>
          <w:lang w:val="sq-AL"/>
        </w:rPr>
      </w:pPr>
      <w:r w:rsidRPr="00E00CAD">
        <w:rPr>
          <w:spacing w:val="-4"/>
          <w:lang w:val="sq-AL"/>
        </w:rPr>
        <w:t xml:space="preserve">1. Metodat referencë për matjen e dyoksidit të squfurit </w:t>
      </w:r>
    </w:p>
    <w:p w:rsidR="00ED3C64" w:rsidRPr="00E00CAD" w:rsidRDefault="00ED3C64" w:rsidP="00ED3C64">
      <w:pPr>
        <w:pStyle w:val="Paragrafi"/>
        <w:rPr>
          <w:spacing w:val="-4"/>
          <w:lang w:val="sq-AL"/>
        </w:rPr>
      </w:pPr>
      <w:r w:rsidRPr="00E00CAD">
        <w:rPr>
          <w:spacing w:val="-4"/>
          <w:lang w:val="sq-AL"/>
        </w:rPr>
        <w:t>Metoda referencë për matjen e dyoksidit të squfurit është ajo që përshkruhet në EN 14212:2005 “Cilësia e ajrit të mjedisit — Metoda standard për matjen e përqendrimit të dyoksidit të squfurit nga fluoreshenca ulravjollcë”.</w:t>
      </w:r>
    </w:p>
    <w:p w:rsidR="00ED3C64" w:rsidRPr="00E00CAD" w:rsidRDefault="00ED3C64" w:rsidP="00ED3C64">
      <w:pPr>
        <w:pStyle w:val="Paragrafi"/>
        <w:rPr>
          <w:spacing w:val="-4"/>
          <w:lang w:val="sq-AL"/>
        </w:rPr>
      </w:pPr>
      <w:r w:rsidRPr="00E00CAD">
        <w:rPr>
          <w:spacing w:val="-4"/>
          <w:lang w:val="sq-AL"/>
        </w:rPr>
        <w:t>2. Metoda referencë për matjen e dyoksidit të azotit dhe oksideve të azotit</w:t>
      </w:r>
    </w:p>
    <w:p w:rsidR="00ED3C64" w:rsidRPr="00E00CAD" w:rsidRDefault="00ED3C64" w:rsidP="00ED3C64">
      <w:pPr>
        <w:pStyle w:val="Paragrafi"/>
        <w:rPr>
          <w:spacing w:val="-4"/>
          <w:lang w:val="sq-AL"/>
        </w:rPr>
      </w:pPr>
      <w:r w:rsidRPr="00E00CAD">
        <w:rPr>
          <w:spacing w:val="-4"/>
          <w:lang w:val="sq-AL"/>
        </w:rPr>
        <w:t>Metoda referencë për matjen e dyoksidit të azotit dhe oksideve të azotit ëshë ajo që përshkruhet në EN 14211:2005 “Cilësia e ajrit të mjedisit — Metoda standarde për matjen e përqendrimit të dyoksidit të azotit dhe monoksidit të azotit nga kimiluminishenca”.</w:t>
      </w:r>
    </w:p>
    <w:p w:rsidR="00ED3C64" w:rsidRPr="00E00CAD" w:rsidRDefault="00ED3C64" w:rsidP="00ED3C64">
      <w:pPr>
        <w:pStyle w:val="Paragrafi"/>
        <w:rPr>
          <w:spacing w:val="-4"/>
          <w:lang w:val="sq-AL"/>
        </w:rPr>
      </w:pPr>
      <w:r w:rsidRPr="00E00CAD">
        <w:rPr>
          <w:spacing w:val="-4"/>
          <w:lang w:val="sq-AL"/>
        </w:rPr>
        <w:t xml:space="preserve">3. Metoda referencë për marrjen e mostrave dhe matjen e plumbit </w:t>
      </w:r>
    </w:p>
    <w:p w:rsidR="00ED3C64" w:rsidRPr="00E00CAD" w:rsidRDefault="00ED3C64" w:rsidP="00ED3C64">
      <w:pPr>
        <w:pStyle w:val="Paragrafi"/>
        <w:rPr>
          <w:spacing w:val="-4"/>
          <w:lang w:val="sq-AL"/>
        </w:rPr>
      </w:pPr>
      <w:r w:rsidRPr="00E00CAD">
        <w:rPr>
          <w:spacing w:val="-4"/>
          <w:lang w:val="sq-AL"/>
        </w:rPr>
        <w:t>Metoda referencë për marrjen e mostrave të plumbit është ajo e përshkruar në Seksionin A(4) të këtij Aneksi. Metoda referencë për matjen e plumbit është ajo që përshkruhet në S SH EN 14902:2005 dhe S SH EN 14902:2005/AC:2006 “Metoda standarde për matjen e Pb/Cd/As/Ni në fraksionin PM</w:t>
      </w:r>
      <w:r w:rsidRPr="004255F4">
        <w:rPr>
          <w:spacing w:val="-4"/>
          <w:vertAlign w:val="subscript"/>
          <w:lang w:val="sq-AL"/>
        </w:rPr>
        <w:t>10</w:t>
      </w:r>
      <w:r w:rsidRPr="00E00CAD">
        <w:rPr>
          <w:spacing w:val="-4"/>
          <w:lang w:val="sq-AL"/>
        </w:rPr>
        <w:t xml:space="preserve"> të lëndës së ngurtë pezull”.</w:t>
      </w:r>
    </w:p>
    <w:p w:rsidR="00ED3C64" w:rsidRPr="00E00CAD" w:rsidRDefault="00ED3C64" w:rsidP="00ED3C64">
      <w:pPr>
        <w:pStyle w:val="Paragrafi"/>
        <w:rPr>
          <w:spacing w:val="-4"/>
          <w:lang w:val="sq-AL"/>
        </w:rPr>
      </w:pPr>
      <w:r w:rsidRPr="00E00CAD">
        <w:rPr>
          <w:spacing w:val="-4"/>
          <w:lang w:val="sq-AL"/>
        </w:rPr>
        <w:t>4. Metoda referencë për marrjen e mostrave dhe matjen e PM</w:t>
      </w:r>
      <w:r w:rsidRPr="004255F4">
        <w:rPr>
          <w:spacing w:val="-4"/>
          <w:vertAlign w:val="subscript"/>
          <w:lang w:val="sq-AL"/>
        </w:rPr>
        <w:t>10</w:t>
      </w:r>
    </w:p>
    <w:p w:rsidR="00ED3C64" w:rsidRPr="00E00CAD" w:rsidRDefault="00ED3C64" w:rsidP="00ED3C64">
      <w:pPr>
        <w:pStyle w:val="Paragrafi"/>
        <w:rPr>
          <w:spacing w:val="-4"/>
          <w:lang w:val="sq-AL"/>
        </w:rPr>
      </w:pPr>
      <w:r w:rsidRPr="00E00CAD">
        <w:rPr>
          <w:spacing w:val="-4"/>
          <w:lang w:val="sq-AL"/>
        </w:rPr>
        <w:t>Metoda referencë për marrjen e mostrave dhe matjen e PM</w:t>
      </w:r>
      <w:r w:rsidRPr="005379B7">
        <w:rPr>
          <w:spacing w:val="-4"/>
          <w:vertAlign w:val="subscript"/>
          <w:lang w:val="sq-AL"/>
        </w:rPr>
        <w:t>10</w:t>
      </w:r>
      <w:r w:rsidRPr="00E00CAD">
        <w:rPr>
          <w:spacing w:val="-4"/>
          <w:lang w:val="sq-AL"/>
        </w:rPr>
        <w:t xml:space="preserve"> është ajo që përshkruhet në EN 12341:2005 “Cilësia e Ajrit — Përcaktimi i fraksionit PM</w:t>
      </w:r>
      <w:r w:rsidRPr="005379B7">
        <w:rPr>
          <w:spacing w:val="-4"/>
          <w:vertAlign w:val="subscript"/>
          <w:lang w:val="sq-AL"/>
        </w:rPr>
        <w:t>10</w:t>
      </w:r>
      <w:r w:rsidRPr="00E00CAD">
        <w:rPr>
          <w:spacing w:val="-4"/>
          <w:lang w:val="sq-AL"/>
        </w:rPr>
        <w:t xml:space="preserve"> i lëndës së ngurtë pezull — Metoda referencë dhe procedura e testimit në terren për të provuar ekuivalencën referencë të metodave të matjes”.</w:t>
      </w:r>
    </w:p>
    <w:p w:rsidR="00ED3C64" w:rsidRPr="00E00CAD" w:rsidRDefault="00ED3C64" w:rsidP="00ED3C64">
      <w:pPr>
        <w:pStyle w:val="Paragrafi"/>
        <w:rPr>
          <w:spacing w:val="-4"/>
          <w:lang w:val="sq-AL"/>
        </w:rPr>
      </w:pPr>
      <w:r w:rsidRPr="00E00CAD">
        <w:rPr>
          <w:spacing w:val="-4"/>
          <w:lang w:val="sq-AL"/>
        </w:rPr>
        <w:t>5. Metoda referencë për marrjen e mostrave dhe matjen e PM</w:t>
      </w:r>
      <w:r>
        <w:rPr>
          <w:spacing w:val="-4"/>
          <w:lang w:val="sq-AL"/>
        </w:rPr>
        <w:t xml:space="preserve"> </w:t>
      </w:r>
      <w:r w:rsidRPr="005379B7">
        <w:rPr>
          <w:spacing w:val="-4"/>
          <w:vertAlign w:val="subscript"/>
          <w:lang w:val="sq-AL"/>
        </w:rPr>
        <w:t>2,5</w:t>
      </w:r>
    </w:p>
    <w:p w:rsidR="00ED3C64" w:rsidRPr="00E00CAD" w:rsidRDefault="00ED3C64" w:rsidP="00ED3C64">
      <w:pPr>
        <w:pStyle w:val="Paragrafi"/>
        <w:rPr>
          <w:spacing w:val="-4"/>
          <w:lang w:val="sq-AL"/>
        </w:rPr>
      </w:pPr>
      <w:r w:rsidRPr="00E00CAD">
        <w:rPr>
          <w:spacing w:val="-4"/>
          <w:lang w:val="sq-AL"/>
        </w:rPr>
        <w:t>Metoda referencë për marrjen e mostrave dhe matjen e PM</w:t>
      </w:r>
      <w:r>
        <w:rPr>
          <w:spacing w:val="-4"/>
          <w:lang w:val="sq-AL"/>
        </w:rPr>
        <w:t xml:space="preserve"> </w:t>
      </w:r>
      <w:r w:rsidRPr="005379B7">
        <w:rPr>
          <w:spacing w:val="-4"/>
          <w:vertAlign w:val="subscript"/>
          <w:lang w:val="sq-AL"/>
        </w:rPr>
        <w:t>2,5</w:t>
      </w:r>
    </w:p>
    <w:p w:rsidR="00ED3C64" w:rsidRPr="00E00CAD" w:rsidRDefault="00ED3C64" w:rsidP="00ED3C64">
      <w:pPr>
        <w:pStyle w:val="Paragrafi"/>
        <w:rPr>
          <w:spacing w:val="-4"/>
          <w:lang w:val="sq-AL"/>
        </w:rPr>
      </w:pPr>
      <w:r w:rsidRPr="00E00CAD">
        <w:rPr>
          <w:spacing w:val="-4"/>
          <w:lang w:val="sq-AL"/>
        </w:rPr>
        <w:t>është ajo që përshkruhet në S SH EN 14907:2005 “Metoda e matjeve standarde gravimetrike për përcaktimin e fraksionit të masës PM</w:t>
      </w:r>
      <w:r>
        <w:rPr>
          <w:spacing w:val="-4"/>
          <w:lang w:val="sq-AL"/>
        </w:rPr>
        <w:t xml:space="preserve"> </w:t>
      </w:r>
      <w:r w:rsidRPr="005379B7">
        <w:rPr>
          <w:spacing w:val="-4"/>
          <w:vertAlign w:val="subscript"/>
          <w:lang w:val="sq-AL"/>
        </w:rPr>
        <w:t>2,5</w:t>
      </w:r>
    </w:p>
    <w:p w:rsidR="00ED3C64" w:rsidRPr="00E00CAD" w:rsidRDefault="00ED3C64" w:rsidP="00ED3C64">
      <w:pPr>
        <w:pStyle w:val="Paragrafi"/>
        <w:rPr>
          <w:spacing w:val="-4"/>
          <w:lang w:val="sq-AL"/>
        </w:rPr>
      </w:pPr>
      <w:r w:rsidRPr="00E00CAD">
        <w:rPr>
          <w:spacing w:val="-4"/>
          <w:lang w:val="sq-AL"/>
        </w:rPr>
        <w:t>të lëndës së ngurtë pezull”.</w:t>
      </w:r>
    </w:p>
    <w:p w:rsidR="00ED3C64" w:rsidRPr="00E00CAD" w:rsidRDefault="00ED3C64" w:rsidP="00ED3C64">
      <w:pPr>
        <w:pStyle w:val="Paragrafi"/>
        <w:rPr>
          <w:spacing w:val="-4"/>
          <w:lang w:val="sq-AL"/>
        </w:rPr>
      </w:pPr>
      <w:r w:rsidRPr="00E00CAD">
        <w:rPr>
          <w:spacing w:val="-4"/>
          <w:lang w:val="sq-AL"/>
        </w:rPr>
        <w:t>6. Metoda referencë për marrjen e mostrave dhe matjen e benzenit</w:t>
      </w:r>
    </w:p>
    <w:p w:rsidR="00ED3C64" w:rsidRPr="00E00CAD" w:rsidRDefault="00ED3C64" w:rsidP="00ED3C64">
      <w:pPr>
        <w:pStyle w:val="Paragrafi"/>
        <w:rPr>
          <w:spacing w:val="-4"/>
          <w:lang w:val="sq-AL"/>
        </w:rPr>
      </w:pPr>
      <w:r w:rsidRPr="00E00CAD">
        <w:rPr>
          <w:spacing w:val="-4"/>
          <w:lang w:val="sq-AL"/>
        </w:rPr>
        <w:t>Metoda referencë për matjen e benzenit është ajo që përshkruhet në S SH EN 14662:2005, pjesa 1, 2, 3, 4 dhe 5 “Cilësia e ajrit të mjedisit — Metoda standarde për matjen e përqendrimeve të benzenit”.</w:t>
      </w:r>
    </w:p>
    <w:p w:rsidR="00ED3C64" w:rsidRPr="00E00CAD" w:rsidRDefault="00ED3C64" w:rsidP="00ED3C64">
      <w:pPr>
        <w:pStyle w:val="Paragrafi"/>
        <w:rPr>
          <w:spacing w:val="-4"/>
          <w:lang w:val="sq-AL"/>
        </w:rPr>
      </w:pPr>
      <w:r w:rsidRPr="00E00CAD">
        <w:rPr>
          <w:spacing w:val="-4"/>
          <w:lang w:val="sq-AL"/>
        </w:rPr>
        <w:t>7. Metoda reference për matjen e monoksidit të karbonit</w:t>
      </w:r>
    </w:p>
    <w:p w:rsidR="00ED3C64" w:rsidRPr="00E00CAD" w:rsidRDefault="00ED3C64" w:rsidP="00ED3C64">
      <w:pPr>
        <w:pStyle w:val="Paragrafi"/>
        <w:rPr>
          <w:spacing w:val="-4"/>
          <w:lang w:val="sq-AL"/>
        </w:rPr>
      </w:pPr>
      <w:r w:rsidRPr="00E00CAD">
        <w:rPr>
          <w:spacing w:val="-4"/>
          <w:lang w:val="sq-AL"/>
        </w:rPr>
        <w:t>Metoda referencë për matjen e monoksidit të karbonit është ajo që përshkruhet në EN 14626:2005 “Cilësia e ajrit të mjedisit — Metoda standarde për matjen e përqendrimit të monoksidit të karbonit nga spektroskopi me rreze infra të kuqe jo shpërndarëse”.</w:t>
      </w:r>
    </w:p>
    <w:p w:rsidR="00ED3C64" w:rsidRPr="00E00CAD" w:rsidRDefault="00ED3C64" w:rsidP="00ED3C64">
      <w:pPr>
        <w:pStyle w:val="Paragrafi"/>
        <w:rPr>
          <w:spacing w:val="-4"/>
          <w:lang w:val="sq-AL"/>
        </w:rPr>
      </w:pPr>
      <w:r w:rsidRPr="00E00CAD">
        <w:rPr>
          <w:spacing w:val="-4"/>
          <w:lang w:val="sq-AL"/>
        </w:rPr>
        <w:t>8. Metoda reference për matjen e ozonit</w:t>
      </w:r>
    </w:p>
    <w:p w:rsidR="00ED3C64" w:rsidRPr="00E00CAD" w:rsidRDefault="00ED3C64" w:rsidP="00ED3C64">
      <w:pPr>
        <w:pStyle w:val="Paragrafi"/>
        <w:rPr>
          <w:spacing w:val="-4"/>
          <w:lang w:val="sq-AL"/>
        </w:rPr>
      </w:pPr>
      <w:r w:rsidRPr="00E00CAD">
        <w:rPr>
          <w:spacing w:val="-4"/>
          <w:lang w:val="sq-AL"/>
        </w:rPr>
        <w:t xml:space="preserve">Metoda referencë për matjen e ozonit është ajo që përshkruhet në EN 14625:2005 ‘Cilësinë e ajrit të mjedisit </w:t>
      </w:r>
      <w:r>
        <w:rPr>
          <w:spacing w:val="-4"/>
          <w:lang w:val="sq-AL"/>
        </w:rPr>
        <w:t>-</w:t>
      </w:r>
      <w:r w:rsidRPr="00E00CAD">
        <w:rPr>
          <w:spacing w:val="-4"/>
          <w:lang w:val="sq-AL"/>
        </w:rPr>
        <w:t xml:space="preserve"> Metoda standarde për matjen e përqendrimit të ozonit nga fotometria ultravjollcë’.</w:t>
      </w:r>
    </w:p>
    <w:p w:rsidR="00ED3C64" w:rsidRPr="00E00CAD" w:rsidRDefault="00ED3C64" w:rsidP="00ED3C64">
      <w:pPr>
        <w:pStyle w:val="Paragrafi"/>
        <w:rPr>
          <w:spacing w:val="-4"/>
          <w:lang w:val="sq-AL"/>
        </w:rPr>
      </w:pPr>
      <w:r w:rsidRPr="00E00CAD">
        <w:rPr>
          <w:spacing w:val="-4"/>
          <w:lang w:val="sq-AL"/>
        </w:rPr>
        <w:t>Seksioni B. Demonstrimi i ekuivalencës</w:t>
      </w:r>
    </w:p>
    <w:p w:rsidR="00ED3C64" w:rsidRPr="00E00CAD" w:rsidRDefault="00ED3C64" w:rsidP="00ED3C64">
      <w:pPr>
        <w:pStyle w:val="Paragrafi"/>
        <w:rPr>
          <w:spacing w:val="-4"/>
          <w:lang w:val="sq-AL"/>
        </w:rPr>
      </w:pPr>
      <w:r w:rsidRPr="00E00CAD">
        <w:rPr>
          <w:spacing w:val="-4"/>
          <w:lang w:val="sq-AL"/>
        </w:rPr>
        <w:t>1. AKM mund të përdorë çdo metodë tjetër që mund të demonstrojë se jep rezultate ekuivalente me ndonjë nga metodat e referuara në Seksionin A ose, në rastin e lëndës së ngurtë pezull, çdo metodë tjetër që AKM mund të demonstrojë se shfaq marrëdhënie të qëndrueshme me metodën referencë. Në këtë rast, për të prodhuar rezultate ekuivalente me ato që do të ishin arritur përmes metodës reference, rezultatet e arritura nga ajo metodë duhet të korrigjohen.</w:t>
      </w:r>
    </w:p>
    <w:p w:rsidR="00ED3C64" w:rsidRPr="00E00CAD" w:rsidRDefault="00ED3C64" w:rsidP="00ED3C64">
      <w:pPr>
        <w:pStyle w:val="Paragrafi"/>
        <w:rPr>
          <w:spacing w:val="-4"/>
          <w:lang w:val="sq-AL"/>
        </w:rPr>
      </w:pPr>
      <w:r w:rsidRPr="00E00CAD">
        <w:rPr>
          <w:spacing w:val="-4"/>
          <w:lang w:val="sq-AL"/>
        </w:rPr>
        <w:t>2. AKM përgatit, publikon dhe bën të disponueshëm për publikun raportin për demonstrimin e ekuvalencës në përputhje me paragrafin 1.</w:t>
      </w:r>
    </w:p>
    <w:p w:rsidR="00ED3C64" w:rsidRPr="00E00CAD" w:rsidRDefault="00ED3C64" w:rsidP="00ED3C64">
      <w:pPr>
        <w:pStyle w:val="Paragrafi"/>
        <w:rPr>
          <w:spacing w:val="-4"/>
          <w:lang w:val="sq-AL"/>
        </w:rPr>
      </w:pPr>
      <w:r w:rsidRPr="00E00CAD">
        <w:rPr>
          <w:spacing w:val="-4"/>
          <w:lang w:val="sq-AL"/>
        </w:rPr>
        <w:t>Seksioni C. Standardizimi</w:t>
      </w:r>
    </w:p>
    <w:p w:rsidR="00ED3C64" w:rsidRPr="00E00CAD" w:rsidRDefault="00ED3C64" w:rsidP="00ED3C64">
      <w:pPr>
        <w:pStyle w:val="Paragrafi"/>
        <w:rPr>
          <w:spacing w:val="-4"/>
          <w:lang w:val="sq-AL"/>
        </w:rPr>
      </w:pPr>
      <w:r w:rsidRPr="00E00CAD">
        <w:rPr>
          <w:spacing w:val="-4"/>
          <w:lang w:val="sq-AL"/>
        </w:rPr>
        <w:t xml:space="preserve">1. Për ndotësit e gaztë vëllimi standardizohet në temperaturë 293 K dhe trysni atmosferike 101,3 kPa. </w:t>
      </w:r>
    </w:p>
    <w:p w:rsidR="00ED3C64" w:rsidRPr="00E00CAD" w:rsidRDefault="00ED3C64" w:rsidP="00ED3C64">
      <w:pPr>
        <w:pStyle w:val="Paragrafi"/>
        <w:rPr>
          <w:spacing w:val="-4"/>
          <w:lang w:val="sq-AL"/>
        </w:rPr>
      </w:pPr>
      <w:r w:rsidRPr="00E00CAD">
        <w:rPr>
          <w:spacing w:val="-4"/>
          <w:lang w:val="sq-AL"/>
        </w:rPr>
        <w:t xml:space="preserve">2. Për lëndën e ngurtë pezull dhe substancat që do të analizohen në lëndën e ngurtë pezull (p.sh. plumbi) vëllimi i mostrave që marren i referohet kushteve të mjedisit: temperaturës dhe trysnisë atmosferike në datën e matjeve. </w:t>
      </w:r>
    </w:p>
    <w:p w:rsidR="00ED3C64" w:rsidRPr="00E00CAD" w:rsidRDefault="00ED3C64" w:rsidP="00ED3C64">
      <w:pPr>
        <w:pStyle w:val="Paragrafi"/>
        <w:rPr>
          <w:spacing w:val="-4"/>
          <w:lang w:val="sq-AL"/>
        </w:rPr>
      </w:pPr>
      <w:r w:rsidRPr="00E00CAD">
        <w:rPr>
          <w:spacing w:val="-4"/>
          <w:lang w:val="sq-AL"/>
        </w:rPr>
        <w:t>Seksioni D. Prezantimi i pajisjeve të reja</w:t>
      </w:r>
    </w:p>
    <w:p w:rsidR="00ED3C64" w:rsidRPr="00E00CAD" w:rsidRDefault="00ED3C64" w:rsidP="00ED3C64">
      <w:pPr>
        <w:pStyle w:val="Paragrafi"/>
        <w:rPr>
          <w:spacing w:val="-4"/>
          <w:lang w:val="sq-AL"/>
        </w:rPr>
      </w:pPr>
      <w:r w:rsidRPr="00E00CAD">
        <w:rPr>
          <w:spacing w:val="-4"/>
          <w:lang w:val="sq-AL"/>
        </w:rPr>
        <w:t>1. Të gjitha pajisjet e reja që do të prokurohen për zbatimin e këtij vendimi duhet të jenë në përputhje me metodën referencë apo ekuivalentin e saj jo më vonë se 11 qershor 2020.</w:t>
      </w:r>
    </w:p>
    <w:p w:rsidR="00ED3C64" w:rsidRPr="00E00CAD" w:rsidRDefault="00ED3C64" w:rsidP="00ED3C64">
      <w:pPr>
        <w:pStyle w:val="Paragrafi"/>
        <w:rPr>
          <w:spacing w:val="-4"/>
          <w:lang w:val="sq-AL"/>
        </w:rPr>
      </w:pPr>
      <w:r w:rsidRPr="00E00CAD">
        <w:rPr>
          <w:spacing w:val="-4"/>
          <w:lang w:val="sq-AL"/>
        </w:rPr>
        <w:t>2. Të gjitha pajisjet e përdorura në matjet fikse duhet të jenë në përputhje metodën referencë apo ekuivailentin e saj jo më vonë se 11 qershor 2023.</w:t>
      </w:r>
    </w:p>
    <w:p w:rsidR="00ED3C64" w:rsidRPr="00E00CAD" w:rsidRDefault="00ED3C64" w:rsidP="00ED3C64">
      <w:pPr>
        <w:pStyle w:val="Paragrafi"/>
        <w:rPr>
          <w:spacing w:val="-4"/>
          <w:lang w:val="sq-AL"/>
        </w:rPr>
      </w:pPr>
      <w:r w:rsidRPr="00E00CAD">
        <w:rPr>
          <w:spacing w:val="-4"/>
          <w:lang w:val="sq-AL"/>
        </w:rPr>
        <w:t>Seksioni E. Njohja reciproke e të dhënave</w:t>
      </w:r>
    </w:p>
    <w:p w:rsidR="00ED3C64" w:rsidRPr="00E00CAD" w:rsidRDefault="00ED3C64" w:rsidP="00ED3C64">
      <w:pPr>
        <w:pStyle w:val="Paragrafi"/>
        <w:rPr>
          <w:spacing w:val="-4"/>
          <w:lang w:val="sq-AL"/>
        </w:rPr>
      </w:pPr>
      <w:r w:rsidRPr="00E00CAD">
        <w:rPr>
          <w:spacing w:val="-4"/>
          <w:lang w:val="sq-AL"/>
        </w:rPr>
        <w:t xml:space="preserve">1. Për miratimin e përputhshmërisë së pajisjes me kërkesat e performancës së metodave referencë të listuara në seksionin A të këtij aneksi, AKM pranon raportet e testimit të lëshuara në shtete të tjera nga laboratorë të akredituar me S SH EN ISO/IEC 17025:2005 dhe S SH EN ISO/IEC 17025:2005/AC:2006 </w:t>
      </w:r>
      <w:r w:rsidRPr="00E00CAD">
        <w:rPr>
          <w:spacing w:val="-4"/>
          <w:lang w:val="sq-AL"/>
        </w:rPr>
        <w:lastRenderedPageBreak/>
        <w:t>për kryerjen e testimeve të tilla.</w:t>
      </w:r>
    </w:p>
    <w:p w:rsidR="00ED3C64" w:rsidRPr="00E00CAD" w:rsidRDefault="00ED3C64" w:rsidP="00ED3C64">
      <w:pPr>
        <w:pStyle w:val="Hapesira7"/>
        <w:rPr>
          <w:spacing w:val="-4"/>
          <w:lang w:val="sq-AL"/>
        </w:rPr>
      </w:pPr>
    </w:p>
    <w:p w:rsidR="00ED3C64" w:rsidRPr="00E00CAD" w:rsidRDefault="00ED3C64" w:rsidP="00ED3C64">
      <w:pPr>
        <w:pStyle w:val="Paragrafi"/>
        <w:jc w:val="center"/>
        <w:rPr>
          <w:spacing w:val="-4"/>
          <w:lang w:val="sq-AL"/>
        </w:rPr>
      </w:pPr>
      <w:r w:rsidRPr="00E00CAD">
        <w:rPr>
          <w:spacing w:val="-4"/>
          <w:lang w:val="sq-AL"/>
        </w:rPr>
        <w:t>ANEKSI VII</w:t>
      </w:r>
    </w:p>
    <w:p w:rsidR="00ED3C64" w:rsidRPr="00E00CAD" w:rsidRDefault="00ED3C64" w:rsidP="00ED3C64">
      <w:pPr>
        <w:pStyle w:val="Paragrafi"/>
        <w:jc w:val="center"/>
        <w:rPr>
          <w:spacing w:val="-4"/>
          <w:lang w:val="sq-AL"/>
        </w:rPr>
      </w:pPr>
      <w:r w:rsidRPr="00E00CAD">
        <w:rPr>
          <w:spacing w:val="-4"/>
          <w:lang w:val="sq-AL"/>
        </w:rPr>
        <w:t>Vlerat e synuara të ozonit dhe objektivat afatgjatë</w:t>
      </w:r>
    </w:p>
    <w:p w:rsidR="00ED3C64" w:rsidRPr="00E00CAD" w:rsidRDefault="00ED3C64" w:rsidP="00ED3C64">
      <w:pPr>
        <w:pStyle w:val="Paragrafi"/>
        <w:jc w:val="center"/>
        <w:rPr>
          <w:spacing w:val="-4"/>
          <w:lang w:val="sq-AL"/>
        </w:rPr>
      </w:pPr>
      <w:r w:rsidRPr="00E00CAD">
        <w:rPr>
          <w:spacing w:val="-4"/>
          <w:lang w:val="sq-AL"/>
        </w:rPr>
        <w:t>(Referuar në paragrafin 2 të aneksit III të draft ligjit nr.....  datë... “Për mbrojtjen e cilësisë se ajrit të mjedisit; pikave 7.1 dhe 20.1.a të këtij vendimi)</w:t>
      </w:r>
    </w:p>
    <w:p w:rsidR="00ED3C64" w:rsidRPr="00E00CAD" w:rsidRDefault="00ED3C64" w:rsidP="00ED3C64">
      <w:pPr>
        <w:pStyle w:val="Hapesira7"/>
        <w:rPr>
          <w:spacing w:val="-4"/>
          <w:lang w:val="sq-AL"/>
        </w:rPr>
      </w:pPr>
    </w:p>
    <w:p w:rsidR="00ED3C64" w:rsidRPr="00E00CAD" w:rsidRDefault="00ED3C64" w:rsidP="00ED3C64">
      <w:pPr>
        <w:pStyle w:val="Paragrafi"/>
        <w:rPr>
          <w:spacing w:val="-4"/>
          <w:lang w:val="sq-AL"/>
        </w:rPr>
      </w:pPr>
      <w:r w:rsidRPr="00E00CAD">
        <w:rPr>
          <w:spacing w:val="-4"/>
          <w:lang w:val="sq-AL"/>
        </w:rPr>
        <w:t>Seksioni A. Përkufizime dhe kritere</w:t>
      </w:r>
    </w:p>
    <w:p w:rsidR="00ED3C64" w:rsidRPr="00E00CAD" w:rsidRDefault="00ED3C64" w:rsidP="00ED3C64">
      <w:pPr>
        <w:pStyle w:val="Paragrafi"/>
        <w:rPr>
          <w:spacing w:val="-4"/>
          <w:lang w:val="sq-AL"/>
        </w:rPr>
      </w:pPr>
      <w:r w:rsidRPr="00E00CAD">
        <w:rPr>
          <w:spacing w:val="-4"/>
          <w:lang w:val="sq-AL"/>
        </w:rPr>
        <w:t>1. Përkufizimet</w:t>
      </w:r>
    </w:p>
    <w:p w:rsidR="00ED3C64" w:rsidRPr="00E00CAD" w:rsidRDefault="00ED3C64" w:rsidP="00ED3C64">
      <w:pPr>
        <w:pStyle w:val="Paragrafi"/>
        <w:rPr>
          <w:spacing w:val="-4"/>
          <w:lang w:val="sq-AL"/>
        </w:rPr>
      </w:pPr>
      <w:r w:rsidRPr="00E00CAD">
        <w:rPr>
          <w:spacing w:val="-4"/>
          <w:lang w:val="sq-AL"/>
        </w:rPr>
        <w:t>AOT40 (shprehur (μg/m</w:t>
      </w:r>
      <w:r w:rsidRPr="005379B7">
        <w:rPr>
          <w:spacing w:val="-4"/>
          <w:vertAlign w:val="superscript"/>
          <w:lang w:val="sq-AL"/>
        </w:rPr>
        <w:t>3</w:t>
      </w:r>
      <w:r w:rsidRPr="00E00CAD">
        <w:rPr>
          <w:spacing w:val="-4"/>
          <w:lang w:val="sq-AL"/>
        </w:rPr>
        <w:t>) ∙ orë) është shuma e diferencave të përqendrimeve orare mbi 80 μg/m</w:t>
      </w:r>
      <w:r w:rsidRPr="005379B7">
        <w:rPr>
          <w:spacing w:val="-4"/>
          <w:vertAlign w:val="superscript"/>
          <w:lang w:val="sq-AL"/>
        </w:rPr>
        <w:t>3</w:t>
      </w:r>
      <w:r w:rsidRPr="00E00CAD">
        <w:rPr>
          <w:spacing w:val="-4"/>
          <w:lang w:val="sq-AL"/>
        </w:rPr>
        <w:t xml:space="preserve"> (= 40 pjesë për bilion) me 80 μg/m</w:t>
      </w:r>
      <w:r w:rsidRPr="00E00CAD">
        <w:rPr>
          <w:spacing w:val="-4"/>
          <w:vertAlign w:val="superscript"/>
          <w:lang w:val="sq-AL"/>
        </w:rPr>
        <w:t>3</w:t>
      </w:r>
      <w:r w:rsidRPr="00E00CAD">
        <w:rPr>
          <w:spacing w:val="-4"/>
          <w:lang w:val="sq-AL"/>
        </w:rPr>
        <w:t xml:space="preserve"> gjatë një periudhe kohore të dhënë, duke përdorur vetëm vlerat njëorëshe të matura çdo ditë midis orës 8.00 dhe 20.00.</w:t>
      </w:r>
    </w:p>
    <w:p w:rsidR="00ED3C64" w:rsidRPr="00E00CAD" w:rsidRDefault="00ED3C64" w:rsidP="00ED3C64">
      <w:pPr>
        <w:pStyle w:val="Paragrafi"/>
        <w:rPr>
          <w:spacing w:val="-4"/>
          <w:lang w:val="sq-AL"/>
        </w:rPr>
      </w:pPr>
      <w:r w:rsidRPr="00E00CAD">
        <w:rPr>
          <w:spacing w:val="-4"/>
          <w:lang w:val="sq-AL"/>
        </w:rPr>
        <w:t>2. Kriteret</w:t>
      </w:r>
    </w:p>
    <w:p w:rsidR="00ED3C64" w:rsidRPr="00902BFA" w:rsidRDefault="00ED3C64" w:rsidP="00ED3C64">
      <w:pPr>
        <w:pStyle w:val="Paragrafi"/>
        <w:rPr>
          <w:spacing w:val="-4"/>
          <w:lang w:val="sq-AL"/>
        </w:rPr>
      </w:pPr>
      <w:r w:rsidRPr="00E00CAD">
        <w:rPr>
          <w:spacing w:val="-4"/>
          <w:lang w:val="sq-AL"/>
        </w:rPr>
        <w:t>Kriteret e mëposhtme përdoren për të kontrolluar vlefshmërinë kur agregohen të dhënat dhe llogariten parametrat statistikorë:</w:t>
      </w:r>
    </w:p>
    <w:p w:rsidR="00ED3C64" w:rsidRDefault="00ED3C64" w:rsidP="00ED3C64">
      <w:pPr>
        <w:pStyle w:val="ListParagraph"/>
        <w:widowControl w:val="0"/>
        <w:ind w:left="360"/>
        <w:rPr>
          <w:rFonts w:ascii="Times New Roman" w:hAnsi="Times New Roman"/>
          <w:b/>
          <w:lang w:val="sq-AL"/>
        </w:rPr>
        <w:sectPr w:rsidR="00ED3C64" w:rsidSect="001E746C">
          <w:type w:val="continuous"/>
          <w:pgSz w:w="11907" w:h="16840" w:code="9"/>
          <w:pgMar w:top="720" w:right="1134" w:bottom="720" w:left="1134" w:header="851" w:footer="851" w:gutter="0"/>
          <w:cols w:space="454"/>
          <w:docGrid w:linePitch="360"/>
        </w:sectPr>
      </w:pPr>
    </w:p>
    <w:p w:rsidR="00ED3C64" w:rsidRPr="00DC42C4" w:rsidRDefault="00ED3C64" w:rsidP="00ED3C64">
      <w:pPr>
        <w:pStyle w:val="Hapesira7"/>
        <w:rPr>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077"/>
        <w:gridCol w:w="5391"/>
      </w:tblGrid>
      <w:tr w:rsidR="00ED3C64" w:rsidRPr="001A7A75" w:rsidTr="00BC62B1">
        <w:trPr>
          <w:jc w:val="center"/>
        </w:trPr>
        <w:tc>
          <w:tcPr>
            <w:tcW w:w="4077" w:type="dxa"/>
          </w:tcPr>
          <w:p w:rsidR="00ED3C64" w:rsidRPr="00CF64B6" w:rsidRDefault="00ED3C64" w:rsidP="00BC62B1">
            <w:pPr>
              <w:pStyle w:val="ListParagraph"/>
              <w:widowControl w:val="0"/>
              <w:spacing w:after="0" w:line="240" w:lineRule="auto"/>
              <w:ind w:left="0"/>
              <w:jc w:val="both"/>
              <w:rPr>
                <w:rFonts w:ascii="Garamond" w:hAnsi="Garamond"/>
                <w:b/>
                <w:sz w:val="18"/>
                <w:szCs w:val="18"/>
                <w:lang w:val="sq-AL"/>
              </w:rPr>
            </w:pPr>
            <w:r w:rsidRPr="00CF64B6">
              <w:rPr>
                <w:rFonts w:ascii="Garamond" w:hAnsi="Garamond"/>
                <w:b/>
                <w:sz w:val="18"/>
                <w:szCs w:val="18"/>
                <w:lang w:val="sq-AL"/>
              </w:rPr>
              <w:t>Parametri</w:t>
            </w:r>
          </w:p>
        </w:tc>
        <w:tc>
          <w:tcPr>
            <w:tcW w:w="5391" w:type="dxa"/>
          </w:tcPr>
          <w:p w:rsidR="00ED3C64" w:rsidRPr="00CF64B6" w:rsidRDefault="00ED3C64" w:rsidP="00BC62B1">
            <w:pPr>
              <w:pStyle w:val="ListParagraph"/>
              <w:widowControl w:val="0"/>
              <w:spacing w:after="0" w:line="240" w:lineRule="auto"/>
              <w:ind w:left="0"/>
              <w:jc w:val="both"/>
              <w:rPr>
                <w:rFonts w:ascii="Garamond" w:hAnsi="Garamond"/>
                <w:b/>
                <w:sz w:val="18"/>
                <w:szCs w:val="18"/>
                <w:lang w:val="sq-AL"/>
              </w:rPr>
            </w:pPr>
            <w:r w:rsidRPr="00CF64B6">
              <w:rPr>
                <w:rFonts w:ascii="Garamond" w:hAnsi="Garamond"/>
                <w:b/>
                <w:sz w:val="18"/>
                <w:szCs w:val="18"/>
                <w:lang w:val="sq-AL"/>
              </w:rPr>
              <w:t>Proporcioni i kërkuar i të dhënave të vlefshme</w:t>
            </w:r>
          </w:p>
        </w:tc>
      </w:tr>
      <w:tr w:rsidR="00ED3C64" w:rsidRPr="001A7A75" w:rsidTr="00BC62B1">
        <w:trPr>
          <w:jc w:val="center"/>
        </w:trPr>
        <w:tc>
          <w:tcPr>
            <w:tcW w:w="4077"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Vlera njëorëshe</w:t>
            </w:r>
          </w:p>
        </w:tc>
        <w:tc>
          <w:tcPr>
            <w:tcW w:w="5391"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75 % (d.m.th. 45 minuta)</w:t>
            </w:r>
          </w:p>
        </w:tc>
      </w:tr>
      <w:tr w:rsidR="00ED3C64" w:rsidRPr="001A7A75" w:rsidTr="00BC62B1">
        <w:trPr>
          <w:jc w:val="center"/>
        </w:trPr>
        <w:tc>
          <w:tcPr>
            <w:tcW w:w="4077"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Vlera tetorëshe</w:t>
            </w:r>
          </w:p>
        </w:tc>
        <w:tc>
          <w:tcPr>
            <w:tcW w:w="5391"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75 % e vlerave (d.m.th. 6 orë)</w:t>
            </w:r>
          </w:p>
        </w:tc>
      </w:tr>
      <w:tr w:rsidR="00ED3C64" w:rsidRPr="001A7A75" w:rsidTr="00BC62B1">
        <w:trPr>
          <w:jc w:val="center"/>
        </w:trPr>
        <w:tc>
          <w:tcPr>
            <w:tcW w:w="4077"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Mesatarja maksimale ditore 8-orëshe nga 8 orë njëra pas tjetrës</w:t>
            </w:r>
          </w:p>
        </w:tc>
        <w:tc>
          <w:tcPr>
            <w:tcW w:w="5391"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 xml:space="preserve">75 % e mesatares për orë e tetë orëve njëra pas tjetrës </w:t>
            </w:r>
          </w:p>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(d.m.th. 18 mesatare tetorëshe në ditë)</w:t>
            </w:r>
          </w:p>
        </w:tc>
      </w:tr>
      <w:tr w:rsidR="00ED3C64" w:rsidRPr="001A7A75" w:rsidTr="00BC62B1">
        <w:trPr>
          <w:jc w:val="center"/>
        </w:trPr>
        <w:tc>
          <w:tcPr>
            <w:tcW w:w="4077"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AOT40</w:t>
            </w:r>
          </w:p>
        </w:tc>
        <w:tc>
          <w:tcPr>
            <w:tcW w:w="5391"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90 % e vlerave njëorëshe gjatë periudhës kohore të përcaktuar për llogaritjen e vlerës AOT40 (1)</w:t>
            </w:r>
          </w:p>
        </w:tc>
      </w:tr>
      <w:tr w:rsidR="00ED3C64" w:rsidRPr="001A7A75" w:rsidTr="00BC62B1">
        <w:trPr>
          <w:jc w:val="center"/>
        </w:trPr>
        <w:tc>
          <w:tcPr>
            <w:tcW w:w="4077"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Mesatarja vjetore</w:t>
            </w:r>
          </w:p>
        </w:tc>
        <w:tc>
          <w:tcPr>
            <w:tcW w:w="5391"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75 % e vlerave njëorëshe gjatë verës (Prill deri në Shtator) dhe 75 % gjatë dimrit (Janar deri në Mars, Tetor deri në Dhjetor) veç e veç</w:t>
            </w:r>
          </w:p>
        </w:tc>
      </w:tr>
      <w:tr w:rsidR="00ED3C64" w:rsidRPr="001A7A75" w:rsidTr="00BC62B1">
        <w:trPr>
          <w:jc w:val="center"/>
        </w:trPr>
        <w:tc>
          <w:tcPr>
            <w:tcW w:w="4077"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Numri i kapërcimeve dhe vlerat maksimale për muaj</w:t>
            </w:r>
          </w:p>
        </w:tc>
        <w:tc>
          <w:tcPr>
            <w:tcW w:w="5391"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 xml:space="preserve">90 % të vlerave maksimale mesatare tetorëshe të çdo dite </w:t>
            </w:r>
          </w:p>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(27 vlera ditore të disponueshme për muaj)</w:t>
            </w:r>
          </w:p>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90 % e vlerave njëorëshe ndërmjet orës 8.00 dhe 20.00</w:t>
            </w:r>
          </w:p>
        </w:tc>
      </w:tr>
      <w:tr w:rsidR="00ED3C64" w:rsidRPr="001A7A75" w:rsidTr="00BC62B1">
        <w:trPr>
          <w:jc w:val="center"/>
        </w:trPr>
        <w:tc>
          <w:tcPr>
            <w:tcW w:w="4077"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Numri i kapërcimeve dhe vlera maksimale për vit</w:t>
            </w:r>
          </w:p>
        </w:tc>
        <w:tc>
          <w:tcPr>
            <w:tcW w:w="5391"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5 nga 6 muaj gjatë stinës së verës (Prill deri Shtator)</w:t>
            </w:r>
          </w:p>
        </w:tc>
      </w:tr>
      <w:tr w:rsidR="00ED3C64" w:rsidRPr="001A7A75" w:rsidTr="00BC62B1">
        <w:trPr>
          <w:jc w:val="center"/>
        </w:trPr>
        <w:tc>
          <w:tcPr>
            <w:tcW w:w="9468" w:type="dxa"/>
            <w:gridSpan w:val="2"/>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(1) Kur nuk disponohen të gjitha të dhënat e matura të mundshme, për të llogaritur vlerat AOT40 përdoret faktori i mëposhtëm:</w:t>
            </w:r>
          </w:p>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AOT40 e llogaritur = AOT40 e matur × numri total i mundshëm i orëve (*)/numri i vlerave të matura për orë.</w:t>
            </w:r>
          </w:p>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(*)numri i orëve brenda periudhës kohore të përkufizimit të AOT40, (që do të thotë 08:00 deri në 20:00 nga 1 maj deri në 31 korrik çdo vit, për mbrojtjen e bimësisë dhe nga 1 prill deri në 30 shtator çdo vit për mbrojtjen e pyjeve).</w:t>
            </w:r>
          </w:p>
        </w:tc>
      </w:tr>
    </w:tbl>
    <w:p w:rsidR="00ED3C64" w:rsidRPr="00F078E2" w:rsidRDefault="00ED3C64" w:rsidP="00ED3C64">
      <w:pPr>
        <w:pStyle w:val="Paragrafi"/>
        <w:rPr>
          <w:sz w:val="12"/>
          <w:lang w:val="sq-AL"/>
        </w:rPr>
      </w:pPr>
    </w:p>
    <w:p w:rsidR="00ED3C64" w:rsidRPr="00DC42C4" w:rsidRDefault="00ED3C64" w:rsidP="00ED3C64">
      <w:pPr>
        <w:pStyle w:val="Paragrafi"/>
        <w:rPr>
          <w:lang w:val="sq-AL"/>
        </w:rPr>
      </w:pPr>
      <w:r w:rsidRPr="00DC42C4">
        <w:rPr>
          <w:lang w:val="sq-AL"/>
        </w:rPr>
        <w:t>Seksioni B. Vlerat e synuara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62"/>
        <w:gridCol w:w="2623"/>
        <w:gridCol w:w="2436"/>
        <w:gridCol w:w="2434"/>
      </w:tblGrid>
      <w:tr w:rsidR="00ED3C64" w:rsidRPr="00F078E2" w:rsidTr="00BC62B1">
        <w:tc>
          <w:tcPr>
            <w:tcW w:w="1198" w:type="pct"/>
          </w:tcPr>
          <w:p w:rsidR="00ED3C64" w:rsidRPr="00F078E2" w:rsidRDefault="00ED3C64" w:rsidP="00BC62B1">
            <w:pPr>
              <w:pStyle w:val="ListParagraph"/>
              <w:widowControl w:val="0"/>
              <w:spacing w:after="0" w:line="240" w:lineRule="auto"/>
              <w:ind w:left="0"/>
              <w:jc w:val="center"/>
              <w:rPr>
                <w:rFonts w:ascii="Garamond" w:hAnsi="Garamond"/>
                <w:b/>
                <w:sz w:val="18"/>
                <w:szCs w:val="18"/>
                <w:lang w:val="sq-AL"/>
              </w:rPr>
            </w:pPr>
            <w:r w:rsidRPr="00F078E2">
              <w:rPr>
                <w:rFonts w:ascii="Garamond" w:hAnsi="Garamond"/>
                <w:b/>
                <w:sz w:val="18"/>
                <w:szCs w:val="18"/>
                <w:lang w:val="sq-AL"/>
              </w:rPr>
              <w:t>Objektivi</w:t>
            </w:r>
          </w:p>
        </w:tc>
        <w:tc>
          <w:tcPr>
            <w:tcW w:w="1331" w:type="pct"/>
          </w:tcPr>
          <w:p w:rsidR="00ED3C64" w:rsidRPr="00F078E2" w:rsidRDefault="00ED3C64" w:rsidP="00BC62B1">
            <w:pPr>
              <w:pStyle w:val="ListParagraph"/>
              <w:widowControl w:val="0"/>
              <w:spacing w:after="0" w:line="240" w:lineRule="auto"/>
              <w:ind w:left="0"/>
              <w:jc w:val="center"/>
              <w:rPr>
                <w:rFonts w:ascii="Garamond" w:hAnsi="Garamond"/>
                <w:b/>
                <w:sz w:val="18"/>
                <w:szCs w:val="18"/>
                <w:lang w:val="sq-AL"/>
              </w:rPr>
            </w:pPr>
            <w:r w:rsidRPr="00F078E2">
              <w:rPr>
                <w:rFonts w:ascii="Garamond" w:hAnsi="Garamond"/>
                <w:b/>
                <w:sz w:val="18"/>
                <w:szCs w:val="18"/>
                <w:lang w:val="sq-AL"/>
              </w:rPr>
              <w:t>Periudha mesatare</w:t>
            </w:r>
          </w:p>
        </w:tc>
        <w:tc>
          <w:tcPr>
            <w:tcW w:w="1236" w:type="pct"/>
          </w:tcPr>
          <w:p w:rsidR="00ED3C64" w:rsidRPr="00F078E2" w:rsidRDefault="00ED3C64" w:rsidP="00BC62B1">
            <w:pPr>
              <w:pStyle w:val="ListParagraph"/>
              <w:widowControl w:val="0"/>
              <w:spacing w:after="0" w:line="240" w:lineRule="auto"/>
              <w:ind w:left="0"/>
              <w:jc w:val="center"/>
              <w:rPr>
                <w:rFonts w:ascii="Garamond" w:hAnsi="Garamond"/>
                <w:b/>
                <w:sz w:val="18"/>
                <w:szCs w:val="18"/>
                <w:lang w:val="sq-AL"/>
              </w:rPr>
            </w:pPr>
            <w:r w:rsidRPr="00F078E2">
              <w:rPr>
                <w:rFonts w:ascii="Garamond" w:hAnsi="Garamond"/>
                <w:b/>
                <w:sz w:val="18"/>
                <w:szCs w:val="18"/>
                <w:lang w:val="sq-AL"/>
              </w:rPr>
              <w:t>Vlera e synuar</w:t>
            </w:r>
          </w:p>
        </w:tc>
        <w:tc>
          <w:tcPr>
            <w:tcW w:w="1236" w:type="pct"/>
          </w:tcPr>
          <w:p w:rsidR="00ED3C64" w:rsidRPr="00F078E2" w:rsidRDefault="00ED3C64" w:rsidP="00BC62B1">
            <w:pPr>
              <w:widowControl w:val="0"/>
              <w:autoSpaceDE w:val="0"/>
              <w:autoSpaceDN w:val="0"/>
              <w:adjustRightInd w:val="0"/>
              <w:spacing w:after="0" w:line="240" w:lineRule="auto"/>
              <w:ind w:firstLine="0"/>
              <w:jc w:val="center"/>
              <w:rPr>
                <w:rFonts w:ascii="Garamond" w:hAnsi="Garamond"/>
                <w:b/>
                <w:sz w:val="18"/>
                <w:szCs w:val="18"/>
                <w:lang w:val="sq-AL"/>
              </w:rPr>
            </w:pPr>
            <w:r w:rsidRPr="00F078E2">
              <w:rPr>
                <w:rFonts w:ascii="Garamond" w:hAnsi="Garamond"/>
                <w:b/>
                <w:sz w:val="18"/>
                <w:szCs w:val="18"/>
                <w:lang w:val="sq-AL"/>
              </w:rPr>
              <w:t>Data kur duhet arritur vlera e synuar (1)</w:t>
            </w:r>
          </w:p>
        </w:tc>
      </w:tr>
      <w:tr w:rsidR="00ED3C64" w:rsidRPr="00F078E2" w:rsidTr="00BC62B1">
        <w:tc>
          <w:tcPr>
            <w:tcW w:w="1198" w:type="pct"/>
          </w:tcPr>
          <w:p w:rsidR="00ED3C64" w:rsidRPr="00F078E2" w:rsidRDefault="00ED3C64" w:rsidP="00BC62B1">
            <w:pPr>
              <w:pStyle w:val="ListParagraph"/>
              <w:widowControl w:val="0"/>
              <w:spacing w:after="0" w:line="240" w:lineRule="auto"/>
              <w:ind w:left="0"/>
              <w:rPr>
                <w:rFonts w:ascii="Garamond" w:hAnsi="Garamond"/>
                <w:sz w:val="18"/>
                <w:szCs w:val="18"/>
                <w:lang w:val="sq-AL"/>
              </w:rPr>
            </w:pPr>
            <w:r w:rsidRPr="00F078E2">
              <w:rPr>
                <w:rFonts w:ascii="Garamond" w:hAnsi="Garamond"/>
                <w:sz w:val="18"/>
                <w:szCs w:val="18"/>
                <w:lang w:val="sq-AL"/>
              </w:rPr>
              <w:t>Mbrojtja e shëndetit publik</w:t>
            </w:r>
          </w:p>
        </w:tc>
        <w:tc>
          <w:tcPr>
            <w:tcW w:w="1331" w:type="pct"/>
          </w:tcPr>
          <w:p w:rsidR="00ED3C64" w:rsidRPr="00F078E2" w:rsidRDefault="00ED3C64" w:rsidP="00BC62B1">
            <w:pPr>
              <w:pStyle w:val="ListParagraph"/>
              <w:widowControl w:val="0"/>
              <w:spacing w:after="0" w:line="240" w:lineRule="auto"/>
              <w:ind w:left="0"/>
              <w:rPr>
                <w:rFonts w:ascii="Garamond" w:hAnsi="Garamond"/>
                <w:sz w:val="18"/>
                <w:szCs w:val="18"/>
                <w:lang w:val="sq-AL"/>
              </w:rPr>
            </w:pPr>
            <w:r w:rsidRPr="00F078E2">
              <w:rPr>
                <w:rFonts w:ascii="Garamond" w:hAnsi="Garamond"/>
                <w:sz w:val="18"/>
                <w:szCs w:val="18"/>
                <w:lang w:val="sq-AL"/>
              </w:rPr>
              <w:t>Mesatarja maksimale tetorëshe gjatë ditës (2)</w:t>
            </w:r>
          </w:p>
        </w:tc>
        <w:tc>
          <w:tcPr>
            <w:tcW w:w="1236" w:type="pct"/>
          </w:tcPr>
          <w:p w:rsidR="00ED3C64" w:rsidRPr="00F078E2" w:rsidRDefault="00ED3C64" w:rsidP="00BC62B1">
            <w:pPr>
              <w:pStyle w:val="ListParagraph"/>
              <w:widowControl w:val="0"/>
              <w:spacing w:after="0" w:line="240" w:lineRule="auto"/>
              <w:ind w:left="0"/>
              <w:rPr>
                <w:rFonts w:ascii="Garamond" w:hAnsi="Garamond"/>
                <w:sz w:val="18"/>
                <w:szCs w:val="18"/>
                <w:lang w:val="sq-AL"/>
              </w:rPr>
            </w:pPr>
            <w:r w:rsidRPr="00F078E2">
              <w:rPr>
                <w:rFonts w:ascii="Garamond" w:hAnsi="Garamond"/>
                <w:sz w:val="18"/>
                <w:szCs w:val="18"/>
                <w:lang w:val="sq-AL"/>
              </w:rPr>
              <w:t>120 μg/m³ të mos kapërcehet në më shumë se 25 ditë një për vit kalendarik të mesatarizuar gjatë 3 vjetëve (3)</w:t>
            </w:r>
          </w:p>
        </w:tc>
        <w:tc>
          <w:tcPr>
            <w:tcW w:w="1236" w:type="pct"/>
          </w:tcPr>
          <w:p w:rsidR="00ED3C64" w:rsidRPr="00F078E2" w:rsidRDefault="00ED3C64" w:rsidP="00BC62B1">
            <w:pPr>
              <w:pStyle w:val="ListParagraph"/>
              <w:widowControl w:val="0"/>
              <w:spacing w:after="0" w:line="240" w:lineRule="auto"/>
              <w:ind w:left="0"/>
              <w:rPr>
                <w:rFonts w:ascii="Garamond" w:hAnsi="Garamond"/>
                <w:sz w:val="18"/>
                <w:szCs w:val="18"/>
                <w:lang w:val="sq-AL"/>
              </w:rPr>
            </w:pPr>
            <w:r w:rsidRPr="00F078E2">
              <w:rPr>
                <w:rFonts w:ascii="Garamond" w:hAnsi="Garamond"/>
                <w:sz w:val="18"/>
                <w:szCs w:val="18"/>
                <w:lang w:val="sq-AL"/>
              </w:rPr>
              <w:t>1.1.2020</w:t>
            </w:r>
          </w:p>
        </w:tc>
      </w:tr>
      <w:tr w:rsidR="00ED3C64" w:rsidRPr="00F078E2" w:rsidTr="00BC62B1">
        <w:tc>
          <w:tcPr>
            <w:tcW w:w="1198" w:type="pct"/>
          </w:tcPr>
          <w:p w:rsidR="00ED3C64" w:rsidRPr="00F078E2" w:rsidRDefault="00ED3C64" w:rsidP="00BC62B1">
            <w:pPr>
              <w:pStyle w:val="ListParagraph"/>
              <w:widowControl w:val="0"/>
              <w:spacing w:after="0" w:line="240" w:lineRule="auto"/>
              <w:ind w:left="0"/>
              <w:outlineLvl w:val="0"/>
              <w:rPr>
                <w:rFonts w:ascii="Garamond" w:hAnsi="Garamond"/>
                <w:sz w:val="18"/>
                <w:szCs w:val="18"/>
                <w:lang w:val="sq-AL"/>
              </w:rPr>
            </w:pPr>
            <w:r w:rsidRPr="00F078E2">
              <w:rPr>
                <w:rFonts w:ascii="Garamond" w:hAnsi="Garamond"/>
                <w:sz w:val="18"/>
                <w:szCs w:val="18"/>
                <w:lang w:val="sq-AL"/>
              </w:rPr>
              <w:t>Mbrojtja e bimësisë</w:t>
            </w:r>
          </w:p>
        </w:tc>
        <w:tc>
          <w:tcPr>
            <w:tcW w:w="1331" w:type="pct"/>
          </w:tcPr>
          <w:p w:rsidR="00ED3C64" w:rsidRPr="00F078E2" w:rsidRDefault="00ED3C64" w:rsidP="00BC62B1">
            <w:pPr>
              <w:widowControl w:val="0"/>
              <w:spacing w:after="0" w:line="240" w:lineRule="auto"/>
              <w:ind w:firstLine="0"/>
              <w:jc w:val="left"/>
              <w:outlineLvl w:val="0"/>
              <w:rPr>
                <w:rFonts w:ascii="Garamond" w:hAnsi="Garamond"/>
                <w:sz w:val="18"/>
                <w:szCs w:val="18"/>
                <w:lang w:val="sq-AL"/>
              </w:rPr>
            </w:pPr>
            <w:r w:rsidRPr="00F078E2">
              <w:rPr>
                <w:rFonts w:ascii="Garamond" w:hAnsi="Garamond"/>
                <w:sz w:val="18"/>
                <w:szCs w:val="18"/>
                <w:lang w:val="sq-AL"/>
              </w:rPr>
              <w:t>Maj deri në Korrik</w:t>
            </w:r>
          </w:p>
        </w:tc>
        <w:tc>
          <w:tcPr>
            <w:tcW w:w="1236" w:type="pct"/>
          </w:tcPr>
          <w:p w:rsidR="00ED3C64" w:rsidRPr="00F078E2" w:rsidRDefault="00ED3C64" w:rsidP="00BC62B1">
            <w:pPr>
              <w:pStyle w:val="ListParagraph"/>
              <w:widowControl w:val="0"/>
              <w:spacing w:after="0" w:line="240" w:lineRule="auto"/>
              <w:ind w:left="0"/>
              <w:outlineLvl w:val="0"/>
              <w:rPr>
                <w:rFonts w:ascii="Garamond" w:hAnsi="Garamond"/>
                <w:sz w:val="18"/>
                <w:szCs w:val="18"/>
                <w:lang w:val="sq-AL"/>
              </w:rPr>
            </w:pPr>
            <w:r w:rsidRPr="00F078E2">
              <w:rPr>
                <w:rFonts w:ascii="Garamond" w:hAnsi="Garamond"/>
                <w:sz w:val="18"/>
                <w:szCs w:val="18"/>
                <w:lang w:val="sq-AL"/>
              </w:rPr>
              <w:t>AOT40 (llogaritur nga vlera 1-orëshe)</w:t>
            </w:r>
          </w:p>
          <w:p w:rsidR="00ED3C64" w:rsidRDefault="00ED3C64" w:rsidP="00BC62B1">
            <w:pPr>
              <w:pStyle w:val="ListParagraph"/>
              <w:widowControl w:val="0"/>
              <w:spacing w:after="0" w:line="240" w:lineRule="auto"/>
              <w:ind w:left="0"/>
              <w:outlineLvl w:val="0"/>
              <w:rPr>
                <w:rFonts w:ascii="Garamond" w:hAnsi="Garamond"/>
                <w:sz w:val="18"/>
                <w:szCs w:val="18"/>
                <w:lang w:val="sq-AL"/>
              </w:rPr>
            </w:pPr>
            <w:r w:rsidRPr="00F078E2">
              <w:rPr>
                <w:rFonts w:ascii="Garamond" w:hAnsi="Garamond"/>
                <w:sz w:val="18"/>
                <w:szCs w:val="18"/>
                <w:lang w:val="sq-AL"/>
              </w:rPr>
              <w:t>18 000 μg/m³ ∙ h mesatarizuar gjatë 5 vjetëve (3)</w:t>
            </w:r>
          </w:p>
          <w:p w:rsidR="00ED3C64" w:rsidRPr="00F078E2" w:rsidRDefault="00ED3C64" w:rsidP="00BC62B1">
            <w:pPr>
              <w:pStyle w:val="ListParagraph"/>
              <w:widowControl w:val="0"/>
              <w:spacing w:after="0" w:line="240" w:lineRule="auto"/>
              <w:ind w:left="0"/>
              <w:outlineLvl w:val="0"/>
              <w:rPr>
                <w:rFonts w:ascii="Garamond" w:hAnsi="Garamond"/>
                <w:sz w:val="18"/>
                <w:szCs w:val="18"/>
                <w:lang w:val="sq-AL"/>
              </w:rPr>
            </w:pPr>
          </w:p>
        </w:tc>
        <w:tc>
          <w:tcPr>
            <w:tcW w:w="1236" w:type="pct"/>
          </w:tcPr>
          <w:p w:rsidR="00ED3C64" w:rsidRPr="00F078E2" w:rsidRDefault="00ED3C64" w:rsidP="00BC62B1">
            <w:pPr>
              <w:pStyle w:val="ListParagraph"/>
              <w:widowControl w:val="0"/>
              <w:spacing w:after="0" w:line="240" w:lineRule="auto"/>
              <w:ind w:left="0"/>
              <w:outlineLvl w:val="0"/>
              <w:rPr>
                <w:rFonts w:ascii="Garamond" w:hAnsi="Garamond"/>
                <w:sz w:val="18"/>
                <w:szCs w:val="18"/>
                <w:lang w:val="sq-AL"/>
              </w:rPr>
            </w:pPr>
            <w:r w:rsidRPr="00F078E2">
              <w:rPr>
                <w:rFonts w:ascii="Garamond" w:hAnsi="Garamond"/>
                <w:sz w:val="18"/>
                <w:szCs w:val="18"/>
                <w:lang w:val="sq-AL"/>
              </w:rPr>
              <w:t>1.1.2020</w:t>
            </w:r>
          </w:p>
        </w:tc>
      </w:tr>
      <w:tr w:rsidR="00ED3C64" w:rsidRPr="00F078E2" w:rsidTr="00BC62B1">
        <w:tc>
          <w:tcPr>
            <w:tcW w:w="5000" w:type="pct"/>
            <w:gridSpan w:val="4"/>
          </w:tcPr>
          <w:p w:rsidR="00ED3C64" w:rsidRPr="00F078E2" w:rsidRDefault="00ED3C64" w:rsidP="00BC62B1">
            <w:pPr>
              <w:pStyle w:val="ListParagraph"/>
              <w:widowControl w:val="0"/>
              <w:spacing w:after="0" w:line="240" w:lineRule="auto"/>
              <w:ind w:left="0"/>
              <w:jc w:val="both"/>
              <w:outlineLvl w:val="0"/>
              <w:rPr>
                <w:rFonts w:ascii="Garamond" w:hAnsi="Garamond"/>
                <w:sz w:val="18"/>
                <w:szCs w:val="18"/>
                <w:lang w:val="sq-AL"/>
              </w:rPr>
            </w:pPr>
            <w:r w:rsidRPr="00F078E2">
              <w:rPr>
                <w:rFonts w:ascii="Garamond" w:hAnsi="Garamond"/>
                <w:sz w:val="18"/>
                <w:szCs w:val="18"/>
                <w:lang w:val="sq-AL"/>
              </w:rPr>
              <w:t>(1) Përputhshmëria me vlerat e synuara do të vlerësohet duke filluar nga kjo datë. Kjo do të thotë që, 2020 do të jetë viti i parë të dhënat e të cilit do të përdoren për të llogaritur përputhshmërinë gjatë 3 apo 5 viteve vijuese, sipas rastit.</w:t>
            </w:r>
          </w:p>
        </w:tc>
      </w:tr>
      <w:tr w:rsidR="00ED3C64" w:rsidRPr="00F078E2" w:rsidTr="00BC62B1">
        <w:tc>
          <w:tcPr>
            <w:tcW w:w="5000" w:type="pct"/>
            <w:gridSpan w:val="4"/>
          </w:tcPr>
          <w:p w:rsidR="00ED3C64" w:rsidRPr="00F078E2" w:rsidRDefault="00ED3C64" w:rsidP="00BC62B1">
            <w:pPr>
              <w:pStyle w:val="ListParagraph"/>
              <w:widowControl w:val="0"/>
              <w:spacing w:after="0" w:line="240" w:lineRule="auto"/>
              <w:ind w:left="0"/>
              <w:jc w:val="both"/>
              <w:outlineLvl w:val="0"/>
              <w:rPr>
                <w:rFonts w:ascii="Garamond" w:hAnsi="Garamond"/>
                <w:sz w:val="18"/>
                <w:szCs w:val="18"/>
                <w:lang w:val="sq-AL"/>
              </w:rPr>
            </w:pPr>
            <w:r w:rsidRPr="00F078E2">
              <w:rPr>
                <w:rFonts w:ascii="Garamond" w:hAnsi="Garamond"/>
                <w:sz w:val="18"/>
                <w:szCs w:val="18"/>
                <w:lang w:val="sq-AL"/>
              </w:rPr>
              <w:t>(2) Përqendrimi i mesatares maksimale ditore tetorëshe do të përzgjidhet duke ekzaminuar mesataret e tetë orëve njëra pas tjetrës, llogaritur nga të dhënat për orë dhe të përditësuara çdo orë. Çdo mesatare tetorëshe e llogaritur kështu do t’i caktohet ditës në të cilën mbaron që do të thotë periudha e parë e llogaritjes për çdonjërën nga ditët do të jetë periudha nga ora 17:00 e ditës së mëparshme deri në orën 01:00 të asaj dite; periudha e fundit e llogaritjes për çdonjërën nga ditët do të jetë periudha nga ora 16:00 deri në orën 24:00 të asaj dite.</w:t>
            </w:r>
          </w:p>
        </w:tc>
      </w:tr>
      <w:tr w:rsidR="00ED3C64" w:rsidRPr="00F078E2" w:rsidTr="00BC62B1">
        <w:tc>
          <w:tcPr>
            <w:tcW w:w="5000" w:type="pct"/>
            <w:gridSpan w:val="4"/>
          </w:tcPr>
          <w:p w:rsidR="00ED3C64" w:rsidRPr="00F078E2" w:rsidRDefault="00ED3C64" w:rsidP="00BC62B1">
            <w:pPr>
              <w:pStyle w:val="ListParagraph"/>
              <w:widowControl w:val="0"/>
              <w:spacing w:after="0" w:line="240" w:lineRule="auto"/>
              <w:ind w:left="0"/>
              <w:jc w:val="both"/>
              <w:outlineLvl w:val="0"/>
              <w:rPr>
                <w:rFonts w:ascii="Garamond" w:hAnsi="Garamond"/>
                <w:sz w:val="18"/>
                <w:szCs w:val="18"/>
                <w:lang w:val="sq-AL"/>
              </w:rPr>
            </w:pPr>
            <w:r w:rsidRPr="00F078E2">
              <w:rPr>
                <w:rFonts w:ascii="Garamond" w:hAnsi="Garamond"/>
                <w:sz w:val="18"/>
                <w:szCs w:val="18"/>
                <w:lang w:val="sq-AL"/>
              </w:rPr>
              <w:t>(3) Nëse mesataret 3 apo 5 vjetore nuk mund të përcaktohen në bazë të një kompleti të plotë dhe të vijueshëm të dhënash vjetore, të dhënat vjetore minimale të kërkuara për të kontrolluar përputhshmërinë me vlerat e synuara do të jenë si më poshtë:</w:t>
            </w:r>
          </w:p>
          <w:p w:rsidR="00ED3C64" w:rsidRPr="00F078E2" w:rsidRDefault="00ED3C64" w:rsidP="00BC62B1">
            <w:pPr>
              <w:pStyle w:val="ListParagraph"/>
              <w:widowControl w:val="0"/>
              <w:spacing w:after="0" w:line="240" w:lineRule="auto"/>
              <w:ind w:left="0"/>
              <w:jc w:val="both"/>
              <w:outlineLvl w:val="0"/>
              <w:rPr>
                <w:rFonts w:ascii="Garamond" w:hAnsi="Garamond"/>
                <w:sz w:val="18"/>
                <w:szCs w:val="18"/>
                <w:lang w:val="sq-AL"/>
              </w:rPr>
            </w:pPr>
            <w:r w:rsidRPr="00F078E2">
              <w:rPr>
                <w:rFonts w:ascii="Garamond" w:hAnsi="Garamond"/>
                <w:sz w:val="18"/>
                <w:szCs w:val="18"/>
                <w:lang w:val="sq-AL"/>
              </w:rPr>
              <w:t>— për vlerat e synuara për mbrojtjen e shëndetit publik: të dhënat e vlefshme për 1 vit,</w:t>
            </w:r>
          </w:p>
          <w:p w:rsidR="00ED3C64" w:rsidRPr="00F078E2" w:rsidRDefault="00ED3C64" w:rsidP="00BC62B1">
            <w:pPr>
              <w:pStyle w:val="ListParagraph"/>
              <w:widowControl w:val="0"/>
              <w:spacing w:after="0" w:line="240" w:lineRule="auto"/>
              <w:ind w:left="0"/>
              <w:jc w:val="both"/>
              <w:outlineLvl w:val="0"/>
              <w:rPr>
                <w:rFonts w:ascii="Garamond" w:hAnsi="Garamond"/>
                <w:sz w:val="18"/>
                <w:szCs w:val="18"/>
                <w:lang w:val="sq-AL"/>
              </w:rPr>
            </w:pPr>
            <w:r w:rsidRPr="00F078E2">
              <w:rPr>
                <w:rFonts w:ascii="Garamond" w:hAnsi="Garamond"/>
                <w:sz w:val="18"/>
                <w:szCs w:val="18"/>
                <w:lang w:val="sq-AL"/>
              </w:rPr>
              <w:t>— për vlerën e synuar për mbrojtjen e bimësisë: të dhënat e vlefshme për 3 vjet</w:t>
            </w:r>
          </w:p>
        </w:tc>
      </w:tr>
    </w:tbl>
    <w:p w:rsidR="00ED3C64" w:rsidRPr="00DC42C4" w:rsidRDefault="00ED3C64" w:rsidP="00ED3C64">
      <w:pPr>
        <w:pStyle w:val="Paragrafi"/>
        <w:rPr>
          <w:lang w:val="sq-AL"/>
        </w:rPr>
      </w:pPr>
      <w:r w:rsidRPr="00DC42C4">
        <w:rPr>
          <w:lang w:val="sq-AL"/>
        </w:rPr>
        <w:t>Seksioni C. Objektivat afatgjatë</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62"/>
        <w:gridCol w:w="2623"/>
        <w:gridCol w:w="2436"/>
        <w:gridCol w:w="2434"/>
      </w:tblGrid>
      <w:tr w:rsidR="00ED3C64" w:rsidRPr="00DC42C4" w:rsidTr="00BC62B1">
        <w:tc>
          <w:tcPr>
            <w:tcW w:w="1198" w:type="pct"/>
          </w:tcPr>
          <w:p w:rsidR="00ED3C64" w:rsidRPr="00CF64B6" w:rsidRDefault="00ED3C64" w:rsidP="00BC62B1">
            <w:pPr>
              <w:pStyle w:val="ListParagraph"/>
              <w:widowControl w:val="0"/>
              <w:spacing w:after="0" w:line="240" w:lineRule="auto"/>
              <w:ind w:left="0"/>
              <w:jc w:val="center"/>
              <w:outlineLvl w:val="0"/>
              <w:rPr>
                <w:rFonts w:ascii="Garamond" w:hAnsi="Garamond"/>
                <w:b/>
                <w:sz w:val="20"/>
                <w:szCs w:val="20"/>
                <w:lang w:val="sq-AL"/>
              </w:rPr>
            </w:pPr>
            <w:r w:rsidRPr="00CF64B6">
              <w:rPr>
                <w:rFonts w:ascii="Garamond" w:hAnsi="Garamond"/>
                <w:b/>
                <w:sz w:val="20"/>
                <w:szCs w:val="20"/>
                <w:lang w:val="sq-AL"/>
              </w:rPr>
              <w:t>Objektivi</w:t>
            </w:r>
          </w:p>
        </w:tc>
        <w:tc>
          <w:tcPr>
            <w:tcW w:w="1331" w:type="pct"/>
          </w:tcPr>
          <w:p w:rsidR="00ED3C64" w:rsidRPr="00CF64B6" w:rsidRDefault="00ED3C64" w:rsidP="00BC62B1">
            <w:pPr>
              <w:pStyle w:val="ListParagraph"/>
              <w:widowControl w:val="0"/>
              <w:spacing w:after="0" w:line="240" w:lineRule="auto"/>
              <w:ind w:left="0"/>
              <w:jc w:val="center"/>
              <w:outlineLvl w:val="0"/>
              <w:rPr>
                <w:rFonts w:ascii="Garamond" w:hAnsi="Garamond"/>
                <w:b/>
                <w:sz w:val="20"/>
                <w:szCs w:val="20"/>
                <w:lang w:val="sq-AL"/>
              </w:rPr>
            </w:pPr>
            <w:r w:rsidRPr="00CF64B6">
              <w:rPr>
                <w:rFonts w:ascii="Garamond" w:hAnsi="Garamond"/>
                <w:b/>
                <w:sz w:val="20"/>
                <w:szCs w:val="20"/>
                <w:lang w:val="sq-AL"/>
              </w:rPr>
              <w:t>Periudha mesatare</w:t>
            </w:r>
          </w:p>
        </w:tc>
        <w:tc>
          <w:tcPr>
            <w:tcW w:w="1236" w:type="pct"/>
          </w:tcPr>
          <w:p w:rsidR="00ED3C64" w:rsidRPr="00CF64B6" w:rsidRDefault="00ED3C64" w:rsidP="00BC62B1">
            <w:pPr>
              <w:pStyle w:val="ListParagraph"/>
              <w:widowControl w:val="0"/>
              <w:spacing w:after="0" w:line="240" w:lineRule="auto"/>
              <w:ind w:left="0"/>
              <w:jc w:val="center"/>
              <w:outlineLvl w:val="0"/>
              <w:rPr>
                <w:rFonts w:ascii="Garamond" w:hAnsi="Garamond"/>
                <w:b/>
                <w:sz w:val="20"/>
                <w:szCs w:val="20"/>
                <w:lang w:val="sq-AL"/>
              </w:rPr>
            </w:pPr>
            <w:r w:rsidRPr="00CF64B6">
              <w:rPr>
                <w:rFonts w:ascii="Garamond" w:hAnsi="Garamond"/>
                <w:b/>
                <w:sz w:val="20"/>
                <w:szCs w:val="20"/>
                <w:lang w:val="sq-AL"/>
              </w:rPr>
              <w:t>Objektivi afatgjatë</w:t>
            </w:r>
          </w:p>
        </w:tc>
        <w:tc>
          <w:tcPr>
            <w:tcW w:w="1236" w:type="pct"/>
          </w:tcPr>
          <w:p w:rsidR="00ED3C64" w:rsidRPr="00CF64B6" w:rsidRDefault="00ED3C64" w:rsidP="00BC62B1">
            <w:pPr>
              <w:widowControl w:val="0"/>
              <w:autoSpaceDE w:val="0"/>
              <w:autoSpaceDN w:val="0"/>
              <w:adjustRightInd w:val="0"/>
              <w:spacing w:after="0" w:line="240" w:lineRule="auto"/>
              <w:ind w:firstLine="0"/>
              <w:jc w:val="center"/>
              <w:outlineLvl w:val="0"/>
              <w:rPr>
                <w:rFonts w:ascii="Garamond" w:hAnsi="Garamond"/>
                <w:b/>
                <w:sz w:val="20"/>
                <w:szCs w:val="20"/>
                <w:lang w:val="sq-AL"/>
              </w:rPr>
            </w:pPr>
            <w:r w:rsidRPr="00CF64B6">
              <w:rPr>
                <w:rFonts w:ascii="Garamond" w:hAnsi="Garamond"/>
                <w:b/>
                <w:sz w:val="20"/>
                <w:szCs w:val="20"/>
                <w:lang w:val="sq-AL"/>
              </w:rPr>
              <w:t>Data kur duhet të arrihet objektivi afatgjatë</w:t>
            </w:r>
          </w:p>
        </w:tc>
      </w:tr>
      <w:tr w:rsidR="00ED3C64" w:rsidRPr="00DC42C4" w:rsidTr="00BC62B1">
        <w:tc>
          <w:tcPr>
            <w:tcW w:w="1198" w:type="pct"/>
          </w:tcPr>
          <w:p w:rsidR="00ED3C64" w:rsidRPr="00DC42C4" w:rsidRDefault="00ED3C64" w:rsidP="00BC62B1">
            <w:pPr>
              <w:pStyle w:val="ListParagraph"/>
              <w:widowControl w:val="0"/>
              <w:spacing w:after="0" w:line="240" w:lineRule="auto"/>
              <w:ind w:left="0"/>
              <w:outlineLvl w:val="0"/>
              <w:rPr>
                <w:rFonts w:ascii="Garamond" w:hAnsi="Garamond"/>
                <w:sz w:val="20"/>
                <w:szCs w:val="20"/>
                <w:lang w:val="sq-AL"/>
              </w:rPr>
            </w:pPr>
            <w:r w:rsidRPr="00DC42C4">
              <w:rPr>
                <w:rFonts w:ascii="Garamond" w:hAnsi="Garamond"/>
                <w:sz w:val="20"/>
                <w:szCs w:val="20"/>
                <w:lang w:val="sq-AL"/>
              </w:rPr>
              <w:t>Mbrojtja e shëndetit publik</w:t>
            </w:r>
          </w:p>
        </w:tc>
        <w:tc>
          <w:tcPr>
            <w:tcW w:w="1331" w:type="pct"/>
          </w:tcPr>
          <w:p w:rsidR="00ED3C64" w:rsidRPr="00DC42C4" w:rsidRDefault="00ED3C64" w:rsidP="00BC62B1">
            <w:pPr>
              <w:pStyle w:val="ListParagraph"/>
              <w:widowControl w:val="0"/>
              <w:spacing w:after="0" w:line="240" w:lineRule="auto"/>
              <w:ind w:left="0"/>
              <w:outlineLvl w:val="0"/>
              <w:rPr>
                <w:rFonts w:ascii="Garamond" w:hAnsi="Garamond"/>
                <w:sz w:val="20"/>
                <w:szCs w:val="20"/>
                <w:lang w:val="sq-AL"/>
              </w:rPr>
            </w:pPr>
            <w:r w:rsidRPr="00DC42C4">
              <w:rPr>
                <w:rFonts w:ascii="Garamond" w:hAnsi="Garamond"/>
                <w:sz w:val="20"/>
                <w:szCs w:val="20"/>
                <w:lang w:val="sq-AL"/>
              </w:rPr>
              <w:t>Mesatarja maksim</w:t>
            </w:r>
            <w:r>
              <w:rPr>
                <w:rFonts w:ascii="Garamond" w:hAnsi="Garamond"/>
                <w:sz w:val="20"/>
                <w:szCs w:val="20"/>
                <w:lang w:val="sq-AL"/>
              </w:rPr>
              <w:t>ale ditore tet</w:t>
            </w:r>
            <w:r w:rsidRPr="00DC42C4">
              <w:rPr>
                <w:rFonts w:ascii="Garamond" w:hAnsi="Garamond"/>
                <w:sz w:val="20"/>
                <w:szCs w:val="20"/>
                <w:lang w:val="sq-AL"/>
              </w:rPr>
              <w:t>orëshe brenda një viti kalendarik</w:t>
            </w:r>
          </w:p>
        </w:tc>
        <w:tc>
          <w:tcPr>
            <w:tcW w:w="1236" w:type="pct"/>
          </w:tcPr>
          <w:p w:rsidR="00ED3C64" w:rsidRPr="00DC42C4" w:rsidRDefault="00ED3C64" w:rsidP="00BC62B1">
            <w:pPr>
              <w:pStyle w:val="ListParagraph"/>
              <w:widowControl w:val="0"/>
              <w:spacing w:after="0" w:line="240" w:lineRule="auto"/>
              <w:ind w:left="0"/>
              <w:outlineLvl w:val="0"/>
              <w:rPr>
                <w:rFonts w:ascii="Garamond" w:hAnsi="Garamond"/>
                <w:sz w:val="20"/>
                <w:szCs w:val="20"/>
                <w:lang w:val="sq-AL"/>
              </w:rPr>
            </w:pPr>
            <w:r w:rsidRPr="00DC42C4">
              <w:rPr>
                <w:rFonts w:ascii="Garamond" w:hAnsi="Garamond"/>
                <w:sz w:val="20"/>
                <w:szCs w:val="20"/>
                <w:lang w:val="sq-AL"/>
              </w:rPr>
              <w:t>120 μg/m</w:t>
            </w:r>
            <w:r w:rsidRPr="00DC42C4">
              <w:rPr>
                <w:rFonts w:ascii="Garamond" w:hAnsi="Garamond"/>
                <w:sz w:val="20"/>
                <w:szCs w:val="20"/>
                <w:vertAlign w:val="superscript"/>
                <w:lang w:val="sq-AL"/>
              </w:rPr>
              <w:t>3</w:t>
            </w:r>
          </w:p>
        </w:tc>
        <w:tc>
          <w:tcPr>
            <w:tcW w:w="1236"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2025</w:t>
            </w:r>
          </w:p>
        </w:tc>
      </w:tr>
      <w:tr w:rsidR="00ED3C64" w:rsidRPr="00DC42C4" w:rsidTr="00BC62B1">
        <w:tc>
          <w:tcPr>
            <w:tcW w:w="1198"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Mbrojtja e bimësisë</w:t>
            </w:r>
          </w:p>
        </w:tc>
        <w:tc>
          <w:tcPr>
            <w:tcW w:w="1331"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 xml:space="preserve">Maj deri në </w:t>
            </w:r>
            <w:r>
              <w:rPr>
                <w:rFonts w:ascii="Garamond" w:hAnsi="Garamond"/>
                <w:sz w:val="20"/>
                <w:szCs w:val="20"/>
                <w:lang w:val="sq-AL"/>
              </w:rPr>
              <w:t>k</w:t>
            </w:r>
            <w:r w:rsidRPr="00DC42C4">
              <w:rPr>
                <w:rFonts w:ascii="Garamond" w:hAnsi="Garamond"/>
                <w:sz w:val="20"/>
                <w:szCs w:val="20"/>
                <w:lang w:val="sq-AL"/>
              </w:rPr>
              <w:t>orrik</w:t>
            </w:r>
          </w:p>
        </w:tc>
        <w:tc>
          <w:tcPr>
            <w:tcW w:w="1236" w:type="pct"/>
          </w:tcPr>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AOT40 (llogaritur nga vlerat 1</w:t>
            </w:r>
            <w:r>
              <w:rPr>
                <w:rFonts w:ascii="Garamond" w:hAnsi="Garamond"/>
                <w:sz w:val="20"/>
                <w:szCs w:val="20"/>
                <w:lang w:val="sq-AL"/>
              </w:rPr>
              <w:t>-</w:t>
            </w:r>
            <w:r w:rsidRPr="00DC42C4">
              <w:rPr>
                <w:rFonts w:ascii="Garamond" w:hAnsi="Garamond"/>
                <w:sz w:val="20"/>
                <w:szCs w:val="20"/>
                <w:lang w:val="sq-AL"/>
              </w:rPr>
              <w:t>orëshe) 6 000 μg/m</w:t>
            </w:r>
            <w:r w:rsidRPr="00DC42C4">
              <w:rPr>
                <w:rFonts w:ascii="Garamond" w:hAnsi="Garamond"/>
                <w:sz w:val="20"/>
                <w:szCs w:val="20"/>
                <w:vertAlign w:val="superscript"/>
                <w:lang w:val="sq-AL"/>
              </w:rPr>
              <w:t>3</w:t>
            </w:r>
            <w:r w:rsidRPr="00DC42C4">
              <w:rPr>
                <w:rFonts w:ascii="Garamond" w:hAnsi="Garamond"/>
                <w:sz w:val="20"/>
                <w:szCs w:val="20"/>
                <w:lang w:val="sq-AL"/>
              </w:rPr>
              <w:t xml:space="preserve"> ∙ h</w:t>
            </w:r>
          </w:p>
        </w:tc>
        <w:tc>
          <w:tcPr>
            <w:tcW w:w="1236"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2025</w:t>
            </w:r>
          </w:p>
        </w:tc>
      </w:tr>
    </w:tbl>
    <w:p w:rsidR="00ED3C64" w:rsidRPr="00DC42C4" w:rsidRDefault="00ED3C64" w:rsidP="00ED3C64">
      <w:pPr>
        <w:pStyle w:val="Hapesira7"/>
        <w:rPr>
          <w:lang w:val="sq-AL"/>
        </w:rPr>
      </w:pPr>
    </w:p>
    <w:p w:rsidR="00ED3C64" w:rsidRPr="00DC42C4" w:rsidRDefault="00ED3C64" w:rsidP="00ED3C64">
      <w:pPr>
        <w:pStyle w:val="Paragrafi"/>
        <w:jc w:val="center"/>
        <w:rPr>
          <w:lang w:val="sq-AL"/>
        </w:rPr>
      </w:pPr>
      <w:r w:rsidRPr="00DC42C4">
        <w:rPr>
          <w:lang w:val="sq-AL"/>
        </w:rPr>
        <w:t>ANEKSI VIII</w:t>
      </w:r>
    </w:p>
    <w:p w:rsidR="00ED3C64" w:rsidRPr="00DC42C4" w:rsidRDefault="00ED3C64" w:rsidP="00ED3C64">
      <w:pPr>
        <w:pStyle w:val="Paragrafi"/>
        <w:jc w:val="center"/>
        <w:rPr>
          <w:lang w:val="sq-AL"/>
        </w:rPr>
      </w:pPr>
      <w:r w:rsidRPr="00DC42C4">
        <w:rPr>
          <w:lang w:val="sq-AL"/>
        </w:rPr>
        <w:lastRenderedPageBreak/>
        <w:t>Kriteret për klasifikimin dhe përcaktimin e pikave të marrjes së mostrave për vlerësimin e përqendrimeve të ozonit</w:t>
      </w:r>
    </w:p>
    <w:p w:rsidR="00ED3C64" w:rsidRPr="00DC42C4" w:rsidRDefault="00ED3C64" w:rsidP="00ED3C64">
      <w:pPr>
        <w:pStyle w:val="Paragrafi"/>
        <w:jc w:val="center"/>
        <w:rPr>
          <w:lang w:val="sq-AL"/>
        </w:rPr>
      </w:pPr>
      <w:r w:rsidRPr="00DC42C4">
        <w:rPr>
          <w:lang w:val="sq-AL"/>
        </w:rPr>
        <w:t>(Referuar në pikat 8.1 dhe 8.3 të këtij vendimi)</w:t>
      </w:r>
    </w:p>
    <w:p w:rsidR="00ED3C64" w:rsidRPr="00DC42C4" w:rsidRDefault="00ED3C64" w:rsidP="00ED3C64">
      <w:pPr>
        <w:pStyle w:val="Hapesira7"/>
        <w:rPr>
          <w:lang w:val="sq-AL"/>
        </w:rPr>
      </w:pPr>
    </w:p>
    <w:p w:rsidR="00ED3C64" w:rsidRPr="00DC42C4" w:rsidRDefault="00ED3C64" w:rsidP="00ED3C64">
      <w:pPr>
        <w:pStyle w:val="Paragrafi"/>
        <w:rPr>
          <w:lang w:val="sq-AL"/>
        </w:rPr>
      </w:pPr>
      <w:r w:rsidRPr="00DC42C4">
        <w:rPr>
          <w:lang w:val="sq-AL"/>
        </w:rPr>
        <w:t>Për matjet fikse zbatohen sa më poshtë:</w:t>
      </w:r>
    </w:p>
    <w:p w:rsidR="00ED3C64" w:rsidRPr="00DC42C4" w:rsidRDefault="00ED3C64" w:rsidP="00ED3C64">
      <w:pPr>
        <w:pStyle w:val="Paragrafi"/>
        <w:rPr>
          <w:lang w:val="sq-AL"/>
        </w:rPr>
      </w:pPr>
      <w:r w:rsidRPr="00DC42C4">
        <w:rPr>
          <w:lang w:val="sq-AL"/>
        </w:rPr>
        <w:t>A. Përcaktimi i vendndodhjes në shkallë makro</w:t>
      </w:r>
    </w:p>
    <w:p w:rsidR="00ED3C64" w:rsidRPr="00DC42C4" w:rsidRDefault="00ED3C64" w:rsidP="00ED3C64">
      <w:pPr>
        <w:pStyle w:val="Hapesira7"/>
        <w:rPr>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78"/>
        <w:gridCol w:w="3150"/>
        <w:gridCol w:w="1980"/>
        <w:gridCol w:w="3060"/>
      </w:tblGrid>
      <w:tr w:rsidR="00ED3C64" w:rsidRPr="00DC42C4" w:rsidTr="00BC62B1">
        <w:trPr>
          <w:trHeight w:val="566"/>
        </w:trPr>
        <w:tc>
          <w:tcPr>
            <w:tcW w:w="1278" w:type="dxa"/>
          </w:tcPr>
          <w:p w:rsidR="00ED3C64" w:rsidRPr="00CF64B6" w:rsidRDefault="00ED3C64" w:rsidP="00BC62B1">
            <w:pPr>
              <w:pStyle w:val="ListParagraph"/>
              <w:widowControl w:val="0"/>
              <w:spacing w:after="0" w:line="240" w:lineRule="auto"/>
              <w:ind w:left="0"/>
              <w:jc w:val="center"/>
              <w:rPr>
                <w:rFonts w:ascii="Garamond" w:hAnsi="Garamond"/>
                <w:b/>
                <w:sz w:val="20"/>
                <w:szCs w:val="20"/>
                <w:lang w:val="sq-AL"/>
              </w:rPr>
            </w:pPr>
            <w:r w:rsidRPr="00CF64B6">
              <w:rPr>
                <w:rFonts w:ascii="Garamond" w:hAnsi="Garamond"/>
                <w:b/>
                <w:sz w:val="20"/>
                <w:szCs w:val="20"/>
                <w:lang w:val="sq-AL"/>
              </w:rPr>
              <w:t>Lloji i stacionit</w:t>
            </w:r>
          </w:p>
        </w:tc>
        <w:tc>
          <w:tcPr>
            <w:tcW w:w="3150" w:type="dxa"/>
          </w:tcPr>
          <w:p w:rsidR="00ED3C64" w:rsidRPr="00CF64B6" w:rsidRDefault="00ED3C64" w:rsidP="00BC62B1">
            <w:pPr>
              <w:pStyle w:val="ListParagraph"/>
              <w:widowControl w:val="0"/>
              <w:spacing w:after="0" w:line="240" w:lineRule="auto"/>
              <w:ind w:left="0"/>
              <w:jc w:val="center"/>
              <w:rPr>
                <w:rFonts w:ascii="Garamond" w:hAnsi="Garamond"/>
                <w:b/>
                <w:sz w:val="20"/>
                <w:szCs w:val="20"/>
                <w:lang w:val="sq-AL"/>
              </w:rPr>
            </w:pPr>
            <w:r w:rsidRPr="00CF64B6">
              <w:rPr>
                <w:rFonts w:ascii="Garamond" w:hAnsi="Garamond"/>
                <w:b/>
                <w:sz w:val="20"/>
                <w:szCs w:val="20"/>
                <w:lang w:val="sq-AL"/>
              </w:rPr>
              <w:t>Objektivat e matjes</w:t>
            </w:r>
          </w:p>
        </w:tc>
        <w:tc>
          <w:tcPr>
            <w:tcW w:w="1980" w:type="dxa"/>
          </w:tcPr>
          <w:p w:rsidR="00ED3C64" w:rsidRPr="00CF64B6" w:rsidRDefault="00ED3C64" w:rsidP="00BC62B1">
            <w:pPr>
              <w:widowControl w:val="0"/>
              <w:autoSpaceDE w:val="0"/>
              <w:autoSpaceDN w:val="0"/>
              <w:adjustRightInd w:val="0"/>
              <w:spacing w:after="0" w:line="240" w:lineRule="auto"/>
              <w:ind w:firstLine="0"/>
              <w:jc w:val="center"/>
              <w:rPr>
                <w:rFonts w:ascii="Garamond" w:hAnsi="Garamond"/>
                <w:b/>
                <w:sz w:val="20"/>
                <w:szCs w:val="20"/>
                <w:lang w:val="sq-AL"/>
              </w:rPr>
            </w:pPr>
            <w:r w:rsidRPr="00CF64B6">
              <w:rPr>
                <w:rFonts w:ascii="Garamond" w:hAnsi="Garamond"/>
                <w:b/>
                <w:sz w:val="20"/>
                <w:szCs w:val="20"/>
                <w:lang w:val="sq-AL"/>
              </w:rPr>
              <w:t>Përfaqësueshmëria</w:t>
            </w:r>
          </w:p>
          <w:p w:rsidR="00ED3C64" w:rsidRPr="00CF64B6" w:rsidRDefault="00ED3C64" w:rsidP="00BC62B1">
            <w:pPr>
              <w:pStyle w:val="ListParagraph"/>
              <w:widowControl w:val="0"/>
              <w:spacing w:after="0" w:line="240" w:lineRule="auto"/>
              <w:ind w:left="0"/>
              <w:jc w:val="center"/>
              <w:rPr>
                <w:rFonts w:ascii="Garamond" w:hAnsi="Garamond"/>
                <w:b/>
                <w:sz w:val="20"/>
                <w:szCs w:val="20"/>
                <w:lang w:val="sq-AL"/>
              </w:rPr>
            </w:pPr>
            <w:r w:rsidRPr="00CF64B6">
              <w:rPr>
                <w:rFonts w:ascii="Garamond" w:hAnsi="Garamond"/>
                <w:b/>
                <w:sz w:val="20"/>
                <w:szCs w:val="20"/>
                <w:lang w:val="sq-AL"/>
              </w:rPr>
              <w:t>(1)</w:t>
            </w:r>
          </w:p>
        </w:tc>
        <w:tc>
          <w:tcPr>
            <w:tcW w:w="3060" w:type="dxa"/>
          </w:tcPr>
          <w:p w:rsidR="00ED3C64" w:rsidRPr="00CF64B6" w:rsidRDefault="00ED3C64" w:rsidP="00BC62B1">
            <w:pPr>
              <w:pStyle w:val="ListParagraph"/>
              <w:widowControl w:val="0"/>
              <w:spacing w:after="0" w:line="240" w:lineRule="auto"/>
              <w:ind w:left="0"/>
              <w:jc w:val="center"/>
              <w:rPr>
                <w:rFonts w:ascii="Garamond" w:hAnsi="Garamond"/>
                <w:b/>
                <w:sz w:val="20"/>
                <w:szCs w:val="20"/>
                <w:lang w:val="sq-AL"/>
              </w:rPr>
            </w:pPr>
            <w:r w:rsidRPr="00CF64B6">
              <w:rPr>
                <w:rFonts w:ascii="Garamond" w:hAnsi="Garamond"/>
                <w:b/>
                <w:sz w:val="20"/>
                <w:szCs w:val="20"/>
                <w:lang w:val="sq-AL"/>
              </w:rPr>
              <w:t>Kriteret e përcaktimit të vendndodhjes në shkallë makro</w:t>
            </w:r>
          </w:p>
        </w:tc>
      </w:tr>
      <w:tr w:rsidR="00ED3C64" w:rsidRPr="00DC42C4" w:rsidTr="00BC62B1">
        <w:tc>
          <w:tcPr>
            <w:tcW w:w="1278" w:type="dxa"/>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Urban</w:t>
            </w:r>
          </w:p>
        </w:tc>
        <w:tc>
          <w:tcPr>
            <w:tcW w:w="3150" w:type="dxa"/>
          </w:tcPr>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 xml:space="preserve">Mbrojtja e shëndetit publik: </w:t>
            </w:r>
          </w:p>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të vlerësojë ekspozimin e popullsisë urbane ndaj ozonit, që do të thotë kur densiteti i popullsisë dhe përqendrimi i ozonit janë relativisht të larta dhe përfaqësuese të ekspozimit të publikut në përgjithësi</w:t>
            </w:r>
          </w:p>
        </w:tc>
        <w:tc>
          <w:tcPr>
            <w:tcW w:w="1980" w:type="dxa"/>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Disa km</w:t>
            </w:r>
            <w:r w:rsidRPr="00DC42C4">
              <w:rPr>
                <w:rFonts w:ascii="Garamond" w:hAnsi="Garamond"/>
                <w:sz w:val="20"/>
                <w:szCs w:val="20"/>
                <w:vertAlign w:val="superscript"/>
                <w:lang w:val="sq-AL"/>
              </w:rPr>
              <w:t>2</w:t>
            </w:r>
          </w:p>
        </w:tc>
        <w:tc>
          <w:tcPr>
            <w:tcW w:w="3060" w:type="dxa"/>
          </w:tcPr>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Larg influencës së shkarkimeve lokale si trafiku, pikat e furnizimit me karburant, etj.;</w:t>
            </w:r>
          </w:p>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Vendet e ventiluara ku mund të maten nivelet e përziera mirë;</w:t>
            </w:r>
          </w:p>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Vendet si zonat e banimit dhe zonat  tregtare të qyteteve, parqeve (larg nga pemët), rrugët apo sheshet e mëdha me shumë pak ose aspak trafik, zonat e hapura karakteristike për infrastruktura të arsimit, sportit ose shplodhëse</w:t>
            </w:r>
          </w:p>
        </w:tc>
      </w:tr>
      <w:tr w:rsidR="00ED3C64" w:rsidRPr="00DC42C4" w:rsidTr="00BC62B1">
        <w:tc>
          <w:tcPr>
            <w:tcW w:w="1278" w:type="dxa"/>
          </w:tcPr>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Nënurban</w:t>
            </w:r>
          </w:p>
        </w:tc>
        <w:tc>
          <w:tcPr>
            <w:tcW w:w="3150" w:type="dxa"/>
          </w:tcPr>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Mbrojtja e shëndetit publik dhe bimësisë:</w:t>
            </w:r>
          </w:p>
          <w:p w:rsidR="00ED3C64" w:rsidRPr="00F078E2" w:rsidRDefault="00ED3C64" w:rsidP="00BC62B1">
            <w:pPr>
              <w:widowControl w:val="0"/>
              <w:autoSpaceDE w:val="0"/>
              <w:autoSpaceDN w:val="0"/>
              <w:adjustRightInd w:val="0"/>
              <w:spacing w:after="0" w:line="240" w:lineRule="auto"/>
              <w:ind w:firstLine="0"/>
              <w:jc w:val="left"/>
              <w:rPr>
                <w:rFonts w:ascii="Garamond" w:hAnsi="Garamond"/>
                <w:sz w:val="12"/>
                <w:szCs w:val="20"/>
                <w:lang w:val="sq-AL"/>
              </w:rPr>
            </w:pPr>
          </w:p>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të vlerësojë ekspozimin e popullsisë dhe bimësisë që ndodhet në periferi të aglomeratit, ku janë nivelet më të larta të ozonit, ndaj të cilit popullsia dhe bimësia kanë gjasa të jenë të ekspozuar drejtpërsëdrejti ose jo drejtpërsëdrejti</w:t>
            </w:r>
          </w:p>
        </w:tc>
        <w:tc>
          <w:tcPr>
            <w:tcW w:w="1980" w:type="dxa"/>
          </w:tcPr>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Disa dhjetëra km</w:t>
            </w:r>
            <w:r w:rsidRPr="00DC42C4">
              <w:rPr>
                <w:rFonts w:ascii="Garamond" w:hAnsi="Garamond"/>
                <w:sz w:val="20"/>
                <w:szCs w:val="20"/>
                <w:vertAlign w:val="superscript"/>
                <w:lang w:val="sq-AL"/>
              </w:rPr>
              <w:t>2</w:t>
            </w:r>
          </w:p>
        </w:tc>
        <w:tc>
          <w:tcPr>
            <w:tcW w:w="3060" w:type="dxa"/>
          </w:tcPr>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Në një distancë të caktuar nga zona e shkarkimeve maksimale, në drejtim të erës sipas drejtimit/drejtimeve kryesore të erës gjatë kushteve të favorshme për formimin e ozonit;</w:t>
            </w:r>
          </w:p>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kur popullsia,  kulturat bujqësore të ndjeshme apo ekosistemet natyrore që ndodhen në  perimetrin e jashtëm të një aglomerati janë të ekspozuar ndaj niveleve të larta të ozonit;</w:t>
            </w:r>
          </w:p>
          <w:p w:rsidR="00ED3C64" w:rsidRPr="00F078E2" w:rsidRDefault="00ED3C64" w:rsidP="00BC62B1">
            <w:pPr>
              <w:widowControl w:val="0"/>
              <w:autoSpaceDE w:val="0"/>
              <w:autoSpaceDN w:val="0"/>
              <w:adjustRightInd w:val="0"/>
              <w:spacing w:after="0" w:line="240" w:lineRule="auto"/>
              <w:ind w:firstLine="0"/>
              <w:jc w:val="left"/>
              <w:rPr>
                <w:rFonts w:ascii="Garamond" w:hAnsi="Garamond"/>
                <w:sz w:val="6"/>
                <w:szCs w:val="20"/>
                <w:lang w:val="sq-AL"/>
              </w:rPr>
            </w:pPr>
          </w:p>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sipas rastit, disa stacione nënurbane gjithashtu në drejtim të kundërt të erës së shkarkimeve maksimale me qëllim që të përcaktohen nivelet rajonale të ozonit</w:t>
            </w:r>
          </w:p>
        </w:tc>
      </w:tr>
      <w:tr w:rsidR="00ED3C64" w:rsidRPr="00DC42C4" w:rsidTr="00BC62B1">
        <w:tc>
          <w:tcPr>
            <w:tcW w:w="1278" w:type="dxa"/>
          </w:tcPr>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Rural</w:t>
            </w:r>
          </w:p>
        </w:tc>
        <w:tc>
          <w:tcPr>
            <w:tcW w:w="3150" w:type="dxa"/>
          </w:tcPr>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Mbrojtja e shëndetit publik dhe bimësisë:</w:t>
            </w:r>
          </w:p>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p>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të vlerësojë ekspozimin e popullsisë, të kulturave bujqësore dhe ekosistemeve natyrore ndaj përqendrimeve të ozonit në shkallë nën rajonale</w:t>
            </w:r>
          </w:p>
        </w:tc>
        <w:tc>
          <w:tcPr>
            <w:tcW w:w="1980" w:type="dxa"/>
          </w:tcPr>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Nivelet nën-rajonale</w:t>
            </w:r>
          </w:p>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(disa qindra km</w:t>
            </w:r>
            <w:r w:rsidRPr="00DC42C4">
              <w:rPr>
                <w:rFonts w:ascii="Garamond" w:hAnsi="Garamond"/>
                <w:sz w:val="20"/>
                <w:szCs w:val="20"/>
                <w:vertAlign w:val="superscript"/>
                <w:lang w:val="sq-AL"/>
              </w:rPr>
              <w:t>2</w:t>
            </w:r>
            <w:r w:rsidRPr="00DC42C4">
              <w:rPr>
                <w:rFonts w:ascii="Garamond" w:hAnsi="Garamond"/>
                <w:sz w:val="20"/>
                <w:szCs w:val="20"/>
                <w:lang w:val="sq-AL"/>
              </w:rPr>
              <w:t>)</w:t>
            </w:r>
          </w:p>
        </w:tc>
        <w:tc>
          <w:tcPr>
            <w:tcW w:w="3060" w:type="dxa"/>
          </w:tcPr>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Stacionet mund të vendosen në qendra të vogla banimi dhe /ose zona me ekosisteme natyrore,  me pyje ose me kultura bujqësore;</w:t>
            </w:r>
          </w:p>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p>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në vende përfaqësues për ozonin, larg nga ndikimi i shkarkimeve lokale të menjëhershme siç janë instalimet industriale dhe rrugët;</w:t>
            </w:r>
          </w:p>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p>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në vende të hapura, por jo në  majat e maleve më të larta</w:t>
            </w:r>
          </w:p>
        </w:tc>
      </w:tr>
      <w:tr w:rsidR="00ED3C64" w:rsidRPr="00DC42C4" w:rsidTr="00BC62B1">
        <w:tc>
          <w:tcPr>
            <w:tcW w:w="1278" w:type="dxa"/>
          </w:tcPr>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Sfond  rural</w:t>
            </w:r>
          </w:p>
        </w:tc>
        <w:tc>
          <w:tcPr>
            <w:tcW w:w="3150" w:type="dxa"/>
          </w:tcPr>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Mbrojtja e bimësisë dhe shëndetit publik:</w:t>
            </w:r>
          </w:p>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p>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të vlerësojë ekspozimin e kulturave bujqësore dhe ekosistemeve natyrore ndaj përqendrimeve të ozonit në shkallë rajonale si edhe ekspozimin e popullsisë</w:t>
            </w:r>
          </w:p>
        </w:tc>
        <w:tc>
          <w:tcPr>
            <w:tcW w:w="1980" w:type="dxa"/>
          </w:tcPr>
          <w:p w:rsidR="00ED3C64" w:rsidRPr="00DC42C4" w:rsidRDefault="00ED3C64" w:rsidP="00BC62B1">
            <w:pPr>
              <w:widowControl w:val="0"/>
              <w:autoSpaceDE w:val="0"/>
              <w:autoSpaceDN w:val="0"/>
              <w:adjustRightInd w:val="0"/>
              <w:spacing w:after="0" w:line="240" w:lineRule="auto"/>
              <w:ind w:firstLine="0"/>
              <w:jc w:val="left"/>
              <w:outlineLvl w:val="1"/>
              <w:rPr>
                <w:rFonts w:ascii="Garamond" w:hAnsi="Garamond"/>
                <w:sz w:val="20"/>
                <w:szCs w:val="20"/>
                <w:lang w:val="sq-AL"/>
              </w:rPr>
            </w:pPr>
            <w:r w:rsidRPr="00DC42C4">
              <w:rPr>
                <w:rFonts w:ascii="Garamond" w:hAnsi="Garamond"/>
                <w:sz w:val="20"/>
                <w:szCs w:val="20"/>
                <w:lang w:val="sq-AL"/>
              </w:rPr>
              <w:t xml:space="preserve">Nivel Rajonal/ kombëtar/ kontinenti </w:t>
            </w:r>
          </w:p>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p>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(1 000 deri në 10 000 km</w:t>
            </w:r>
            <w:r w:rsidRPr="00DC42C4">
              <w:rPr>
                <w:rFonts w:ascii="Garamond" w:hAnsi="Garamond"/>
                <w:sz w:val="20"/>
                <w:szCs w:val="20"/>
                <w:vertAlign w:val="superscript"/>
                <w:lang w:val="sq-AL"/>
              </w:rPr>
              <w:t>2</w:t>
            </w:r>
            <w:r w:rsidRPr="00DC42C4">
              <w:rPr>
                <w:rFonts w:ascii="Garamond" w:hAnsi="Garamond"/>
                <w:sz w:val="20"/>
                <w:szCs w:val="20"/>
                <w:lang w:val="sq-AL"/>
              </w:rPr>
              <w:t>)</w:t>
            </w:r>
          </w:p>
        </w:tc>
        <w:tc>
          <w:tcPr>
            <w:tcW w:w="3060" w:type="dxa"/>
          </w:tcPr>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Stacioni vendoset në zona me densitet më të ulët popullsie, p.sh. me ekosisteme natyrore, pyje, në një distancë prej të paktën 20 km nga zonat urbane dhe industriale dhe larg nga shkarkimet lokale;</w:t>
            </w:r>
          </w:p>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p>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të shmangen vendndodhjet që janë objekt i formimit të shtuar lokalisht të kushteve të kundërta pranë tokës, gjithashtu majat e maleve më të larta;</w:t>
            </w:r>
          </w:p>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p>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 xml:space="preserve">nuk rekomandohen zonat bregdetare me cikle erërash të </w:t>
            </w:r>
            <w:r w:rsidRPr="00DC42C4">
              <w:rPr>
                <w:rFonts w:ascii="Garamond" w:hAnsi="Garamond"/>
                <w:sz w:val="20"/>
                <w:szCs w:val="20"/>
                <w:lang w:val="sq-AL"/>
              </w:rPr>
              <w:lastRenderedPageBreak/>
              <w:t>përditshme të shpallura me karakter lokal.</w:t>
            </w:r>
          </w:p>
        </w:tc>
      </w:tr>
      <w:tr w:rsidR="00ED3C64" w:rsidRPr="00DC42C4" w:rsidTr="00BC62B1">
        <w:tc>
          <w:tcPr>
            <w:tcW w:w="9468" w:type="dxa"/>
            <w:gridSpan w:val="4"/>
          </w:tcPr>
          <w:p w:rsidR="00ED3C64" w:rsidRPr="00DC42C4" w:rsidRDefault="00ED3C64" w:rsidP="00BC62B1">
            <w:pPr>
              <w:widowControl w:val="0"/>
              <w:autoSpaceDE w:val="0"/>
              <w:autoSpaceDN w:val="0"/>
              <w:adjustRightInd w:val="0"/>
              <w:spacing w:after="0" w:line="240" w:lineRule="auto"/>
              <w:ind w:firstLine="0"/>
              <w:rPr>
                <w:rFonts w:ascii="Garamond" w:hAnsi="Garamond"/>
                <w:sz w:val="20"/>
                <w:szCs w:val="20"/>
                <w:lang w:val="sq-AL"/>
              </w:rPr>
            </w:pPr>
            <w:r w:rsidRPr="00DC42C4">
              <w:rPr>
                <w:rFonts w:ascii="Garamond" w:hAnsi="Garamond"/>
                <w:sz w:val="20"/>
                <w:szCs w:val="20"/>
                <w:lang w:val="sq-AL"/>
              </w:rPr>
              <w:lastRenderedPageBreak/>
              <w:t>(1) Kur është e mundur, pikat e marrjes së mostrave duhet të jenë përfaqësuese të territoreve të ngjashme që nuk ndodhen në afërsinë e tyre të drejtpërdrejtë.</w:t>
            </w:r>
          </w:p>
        </w:tc>
      </w:tr>
    </w:tbl>
    <w:p w:rsidR="00ED3C64" w:rsidRPr="00F078E2" w:rsidRDefault="00ED3C64" w:rsidP="00ED3C64">
      <w:pPr>
        <w:pStyle w:val="Paragrafi"/>
        <w:rPr>
          <w:sz w:val="14"/>
          <w:lang w:val="sq-AL"/>
        </w:rPr>
      </w:pPr>
    </w:p>
    <w:p w:rsidR="00ED3C64" w:rsidRPr="00F078E2" w:rsidRDefault="00ED3C64" w:rsidP="00ED3C64">
      <w:pPr>
        <w:pStyle w:val="Paragrafi"/>
        <w:rPr>
          <w:sz w:val="18"/>
          <w:lang w:val="sq-AL"/>
        </w:rPr>
        <w:sectPr w:rsidR="00ED3C64" w:rsidRPr="00F078E2" w:rsidSect="001E746C">
          <w:type w:val="continuous"/>
          <w:pgSz w:w="11907" w:h="16840" w:code="9"/>
          <w:pgMar w:top="720" w:right="1134" w:bottom="720" w:left="1134" w:header="851" w:footer="851" w:gutter="0"/>
          <w:cols w:space="720"/>
          <w:docGrid w:linePitch="360"/>
        </w:sectPr>
      </w:pPr>
    </w:p>
    <w:p w:rsidR="00ED3C64" w:rsidRPr="00456F89" w:rsidRDefault="00ED3C64" w:rsidP="00ED3C64">
      <w:pPr>
        <w:pStyle w:val="Paragrafi"/>
        <w:rPr>
          <w:spacing w:val="-4"/>
          <w:lang w:val="sq-AL"/>
        </w:rPr>
      </w:pPr>
      <w:r w:rsidRPr="00456F89">
        <w:rPr>
          <w:spacing w:val="-4"/>
          <w:lang w:val="sq-AL"/>
        </w:rPr>
        <w:lastRenderedPageBreak/>
        <w:t>Vendndodhja e stacioneve rurale dhe atyre në sfond rural, sipas rastit, do të koordinohet me kërkesat për monitorimin e pyjeve dhe ndërveprimet mjedisore.</w:t>
      </w:r>
    </w:p>
    <w:p w:rsidR="00ED3C64" w:rsidRPr="00456F89" w:rsidRDefault="00ED3C64" w:rsidP="00ED3C64">
      <w:pPr>
        <w:pStyle w:val="Paragrafi"/>
        <w:rPr>
          <w:spacing w:val="-4"/>
          <w:lang w:val="sq-AL"/>
        </w:rPr>
      </w:pPr>
      <w:r w:rsidRPr="00456F89">
        <w:rPr>
          <w:spacing w:val="-4"/>
          <w:lang w:val="sq-AL"/>
        </w:rPr>
        <w:t>B. Përcaktimi i vendndodhjes në shkallë mikro</w:t>
      </w:r>
    </w:p>
    <w:p w:rsidR="00ED3C64" w:rsidRPr="00456F89" w:rsidRDefault="00ED3C64" w:rsidP="00ED3C64">
      <w:pPr>
        <w:pStyle w:val="Paragrafi"/>
        <w:rPr>
          <w:spacing w:val="-4"/>
          <w:lang w:val="sq-AL"/>
        </w:rPr>
      </w:pPr>
      <w:r w:rsidRPr="00456F89">
        <w:rPr>
          <w:spacing w:val="-4"/>
          <w:lang w:val="sq-AL"/>
        </w:rPr>
        <w:t>Kur është praktikisht e mundshme ndiqet procedura për përcaktimin e territorit në shkallë mikro sipas seksionit C të aneksit III të këtij vendimi, duke siguruar që sonda hyrëse pozicionohet tepër larg nga burime të tilla si furrnalta dhe oxhakë incineratorësh dhe mbi 10m larg nga rruga më e afërt, me distancë që rritet në funksion të intensitetit të trafikut.</w:t>
      </w:r>
    </w:p>
    <w:p w:rsidR="00ED3C64" w:rsidRDefault="00ED3C64" w:rsidP="00ED3C64">
      <w:pPr>
        <w:pStyle w:val="Paragrafi"/>
        <w:rPr>
          <w:spacing w:val="-4"/>
          <w:lang w:val="sq-AL"/>
        </w:rPr>
      </w:pPr>
      <w:r w:rsidRPr="00456F89">
        <w:rPr>
          <w:spacing w:val="-4"/>
          <w:lang w:val="sq-AL"/>
        </w:rPr>
        <w:t>C. Dokumentacioni dhe rishikimi i vendndodhjes së përzgjedhur</w:t>
      </w:r>
    </w:p>
    <w:p w:rsidR="00ED3C64" w:rsidRPr="00205512" w:rsidRDefault="00ED3C64" w:rsidP="00ED3C64">
      <w:pPr>
        <w:pStyle w:val="Paragrafi"/>
        <w:rPr>
          <w:spacing w:val="-4"/>
          <w:lang w:val="sq-AL"/>
        </w:rPr>
      </w:pPr>
      <w:r w:rsidRPr="00205512">
        <w:rPr>
          <w:spacing w:val="-4"/>
          <w:lang w:val="sq-AL"/>
        </w:rPr>
        <w:t>Për këtë qëllim zbatohen procedurat që jepen në seksionin D të aneksit III, duke kryer ekzaminimin dhe interpretimin e duhur të të dhënave monitoruese në kontekstin e proceseve meteorologjike dhe fotokimike që ndikojnë përqendrimet e ozonit të matura në territoret përkatëse.</w:t>
      </w:r>
    </w:p>
    <w:p w:rsidR="00ED3C64" w:rsidRPr="00205512" w:rsidRDefault="00ED3C64" w:rsidP="00ED3C64">
      <w:pPr>
        <w:pStyle w:val="Paragrafi"/>
        <w:jc w:val="center"/>
        <w:rPr>
          <w:spacing w:val="-4"/>
          <w:lang w:val="sq-AL"/>
        </w:rPr>
      </w:pPr>
      <w:r w:rsidRPr="00205512">
        <w:rPr>
          <w:spacing w:val="-4"/>
          <w:lang w:val="sq-AL"/>
        </w:rPr>
        <w:t>ANEKSI IX</w:t>
      </w:r>
    </w:p>
    <w:p w:rsidR="00ED3C64" w:rsidRPr="00205512" w:rsidRDefault="00ED3C64" w:rsidP="00ED3C64">
      <w:pPr>
        <w:pStyle w:val="Paragrafi"/>
        <w:jc w:val="center"/>
        <w:rPr>
          <w:spacing w:val="-4"/>
          <w:lang w:val="sq-AL"/>
        </w:rPr>
      </w:pPr>
      <w:r w:rsidRPr="00205512">
        <w:rPr>
          <w:spacing w:val="-4"/>
          <w:lang w:val="sq-AL"/>
        </w:rPr>
        <w:t>Kriteret për përcaktimin e numrit minimal të pikave të marrjes së mostrave për matjet fikse të përqendrimeve të ozonit</w:t>
      </w:r>
    </w:p>
    <w:p w:rsidR="00ED3C64" w:rsidRPr="00205512" w:rsidRDefault="00ED3C64" w:rsidP="00ED3C64">
      <w:pPr>
        <w:pStyle w:val="Paragrafi"/>
        <w:jc w:val="center"/>
        <w:rPr>
          <w:spacing w:val="-4"/>
          <w:lang w:val="sq-AL"/>
        </w:rPr>
      </w:pPr>
      <w:r w:rsidRPr="00205512">
        <w:rPr>
          <w:spacing w:val="-4"/>
          <w:lang w:val="sq-AL"/>
        </w:rPr>
        <w:t>(Referuar në pikat 8.2, 8.3, 8.5, 8.7 të këtij vendimi)</w:t>
      </w:r>
    </w:p>
    <w:p w:rsidR="00ED3C64" w:rsidRPr="00205512" w:rsidRDefault="00ED3C64" w:rsidP="00ED3C64">
      <w:pPr>
        <w:pStyle w:val="Hapesira7"/>
        <w:rPr>
          <w:spacing w:val="-4"/>
          <w:lang w:val="sq-AL"/>
        </w:rPr>
      </w:pPr>
    </w:p>
    <w:p w:rsidR="00ED3C64" w:rsidRDefault="00ED3C64" w:rsidP="00ED3C64">
      <w:pPr>
        <w:pStyle w:val="Paragrafi"/>
        <w:rPr>
          <w:spacing w:val="-4"/>
          <w:lang w:val="sq-AL"/>
        </w:rPr>
      </w:pPr>
      <w:r w:rsidRPr="00205512">
        <w:rPr>
          <w:spacing w:val="-4"/>
          <w:lang w:val="sq-AL"/>
        </w:rPr>
        <w:t>Seksioni A. Numri minimal i pikave për marrjen e mostrave për matjet fikse të vazhdueshme për të vlerësuar përputhshmërinë me vlerat e synuara, objektivat afatgjatë, pragjet e informimit dhe pragjet e alarmit kur matje të tilla janë burimi i vetëm i informacionit</w:t>
      </w:r>
    </w:p>
    <w:p w:rsidR="00ED3C64" w:rsidRPr="00456F89" w:rsidRDefault="00ED3C64" w:rsidP="00ED3C64">
      <w:pPr>
        <w:pStyle w:val="Paragrafi"/>
        <w:rPr>
          <w:spacing w:val="-4"/>
          <w:lang w:val="sq-AL"/>
        </w:rPr>
      </w:pPr>
    </w:p>
    <w:p w:rsidR="00ED3C64" w:rsidRDefault="00ED3C64" w:rsidP="00ED3C64">
      <w:pPr>
        <w:pStyle w:val="Paragrafi"/>
        <w:rPr>
          <w:lang w:val="sq-AL"/>
        </w:rPr>
        <w:sectPr w:rsidR="00ED3C64" w:rsidSect="001E746C">
          <w:type w:val="continuous"/>
          <w:pgSz w:w="11907" w:h="16840" w:code="9"/>
          <w:pgMar w:top="720" w:right="1134" w:bottom="720" w:left="1134" w:header="851" w:footer="851" w:gutter="0"/>
          <w:cols w:space="454"/>
          <w:docGrid w:linePitch="360"/>
        </w:sectPr>
      </w:pPr>
    </w:p>
    <w:p w:rsidR="00ED3C64" w:rsidRDefault="00ED3C64" w:rsidP="00ED3C64">
      <w:pPr>
        <w:pStyle w:val="Paragrafi"/>
        <w:rPr>
          <w:lang w:val="sq-AL"/>
        </w:rPr>
      </w:pPr>
    </w:p>
    <w:p w:rsidR="00ED3C64" w:rsidRDefault="00ED3C64" w:rsidP="00ED3C64">
      <w:pPr>
        <w:pStyle w:val="Paragrafi"/>
        <w:rPr>
          <w:lang w:val="sq-AL"/>
        </w:rPr>
      </w:pPr>
    </w:p>
    <w:p w:rsidR="00ED3C64" w:rsidRDefault="00ED3C64" w:rsidP="00ED3C64">
      <w:pPr>
        <w:pStyle w:val="Paragrafi"/>
        <w:rPr>
          <w:lang w:val="sq-AL"/>
        </w:rPr>
      </w:pPr>
    </w:p>
    <w:p w:rsidR="00ED3C64" w:rsidRDefault="00ED3C64" w:rsidP="00ED3C64">
      <w:pPr>
        <w:pStyle w:val="Paragrafi"/>
        <w:rPr>
          <w:lang w:val="sq-AL"/>
        </w:rPr>
      </w:pPr>
    </w:p>
    <w:p w:rsidR="00ED3C64" w:rsidRPr="00DC42C4" w:rsidRDefault="00ED3C64" w:rsidP="00ED3C64">
      <w:pPr>
        <w:pStyle w:val="Paragrafi"/>
        <w:rPr>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05"/>
        <w:gridCol w:w="3031"/>
        <w:gridCol w:w="2937"/>
        <w:gridCol w:w="2182"/>
      </w:tblGrid>
      <w:tr w:rsidR="00ED3C64" w:rsidRPr="00CF64B6" w:rsidTr="00BC62B1">
        <w:trPr>
          <w:jc w:val="center"/>
        </w:trPr>
        <w:tc>
          <w:tcPr>
            <w:tcW w:w="865" w:type="pct"/>
          </w:tcPr>
          <w:p w:rsidR="00ED3C64" w:rsidRPr="00CF64B6" w:rsidRDefault="00ED3C64" w:rsidP="00BC62B1">
            <w:pPr>
              <w:pStyle w:val="ListParagraph"/>
              <w:widowControl w:val="0"/>
              <w:spacing w:after="0" w:line="240" w:lineRule="auto"/>
              <w:ind w:left="0"/>
              <w:jc w:val="center"/>
              <w:rPr>
                <w:rFonts w:ascii="Garamond" w:hAnsi="Garamond"/>
                <w:b/>
                <w:sz w:val="20"/>
                <w:szCs w:val="20"/>
                <w:lang w:val="sq-AL"/>
              </w:rPr>
            </w:pPr>
            <w:r w:rsidRPr="00CF64B6">
              <w:rPr>
                <w:rFonts w:ascii="Garamond" w:hAnsi="Garamond"/>
                <w:b/>
                <w:sz w:val="20"/>
                <w:szCs w:val="20"/>
                <w:lang w:val="sq-AL"/>
              </w:rPr>
              <w:t>Popullsia  (× 1 000)</w:t>
            </w:r>
          </w:p>
        </w:tc>
        <w:tc>
          <w:tcPr>
            <w:tcW w:w="1538" w:type="pct"/>
          </w:tcPr>
          <w:p w:rsidR="00ED3C64" w:rsidRPr="00CF64B6" w:rsidRDefault="00ED3C64" w:rsidP="00BC62B1">
            <w:pPr>
              <w:widowControl w:val="0"/>
              <w:autoSpaceDE w:val="0"/>
              <w:autoSpaceDN w:val="0"/>
              <w:adjustRightInd w:val="0"/>
              <w:spacing w:after="0" w:line="240" w:lineRule="auto"/>
              <w:ind w:firstLine="0"/>
              <w:jc w:val="center"/>
              <w:rPr>
                <w:rFonts w:ascii="Garamond" w:hAnsi="Garamond"/>
                <w:b/>
                <w:sz w:val="20"/>
                <w:szCs w:val="20"/>
                <w:lang w:val="sq-AL"/>
              </w:rPr>
            </w:pPr>
            <w:r w:rsidRPr="00CF64B6">
              <w:rPr>
                <w:rFonts w:ascii="Garamond" w:hAnsi="Garamond"/>
                <w:b/>
                <w:sz w:val="20"/>
                <w:szCs w:val="20"/>
                <w:lang w:val="sq-AL"/>
              </w:rPr>
              <w:t>Aglomeratet (urbanë dhe nënurbanë) (1)</w:t>
            </w:r>
          </w:p>
        </w:tc>
        <w:tc>
          <w:tcPr>
            <w:tcW w:w="1490" w:type="pct"/>
          </w:tcPr>
          <w:p w:rsidR="00ED3C64" w:rsidRPr="00CF64B6" w:rsidRDefault="00ED3C64" w:rsidP="00BC62B1">
            <w:pPr>
              <w:widowControl w:val="0"/>
              <w:autoSpaceDE w:val="0"/>
              <w:autoSpaceDN w:val="0"/>
              <w:adjustRightInd w:val="0"/>
              <w:spacing w:after="0" w:line="240" w:lineRule="auto"/>
              <w:ind w:firstLine="0"/>
              <w:jc w:val="center"/>
              <w:rPr>
                <w:rFonts w:ascii="Garamond" w:hAnsi="Garamond"/>
                <w:b/>
                <w:sz w:val="20"/>
                <w:szCs w:val="20"/>
                <w:lang w:val="sq-AL"/>
              </w:rPr>
            </w:pPr>
            <w:r w:rsidRPr="00CF64B6">
              <w:rPr>
                <w:rFonts w:ascii="Garamond" w:hAnsi="Garamond"/>
                <w:b/>
                <w:sz w:val="20"/>
                <w:szCs w:val="20"/>
                <w:lang w:val="sq-AL"/>
              </w:rPr>
              <w:t>Zona të tjera (nënurbane dhe rurale) (1)</w:t>
            </w:r>
          </w:p>
        </w:tc>
        <w:tc>
          <w:tcPr>
            <w:tcW w:w="1106" w:type="pct"/>
          </w:tcPr>
          <w:p w:rsidR="00ED3C64" w:rsidRPr="00CF64B6" w:rsidRDefault="00ED3C64" w:rsidP="00BC62B1">
            <w:pPr>
              <w:pStyle w:val="ListParagraph"/>
              <w:widowControl w:val="0"/>
              <w:spacing w:after="0" w:line="240" w:lineRule="auto"/>
              <w:ind w:left="0"/>
              <w:jc w:val="center"/>
              <w:rPr>
                <w:rFonts w:ascii="Garamond" w:hAnsi="Garamond"/>
                <w:b/>
                <w:sz w:val="20"/>
                <w:szCs w:val="20"/>
                <w:lang w:val="sq-AL"/>
              </w:rPr>
            </w:pPr>
            <w:r w:rsidRPr="00CF64B6">
              <w:rPr>
                <w:rFonts w:ascii="Garamond" w:hAnsi="Garamond"/>
                <w:b/>
                <w:sz w:val="20"/>
                <w:szCs w:val="20"/>
                <w:lang w:val="sq-AL"/>
              </w:rPr>
              <w:t>Mjedisi rural</w:t>
            </w:r>
          </w:p>
        </w:tc>
      </w:tr>
      <w:tr w:rsidR="00ED3C64" w:rsidRPr="00DC42C4" w:rsidTr="00BC62B1">
        <w:trPr>
          <w:jc w:val="center"/>
        </w:trPr>
        <w:tc>
          <w:tcPr>
            <w:tcW w:w="865" w:type="pct"/>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&lt; 250</w:t>
            </w:r>
          </w:p>
        </w:tc>
        <w:tc>
          <w:tcPr>
            <w:tcW w:w="1538" w:type="pct"/>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p>
        </w:tc>
        <w:tc>
          <w:tcPr>
            <w:tcW w:w="1490" w:type="pct"/>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1</w:t>
            </w:r>
          </w:p>
        </w:tc>
        <w:tc>
          <w:tcPr>
            <w:tcW w:w="1106" w:type="pct"/>
            <w:vMerge w:val="restart"/>
          </w:tcPr>
          <w:p w:rsidR="00ED3C64" w:rsidRPr="00DC42C4" w:rsidRDefault="00ED3C64" w:rsidP="00BC62B1">
            <w:pPr>
              <w:widowControl w:val="0"/>
              <w:autoSpaceDE w:val="0"/>
              <w:autoSpaceDN w:val="0"/>
              <w:adjustRightInd w:val="0"/>
              <w:spacing w:after="0" w:line="240" w:lineRule="auto"/>
              <w:ind w:firstLine="0"/>
              <w:jc w:val="left"/>
              <w:rPr>
                <w:rFonts w:ascii="Garamond" w:hAnsi="Garamond"/>
                <w:sz w:val="20"/>
                <w:szCs w:val="20"/>
                <w:lang w:val="sq-AL"/>
              </w:rPr>
            </w:pPr>
            <w:r w:rsidRPr="00DC42C4">
              <w:rPr>
                <w:rFonts w:ascii="Garamond" w:hAnsi="Garamond"/>
                <w:sz w:val="20"/>
                <w:szCs w:val="20"/>
                <w:lang w:val="sq-AL"/>
              </w:rPr>
              <w:t>1stacion/gjithë territorin e RSH si një densitet mesatar për të gjitha zonat në vend (2)</w:t>
            </w:r>
          </w:p>
        </w:tc>
      </w:tr>
      <w:tr w:rsidR="00ED3C64" w:rsidRPr="00DC42C4" w:rsidTr="00BC62B1">
        <w:trPr>
          <w:jc w:val="center"/>
        </w:trPr>
        <w:tc>
          <w:tcPr>
            <w:tcW w:w="865" w:type="pct"/>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&lt; 500</w:t>
            </w:r>
          </w:p>
        </w:tc>
        <w:tc>
          <w:tcPr>
            <w:tcW w:w="1538" w:type="pct"/>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1</w:t>
            </w:r>
          </w:p>
        </w:tc>
        <w:tc>
          <w:tcPr>
            <w:tcW w:w="1490" w:type="pct"/>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2</w:t>
            </w:r>
          </w:p>
        </w:tc>
        <w:tc>
          <w:tcPr>
            <w:tcW w:w="1106" w:type="pct"/>
            <w:vMerge/>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p>
        </w:tc>
      </w:tr>
      <w:tr w:rsidR="00ED3C64" w:rsidRPr="00DC42C4" w:rsidTr="00BC62B1">
        <w:trPr>
          <w:jc w:val="center"/>
        </w:trPr>
        <w:tc>
          <w:tcPr>
            <w:tcW w:w="865" w:type="pct"/>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&lt; 1 000</w:t>
            </w:r>
          </w:p>
        </w:tc>
        <w:tc>
          <w:tcPr>
            <w:tcW w:w="1538" w:type="pct"/>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2</w:t>
            </w:r>
          </w:p>
        </w:tc>
        <w:tc>
          <w:tcPr>
            <w:tcW w:w="1490" w:type="pct"/>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2</w:t>
            </w:r>
          </w:p>
        </w:tc>
        <w:tc>
          <w:tcPr>
            <w:tcW w:w="1106" w:type="pct"/>
            <w:vMerge/>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p>
        </w:tc>
      </w:tr>
      <w:tr w:rsidR="00ED3C64" w:rsidRPr="00DC42C4" w:rsidTr="00BC62B1">
        <w:trPr>
          <w:jc w:val="center"/>
        </w:trPr>
        <w:tc>
          <w:tcPr>
            <w:tcW w:w="865" w:type="pct"/>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&lt; 1 500</w:t>
            </w:r>
          </w:p>
        </w:tc>
        <w:tc>
          <w:tcPr>
            <w:tcW w:w="1538" w:type="pct"/>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3</w:t>
            </w:r>
          </w:p>
        </w:tc>
        <w:tc>
          <w:tcPr>
            <w:tcW w:w="1490" w:type="pct"/>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3</w:t>
            </w:r>
          </w:p>
        </w:tc>
        <w:tc>
          <w:tcPr>
            <w:tcW w:w="1106" w:type="pct"/>
            <w:vMerge/>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p>
        </w:tc>
      </w:tr>
      <w:tr w:rsidR="00ED3C64" w:rsidRPr="00DC42C4" w:rsidTr="00BC62B1">
        <w:trPr>
          <w:jc w:val="center"/>
        </w:trPr>
        <w:tc>
          <w:tcPr>
            <w:tcW w:w="865" w:type="pct"/>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&lt; 2 000</w:t>
            </w:r>
          </w:p>
        </w:tc>
        <w:tc>
          <w:tcPr>
            <w:tcW w:w="1538" w:type="pct"/>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3</w:t>
            </w:r>
          </w:p>
        </w:tc>
        <w:tc>
          <w:tcPr>
            <w:tcW w:w="1490" w:type="pct"/>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4</w:t>
            </w:r>
          </w:p>
        </w:tc>
        <w:tc>
          <w:tcPr>
            <w:tcW w:w="1106" w:type="pct"/>
            <w:vMerge/>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p>
        </w:tc>
      </w:tr>
      <w:tr w:rsidR="00ED3C64" w:rsidRPr="00DC42C4" w:rsidTr="00BC62B1">
        <w:trPr>
          <w:jc w:val="center"/>
        </w:trPr>
        <w:tc>
          <w:tcPr>
            <w:tcW w:w="865" w:type="pct"/>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&lt; 2 750</w:t>
            </w:r>
          </w:p>
        </w:tc>
        <w:tc>
          <w:tcPr>
            <w:tcW w:w="1538" w:type="pct"/>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4</w:t>
            </w:r>
          </w:p>
        </w:tc>
        <w:tc>
          <w:tcPr>
            <w:tcW w:w="1490" w:type="pct"/>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5</w:t>
            </w:r>
          </w:p>
        </w:tc>
        <w:tc>
          <w:tcPr>
            <w:tcW w:w="1106" w:type="pct"/>
            <w:vMerge/>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p>
        </w:tc>
      </w:tr>
      <w:tr w:rsidR="00ED3C64" w:rsidRPr="00DC42C4" w:rsidTr="00BC62B1">
        <w:trPr>
          <w:jc w:val="center"/>
        </w:trPr>
        <w:tc>
          <w:tcPr>
            <w:tcW w:w="865" w:type="pct"/>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&lt; 3 750</w:t>
            </w:r>
          </w:p>
        </w:tc>
        <w:tc>
          <w:tcPr>
            <w:tcW w:w="1538" w:type="pct"/>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5</w:t>
            </w:r>
          </w:p>
        </w:tc>
        <w:tc>
          <w:tcPr>
            <w:tcW w:w="1490" w:type="pct"/>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6</w:t>
            </w:r>
          </w:p>
        </w:tc>
        <w:tc>
          <w:tcPr>
            <w:tcW w:w="1106" w:type="pct"/>
            <w:vMerge/>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p>
        </w:tc>
      </w:tr>
      <w:tr w:rsidR="00ED3C64" w:rsidRPr="00DC42C4" w:rsidTr="00BC62B1">
        <w:trPr>
          <w:jc w:val="center"/>
        </w:trPr>
        <w:tc>
          <w:tcPr>
            <w:tcW w:w="865" w:type="pct"/>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&gt; 3 750</w:t>
            </w:r>
          </w:p>
        </w:tc>
        <w:tc>
          <w:tcPr>
            <w:tcW w:w="1538" w:type="pct"/>
          </w:tcPr>
          <w:p w:rsidR="00ED3C64" w:rsidRPr="00DC42C4" w:rsidRDefault="00ED3C64" w:rsidP="00BC62B1">
            <w:pPr>
              <w:widowControl w:val="0"/>
              <w:autoSpaceDE w:val="0"/>
              <w:autoSpaceDN w:val="0"/>
              <w:adjustRightInd w:val="0"/>
              <w:spacing w:after="0" w:line="240" w:lineRule="auto"/>
              <w:ind w:firstLine="0"/>
              <w:rPr>
                <w:rFonts w:ascii="Garamond" w:hAnsi="Garamond"/>
                <w:sz w:val="20"/>
                <w:szCs w:val="20"/>
                <w:lang w:val="sq-AL"/>
              </w:rPr>
            </w:pPr>
            <w:r w:rsidRPr="00DC42C4">
              <w:rPr>
                <w:rFonts w:ascii="Garamond" w:hAnsi="Garamond"/>
                <w:sz w:val="20"/>
                <w:szCs w:val="20"/>
                <w:lang w:val="sq-AL"/>
              </w:rPr>
              <w:t>Një stacion shtese për 2 milion banorë</w:t>
            </w:r>
          </w:p>
        </w:tc>
        <w:tc>
          <w:tcPr>
            <w:tcW w:w="1490" w:type="pct"/>
          </w:tcPr>
          <w:p w:rsidR="00ED3C64" w:rsidRPr="00DC42C4" w:rsidRDefault="00ED3C64" w:rsidP="00BC62B1">
            <w:pPr>
              <w:widowControl w:val="0"/>
              <w:autoSpaceDE w:val="0"/>
              <w:autoSpaceDN w:val="0"/>
              <w:adjustRightInd w:val="0"/>
              <w:spacing w:after="0" w:line="240" w:lineRule="auto"/>
              <w:ind w:firstLine="0"/>
              <w:rPr>
                <w:rFonts w:ascii="Garamond" w:hAnsi="Garamond"/>
                <w:sz w:val="20"/>
                <w:szCs w:val="20"/>
                <w:lang w:val="sq-AL"/>
              </w:rPr>
            </w:pPr>
            <w:r w:rsidRPr="00DC42C4">
              <w:rPr>
                <w:rFonts w:ascii="Garamond" w:hAnsi="Garamond"/>
                <w:sz w:val="20"/>
                <w:szCs w:val="20"/>
                <w:lang w:val="sq-AL"/>
              </w:rPr>
              <w:t>Një stacion shtese për 2 milion</w:t>
            </w:r>
            <w:r>
              <w:rPr>
                <w:rFonts w:ascii="Garamond" w:hAnsi="Garamond"/>
                <w:sz w:val="20"/>
                <w:szCs w:val="20"/>
                <w:lang w:val="sq-AL"/>
              </w:rPr>
              <w:t>ë</w:t>
            </w:r>
            <w:r w:rsidRPr="00DC42C4">
              <w:rPr>
                <w:rFonts w:ascii="Garamond" w:hAnsi="Garamond"/>
                <w:sz w:val="20"/>
                <w:szCs w:val="20"/>
                <w:lang w:val="sq-AL"/>
              </w:rPr>
              <w:t xml:space="preserve"> banorë</w:t>
            </w:r>
          </w:p>
        </w:tc>
        <w:tc>
          <w:tcPr>
            <w:tcW w:w="1106" w:type="pct"/>
            <w:vMerge/>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p>
        </w:tc>
      </w:tr>
      <w:tr w:rsidR="00ED3C64" w:rsidRPr="00DC42C4" w:rsidTr="00BC62B1">
        <w:trPr>
          <w:jc w:val="center"/>
        </w:trPr>
        <w:tc>
          <w:tcPr>
            <w:tcW w:w="5000" w:type="pct"/>
            <w:gridSpan w:val="4"/>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(1) Të paktën 1 stacion në zonat nënurbane, ku ka gjasa të ketë ekspozim të lartë të popullsisë. Në aglomerate të paktën 50 % e stacioneve do të vendosen në zona nënurbane.</w:t>
            </w:r>
          </w:p>
        </w:tc>
      </w:tr>
      <w:tr w:rsidR="00ED3C64" w:rsidRPr="00DC42C4" w:rsidTr="00BC62B1">
        <w:trPr>
          <w:jc w:val="center"/>
        </w:trPr>
        <w:tc>
          <w:tcPr>
            <w:tcW w:w="5000" w:type="pct"/>
            <w:gridSpan w:val="4"/>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 xml:space="preserve">(2) 1 stacion për të mbuluar të gjithë vendin. </w:t>
            </w:r>
          </w:p>
        </w:tc>
      </w:tr>
    </w:tbl>
    <w:p w:rsidR="00ED3C64" w:rsidRDefault="00ED3C64" w:rsidP="00ED3C64">
      <w:pPr>
        <w:pStyle w:val="Paragrafi"/>
        <w:rPr>
          <w:lang w:val="sq-AL"/>
        </w:rPr>
      </w:pPr>
    </w:p>
    <w:p w:rsidR="00ED3C64" w:rsidRDefault="00ED3C64" w:rsidP="00ED3C64">
      <w:pPr>
        <w:pStyle w:val="Paragrafi"/>
        <w:rPr>
          <w:lang w:val="sq-AL"/>
        </w:rPr>
        <w:sectPr w:rsidR="00ED3C64" w:rsidSect="001E746C">
          <w:type w:val="continuous"/>
          <w:pgSz w:w="11907" w:h="16840" w:code="9"/>
          <w:pgMar w:top="720" w:right="1134" w:bottom="720" w:left="1134" w:header="851" w:footer="851" w:gutter="0"/>
          <w:cols w:space="720"/>
          <w:docGrid w:linePitch="360"/>
        </w:sectPr>
      </w:pPr>
    </w:p>
    <w:p w:rsidR="00ED3C64" w:rsidRPr="00456F89" w:rsidRDefault="00ED3C64" w:rsidP="00ED3C64">
      <w:pPr>
        <w:pStyle w:val="Paragrafi"/>
        <w:rPr>
          <w:spacing w:val="-4"/>
          <w:lang w:val="sq-AL"/>
        </w:rPr>
      </w:pPr>
      <w:r w:rsidRPr="00456F89">
        <w:rPr>
          <w:spacing w:val="-4"/>
          <w:lang w:val="sq-AL"/>
        </w:rPr>
        <w:lastRenderedPageBreak/>
        <w:t>Seksioni B. Numri minimal i pikave për marrjen e mostrave për matjet fikse për zonat dhe aglomeratet që arrijnë objektivat afatgjata</w:t>
      </w:r>
    </w:p>
    <w:p w:rsidR="00ED3C64" w:rsidRPr="00456F89" w:rsidRDefault="00ED3C64" w:rsidP="00ED3C64">
      <w:pPr>
        <w:pStyle w:val="Paragrafi"/>
        <w:rPr>
          <w:spacing w:val="-4"/>
          <w:lang w:val="sq-AL"/>
        </w:rPr>
      </w:pPr>
      <w:r w:rsidRPr="00456F89">
        <w:rPr>
          <w:spacing w:val="-4"/>
          <w:lang w:val="sq-AL"/>
        </w:rPr>
        <w:t>Numri i pikave për marrjen e mostrave për ozonin, në kombinim me mjete të tjera vlerësimi, siç janë modelimi i cilësisë së ajrit dhe matjet e renditura të dyoksidit të azotit, është i mjaftueshëm për të ekzaminuar tendencën e ndotjes së ozonit dhe për të kontrolluar përputhshmërinë me objektivat afatgjatë. Numri i stacioneve të vendosura në aglomerate dhe zona të tjera mund të pakësohet në një të tretën e numrit të përcaktuar në seksionin A më sipër. Kur informacioni nga stacionet e matjeve fikse është burimi i vetëm i informacionit, duhet mbajtur të paktën një stacion monitorimi. Në qoftë se në zonat ku ka vlerësim shtesë, del si rezultat që zonës nuk i ka asnjë stacion, koordinimi me numrin e stacioneve në zonat fqinjë do të sigurojë vlerësimin e përshtatshëm të përqendrimeve të ozonit ndaj objektivave afatgjatë. Numri i stacioneve me karakter rural do të jetë një për të gjithë vendin.</w:t>
      </w:r>
    </w:p>
    <w:p w:rsidR="00ED3C64" w:rsidRDefault="00ED3C64" w:rsidP="00ED3C64">
      <w:pPr>
        <w:pStyle w:val="Paragrafi"/>
        <w:jc w:val="center"/>
        <w:rPr>
          <w:spacing w:val="-4"/>
          <w:lang w:val="sq-AL"/>
        </w:rPr>
      </w:pPr>
    </w:p>
    <w:p w:rsidR="00ED3C64" w:rsidRPr="00F078E2" w:rsidRDefault="00ED3C64" w:rsidP="00ED3C64">
      <w:pPr>
        <w:pStyle w:val="Paragrafi"/>
        <w:jc w:val="center"/>
        <w:rPr>
          <w:spacing w:val="-4"/>
          <w:sz w:val="4"/>
          <w:lang w:val="sq-AL"/>
        </w:rPr>
      </w:pPr>
    </w:p>
    <w:p w:rsidR="00ED3C64" w:rsidRPr="00456F89" w:rsidRDefault="00ED3C64" w:rsidP="00ED3C64">
      <w:pPr>
        <w:pStyle w:val="Paragrafi"/>
        <w:jc w:val="center"/>
        <w:rPr>
          <w:spacing w:val="-4"/>
          <w:lang w:val="sq-AL"/>
        </w:rPr>
      </w:pPr>
      <w:r w:rsidRPr="00456F89">
        <w:rPr>
          <w:spacing w:val="-4"/>
          <w:lang w:val="sq-AL"/>
        </w:rPr>
        <w:t>ANEKSI X</w:t>
      </w:r>
    </w:p>
    <w:p w:rsidR="00ED3C64" w:rsidRPr="00205512" w:rsidRDefault="00ED3C64" w:rsidP="00ED3C64">
      <w:pPr>
        <w:pStyle w:val="Paragrafi"/>
        <w:jc w:val="center"/>
        <w:rPr>
          <w:spacing w:val="-4"/>
          <w:sz w:val="14"/>
          <w:lang w:val="sq-AL"/>
        </w:rPr>
      </w:pPr>
    </w:p>
    <w:p w:rsidR="00ED3C64" w:rsidRPr="00456F89" w:rsidRDefault="00ED3C64" w:rsidP="00ED3C64">
      <w:pPr>
        <w:pStyle w:val="Paragrafi"/>
        <w:jc w:val="center"/>
        <w:rPr>
          <w:spacing w:val="-4"/>
          <w:lang w:val="sq-AL"/>
        </w:rPr>
      </w:pPr>
      <w:r w:rsidRPr="00456F89">
        <w:rPr>
          <w:spacing w:val="-4"/>
          <w:lang w:val="sq-AL"/>
        </w:rPr>
        <w:lastRenderedPageBreak/>
        <w:t>Matjet e substancave pararendëse të ozonit</w:t>
      </w:r>
    </w:p>
    <w:p w:rsidR="00ED3C64" w:rsidRPr="00456F89" w:rsidRDefault="00ED3C64" w:rsidP="00ED3C64">
      <w:pPr>
        <w:pStyle w:val="Paragrafi"/>
        <w:jc w:val="center"/>
        <w:rPr>
          <w:spacing w:val="-4"/>
          <w:lang w:val="sq-AL"/>
        </w:rPr>
      </w:pPr>
      <w:r w:rsidRPr="00456F89">
        <w:rPr>
          <w:spacing w:val="-4"/>
          <w:lang w:val="sq-AL"/>
        </w:rPr>
        <w:t>(Referuar në pikat 8.8, 8.9 të këtij vendimi)</w:t>
      </w:r>
    </w:p>
    <w:p w:rsidR="00ED3C64" w:rsidRPr="00205512" w:rsidRDefault="00ED3C64" w:rsidP="00ED3C64">
      <w:pPr>
        <w:pStyle w:val="Paragrafi"/>
        <w:rPr>
          <w:spacing w:val="-4"/>
          <w:sz w:val="14"/>
          <w:lang w:val="sq-AL"/>
        </w:rPr>
      </w:pPr>
    </w:p>
    <w:p w:rsidR="00ED3C64" w:rsidRDefault="00ED3C64" w:rsidP="00ED3C64">
      <w:pPr>
        <w:pStyle w:val="Paragrafi"/>
        <w:rPr>
          <w:spacing w:val="-4"/>
          <w:lang w:val="sq-AL"/>
        </w:rPr>
      </w:pPr>
      <w:r w:rsidRPr="00456F89">
        <w:rPr>
          <w:spacing w:val="-4"/>
          <w:lang w:val="sq-AL"/>
        </w:rPr>
        <w:t>Seksioni A. Objektivat</w:t>
      </w:r>
    </w:p>
    <w:p w:rsidR="00ED3C64" w:rsidRPr="00456F89" w:rsidRDefault="00ED3C64" w:rsidP="00ED3C64">
      <w:pPr>
        <w:pStyle w:val="Paragrafi"/>
        <w:rPr>
          <w:spacing w:val="-4"/>
          <w:lang w:val="sq-AL"/>
        </w:rPr>
      </w:pPr>
      <w:r w:rsidRPr="00456F89">
        <w:rPr>
          <w:spacing w:val="-4"/>
          <w:lang w:val="sq-AL"/>
        </w:rPr>
        <w:t>1. Objektivat kryesorë të matjeve të tilla janë: të analizojnë çdo tendencë në pararendësit e ozonit, të kontrollojnë efiçencën e strategjive të pakësimit të shkarkimeve, të kontrollojnë konsistencën e inventarëve të shkarkimeve dhe t’ia atribuojnë përqendrimet e vëzhguara të ndotjes burimeve të shkarkimit.</w:t>
      </w:r>
    </w:p>
    <w:p w:rsidR="00ED3C64" w:rsidRPr="00456F89" w:rsidRDefault="00ED3C64" w:rsidP="00ED3C64">
      <w:pPr>
        <w:pStyle w:val="Paragrafi"/>
        <w:rPr>
          <w:spacing w:val="-4"/>
          <w:lang w:val="sq-AL"/>
        </w:rPr>
      </w:pPr>
      <w:r w:rsidRPr="00456F89">
        <w:rPr>
          <w:spacing w:val="-4"/>
          <w:lang w:val="sq-AL"/>
        </w:rPr>
        <w:t>2. Një qëllim tjetër është të sqarojnë si formohet ozone, proceset pararendëse të përhapjes si dhe zbatimin e modeleve fotokimike.</w:t>
      </w:r>
    </w:p>
    <w:p w:rsidR="00ED3C64" w:rsidRPr="00456F89" w:rsidRDefault="00ED3C64" w:rsidP="00ED3C64">
      <w:pPr>
        <w:pStyle w:val="Paragrafi"/>
        <w:rPr>
          <w:spacing w:val="-4"/>
          <w:lang w:val="sq-AL"/>
        </w:rPr>
      </w:pPr>
      <w:r w:rsidRPr="00456F89">
        <w:rPr>
          <w:spacing w:val="-4"/>
          <w:lang w:val="sq-AL"/>
        </w:rPr>
        <w:t>Seksioni B. Substancat</w:t>
      </w:r>
    </w:p>
    <w:p w:rsidR="00ED3C64" w:rsidRDefault="00ED3C64" w:rsidP="00ED3C64">
      <w:pPr>
        <w:pStyle w:val="Paragrafi"/>
        <w:rPr>
          <w:spacing w:val="-4"/>
          <w:lang w:val="sq-AL"/>
        </w:rPr>
      </w:pPr>
      <w:r w:rsidRPr="00456F89">
        <w:rPr>
          <w:spacing w:val="-4"/>
          <w:lang w:val="sq-AL"/>
        </w:rPr>
        <w:t>1. Matja e substancave pararendëse të ozonit bëhet të paktën për oksidet e azotit (NO dhe NO</w:t>
      </w:r>
      <w:r w:rsidRPr="004F02F7">
        <w:rPr>
          <w:spacing w:val="-4"/>
          <w:vertAlign w:val="subscript"/>
          <w:lang w:val="sq-AL"/>
        </w:rPr>
        <w:t>2</w:t>
      </w:r>
      <w:r w:rsidRPr="00456F89">
        <w:rPr>
          <w:spacing w:val="-4"/>
          <w:lang w:val="sq-AL"/>
        </w:rPr>
        <w:t>) dhe komponimet organike të avullueshme (VOC) të duhura. Lista e komponimeve organike të avullueshme që rekomandohen për matjet jepet më poshtë:</w:t>
      </w:r>
    </w:p>
    <w:p w:rsidR="00ED3C64" w:rsidRPr="00456F89" w:rsidRDefault="00ED3C64" w:rsidP="00ED3C64">
      <w:pPr>
        <w:pStyle w:val="Paragrafi"/>
        <w:rPr>
          <w:spacing w:val="-4"/>
          <w:lang w:val="sq-AL"/>
        </w:rPr>
      </w:pPr>
    </w:p>
    <w:p w:rsidR="00ED3C64" w:rsidRDefault="00ED3C64" w:rsidP="00ED3C64">
      <w:pPr>
        <w:pStyle w:val="ListParagraph"/>
        <w:widowControl w:val="0"/>
        <w:ind w:left="360"/>
        <w:rPr>
          <w:rFonts w:ascii="Times New Roman" w:hAnsi="Times New Roman"/>
          <w:b/>
          <w:lang w:val="sq-AL"/>
        </w:rPr>
        <w:sectPr w:rsidR="00ED3C64" w:rsidSect="001E746C">
          <w:type w:val="continuous"/>
          <w:pgSz w:w="11907" w:h="16840" w:code="9"/>
          <w:pgMar w:top="720" w:right="1134" w:bottom="720" w:left="1134" w:header="851" w:footer="851" w:gutter="0"/>
          <w:cols w:space="454"/>
          <w:docGrid w:linePitch="360"/>
        </w:sect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25"/>
        <w:gridCol w:w="2450"/>
        <w:gridCol w:w="2275"/>
        <w:gridCol w:w="3205"/>
      </w:tblGrid>
      <w:tr w:rsidR="00ED3C64" w:rsidRPr="00DC42C4" w:rsidTr="00BC62B1">
        <w:trPr>
          <w:jc w:val="center"/>
        </w:trPr>
        <w:tc>
          <w:tcPr>
            <w:tcW w:w="977" w:type="pct"/>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p>
        </w:tc>
        <w:tc>
          <w:tcPr>
            <w:tcW w:w="1243"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1-Buteni</w:t>
            </w:r>
          </w:p>
        </w:tc>
        <w:tc>
          <w:tcPr>
            <w:tcW w:w="1154"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Izopreni</w:t>
            </w:r>
          </w:p>
        </w:tc>
        <w:tc>
          <w:tcPr>
            <w:tcW w:w="1626"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Etil benzeni</w:t>
            </w:r>
          </w:p>
        </w:tc>
      </w:tr>
      <w:tr w:rsidR="00ED3C64" w:rsidRPr="00DC42C4" w:rsidTr="00BC62B1">
        <w:trPr>
          <w:jc w:val="center"/>
        </w:trPr>
        <w:tc>
          <w:tcPr>
            <w:tcW w:w="977" w:type="pct"/>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Etani</w:t>
            </w:r>
          </w:p>
        </w:tc>
        <w:tc>
          <w:tcPr>
            <w:tcW w:w="1243"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Trans-2-Buteni</w:t>
            </w:r>
          </w:p>
        </w:tc>
        <w:tc>
          <w:tcPr>
            <w:tcW w:w="1154"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n-Hekzani</w:t>
            </w:r>
          </w:p>
        </w:tc>
        <w:tc>
          <w:tcPr>
            <w:tcW w:w="1626"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m + p-Ksileni</w:t>
            </w:r>
          </w:p>
        </w:tc>
      </w:tr>
      <w:tr w:rsidR="00ED3C64" w:rsidRPr="00DC42C4" w:rsidTr="00BC62B1">
        <w:trPr>
          <w:jc w:val="center"/>
        </w:trPr>
        <w:tc>
          <w:tcPr>
            <w:tcW w:w="977" w:type="pct"/>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Etileni</w:t>
            </w:r>
          </w:p>
        </w:tc>
        <w:tc>
          <w:tcPr>
            <w:tcW w:w="1243"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cis-2-Buteni</w:t>
            </w:r>
          </w:p>
        </w:tc>
        <w:tc>
          <w:tcPr>
            <w:tcW w:w="1154"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i-Hekzani</w:t>
            </w:r>
          </w:p>
        </w:tc>
        <w:tc>
          <w:tcPr>
            <w:tcW w:w="1626"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o-Ksileni</w:t>
            </w:r>
          </w:p>
        </w:tc>
      </w:tr>
      <w:tr w:rsidR="00ED3C64" w:rsidRPr="00DC42C4" w:rsidTr="00BC62B1">
        <w:trPr>
          <w:jc w:val="center"/>
        </w:trPr>
        <w:tc>
          <w:tcPr>
            <w:tcW w:w="977" w:type="pct"/>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Acetileni</w:t>
            </w:r>
          </w:p>
        </w:tc>
        <w:tc>
          <w:tcPr>
            <w:tcW w:w="1243"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1,3-Butadieni</w:t>
            </w:r>
          </w:p>
        </w:tc>
        <w:tc>
          <w:tcPr>
            <w:tcW w:w="1154"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n-Heptani</w:t>
            </w:r>
          </w:p>
        </w:tc>
        <w:tc>
          <w:tcPr>
            <w:tcW w:w="1626"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1,2,4-Trimetilbenzeni</w:t>
            </w:r>
          </w:p>
        </w:tc>
      </w:tr>
      <w:tr w:rsidR="00ED3C64" w:rsidRPr="00DC42C4" w:rsidTr="00BC62B1">
        <w:trPr>
          <w:jc w:val="center"/>
        </w:trPr>
        <w:tc>
          <w:tcPr>
            <w:tcW w:w="977" w:type="pct"/>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Propani</w:t>
            </w:r>
          </w:p>
        </w:tc>
        <w:tc>
          <w:tcPr>
            <w:tcW w:w="1243"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n-Pentani</w:t>
            </w:r>
          </w:p>
        </w:tc>
        <w:tc>
          <w:tcPr>
            <w:tcW w:w="1154"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n-Oktani</w:t>
            </w:r>
          </w:p>
        </w:tc>
        <w:tc>
          <w:tcPr>
            <w:tcW w:w="1626"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1,2,3-Trimetilbenzeni</w:t>
            </w:r>
          </w:p>
        </w:tc>
      </w:tr>
      <w:tr w:rsidR="00ED3C64" w:rsidRPr="00DC42C4" w:rsidTr="00BC62B1">
        <w:trPr>
          <w:jc w:val="center"/>
        </w:trPr>
        <w:tc>
          <w:tcPr>
            <w:tcW w:w="977" w:type="pct"/>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Propeni</w:t>
            </w:r>
          </w:p>
        </w:tc>
        <w:tc>
          <w:tcPr>
            <w:tcW w:w="1243"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i-Pentani</w:t>
            </w:r>
          </w:p>
        </w:tc>
        <w:tc>
          <w:tcPr>
            <w:tcW w:w="1154"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i-Oktani</w:t>
            </w:r>
          </w:p>
        </w:tc>
        <w:tc>
          <w:tcPr>
            <w:tcW w:w="1626"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1,3,5-Trimetilbenzeni</w:t>
            </w:r>
          </w:p>
        </w:tc>
      </w:tr>
      <w:tr w:rsidR="00ED3C64" w:rsidRPr="00DC42C4" w:rsidTr="00BC62B1">
        <w:trPr>
          <w:jc w:val="center"/>
        </w:trPr>
        <w:tc>
          <w:tcPr>
            <w:tcW w:w="977" w:type="pct"/>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n-Butani</w:t>
            </w:r>
          </w:p>
        </w:tc>
        <w:tc>
          <w:tcPr>
            <w:tcW w:w="1243"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1-Penteni</w:t>
            </w:r>
          </w:p>
        </w:tc>
        <w:tc>
          <w:tcPr>
            <w:tcW w:w="1154"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Benzeni</w:t>
            </w:r>
          </w:p>
        </w:tc>
        <w:tc>
          <w:tcPr>
            <w:tcW w:w="1626"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Formaldehid</w:t>
            </w:r>
          </w:p>
        </w:tc>
      </w:tr>
      <w:tr w:rsidR="00ED3C64" w:rsidRPr="00DC42C4" w:rsidTr="00BC62B1">
        <w:trPr>
          <w:jc w:val="center"/>
        </w:trPr>
        <w:tc>
          <w:tcPr>
            <w:tcW w:w="977" w:type="pct"/>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i-Butani</w:t>
            </w:r>
          </w:p>
        </w:tc>
        <w:tc>
          <w:tcPr>
            <w:tcW w:w="1243"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2-Penteni</w:t>
            </w:r>
          </w:p>
        </w:tc>
        <w:tc>
          <w:tcPr>
            <w:tcW w:w="1154"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Tolueni</w:t>
            </w:r>
          </w:p>
        </w:tc>
        <w:tc>
          <w:tcPr>
            <w:tcW w:w="1626" w:type="pct"/>
          </w:tcPr>
          <w:p w:rsidR="00ED3C64" w:rsidRPr="00DC42C4" w:rsidRDefault="00ED3C64" w:rsidP="00BC62B1">
            <w:pPr>
              <w:pStyle w:val="ListParagraph"/>
              <w:widowControl w:val="0"/>
              <w:spacing w:after="0" w:line="240" w:lineRule="auto"/>
              <w:ind w:left="0"/>
              <w:rPr>
                <w:rFonts w:ascii="Garamond" w:hAnsi="Garamond"/>
                <w:sz w:val="20"/>
                <w:szCs w:val="20"/>
                <w:lang w:val="sq-AL"/>
              </w:rPr>
            </w:pPr>
            <w:r w:rsidRPr="00DC42C4">
              <w:rPr>
                <w:rFonts w:ascii="Garamond" w:hAnsi="Garamond"/>
                <w:sz w:val="20"/>
                <w:szCs w:val="20"/>
                <w:lang w:val="sq-AL"/>
              </w:rPr>
              <w:t xml:space="preserve">Hidrokarburet totale jo -metan  </w:t>
            </w:r>
          </w:p>
        </w:tc>
      </w:tr>
    </w:tbl>
    <w:p w:rsidR="00ED3C64" w:rsidRDefault="00ED3C64" w:rsidP="00ED3C64">
      <w:pPr>
        <w:pStyle w:val="Paragrafi"/>
        <w:rPr>
          <w:lang w:val="sq-AL"/>
        </w:rPr>
      </w:pPr>
    </w:p>
    <w:p w:rsidR="00ED3C64" w:rsidRDefault="00ED3C64" w:rsidP="00ED3C64">
      <w:pPr>
        <w:pStyle w:val="Paragrafi"/>
        <w:rPr>
          <w:lang w:val="sq-AL"/>
        </w:rPr>
      </w:pPr>
    </w:p>
    <w:p w:rsidR="00ED3C64" w:rsidRDefault="00ED3C64" w:rsidP="00ED3C64">
      <w:pPr>
        <w:pStyle w:val="Paragrafi"/>
        <w:rPr>
          <w:lang w:val="sq-AL"/>
        </w:rPr>
      </w:pPr>
    </w:p>
    <w:p w:rsidR="00ED3C64" w:rsidRDefault="00ED3C64" w:rsidP="00ED3C64">
      <w:pPr>
        <w:pStyle w:val="Paragrafi"/>
        <w:rPr>
          <w:lang w:val="sq-AL"/>
        </w:rPr>
      </w:pPr>
    </w:p>
    <w:p w:rsidR="00ED3C64" w:rsidRDefault="00ED3C64" w:rsidP="00ED3C64">
      <w:pPr>
        <w:pStyle w:val="Paragrafi"/>
        <w:rPr>
          <w:lang w:val="sq-AL"/>
        </w:rPr>
      </w:pPr>
    </w:p>
    <w:p w:rsidR="00ED3C64" w:rsidRDefault="00ED3C64" w:rsidP="00ED3C64">
      <w:pPr>
        <w:pStyle w:val="Paragrafi"/>
        <w:rPr>
          <w:lang w:val="sq-AL"/>
        </w:rPr>
      </w:pPr>
    </w:p>
    <w:p w:rsidR="00ED3C64" w:rsidRDefault="00ED3C64" w:rsidP="00ED3C64">
      <w:pPr>
        <w:pStyle w:val="Paragrafi"/>
        <w:rPr>
          <w:lang w:val="sq-AL"/>
        </w:rPr>
      </w:pPr>
    </w:p>
    <w:p w:rsidR="00ED3C64" w:rsidRDefault="00ED3C64" w:rsidP="00ED3C64">
      <w:pPr>
        <w:pStyle w:val="Paragrafi"/>
        <w:rPr>
          <w:lang w:val="sq-AL"/>
        </w:rPr>
        <w:sectPr w:rsidR="00ED3C64" w:rsidSect="001E746C">
          <w:type w:val="continuous"/>
          <w:pgSz w:w="11907" w:h="16840" w:code="9"/>
          <w:pgMar w:top="720" w:right="1134" w:bottom="720" w:left="1134" w:header="851" w:footer="851" w:gutter="0"/>
          <w:cols w:space="720"/>
          <w:docGrid w:linePitch="360"/>
        </w:sectPr>
      </w:pPr>
    </w:p>
    <w:p w:rsidR="00ED3C64" w:rsidRPr="00964EF5" w:rsidRDefault="00ED3C64" w:rsidP="00ED3C64">
      <w:pPr>
        <w:pStyle w:val="Paragrafi"/>
        <w:rPr>
          <w:spacing w:val="-4"/>
          <w:lang w:val="sq-AL"/>
        </w:rPr>
      </w:pPr>
      <w:r w:rsidRPr="00964EF5">
        <w:rPr>
          <w:spacing w:val="-4"/>
          <w:lang w:val="sq-AL"/>
        </w:rPr>
        <w:lastRenderedPageBreak/>
        <w:t xml:space="preserve">Seksioni C. Përcaktimi i vendndodhjes </w:t>
      </w:r>
    </w:p>
    <w:p w:rsidR="00ED3C64" w:rsidRPr="00964EF5" w:rsidRDefault="00ED3C64" w:rsidP="00ED3C64">
      <w:pPr>
        <w:pStyle w:val="Paragrafi"/>
        <w:rPr>
          <w:spacing w:val="-4"/>
          <w:lang w:val="sq-AL"/>
        </w:rPr>
      </w:pPr>
      <w:r w:rsidRPr="00964EF5">
        <w:rPr>
          <w:spacing w:val="-4"/>
          <w:lang w:val="sq-AL"/>
        </w:rPr>
        <w:t xml:space="preserve">1. Matjet duhen kryer veçanërisht në zona urbane ose nënurbane në çdo vend monitorimi të përcaktuar në përputhje me kërkesat e këtij vendimi dhe që konsiderohet i përshtatshëm në lidhje me objektivat e monitorimit të referuara në seksionin A më sipër. </w:t>
      </w:r>
    </w:p>
    <w:p w:rsidR="00ED3C64" w:rsidRPr="00964EF5" w:rsidRDefault="00ED3C64" w:rsidP="00ED3C64">
      <w:pPr>
        <w:pStyle w:val="Hapesira7"/>
        <w:rPr>
          <w:spacing w:val="-4"/>
          <w:lang w:val="sq-AL"/>
        </w:rPr>
      </w:pPr>
    </w:p>
    <w:p w:rsidR="00ED3C64" w:rsidRDefault="00ED3C64" w:rsidP="00ED3C64">
      <w:pPr>
        <w:pStyle w:val="Paragrafi"/>
        <w:jc w:val="center"/>
        <w:rPr>
          <w:spacing w:val="-4"/>
          <w:lang w:val="sq-AL"/>
        </w:rPr>
      </w:pPr>
    </w:p>
    <w:p w:rsidR="00ED3C64" w:rsidRDefault="00ED3C64" w:rsidP="00ED3C64">
      <w:pPr>
        <w:pStyle w:val="Paragrafi"/>
        <w:jc w:val="center"/>
        <w:rPr>
          <w:spacing w:val="-4"/>
          <w:lang w:val="sq-AL"/>
        </w:rPr>
      </w:pPr>
    </w:p>
    <w:p w:rsidR="00ED3C64" w:rsidRDefault="00ED3C64" w:rsidP="00ED3C64">
      <w:pPr>
        <w:pStyle w:val="Hapesira7"/>
        <w:rPr>
          <w:lang w:val="sq-AL"/>
        </w:rPr>
      </w:pPr>
    </w:p>
    <w:p w:rsidR="00ED3C64" w:rsidRPr="00964EF5" w:rsidRDefault="00ED3C64" w:rsidP="00ED3C64">
      <w:pPr>
        <w:pStyle w:val="Paragrafi"/>
        <w:jc w:val="center"/>
        <w:rPr>
          <w:spacing w:val="-4"/>
          <w:lang w:val="sq-AL"/>
        </w:rPr>
      </w:pPr>
      <w:r w:rsidRPr="00964EF5">
        <w:rPr>
          <w:spacing w:val="-4"/>
          <w:lang w:val="sq-AL"/>
        </w:rPr>
        <w:t>ANEKSI XI</w:t>
      </w:r>
    </w:p>
    <w:p w:rsidR="00ED3C64" w:rsidRPr="00964EF5" w:rsidRDefault="00ED3C64" w:rsidP="00ED3C64">
      <w:pPr>
        <w:pStyle w:val="Paragrafi"/>
        <w:jc w:val="center"/>
        <w:rPr>
          <w:spacing w:val="-4"/>
          <w:lang w:val="sq-AL"/>
        </w:rPr>
      </w:pPr>
      <w:r w:rsidRPr="00964EF5">
        <w:rPr>
          <w:spacing w:val="-4"/>
          <w:lang w:val="sq-AL"/>
        </w:rPr>
        <w:t>Vlerat kufi për mbrojtjen e shëndetit publik</w:t>
      </w:r>
    </w:p>
    <w:p w:rsidR="00ED3C64" w:rsidRPr="00964EF5" w:rsidRDefault="00ED3C64" w:rsidP="00ED3C64">
      <w:pPr>
        <w:pStyle w:val="Paragrafi"/>
        <w:jc w:val="center"/>
        <w:rPr>
          <w:spacing w:val="-4"/>
          <w:lang w:val="sq-AL"/>
        </w:rPr>
      </w:pPr>
      <w:r w:rsidRPr="00964EF5">
        <w:rPr>
          <w:spacing w:val="-4"/>
          <w:lang w:val="sq-AL"/>
        </w:rPr>
        <w:t>(Referuar në pikat 17.1, 17.2, 17.4, 17.5, 27.1, 27.3, 28.1 dhe 28.3 të këtij vendimi)</w:t>
      </w:r>
    </w:p>
    <w:p w:rsidR="00ED3C64" w:rsidRPr="00964EF5" w:rsidRDefault="00ED3C64" w:rsidP="00ED3C64">
      <w:pPr>
        <w:pStyle w:val="Paragrafi"/>
        <w:rPr>
          <w:spacing w:val="-4"/>
          <w:lang w:val="sq-AL"/>
        </w:rPr>
      </w:pPr>
    </w:p>
    <w:p w:rsidR="00ED3C64" w:rsidRPr="00964EF5" w:rsidRDefault="00ED3C64" w:rsidP="00ED3C64">
      <w:pPr>
        <w:pStyle w:val="Paragrafi"/>
        <w:rPr>
          <w:spacing w:val="-4"/>
          <w:lang w:val="sq-AL"/>
        </w:rPr>
      </w:pPr>
      <w:r w:rsidRPr="00964EF5">
        <w:rPr>
          <w:spacing w:val="-4"/>
          <w:lang w:val="sq-AL"/>
        </w:rPr>
        <w:t>Seksioni A. Kriteret</w:t>
      </w:r>
    </w:p>
    <w:p w:rsidR="00ED3C64" w:rsidRPr="00964EF5" w:rsidRDefault="00ED3C64" w:rsidP="00ED3C64">
      <w:pPr>
        <w:pStyle w:val="Paragrafi"/>
        <w:rPr>
          <w:spacing w:val="-4"/>
          <w:lang w:val="sq-AL"/>
        </w:rPr>
      </w:pPr>
      <w:r w:rsidRPr="00964EF5">
        <w:rPr>
          <w:spacing w:val="-4"/>
          <w:lang w:val="sq-AL"/>
        </w:rPr>
        <w:t>1. Pavarësisht nga aneksi I i këtij vendimi, për të kontrolluar vlefshmërinë gjatë agregimit të të dhënave dhe llogaritjes së parametrave statistikorë përdoren kriteret e mëposhtme:</w:t>
      </w:r>
    </w:p>
    <w:p w:rsidR="00ED3C64" w:rsidRDefault="00ED3C64" w:rsidP="00ED3C64">
      <w:pPr>
        <w:pStyle w:val="Paragrafi"/>
        <w:rPr>
          <w:lang w:val="sq-AL"/>
        </w:rPr>
        <w:sectPr w:rsidR="00ED3C64" w:rsidSect="001E746C">
          <w:type w:val="continuous"/>
          <w:pgSz w:w="11907" w:h="16840" w:code="9"/>
          <w:pgMar w:top="720" w:right="1134" w:bottom="720" w:left="1134" w:header="851" w:footer="851" w:gutter="0"/>
          <w:cols w:space="454"/>
          <w:docGrid w:linePitch="360"/>
        </w:sectPr>
      </w:pPr>
    </w:p>
    <w:p w:rsidR="00ED3C64" w:rsidRPr="00DC42C4" w:rsidRDefault="00ED3C64" w:rsidP="00ED3C64">
      <w:pPr>
        <w:pStyle w:val="Hapesira7"/>
        <w:rPr>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64"/>
        <w:gridCol w:w="6591"/>
      </w:tblGrid>
      <w:tr w:rsidR="00ED3C64" w:rsidRPr="001A7A75" w:rsidTr="00BC62B1">
        <w:trPr>
          <w:jc w:val="center"/>
        </w:trPr>
        <w:tc>
          <w:tcPr>
            <w:tcW w:w="1656" w:type="pct"/>
          </w:tcPr>
          <w:p w:rsidR="00ED3C64" w:rsidRPr="00CF64B6" w:rsidRDefault="00ED3C64" w:rsidP="00BC62B1">
            <w:pPr>
              <w:pStyle w:val="ListParagraph"/>
              <w:widowControl w:val="0"/>
              <w:spacing w:after="0" w:line="240" w:lineRule="auto"/>
              <w:ind w:left="0"/>
              <w:jc w:val="center"/>
              <w:rPr>
                <w:rFonts w:ascii="Garamond" w:hAnsi="Garamond"/>
                <w:b/>
                <w:sz w:val="18"/>
                <w:szCs w:val="18"/>
                <w:lang w:val="sq-AL"/>
              </w:rPr>
            </w:pPr>
            <w:r w:rsidRPr="00CF64B6">
              <w:rPr>
                <w:rFonts w:ascii="Garamond" w:hAnsi="Garamond"/>
                <w:b/>
                <w:sz w:val="18"/>
                <w:szCs w:val="18"/>
                <w:lang w:val="sq-AL"/>
              </w:rPr>
              <w:t>Parametri</w:t>
            </w:r>
          </w:p>
        </w:tc>
        <w:tc>
          <w:tcPr>
            <w:tcW w:w="3344" w:type="pct"/>
          </w:tcPr>
          <w:p w:rsidR="00ED3C64" w:rsidRPr="00CF64B6" w:rsidRDefault="00ED3C64" w:rsidP="00BC62B1">
            <w:pPr>
              <w:pStyle w:val="ListParagraph"/>
              <w:widowControl w:val="0"/>
              <w:spacing w:after="0" w:line="240" w:lineRule="auto"/>
              <w:ind w:left="0"/>
              <w:jc w:val="center"/>
              <w:rPr>
                <w:rFonts w:ascii="Garamond" w:hAnsi="Garamond"/>
                <w:b/>
                <w:sz w:val="18"/>
                <w:szCs w:val="18"/>
                <w:lang w:val="sq-AL"/>
              </w:rPr>
            </w:pPr>
            <w:r w:rsidRPr="00CF64B6">
              <w:rPr>
                <w:rFonts w:ascii="Garamond" w:hAnsi="Garamond"/>
                <w:b/>
                <w:sz w:val="18"/>
                <w:szCs w:val="18"/>
                <w:lang w:val="sq-AL"/>
              </w:rPr>
              <w:t>Proporcioni i kërkuar i të dhënave të vlefshme</w:t>
            </w:r>
          </w:p>
        </w:tc>
      </w:tr>
      <w:tr w:rsidR="00ED3C64" w:rsidRPr="001A7A75" w:rsidTr="00BC62B1">
        <w:trPr>
          <w:jc w:val="center"/>
        </w:trPr>
        <w:tc>
          <w:tcPr>
            <w:tcW w:w="1656" w:type="pct"/>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Vlera njëorëshe</w:t>
            </w:r>
          </w:p>
        </w:tc>
        <w:tc>
          <w:tcPr>
            <w:tcW w:w="3344" w:type="pct"/>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75 % (që do të thotë 45 minuta)</w:t>
            </w:r>
          </w:p>
        </w:tc>
      </w:tr>
      <w:tr w:rsidR="00ED3C64" w:rsidRPr="001A7A75" w:rsidTr="00BC62B1">
        <w:trPr>
          <w:jc w:val="center"/>
        </w:trPr>
        <w:tc>
          <w:tcPr>
            <w:tcW w:w="1656" w:type="pct"/>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Vlera tetorëshe</w:t>
            </w:r>
          </w:p>
        </w:tc>
        <w:tc>
          <w:tcPr>
            <w:tcW w:w="3344" w:type="pct"/>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75 % e vlerave (që do të thotë  6 orë)</w:t>
            </w:r>
          </w:p>
        </w:tc>
      </w:tr>
      <w:tr w:rsidR="00ED3C64" w:rsidRPr="001A7A75" w:rsidTr="00BC62B1">
        <w:trPr>
          <w:jc w:val="center"/>
        </w:trPr>
        <w:tc>
          <w:tcPr>
            <w:tcW w:w="1656" w:type="pct"/>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Mesatarja maksimale ditore e tetë orëve</w:t>
            </w:r>
          </w:p>
        </w:tc>
        <w:tc>
          <w:tcPr>
            <w:tcW w:w="3344" w:type="pct"/>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75 % e mesatareve për orë të tetë orëve njëra pas tjetrës (që do të thotë 18 mesatare tetorëshe në ditë)</w:t>
            </w:r>
          </w:p>
        </w:tc>
      </w:tr>
      <w:tr w:rsidR="00ED3C64" w:rsidRPr="001A7A75" w:rsidTr="00BC62B1">
        <w:trPr>
          <w:jc w:val="center"/>
        </w:trPr>
        <w:tc>
          <w:tcPr>
            <w:tcW w:w="1656" w:type="pct"/>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Vlerat 24-orëshe</w:t>
            </w:r>
          </w:p>
        </w:tc>
        <w:tc>
          <w:tcPr>
            <w:tcW w:w="3344" w:type="pct"/>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75 % e mesatareve për çdo orë (që do të thotë të paktën vlerat për 18 orë)</w:t>
            </w:r>
          </w:p>
        </w:tc>
      </w:tr>
      <w:tr w:rsidR="00ED3C64" w:rsidRPr="001A7A75" w:rsidTr="00BC62B1">
        <w:trPr>
          <w:jc w:val="center"/>
        </w:trPr>
        <w:tc>
          <w:tcPr>
            <w:tcW w:w="1656" w:type="pct"/>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Mesatarja vjetore</w:t>
            </w:r>
          </w:p>
        </w:tc>
        <w:tc>
          <w:tcPr>
            <w:tcW w:w="3344" w:type="pct"/>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90 % (1) e vlerave njëorëshe ose (nëse nuk janë të disponueshme) vlerat 24-orëshe përgjatë vitit</w:t>
            </w:r>
          </w:p>
        </w:tc>
      </w:tr>
      <w:tr w:rsidR="00ED3C64" w:rsidRPr="001A7A75" w:rsidTr="00BC62B1">
        <w:trPr>
          <w:jc w:val="center"/>
        </w:trPr>
        <w:tc>
          <w:tcPr>
            <w:tcW w:w="5000" w:type="pct"/>
            <w:gridSpan w:val="2"/>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(1) Kërkesat për llogaritjen e mesatares vjetore nuk përfshijnë humbjet e të dhënave për shkak të kalibrimit të rregullt apo mirëmbajtjes normale të përdorimit të instrumenteve.</w:t>
            </w:r>
          </w:p>
        </w:tc>
      </w:tr>
    </w:tbl>
    <w:p w:rsidR="00ED3C64" w:rsidRPr="00DC42C4" w:rsidRDefault="00ED3C64" w:rsidP="00ED3C64">
      <w:pPr>
        <w:pStyle w:val="Hapesira7"/>
        <w:rPr>
          <w:lang w:val="sq-AL"/>
        </w:rPr>
      </w:pPr>
    </w:p>
    <w:p w:rsidR="00ED3C64" w:rsidRPr="001A7A75" w:rsidRDefault="00ED3C64" w:rsidP="00ED3C64">
      <w:pPr>
        <w:pStyle w:val="Paragrafi"/>
        <w:rPr>
          <w:sz w:val="18"/>
          <w:szCs w:val="18"/>
          <w:lang w:val="sq-AL"/>
        </w:rPr>
      </w:pPr>
      <w:r w:rsidRPr="001A7A75">
        <w:rPr>
          <w:sz w:val="18"/>
          <w:szCs w:val="18"/>
          <w:lang w:val="sq-AL"/>
        </w:rPr>
        <w:t>Seksioni B. Vlerat kufi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17"/>
        <w:gridCol w:w="2332"/>
        <w:gridCol w:w="4029"/>
        <w:gridCol w:w="1577"/>
      </w:tblGrid>
      <w:tr w:rsidR="00ED3C64" w:rsidRPr="001A7A75" w:rsidTr="00BC62B1">
        <w:trPr>
          <w:tblHeader/>
          <w:jc w:val="center"/>
        </w:trPr>
        <w:tc>
          <w:tcPr>
            <w:tcW w:w="973" w:type="pct"/>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Periudha mesatare</w:t>
            </w:r>
          </w:p>
        </w:tc>
        <w:tc>
          <w:tcPr>
            <w:tcW w:w="1183" w:type="pct"/>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Vlera kufi</w:t>
            </w:r>
          </w:p>
        </w:tc>
        <w:tc>
          <w:tcPr>
            <w:tcW w:w="2044" w:type="pct"/>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Marzhi i tolerancë</w:t>
            </w:r>
          </w:p>
        </w:tc>
        <w:tc>
          <w:tcPr>
            <w:tcW w:w="800" w:type="pct"/>
          </w:tcPr>
          <w:p w:rsidR="00ED3C64" w:rsidRPr="001A7A75" w:rsidRDefault="00ED3C64" w:rsidP="00BC62B1">
            <w:pPr>
              <w:widowControl w:val="0"/>
              <w:autoSpaceDE w:val="0"/>
              <w:autoSpaceDN w:val="0"/>
              <w:adjustRightInd w:val="0"/>
              <w:spacing w:after="0" w:line="240" w:lineRule="auto"/>
              <w:ind w:firstLine="0"/>
              <w:jc w:val="center"/>
              <w:rPr>
                <w:rFonts w:ascii="Garamond" w:hAnsi="Garamond"/>
                <w:sz w:val="18"/>
                <w:szCs w:val="18"/>
                <w:lang w:val="sq-AL"/>
              </w:rPr>
            </w:pPr>
            <w:r w:rsidRPr="001A7A75">
              <w:rPr>
                <w:rFonts w:ascii="Garamond" w:hAnsi="Garamond"/>
                <w:sz w:val="18"/>
                <w:szCs w:val="18"/>
                <w:lang w:val="sq-AL"/>
              </w:rPr>
              <w:t>Data kur duhet të arrihet vlera kufi</w:t>
            </w:r>
          </w:p>
        </w:tc>
      </w:tr>
      <w:tr w:rsidR="00ED3C64" w:rsidRPr="001A7A75" w:rsidTr="00BC62B1">
        <w:trPr>
          <w:jc w:val="center"/>
        </w:trPr>
        <w:tc>
          <w:tcPr>
            <w:tcW w:w="5000" w:type="pct"/>
            <w:gridSpan w:val="4"/>
          </w:tcPr>
          <w:p w:rsidR="00ED3C64" w:rsidRPr="001A7A75" w:rsidRDefault="00ED3C64" w:rsidP="00BC62B1">
            <w:pPr>
              <w:pStyle w:val="ListParagraph"/>
              <w:widowControl w:val="0"/>
              <w:spacing w:after="0" w:line="240" w:lineRule="auto"/>
              <w:ind w:left="0"/>
              <w:jc w:val="both"/>
              <w:rPr>
                <w:rFonts w:ascii="Garamond" w:hAnsi="Garamond"/>
                <w:b/>
                <w:sz w:val="18"/>
                <w:szCs w:val="18"/>
                <w:lang w:val="sq-AL"/>
              </w:rPr>
            </w:pPr>
            <w:r w:rsidRPr="001A7A75">
              <w:rPr>
                <w:rFonts w:ascii="Garamond" w:hAnsi="Garamond"/>
                <w:b/>
                <w:sz w:val="18"/>
                <w:szCs w:val="18"/>
                <w:lang w:val="sq-AL"/>
              </w:rPr>
              <w:t>Dyoksidi i squfurit</w:t>
            </w:r>
          </w:p>
        </w:tc>
      </w:tr>
      <w:tr w:rsidR="00ED3C64" w:rsidRPr="001A7A75" w:rsidTr="00BC62B1">
        <w:trPr>
          <w:jc w:val="center"/>
        </w:trPr>
        <w:tc>
          <w:tcPr>
            <w:tcW w:w="973" w:type="pct"/>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Një orë</w:t>
            </w:r>
          </w:p>
        </w:tc>
        <w:tc>
          <w:tcPr>
            <w:tcW w:w="1183" w:type="pct"/>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350 μg/m</w:t>
            </w:r>
            <w:r w:rsidRPr="001A7A75">
              <w:rPr>
                <w:rFonts w:ascii="Garamond" w:hAnsi="Garamond"/>
                <w:sz w:val="18"/>
                <w:szCs w:val="18"/>
                <w:vertAlign w:val="superscript"/>
                <w:lang w:val="sq-AL"/>
              </w:rPr>
              <w:t>3</w:t>
            </w:r>
            <w:r w:rsidRPr="001A7A75">
              <w:rPr>
                <w:rFonts w:ascii="Garamond" w:hAnsi="Garamond"/>
                <w:sz w:val="18"/>
                <w:szCs w:val="18"/>
                <w:lang w:val="sq-AL"/>
              </w:rPr>
              <w:t xml:space="preserve">, të mos kapërcehet më shumë se 24 herë gjatë një </w:t>
            </w:r>
            <w:r w:rsidRPr="001A7A75">
              <w:rPr>
                <w:rFonts w:ascii="Garamond" w:hAnsi="Garamond"/>
                <w:sz w:val="18"/>
                <w:szCs w:val="18"/>
                <w:lang w:val="sq-AL"/>
              </w:rPr>
              <w:lastRenderedPageBreak/>
              <w:t>viti kalendarik</w:t>
            </w:r>
          </w:p>
        </w:tc>
        <w:tc>
          <w:tcPr>
            <w:tcW w:w="2044" w:type="pct"/>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lastRenderedPageBreak/>
              <w:t>150 μg/m</w:t>
            </w:r>
            <w:r w:rsidRPr="001A7A75">
              <w:rPr>
                <w:rFonts w:ascii="Garamond" w:hAnsi="Garamond"/>
                <w:sz w:val="18"/>
                <w:szCs w:val="18"/>
                <w:vertAlign w:val="superscript"/>
                <w:lang w:val="sq-AL"/>
              </w:rPr>
              <w:t>3</w:t>
            </w:r>
            <w:r w:rsidRPr="001A7A75">
              <w:rPr>
                <w:rFonts w:ascii="Garamond" w:hAnsi="Garamond"/>
                <w:sz w:val="18"/>
                <w:szCs w:val="18"/>
                <w:lang w:val="sq-AL"/>
              </w:rPr>
              <w:t xml:space="preserve"> (43 %)</w:t>
            </w:r>
          </w:p>
        </w:tc>
        <w:tc>
          <w:tcPr>
            <w:tcW w:w="800" w:type="pct"/>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1 janar 2020</w:t>
            </w:r>
          </w:p>
        </w:tc>
      </w:tr>
      <w:tr w:rsidR="00ED3C64" w:rsidRPr="001A7A75" w:rsidTr="00BC62B1">
        <w:trPr>
          <w:jc w:val="center"/>
        </w:trPr>
        <w:tc>
          <w:tcPr>
            <w:tcW w:w="973" w:type="pct"/>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lastRenderedPageBreak/>
              <w:t>Një ditë</w:t>
            </w:r>
          </w:p>
        </w:tc>
        <w:tc>
          <w:tcPr>
            <w:tcW w:w="1183" w:type="pct"/>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125 μg/m</w:t>
            </w:r>
            <w:r w:rsidRPr="001A7A75">
              <w:rPr>
                <w:rFonts w:ascii="Garamond" w:hAnsi="Garamond"/>
                <w:sz w:val="18"/>
                <w:szCs w:val="18"/>
                <w:vertAlign w:val="superscript"/>
                <w:lang w:val="sq-AL"/>
              </w:rPr>
              <w:t>3</w:t>
            </w:r>
            <w:r w:rsidRPr="001A7A75">
              <w:rPr>
                <w:rFonts w:ascii="Garamond" w:hAnsi="Garamond"/>
                <w:sz w:val="18"/>
                <w:szCs w:val="18"/>
                <w:lang w:val="sq-AL"/>
              </w:rPr>
              <w:t>, të mos kapërcehet më shumë se 3 herë në një vit kalendarik</w:t>
            </w:r>
          </w:p>
        </w:tc>
        <w:tc>
          <w:tcPr>
            <w:tcW w:w="2044" w:type="pct"/>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 xml:space="preserve">Asnjë </w:t>
            </w:r>
          </w:p>
        </w:tc>
        <w:tc>
          <w:tcPr>
            <w:tcW w:w="800" w:type="pct"/>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1 janar 2020</w:t>
            </w:r>
          </w:p>
        </w:tc>
      </w:tr>
      <w:tr w:rsidR="00ED3C64" w:rsidRPr="001A7A75" w:rsidTr="00BC62B1">
        <w:trPr>
          <w:jc w:val="center"/>
        </w:trPr>
        <w:tc>
          <w:tcPr>
            <w:tcW w:w="5000" w:type="pct"/>
            <w:gridSpan w:val="4"/>
          </w:tcPr>
          <w:p w:rsidR="00ED3C64" w:rsidRPr="001A7A75" w:rsidRDefault="00ED3C64" w:rsidP="00BC62B1">
            <w:pPr>
              <w:widowControl w:val="0"/>
              <w:autoSpaceDE w:val="0"/>
              <w:autoSpaceDN w:val="0"/>
              <w:adjustRightInd w:val="0"/>
              <w:spacing w:after="0" w:line="240" w:lineRule="auto"/>
              <w:ind w:firstLine="0"/>
              <w:rPr>
                <w:rFonts w:ascii="Garamond" w:hAnsi="Garamond"/>
                <w:b/>
                <w:sz w:val="18"/>
                <w:szCs w:val="18"/>
                <w:lang w:val="sq-AL"/>
              </w:rPr>
            </w:pPr>
            <w:r w:rsidRPr="001A7A75">
              <w:rPr>
                <w:rFonts w:ascii="Garamond" w:hAnsi="Garamond"/>
                <w:b/>
                <w:sz w:val="18"/>
                <w:szCs w:val="18"/>
                <w:lang w:val="sq-AL"/>
              </w:rPr>
              <w:t>Dyoksidi i azotit</w:t>
            </w:r>
          </w:p>
        </w:tc>
      </w:tr>
      <w:tr w:rsidR="00ED3C64" w:rsidRPr="001A7A75" w:rsidTr="00BC62B1">
        <w:trPr>
          <w:jc w:val="center"/>
        </w:trPr>
        <w:tc>
          <w:tcPr>
            <w:tcW w:w="973" w:type="pct"/>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Një orë</w:t>
            </w:r>
          </w:p>
        </w:tc>
        <w:tc>
          <w:tcPr>
            <w:tcW w:w="1183" w:type="pct"/>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200 μg/m</w:t>
            </w:r>
            <w:r w:rsidRPr="001A7A75">
              <w:rPr>
                <w:rFonts w:ascii="Garamond" w:hAnsi="Garamond"/>
                <w:sz w:val="18"/>
                <w:szCs w:val="18"/>
                <w:vertAlign w:val="superscript"/>
                <w:lang w:val="sq-AL"/>
              </w:rPr>
              <w:t>3</w:t>
            </w:r>
            <w:r w:rsidRPr="001A7A75">
              <w:rPr>
                <w:rFonts w:ascii="Garamond" w:hAnsi="Garamond"/>
                <w:sz w:val="18"/>
                <w:szCs w:val="18"/>
                <w:lang w:val="sq-AL"/>
              </w:rPr>
              <w:t>, të mos kapërcehet më shumë se 18 herë gjatë një viti kalendarik</w:t>
            </w:r>
          </w:p>
        </w:tc>
        <w:tc>
          <w:tcPr>
            <w:tcW w:w="2044" w:type="pct"/>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50 % më 19 korrik 2009, që zvogëlohet në 1 janar  2011 dhe çdo 12 muaj më pas në përqindje të barabarta vjetore për të arritur në 0 % më 1 janar 2020</w:t>
            </w:r>
          </w:p>
        </w:tc>
        <w:tc>
          <w:tcPr>
            <w:tcW w:w="800" w:type="pct"/>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1 janar 2020</w:t>
            </w:r>
          </w:p>
        </w:tc>
      </w:tr>
      <w:tr w:rsidR="00ED3C64" w:rsidRPr="001A7A75" w:rsidTr="00BC62B1">
        <w:trPr>
          <w:jc w:val="center"/>
        </w:trPr>
        <w:tc>
          <w:tcPr>
            <w:tcW w:w="973" w:type="pct"/>
          </w:tcPr>
          <w:p w:rsidR="00ED3C64" w:rsidRPr="001A7A75" w:rsidRDefault="00ED3C64" w:rsidP="00BC62B1">
            <w:pPr>
              <w:widowControl w:val="0"/>
              <w:autoSpaceDE w:val="0"/>
              <w:autoSpaceDN w:val="0"/>
              <w:adjustRightInd w:val="0"/>
              <w:spacing w:after="0" w:line="240" w:lineRule="auto"/>
              <w:ind w:firstLine="0"/>
              <w:outlineLvl w:val="0"/>
              <w:rPr>
                <w:rFonts w:ascii="Garamond" w:hAnsi="Garamond"/>
                <w:sz w:val="18"/>
                <w:szCs w:val="18"/>
                <w:lang w:val="sq-AL"/>
              </w:rPr>
            </w:pPr>
            <w:r w:rsidRPr="001A7A75">
              <w:rPr>
                <w:rFonts w:ascii="Garamond" w:hAnsi="Garamond"/>
                <w:sz w:val="18"/>
                <w:szCs w:val="18"/>
                <w:lang w:val="sq-AL"/>
              </w:rPr>
              <w:t>Viti kalendarik</w:t>
            </w:r>
          </w:p>
        </w:tc>
        <w:tc>
          <w:tcPr>
            <w:tcW w:w="1183" w:type="pct"/>
          </w:tcPr>
          <w:p w:rsidR="00ED3C64" w:rsidRPr="001A7A75" w:rsidRDefault="00ED3C64" w:rsidP="00BC62B1">
            <w:pPr>
              <w:widowControl w:val="0"/>
              <w:autoSpaceDE w:val="0"/>
              <w:autoSpaceDN w:val="0"/>
              <w:adjustRightInd w:val="0"/>
              <w:spacing w:after="0" w:line="240" w:lineRule="auto"/>
              <w:ind w:firstLine="0"/>
              <w:outlineLvl w:val="0"/>
              <w:rPr>
                <w:rFonts w:ascii="Garamond" w:hAnsi="Garamond"/>
                <w:sz w:val="18"/>
                <w:szCs w:val="18"/>
                <w:lang w:val="sq-AL"/>
              </w:rPr>
            </w:pPr>
            <w:r w:rsidRPr="001A7A75">
              <w:rPr>
                <w:rFonts w:ascii="Garamond" w:hAnsi="Garamond"/>
                <w:sz w:val="18"/>
                <w:szCs w:val="18"/>
                <w:lang w:val="sq-AL"/>
              </w:rPr>
              <w:t>40 μg/m</w:t>
            </w:r>
            <w:r w:rsidRPr="001A7A75">
              <w:rPr>
                <w:rFonts w:ascii="Garamond" w:hAnsi="Garamond"/>
                <w:sz w:val="18"/>
                <w:szCs w:val="18"/>
                <w:vertAlign w:val="superscript"/>
                <w:lang w:val="sq-AL"/>
              </w:rPr>
              <w:t>3</w:t>
            </w:r>
          </w:p>
        </w:tc>
        <w:tc>
          <w:tcPr>
            <w:tcW w:w="2044" w:type="pct"/>
          </w:tcPr>
          <w:p w:rsidR="00ED3C64" w:rsidRPr="001A7A75" w:rsidRDefault="00ED3C64" w:rsidP="00BC62B1">
            <w:pPr>
              <w:widowControl w:val="0"/>
              <w:autoSpaceDE w:val="0"/>
              <w:autoSpaceDN w:val="0"/>
              <w:adjustRightInd w:val="0"/>
              <w:spacing w:after="0" w:line="240" w:lineRule="auto"/>
              <w:ind w:firstLine="0"/>
              <w:outlineLvl w:val="0"/>
              <w:rPr>
                <w:rFonts w:ascii="Garamond" w:hAnsi="Garamond"/>
                <w:sz w:val="18"/>
                <w:szCs w:val="18"/>
                <w:lang w:val="sq-AL"/>
              </w:rPr>
            </w:pPr>
            <w:r w:rsidRPr="001A7A75">
              <w:rPr>
                <w:rFonts w:ascii="Garamond" w:hAnsi="Garamond"/>
                <w:sz w:val="18"/>
                <w:szCs w:val="18"/>
                <w:lang w:val="sq-AL"/>
              </w:rPr>
              <w:t>50 % në 19 korrik 2009, që zvogëlohet në 1 janar 2011  dhe çdo 12 muaj më pas në përqindje të barabarta vjetore për të arritur në 0 % më 1 janar 2020</w:t>
            </w:r>
          </w:p>
        </w:tc>
        <w:tc>
          <w:tcPr>
            <w:tcW w:w="800" w:type="pct"/>
          </w:tcPr>
          <w:p w:rsidR="00ED3C64" w:rsidRPr="001A7A75" w:rsidRDefault="00ED3C64" w:rsidP="00BC62B1">
            <w:pPr>
              <w:widowControl w:val="0"/>
              <w:autoSpaceDE w:val="0"/>
              <w:autoSpaceDN w:val="0"/>
              <w:adjustRightInd w:val="0"/>
              <w:spacing w:after="0" w:line="240" w:lineRule="auto"/>
              <w:ind w:firstLine="0"/>
              <w:outlineLvl w:val="0"/>
              <w:rPr>
                <w:rFonts w:ascii="Garamond" w:hAnsi="Garamond"/>
                <w:sz w:val="18"/>
                <w:szCs w:val="18"/>
                <w:lang w:val="sq-AL"/>
              </w:rPr>
            </w:pPr>
            <w:r w:rsidRPr="001A7A75">
              <w:rPr>
                <w:rFonts w:ascii="Garamond" w:hAnsi="Garamond"/>
                <w:sz w:val="18"/>
                <w:szCs w:val="18"/>
                <w:lang w:val="sq-AL"/>
              </w:rPr>
              <w:t>1 janar 2020</w:t>
            </w:r>
          </w:p>
        </w:tc>
      </w:tr>
      <w:tr w:rsidR="00ED3C64" w:rsidRPr="001A7A75" w:rsidTr="00BC62B1">
        <w:trPr>
          <w:jc w:val="center"/>
        </w:trPr>
        <w:tc>
          <w:tcPr>
            <w:tcW w:w="5000" w:type="pct"/>
            <w:gridSpan w:val="4"/>
          </w:tcPr>
          <w:p w:rsidR="00ED3C64" w:rsidRPr="001A7A75" w:rsidRDefault="00ED3C64" w:rsidP="00BC62B1">
            <w:pPr>
              <w:widowControl w:val="0"/>
              <w:autoSpaceDE w:val="0"/>
              <w:autoSpaceDN w:val="0"/>
              <w:adjustRightInd w:val="0"/>
              <w:spacing w:after="0" w:line="240" w:lineRule="auto"/>
              <w:ind w:firstLine="0"/>
              <w:outlineLvl w:val="0"/>
              <w:rPr>
                <w:rFonts w:ascii="Garamond" w:hAnsi="Garamond"/>
                <w:b/>
                <w:sz w:val="18"/>
                <w:szCs w:val="18"/>
                <w:lang w:val="sq-AL"/>
              </w:rPr>
            </w:pPr>
            <w:r w:rsidRPr="001A7A75">
              <w:rPr>
                <w:rFonts w:ascii="Garamond" w:hAnsi="Garamond"/>
                <w:b/>
                <w:sz w:val="18"/>
                <w:szCs w:val="18"/>
                <w:lang w:val="sq-AL"/>
              </w:rPr>
              <w:t>Benzeni</w:t>
            </w:r>
          </w:p>
        </w:tc>
      </w:tr>
      <w:tr w:rsidR="00ED3C64" w:rsidRPr="001A7A75" w:rsidTr="00BC62B1">
        <w:trPr>
          <w:jc w:val="center"/>
        </w:trPr>
        <w:tc>
          <w:tcPr>
            <w:tcW w:w="973" w:type="pct"/>
          </w:tcPr>
          <w:p w:rsidR="00ED3C64" w:rsidRPr="001A7A75" w:rsidRDefault="00ED3C64" w:rsidP="00BC62B1">
            <w:pPr>
              <w:widowControl w:val="0"/>
              <w:autoSpaceDE w:val="0"/>
              <w:autoSpaceDN w:val="0"/>
              <w:adjustRightInd w:val="0"/>
              <w:spacing w:after="0" w:line="240" w:lineRule="auto"/>
              <w:ind w:firstLine="0"/>
              <w:outlineLvl w:val="0"/>
              <w:rPr>
                <w:rFonts w:ascii="Garamond" w:hAnsi="Garamond"/>
                <w:sz w:val="18"/>
                <w:szCs w:val="18"/>
                <w:lang w:val="sq-AL"/>
              </w:rPr>
            </w:pPr>
            <w:r w:rsidRPr="001A7A75">
              <w:rPr>
                <w:rFonts w:ascii="Garamond" w:hAnsi="Garamond"/>
                <w:sz w:val="18"/>
                <w:szCs w:val="18"/>
                <w:lang w:val="sq-AL"/>
              </w:rPr>
              <w:t>Viti kalendarik</w:t>
            </w:r>
          </w:p>
        </w:tc>
        <w:tc>
          <w:tcPr>
            <w:tcW w:w="1183" w:type="pct"/>
          </w:tcPr>
          <w:p w:rsidR="00ED3C64" w:rsidRPr="001A7A75" w:rsidRDefault="00ED3C64" w:rsidP="00BC62B1">
            <w:pPr>
              <w:widowControl w:val="0"/>
              <w:autoSpaceDE w:val="0"/>
              <w:autoSpaceDN w:val="0"/>
              <w:adjustRightInd w:val="0"/>
              <w:spacing w:after="0" w:line="240" w:lineRule="auto"/>
              <w:ind w:firstLine="0"/>
              <w:outlineLvl w:val="0"/>
              <w:rPr>
                <w:rFonts w:ascii="Garamond" w:hAnsi="Garamond"/>
                <w:sz w:val="18"/>
                <w:szCs w:val="18"/>
                <w:lang w:val="sq-AL"/>
              </w:rPr>
            </w:pPr>
            <w:r w:rsidRPr="001A7A75">
              <w:rPr>
                <w:rFonts w:ascii="Garamond" w:hAnsi="Garamond"/>
                <w:sz w:val="18"/>
                <w:szCs w:val="18"/>
                <w:lang w:val="sq-AL"/>
              </w:rPr>
              <w:t>5 μg/m</w:t>
            </w:r>
            <w:r w:rsidRPr="001A7A75">
              <w:rPr>
                <w:rFonts w:ascii="Garamond" w:hAnsi="Garamond"/>
                <w:sz w:val="18"/>
                <w:szCs w:val="18"/>
                <w:vertAlign w:val="superscript"/>
                <w:lang w:val="sq-AL"/>
              </w:rPr>
              <w:t>3</w:t>
            </w:r>
          </w:p>
        </w:tc>
        <w:tc>
          <w:tcPr>
            <w:tcW w:w="2044" w:type="pct"/>
          </w:tcPr>
          <w:p w:rsidR="00ED3C64" w:rsidRPr="001A7A75" w:rsidRDefault="00ED3C64" w:rsidP="00BC62B1">
            <w:pPr>
              <w:widowControl w:val="0"/>
              <w:autoSpaceDE w:val="0"/>
              <w:autoSpaceDN w:val="0"/>
              <w:adjustRightInd w:val="0"/>
              <w:spacing w:after="0" w:line="240" w:lineRule="auto"/>
              <w:ind w:firstLine="0"/>
              <w:outlineLvl w:val="0"/>
              <w:rPr>
                <w:rFonts w:ascii="Garamond" w:hAnsi="Garamond"/>
                <w:sz w:val="18"/>
                <w:szCs w:val="18"/>
                <w:lang w:val="sq-AL"/>
              </w:rPr>
            </w:pPr>
            <w:r w:rsidRPr="001A7A75">
              <w:rPr>
                <w:rFonts w:ascii="Garamond" w:hAnsi="Garamond"/>
                <w:sz w:val="18"/>
                <w:szCs w:val="18"/>
                <w:lang w:val="sq-AL"/>
              </w:rPr>
              <w:t>5 μg/m</w:t>
            </w:r>
            <w:r w:rsidRPr="001A7A75">
              <w:rPr>
                <w:rFonts w:ascii="Garamond" w:hAnsi="Garamond"/>
                <w:sz w:val="18"/>
                <w:szCs w:val="18"/>
                <w:vertAlign w:val="superscript"/>
                <w:lang w:val="sq-AL"/>
              </w:rPr>
              <w:t>3</w:t>
            </w:r>
            <w:r w:rsidRPr="001A7A75">
              <w:rPr>
                <w:rFonts w:ascii="Garamond" w:hAnsi="Garamond"/>
                <w:sz w:val="18"/>
                <w:szCs w:val="18"/>
                <w:lang w:val="sq-AL"/>
              </w:rPr>
              <w:t xml:space="preserve"> (100 %) më 13 dhjetor 2010, që zvogëlohet në 1 janar 2016 dhe çdo 12 muaj më pas me 1 μg/m</w:t>
            </w:r>
            <w:r w:rsidRPr="001A7A75">
              <w:rPr>
                <w:rFonts w:ascii="Garamond" w:hAnsi="Garamond"/>
                <w:sz w:val="18"/>
                <w:szCs w:val="18"/>
                <w:vertAlign w:val="superscript"/>
                <w:lang w:val="sq-AL"/>
              </w:rPr>
              <w:t>3</w:t>
            </w:r>
            <w:r w:rsidRPr="001A7A75">
              <w:rPr>
                <w:rFonts w:ascii="Garamond" w:hAnsi="Garamond"/>
                <w:sz w:val="18"/>
                <w:szCs w:val="18"/>
                <w:lang w:val="sq-AL"/>
              </w:rPr>
              <w:t xml:space="preserve"> për të arritur në  0 % më 1 janar 2020</w:t>
            </w:r>
          </w:p>
        </w:tc>
        <w:tc>
          <w:tcPr>
            <w:tcW w:w="800" w:type="pct"/>
          </w:tcPr>
          <w:p w:rsidR="00ED3C64" w:rsidRPr="001A7A75" w:rsidRDefault="00ED3C64" w:rsidP="00BC62B1">
            <w:pPr>
              <w:widowControl w:val="0"/>
              <w:autoSpaceDE w:val="0"/>
              <w:autoSpaceDN w:val="0"/>
              <w:adjustRightInd w:val="0"/>
              <w:spacing w:after="0" w:line="240" w:lineRule="auto"/>
              <w:ind w:firstLine="0"/>
              <w:outlineLvl w:val="0"/>
              <w:rPr>
                <w:rFonts w:ascii="Garamond" w:hAnsi="Garamond"/>
                <w:sz w:val="18"/>
                <w:szCs w:val="18"/>
                <w:lang w:val="sq-AL"/>
              </w:rPr>
            </w:pPr>
            <w:r w:rsidRPr="001A7A75">
              <w:rPr>
                <w:rFonts w:ascii="Garamond" w:hAnsi="Garamond"/>
                <w:sz w:val="18"/>
                <w:szCs w:val="18"/>
                <w:lang w:val="sq-AL"/>
              </w:rPr>
              <w:t>1 janar 2020</w:t>
            </w:r>
          </w:p>
        </w:tc>
      </w:tr>
      <w:tr w:rsidR="00ED3C64" w:rsidRPr="001A7A75" w:rsidTr="00BC62B1">
        <w:trPr>
          <w:jc w:val="center"/>
        </w:trPr>
        <w:tc>
          <w:tcPr>
            <w:tcW w:w="5000" w:type="pct"/>
            <w:gridSpan w:val="4"/>
          </w:tcPr>
          <w:p w:rsidR="00ED3C64" w:rsidRPr="001A7A75" w:rsidRDefault="00ED3C64" w:rsidP="00BC62B1">
            <w:pPr>
              <w:widowControl w:val="0"/>
              <w:autoSpaceDE w:val="0"/>
              <w:autoSpaceDN w:val="0"/>
              <w:adjustRightInd w:val="0"/>
              <w:spacing w:after="0" w:line="240" w:lineRule="auto"/>
              <w:ind w:firstLine="0"/>
              <w:outlineLvl w:val="0"/>
              <w:rPr>
                <w:rFonts w:ascii="Garamond" w:hAnsi="Garamond"/>
                <w:b/>
                <w:sz w:val="18"/>
                <w:szCs w:val="18"/>
                <w:lang w:val="sq-AL"/>
              </w:rPr>
            </w:pPr>
            <w:r w:rsidRPr="001A7A75">
              <w:rPr>
                <w:rFonts w:ascii="Garamond" w:hAnsi="Garamond"/>
                <w:b/>
                <w:sz w:val="18"/>
                <w:szCs w:val="18"/>
                <w:lang w:val="sq-AL"/>
              </w:rPr>
              <w:t>Monoksidi i karbonit</w:t>
            </w:r>
          </w:p>
        </w:tc>
      </w:tr>
      <w:tr w:rsidR="00ED3C64" w:rsidRPr="001A7A75" w:rsidTr="00BC62B1">
        <w:trPr>
          <w:jc w:val="center"/>
        </w:trPr>
        <w:tc>
          <w:tcPr>
            <w:tcW w:w="973" w:type="pct"/>
          </w:tcPr>
          <w:p w:rsidR="00ED3C64" w:rsidRPr="001A7A75" w:rsidRDefault="00ED3C64" w:rsidP="00BC62B1">
            <w:pPr>
              <w:widowControl w:val="0"/>
              <w:autoSpaceDE w:val="0"/>
              <w:autoSpaceDN w:val="0"/>
              <w:adjustRightInd w:val="0"/>
              <w:spacing w:after="0" w:line="240" w:lineRule="auto"/>
              <w:ind w:firstLine="0"/>
              <w:outlineLvl w:val="0"/>
              <w:rPr>
                <w:rFonts w:ascii="Garamond" w:hAnsi="Garamond"/>
                <w:sz w:val="18"/>
                <w:szCs w:val="18"/>
                <w:lang w:val="sq-AL"/>
              </w:rPr>
            </w:pPr>
            <w:r w:rsidRPr="001A7A75">
              <w:rPr>
                <w:rFonts w:ascii="Garamond" w:hAnsi="Garamond"/>
                <w:sz w:val="18"/>
                <w:szCs w:val="18"/>
                <w:lang w:val="sq-AL"/>
              </w:rPr>
              <w:t>Mesatarja mesatare ditore tetorëshe</w:t>
            </w:r>
          </w:p>
          <w:p w:rsidR="00ED3C64" w:rsidRPr="001A7A75" w:rsidRDefault="00ED3C64" w:rsidP="00BC62B1">
            <w:pPr>
              <w:pStyle w:val="ListParagraph"/>
              <w:widowControl w:val="0"/>
              <w:spacing w:after="0" w:line="240" w:lineRule="auto"/>
              <w:ind w:left="0"/>
              <w:jc w:val="both"/>
              <w:outlineLvl w:val="0"/>
              <w:rPr>
                <w:rFonts w:ascii="Garamond" w:hAnsi="Garamond"/>
                <w:sz w:val="18"/>
                <w:szCs w:val="18"/>
                <w:lang w:val="sq-AL"/>
              </w:rPr>
            </w:pPr>
            <w:r w:rsidRPr="001A7A75">
              <w:rPr>
                <w:rFonts w:ascii="Garamond" w:hAnsi="Garamond"/>
                <w:sz w:val="18"/>
                <w:szCs w:val="18"/>
                <w:lang w:val="sq-AL"/>
              </w:rPr>
              <w:t xml:space="preserve"> (2)</w:t>
            </w:r>
          </w:p>
        </w:tc>
        <w:tc>
          <w:tcPr>
            <w:tcW w:w="1183" w:type="pct"/>
          </w:tcPr>
          <w:p w:rsidR="00ED3C64" w:rsidRPr="001A7A75" w:rsidRDefault="00ED3C64" w:rsidP="00BC62B1">
            <w:pPr>
              <w:pStyle w:val="ListParagraph"/>
              <w:widowControl w:val="0"/>
              <w:spacing w:after="0" w:line="240" w:lineRule="auto"/>
              <w:ind w:left="0"/>
              <w:jc w:val="both"/>
              <w:outlineLvl w:val="0"/>
              <w:rPr>
                <w:rFonts w:ascii="Garamond" w:hAnsi="Garamond"/>
                <w:sz w:val="18"/>
                <w:szCs w:val="18"/>
                <w:lang w:val="sq-AL"/>
              </w:rPr>
            </w:pPr>
            <w:r w:rsidRPr="001A7A75">
              <w:rPr>
                <w:rFonts w:ascii="Garamond" w:hAnsi="Garamond"/>
                <w:sz w:val="18"/>
                <w:szCs w:val="18"/>
                <w:lang w:val="sq-AL"/>
              </w:rPr>
              <w:t>10 mg/m</w:t>
            </w:r>
            <w:r w:rsidRPr="001A7A75">
              <w:rPr>
                <w:rFonts w:ascii="Garamond" w:hAnsi="Garamond"/>
                <w:sz w:val="18"/>
                <w:szCs w:val="18"/>
                <w:vertAlign w:val="superscript"/>
                <w:lang w:val="sq-AL"/>
              </w:rPr>
              <w:t>3</w:t>
            </w:r>
          </w:p>
        </w:tc>
        <w:tc>
          <w:tcPr>
            <w:tcW w:w="2044" w:type="pct"/>
          </w:tcPr>
          <w:p w:rsidR="00ED3C64" w:rsidRPr="001A7A75" w:rsidRDefault="00ED3C64" w:rsidP="00BC62B1">
            <w:pPr>
              <w:pStyle w:val="ListParagraph"/>
              <w:widowControl w:val="0"/>
              <w:spacing w:after="0" w:line="240" w:lineRule="auto"/>
              <w:ind w:left="0"/>
              <w:jc w:val="both"/>
              <w:outlineLvl w:val="0"/>
              <w:rPr>
                <w:rFonts w:ascii="Garamond" w:hAnsi="Garamond"/>
                <w:sz w:val="18"/>
                <w:szCs w:val="18"/>
                <w:lang w:val="sq-AL"/>
              </w:rPr>
            </w:pPr>
            <w:r w:rsidRPr="001A7A75">
              <w:rPr>
                <w:rFonts w:ascii="Garamond" w:hAnsi="Garamond"/>
                <w:sz w:val="18"/>
                <w:szCs w:val="18"/>
                <w:lang w:val="sq-AL"/>
              </w:rPr>
              <w:t>60 %</w:t>
            </w:r>
          </w:p>
        </w:tc>
        <w:tc>
          <w:tcPr>
            <w:tcW w:w="800" w:type="pct"/>
          </w:tcPr>
          <w:p w:rsidR="00ED3C64" w:rsidRPr="001A7A75" w:rsidRDefault="00ED3C64" w:rsidP="00BC62B1">
            <w:pPr>
              <w:pStyle w:val="ListParagraph"/>
              <w:widowControl w:val="0"/>
              <w:spacing w:after="0" w:line="240" w:lineRule="auto"/>
              <w:ind w:left="0"/>
              <w:jc w:val="both"/>
              <w:outlineLvl w:val="0"/>
              <w:rPr>
                <w:rFonts w:ascii="Garamond" w:hAnsi="Garamond"/>
                <w:sz w:val="18"/>
                <w:szCs w:val="18"/>
                <w:lang w:val="sq-AL"/>
              </w:rPr>
            </w:pPr>
            <w:r w:rsidRPr="001A7A75">
              <w:rPr>
                <w:rFonts w:ascii="Garamond" w:hAnsi="Garamond"/>
                <w:sz w:val="18"/>
                <w:szCs w:val="18"/>
                <w:lang w:val="sq-AL"/>
              </w:rPr>
              <w:t>1 janar 2020</w:t>
            </w:r>
          </w:p>
        </w:tc>
      </w:tr>
      <w:tr w:rsidR="00ED3C64" w:rsidRPr="001A7A75" w:rsidTr="00BC62B1">
        <w:trPr>
          <w:jc w:val="center"/>
        </w:trPr>
        <w:tc>
          <w:tcPr>
            <w:tcW w:w="5000" w:type="pct"/>
            <w:gridSpan w:val="4"/>
          </w:tcPr>
          <w:p w:rsidR="00ED3C64" w:rsidRPr="001A7A75" w:rsidRDefault="00ED3C64" w:rsidP="00BC62B1">
            <w:pPr>
              <w:widowControl w:val="0"/>
              <w:autoSpaceDE w:val="0"/>
              <w:autoSpaceDN w:val="0"/>
              <w:adjustRightInd w:val="0"/>
              <w:spacing w:after="0" w:line="240" w:lineRule="auto"/>
              <w:ind w:firstLine="0"/>
              <w:rPr>
                <w:rFonts w:ascii="Garamond" w:hAnsi="Garamond"/>
                <w:b/>
                <w:sz w:val="18"/>
                <w:szCs w:val="18"/>
                <w:lang w:val="sq-AL"/>
              </w:rPr>
            </w:pPr>
            <w:r w:rsidRPr="001A7A75">
              <w:rPr>
                <w:rFonts w:ascii="Garamond" w:hAnsi="Garamond"/>
                <w:b/>
                <w:sz w:val="18"/>
                <w:szCs w:val="18"/>
                <w:lang w:val="sq-AL"/>
              </w:rPr>
              <w:t>Plumbi</w:t>
            </w:r>
          </w:p>
        </w:tc>
      </w:tr>
      <w:tr w:rsidR="00ED3C64" w:rsidRPr="001A7A75" w:rsidTr="00BC62B1">
        <w:trPr>
          <w:jc w:val="center"/>
        </w:trPr>
        <w:tc>
          <w:tcPr>
            <w:tcW w:w="973" w:type="pct"/>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Viti kalendarik</w:t>
            </w:r>
          </w:p>
        </w:tc>
        <w:tc>
          <w:tcPr>
            <w:tcW w:w="1183" w:type="pct"/>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0,5 μg/m</w:t>
            </w:r>
            <w:r w:rsidRPr="001A7A75">
              <w:rPr>
                <w:rFonts w:ascii="Garamond" w:hAnsi="Garamond"/>
                <w:sz w:val="18"/>
                <w:szCs w:val="18"/>
                <w:vertAlign w:val="superscript"/>
                <w:lang w:val="sq-AL"/>
              </w:rPr>
              <w:t>3</w:t>
            </w:r>
            <w:r w:rsidRPr="001A7A75">
              <w:rPr>
                <w:rFonts w:ascii="Garamond" w:hAnsi="Garamond"/>
                <w:sz w:val="18"/>
                <w:szCs w:val="18"/>
                <w:lang w:val="sq-AL"/>
              </w:rPr>
              <w:t xml:space="preserve"> (3)</w:t>
            </w:r>
          </w:p>
        </w:tc>
        <w:tc>
          <w:tcPr>
            <w:tcW w:w="2044" w:type="pct"/>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100 %</w:t>
            </w:r>
          </w:p>
        </w:tc>
        <w:tc>
          <w:tcPr>
            <w:tcW w:w="800" w:type="pct"/>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1 janar 2020</w:t>
            </w:r>
          </w:p>
        </w:tc>
      </w:tr>
      <w:tr w:rsidR="00ED3C64" w:rsidRPr="001A7A75" w:rsidTr="00BC62B1">
        <w:trPr>
          <w:jc w:val="center"/>
        </w:trPr>
        <w:tc>
          <w:tcPr>
            <w:tcW w:w="5000" w:type="pct"/>
            <w:gridSpan w:val="4"/>
          </w:tcPr>
          <w:p w:rsidR="00ED3C64" w:rsidRPr="001A7A75" w:rsidRDefault="00ED3C64" w:rsidP="00BC62B1">
            <w:pPr>
              <w:widowControl w:val="0"/>
              <w:autoSpaceDE w:val="0"/>
              <w:autoSpaceDN w:val="0"/>
              <w:adjustRightInd w:val="0"/>
              <w:spacing w:after="0" w:line="240" w:lineRule="auto"/>
              <w:ind w:firstLine="0"/>
              <w:rPr>
                <w:rFonts w:ascii="Garamond" w:hAnsi="Garamond"/>
                <w:b/>
                <w:sz w:val="18"/>
                <w:szCs w:val="18"/>
                <w:lang w:val="sq-AL"/>
              </w:rPr>
            </w:pPr>
            <w:r w:rsidRPr="001A7A75">
              <w:rPr>
                <w:rFonts w:ascii="Garamond" w:hAnsi="Garamond"/>
                <w:b/>
                <w:sz w:val="18"/>
                <w:szCs w:val="18"/>
                <w:lang w:val="sq-AL"/>
              </w:rPr>
              <w:t>PM</w:t>
            </w:r>
            <w:r w:rsidRPr="001A7A75">
              <w:rPr>
                <w:rFonts w:ascii="Garamond" w:hAnsi="Garamond"/>
                <w:b/>
                <w:sz w:val="18"/>
                <w:szCs w:val="18"/>
                <w:vertAlign w:val="subscript"/>
                <w:lang w:val="sq-AL"/>
              </w:rPr>
              <w:t>10</w:t>
            </w:r>
          </w:p>
        </w:tc>
      </w:tr>
      <w:tr w:rsidR="00ED3C64" w:rsidRPr="001A7A75" w:rsidTr="00BC62B1">
        <w:trPr>
          <w:jc w:val="center"/>
        </w:trPr>
        <w:tc>
          <w:tcPr>
            <w:tcW w:w="973" w:type="pct"/>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Një ditë</w:t>
            </w:r>
          </w:p>
        </w:tc>
        <w:tc>
          <w:tcPr>
            <w:tcW w:w="1183" w:type="pct"/>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50 μg/m</w:t>
            </w:r>
            <w:r w:rsidRPr="001A7A75">
              <w:rPr>
                <w:rFonts w:ascii="Garamond" w:hAnsi="Garamond"/>
                <w:sz w:val="18"/>
                <w:szCs w:val="18"/>
                <w:vertAlign w:val="superscript"/>
                <w:lang w:val="sq-AL"/>
              </w:rPr>
              <w:t>3</w:t>
            </w:r>
            <w:r w:rsidRPr="001A7A75">
              <w:rPr>
                <w:rFonts w:ascii="Garamond" w:hAnsi="Garamond"/>
                <w:sz w:val="18"/>
                <w:szCs w:val="18"/>
                <w:lang w:val="sq-AL"/>
              </w:rPr>
              <w:t>, të mos kapërcehet më shumë se 35 herë gjatë një viti</w:t>
            </w:r>
          </w:p>
        </w:tc>
        <w:tc>
          <w:tcPr>
            <w:tcW w:w="2044" w:type="pct"/>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50 %</w:t>
            </w:r>
          </w:p>
        </w:tc>
        <w:tc>
          <w:tcPr>
            <w:tcW w:w="800" w:type="pct"/>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1 janar 2030</w:t>
            </w:r>
          </w:p>
        </w:tc>
      </w:tr>
      <w:tr w:rsidR="00ED3C64" w:rsidRPr="001A7A75" w:rsidTr="00BC62B1">
        <w:trPr>
          <w:jc w:val="center"/>
        </w:trPr>
        <w:tc>
          <w:tcPr>
            <w:tcW w:w="973" w:type="pct"/>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Viti kalendarik</w:t>
            </w:r>
          </w:p>
        </w:tc>
        <w:tc>
          <w:tcPr>
            <w:tcW w:w="1183" w:type="pct"/>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40 μg/m</w:t>
            </w:r>
            <w:r w:rsidRPr="001A7A75">
              <w:rPr>
                <w:rFonts w:ascii="Garamond" w:hAnsi="Garamond"/>
                <w:sz w:val="18"/>
                <w:szCs w:val="18"/>
                <w:vertAlign w:val="superscript"/>
                <w:lang w:val="sq-AL"/>
              </w:rPr>
              <w:t>3</w:t>
            </w:r>
          </w:p>
        </w:tc>
        <w:tc>
          <w:tcPr>
            <w:tcW w:w="2044" w:type="pct"/>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20 %</w:t>
            </w:r>
          </w:p>
        </w:tc>
        <w:tc>
          <w:tcPr>
            <w:tcW w:w="800" w:type="pct"/>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1 janar 2030</w:t>
            </w:r>
          </w:p>
        </w:tc>
      </w:tr>
      <w:tr w:rsidR="00ED3C64" w:rsidRPr="001A7A75" w:rsidTr="00BC62B1">
        <w:trPr>
          <w:jc w:val="center"/>
        </w:trPr>
        <w:tc>
          <w:tcPr>
            <w:tcW w:w="5000" w:type="pct"/>
            <w:gridSpan w:val="4"/>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(2) Përqendrimi mesatar ditor tetë orësh do të përzgjidhet nga ekzaminimi i mesatareve të tetë orëve njëra pas tjetrës, llogaritur nga të dhënat e çdo ore dhe të përditësuar çdo orë. Çdo mesatare tetorëshe e llogaritur në këtë mënyrë do t’i caktohet ditës në të cilën mbaron që do të thotë se periudha e llogaritjes së parë për çdonjërën nga ditët do të jetë periudha nga ora 17:00 e ditës së mëparshme deri në orën 01:00 të asaj dite; periudha e llogaritjes së fundit për çdonjërën nga ditët do të jetë periudha nga ora 16:00 deri në orën 24:00 të asaj dite.</w:t>
            </w:r>
          </w:p>
        </w:tc>
      </w:tr>
      <w:tr w:rsidR="00ED3C64" w:rsidRPr="001A7A75" w:rsidTr="00BC62B1">
        <w:trPr>
          <w:jc w:val="center"/>
        </w:trPr>
        <w:tc>
          <w:tcPr>
            <w:tcW w:w="5000" w:type="pct"/>
            <w:gridSpan w:val="4"/>
          </w:tcPr>
          <w:p w:rsidR="00ED3C64" w:rsidRPr="001A7A75" w:rsidRDefault="00ED3C64" w:rsidP="00BC62B1">
            <w:pPr>
              <w:widowControl w:val="0"/>
              <w:autoSpaceDE w:val="0"/>
              <w:autoSpaceDN w:val="0"/>
              <w:adjustRightInd w:val="0"/>
              <w:spacing w:after="0" w:line="240" w:lineRule="auto"/>
              <w:ind w:firstLine="0"/>
              <w:rPr>
                <w:rFonts w:ascii="Garamond" w:hAnsi="Garamond"/>
                <w:sz w:val="18"/>
                <w:szCs w:val="18"/>
                <w:lang w:val="sq-AL"/>
              </w:rPr>
            </w:pPr>
            <w:r w:rsidRPr="001A7A75">
              <w:rPr>
                <w:rFonts w:ascii="Garamond" w:hAnsi="Garamond"/>
                <w:sz w:val="18"/>
                <w:szCs w:val="18"/>
                <w:lang w:val="sq-AL"/>
              </w:rPr>
              <w:t>(3) Vlera kufi të plotësohet vetëm më 1 janar 2025 në afërsi të drejtpërdrejtë me burimet e zonave industriale specifike që ndodhen në territore të ndotura për dekada me radhë nga aktivitetet industriale. Në raste të tilla, vlera kufi deri më 1 janar 2025 do të 1,0 μg/m</w:t>
            </w:r>
            <w:r w:rsidRPr="001A7A75">
              <w:rPr>
                <w:rFonts w:ascii="Garamond" w:hAnsi="Garamond"/>
                <w:sz w:val="18"/>
                <w:szCs w:val="18"/>
                <w:vertAlign w:val="superscript"/>
                <w:lang w:val="sq-AL"/>
              </w:rPr>
              <w:t>3</w:t>
            </w:r>
            <w:r w:rsidRPr="001A7A75">
              <w:rPr>
                <w:rFonts w:ascii="Garamond" w:hAnsi="Garamond"/>
                <w:sz w:val="18"/>
                <w:szCs w:val="18"/>
                <w:lang w:val="sq-AL"/>
              </w:rPr>
              <w:t>. Zona në të cilën vlerat kufi më të larta nuk duhet të shtrihet më larg se 1 000 m nga burime të tilla specifike.</w:t>
            </w:r>
          </w:p>
        </w:tc>
      </w:tr>
    </w:tbl>
    <w:p w:rsidR="00ED3C64" w:rsidRPr="00031315" w:rsidRDefault="00ED3C64" w:rsidP="00ED3C64">
      <w:pPr>
        <w:pStyle w:val="Paragrafi"/>
        <w:jc w:val="center"/>
        <w:rPr>
          <w:spacing w:val="-4"/>
          <w:sz w:val="14"/>
          <w:lang w:val="sq-AL"/>
        </w:rPr>
      </w:pPr>
    </w:p>
    <w:p w:rsidR="00ED3C64" w:rsidRPr="00964EF5" w:rsidRDefault="00ED3C64" w:rsidP="00ED3C64">
      <w:pPr>
        <w:pStyle w:val="Paragrafi"/>
        <w:jc w:val="center"/>
        <w:rPr>
          <w:spacing w:val="-4"/>
          <w:lang w:val="sq-AL"/>
        </w:rPr>
      </w:pPr>
      <w:r w:rsidRPr="00964EF5">
        <w:rPr>
          <w:spacing w:val="-4"/>
          <w:lang w:val="sq-AL"/>
        </w:rPr>
        <w:t>ANEKSI XII</w:t>
      </w:r>
    </w:p>
    <w:p w:rsidR="00ED3C64" w:rsidRPr="00964EF5" w:rsidRDefault="00ED3C64" w:rsidP="00ED3C64">
      <w:pPr>
        <w:pStyle w:val="Paragrafi"/>
        <w:jc w:val="center"/>
        <w:rPr>
          <w:spacing w:val="-4"/>
          <w:lang w:val="sq-AL"/>
        </w:rPr>
      </w:pPr>
      <w:r w:rsidRPr="00964EF5">
        <w:rPr>
          <w:spacing w:val="-4"/>
          <w:lang w:val="sq-AL"/>
        </w:rPr>
        <w:t>Pragjet e informimit dhe të alarmit</w:t>
      </w:r>
    </w:p>
    <w:p w:rsidR="00ED3C64" w:rsidRPr="00964EF5" w:rsidRDefault="00ED3C64" w:rsidP="00ED3C64">
      <w:pPr>
        <w:pStyle w:val="Paragrafi"/>
        <w:jc w:val="center"/>
        <w:rPr>
          <w:spacing w:val="-4"/>
          <w:lang w:val="sq-AL"/>
        </w:rPr>
      </w:pPr>
      <w:r w:rsidRPr="00964EF5">
        <w:rPr>
          <w:spacing w:val="-4"/>
          <w:lang w:val="sq-AL"/>
        </w:rPr>
        <w:t>(Referuar në pikën 21 të këtij vendimi)</w:t>
      </w:r>
    </w:p>
    <w:p w:rsidR="00ED3C64" w:rsidRPr="001A7A75" w:rsidRDefault="00ED3C64" w:rsidP="00ED3C64">
      <w:pPr>
        <w:pStyle w:val="Paragrafi"/>
        <w:rPr>
          <w:spacing w:val="-4"/>
          <w:sz w:val="8"/>
          <w:lang w:val="sq-AL"/>
        </w:rPr>
      </w:pPr>
    </w:p>
    <w:p w:rsidR="00ED3C64" w:rsidRPr="00964EF5" w:rsidRDefault="00ED3C64" w:rsidP="00ED3C64">
      <w:pPr>
        <w:pStyle w:val="Paragrafi"/>
        <w:rPr>
          <w:spacing w:val="-4"/>
          <w:lang w:val="sq-AL"/>
        </w:rPr>
      </w:pPr>
      <w:r w:rsidRPr="00964EF5">
        <w:rPr>
          <w:spacing w:val="-4"/>
          <w:lang w:val="sq-AL"/>
        </w:rPr>
        <w:t>Seksioni A. Pragjet e alarmit për ndotësit, me përjashtim të ozonit</w:t>
      </w:r>
    </w:p>
    <w:p w:rsidR="00ED3C64" w:rsidRDefault="00ED3C64" w:rsidP="00ED3C64">
      <w:pPr>
        <w:pStyle w:val="Paragrafi"/>
        <w:rPr>
          <w:spacing w:val="-4"/>
          <w:lang w:val="sq-AL"/>
        </w:rPr>
      </w:pPr>
      <w:r w:rsidRPr="00964EF5">
        <w:rPr>
          <w:spacing w:val="-4"/>
          <w:lang w:val="sq-AL"/>
        </w:rPr>
        <w:t>Për t’u matur gjatë 3 orëve të njëpasnjëshme në territore përfaqësuese të cilësisë së ajrit përgjatë të paktën 100 km</w:t>
      </w:r>
      <w:r w:rsidRPr="00964EF5">
        <w:rPr>
          <w:spacing w:val="-4"/>
          <w:vertAlign w:val="superscript"/>
          <w:lang w:val="sq-AL"/>
        </w:rPr>
        <w:t>2</w:t>
      </w:r>
      <w:r w:rsidRPr="00964EF5">
        <w:rPr>
          <w:spacing w:val="-4"/>
          <w:lang w:val="sq-AL"/>
        </w:rPr>
        <w:t xml:space="preserve"> ose një zonë ose aglomerat të tërë, cilido qoftë më i vogli.</w:t>
      </w:r>
    </w:p>
    <w:p w:rsidR="00ED3C64" w:rsidRPr="00031315" w:rsidRDefault="00ED3C64" w:rsidP="00ED3C64">
      <w:pPr>
        <w:pStyle w:val="Paragrafi"/>
        <w:rPr>
          <w:sz w:val="12"/>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92"/>
        <w:gridCol w:w="4963"/>
      </w:tblGrid>
      <w:tr w:rsidR="00ED3C64" w:rsidRPr="001A7A75" w:rsidTr="00BC62B1">
        <w:trPr>
          <w:jc w:val="center"/>
        </w:trPr>
        <w:tc>
          <w:tcPr>
            <w:tcW w:w="2482" w:type="pct"/>
          </w:tcPr>
          <w:p w:rsidR="00ED3C64" w:rsidRPr="00CF64B6" w:rsidRDefault="00ED3C64" w:rsidP="00BC62B1">
            <w:pPr>
              <w:pStyle w:val="ListParagraph"/>
              <w:widowControl w:val="0"/>
              <w:spacing w:after="0" w:line="240" w:lineRule="auto"/>
              <w:ind w:left="0"/>
              <w:rPr>
                <w:rFonts w:ascii="Garamond" w:hAnsi="Garamond"/>
                <w:b/>
                <w:sz w:val="18"/>
                <w:szCs w:val="18"/>
                <w:lang w:val="sq-AL"/>
              </w:rPr>
            </w:pPr>
            <w:r w:rsidRPr="00CF64B6">
              <w:rPr>
                <w:rFonts w:ascii="Garamond" w:hAnsi="Garamond"/>
                <w:b/>
                <w:sz w:val="18"/>
                <w:szCs w:val="18"/>
                <w:lang w:val="sq-AL"/>
              </w:rPr>
              <w:t>Ndotësit</w:t>
            </w:r>
          </w:p>
        </w:tc>
        <w:tc>
          <w:tcPr>
            <w:tcW w:w="2518" w:type="pct"/>
          </w:tcPr>
          <w:p w:rsidR="00ED3C64" w:rsidRPr="00CF64B6" w:rsidRDefault="00ED3C64" w:rsidP="00BC62B1">
            <w:pPr>
              <w:pStyle w:val="ListParagraph"/>
              <w:widowControl w:val="0"/>
              <w:spacing w:after="0" w:line="240" w:lineRule="auto"/>
              <w:ind w:left="0"/>
              <w:rPr>
                <w:rFonts w:ascii="Garamond" w:hAnsi="Garamond"/>
                <w:b/>
                <w:sz w:val="18"/>
                <w:szCs w:val="18"/>
                <w:lang w:val="sq-AL"/>
              </w:rPr>
            </w:pPr>
            <w:r w:rsidRPr="00CF64B6">
              <w:rPr>
                <w:rFonts w:ascii="Garamond" w:hAnsi="Garamond"/>
                <w:b/>
                <w:sz w:val="18"/>
                <w:szCs w:val="18"/>
                <w:lang w:val="sq-AL"/>
              </w:rPr>
              <w:t>Pragu i alarmit</w:t>
            </w:r>
          </w:p>
        </w:tc>
      </w:tr>
      <w:tr w:rsidR="00ED3C64" w:rsidRPr="001A7A75" w:rsidTr="00BC62B1">
        <w:trPr>
          <w:jc w:val="center"/>
        </w:trPr>
        <w:tc>
          <w:tcPr>
            <w:tcW w:w="2482" w:type="pct"/>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Dyoksidi i squfurit</w:t>
            </w:r>
          </w:p>
        </w:tc>
        <w:tc>
          <w:tcPr>
            <w:tcW w:w="2518" w:type="pct"/>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500 μg/m</w:t>
            </w:r>
            <w:r w:rsidRPr="001A7A75">
              <w:rPr>
                <w:rFonts w:ascii="Garamond" w:hAnsi="Garamond"/>
                <w:sz w:val="18"/>
                <w:szCs w:val="18"/>
                <w:vertAlign w:val="superscript"/>
                <w:lang w:val="sq-AL"/>
              </w:rPr>
              <w:t>3</w:t>
            </w:r>
          </w:p>
        </w:tc>
      </w:tr>
      <w:tr w:rsidR="00ED3C64" w:rsidRPr="001A7A75" w:rsidTr="00BC62B1">
        <w:trPr>
          <w:jc w:val="center"/>
        </w:trPr>
        <w:tc>
          <w:tcPr>
            <w:tcW w:w="2482" w:type="pct"/>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Dyoksidi i azotit</w:t>
            </w:r>
          </w:p>
        </w:tc>
        <w:tc>
          <w:tcPr>
            <w:tcW w:w="2518" w:type="pct"/>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400 μg/m</w:t>
            </w:r>
            <w:r w:rsidRPr="001A7A75">
              <w:rPr>
                <w:rFonts w:ascii="Garamond" w:hAnsi="Garamond"/>
                <w:sz w:val="18"/>
                <w:szCs w:val="18"/>
                <w:vertAlign w:val="superscript"/>
                <w:lang w:val="sq-AL"/>
              </w:rPr>
              <w:t>3</w:t>
            </w:r>
          </w:p>
        </w:tc>
      </w:tr>
    </w:tbl>
    <w:p w:rsidR="00ED3C64" w:rsidRPr="001A7A75" w:rsidRDefault="00ED3C64" w:rsidP="00ED3C64">
      <w:pPr>
        <w:pStyle w:val="Paragrafi"/>
        <w:rPr>
          <w:sz w:val="18"/>
          <w:szCs w:val="18"/>
          <w:lang w:val="sq-AL"/>
        </w:rPr>
      </w:pPr>
      <w:r w:rsidRPr="001A7A75">
        <w:rPr>
          <w:sz w:val="18"/>
          <w:szCs w:val="18"/>
          <w:lang w:val="sq-AL"/>
        </w:rPr>
        <w:t>Seksioni B. Pragjet e informimit dhe të alarmit për ozonin</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05"/>
        <w:gridCol w:w="2681"/>
        <w:gridCol w:w="4169"/>
      </w:tblGrid>
      <w:tr w:rsidR="00ED3C64" w:rsidRPr="001A7A75" w:rsidTr="00BC62B1">
        <w:trPr>
          <w:jc w:val="center"/>
        </w:trPr>
        <w:tc>
          <w:tcPr>
            <w:tcW w:w="1525" w:type="pct"/>
          </w:tcPr>
          <w:p w:rsidR="00ED3C64" w:rsidRPr="00CF64B6" w:rsidRDefault="00ED3C64" w:rsidP="00BC62B1">
            <w:pPr>
              <w:pStyle w:val="ListParagraph"/>
              <w:widowControl w:val="0"/>
              <w:spacing w:after="0" w:line="240" w:lineRule="auto"/>
              <w:ind w:left="0"/>
              <w:rPr>
                <w:rFonts w:ascii="Garamond" w:hAnsi="Garamond"/>
                <w:b/>
                <w:sz w:val="18"/>
                <w:szCs w:val="18"/>
                <w:lang w:val="sq-AL"/>
              </w:rPr>
            </w:pPr>
            <w:r w:rsidRPr="00CF64B6">
              <w:rPr>
                <w:rFonts w:ascii="Garamond" w:hAnsi="Garamond"/>
                <w:b/>
                <w:sz w:val="18"/>
                <w:szCs w:val="18"/>
                <w:lang w:val="sq-AL"/>
              </w:rPr>
              <w:t>Qëllimi</w:t>
            </w:r>
          </w:p>
        </w:tc>
        <w:tc>
          <w:tcPr>
            <w:tcW w:w="1360" w:type="pct"/>
          </w:tcPr>
          <w:p w:rsidR="00ED3C64" w:rsidRPr="00CF64B6" w:rsidRDefault="00ED3C64" w:rsidP="00BC62B1">
            <w:pPr>
              <w:pStyle w:val="ListParagraph"/>
              <w:widowControl w:val="0"/>
              <w:spacing w:after="0" w:line="240" w:lineRule="auto"/>
              <w:ind w:left="0"/>
              <w:rPr>
                <w:rFonts w:ascii="Garamond" w:hAnsi="Garamond"/>
                <w:b/>
                <w:sz w:val="18"/>
                <w:szCs w:val="18"/>
                <w:lang w:val="sq-AL"/>
              </w:rPr>
            </w:pPr>
            <w:r w:rsidRPr="00CF64B6">
              <w:rPr>
                <w:rFonts w:ascii="Garamond" w:hAnsi="Garamond"/>
                <w:b/>
                <w:sz w:val="18"/>
                <w:szCs w:val="18"/>
                <w:lang w:val="sq-AL"/>
              </w:rPr>
              <w:t>Periudha mesatare</w:t>
            </w:r>
          </w:p>
        </w:tc>
        <w:tc>
          <w:tcPr>
            <w:tcW w:w="2116" w:type="pct"/>
          </w:tcPr>
          <w:p w:rsidR="00ED3C64" w:rsidRPr="00CF64B6" w:rsidRDefault="00ED3C64" w:rsidP="00BC62B1">
            <w:pPr>
              <w:pStyle w:val="ListParagraph"/>
              <w:widowControl w:val="0"/>
              <w:spacing w:after="0" w:line="240" w:lineRule="auto"/>
              <w:ind w:left="0"/>
              <w:rPr>
                <w:rFonts w:ascii="Garamond" w:hAnsi="Garamond"/>
                <w:b/>
                <w:sz w:val="18"/>
                <w:szCs w:val="18"/>
                <w:lang w:val="sq-AL"/>
              </w:rPr>
            </w:pPr>
            <w:r w:rsidRPr="00CF64B6">
              <w:rPr>
                <w:rFonts w:ascii="Garamond" w:hAnsi="Garamond"/>
                <w:b/>
                <w:sz w:val="18"/>
                <w:szCs w:val="18"/>
                <w:lang w:val="sq-AL"/>
              </w:rPr>
              <w:t>Pragu</w:t>
            </w:r>
          </w:p>
        </w:tc>
      </w:tr>
      <w:tr w:rsidR="00ED3C64" w:rsidRPr="001A7A75" w:rsidTr="00BC62B1">
        <w:trPr>
          <w:jc w:val="center"/>
        </w:trPr>
        <w:tc>
          <w:tcPr>
            <w:tcW w:w="1525" w:type="pct"/>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Informimi</w:t>
            </w:r>
          </w:p>
        </w:tc>
        <w:tc>
          <w:tcPr>
            <w:tcW w:w="1360" w:type="pct"/>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1 orë</w:t>
            </w:r>
          </w:p>
        </w:tc>
        <w:tc>
          <w:tcPr>
            <w:tcW w:w="2116" w:type="pct"/>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180 μg/m</w:t>
            </w:r>
            <w:r w:rsidRPr="001A7A75">
              <w:rPr>
                <w:rFonts w:ascii="Garamond" w:hAnsi="Garamond"/>
                <w:sz w:val="18"/>
                <w:szCs w:val="18"/>
                <w:vertAlign w:val="superscript"/>
                <w:lang w:val="sq-AL"/>
              </w:rPr>
              <w:t>3</w:t>
            </w:r>
          </w:p>
        </w:tc>
      </w:tr>
      <w:tr w:rsidR="00ED3C64" w:rsidRPr="001A7A75" w:rsidTr="00BC62B1">
        <w:trPr>
          <w:jc w:val="center"/>
        </w:trPr>
        <w:tc>
          <w:tcPr>
            <w:tcW w:w="1525" w:type="pct"/>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Alarmi</w:t>
            </w:r>
          </w:p>
        </w:tc>
        <w:tc>
          <w:tcPr>
            <w:tcW w:w="1360" w:type="pct"/>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1 orë (1)</w:t>
            </w:r>
          </w:p>
        </w:tc>
        <w:tc>
          <w:tcPr>
            <w:tcW w:w="2116" w:type="pct"/>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240 μg/m</w:t>
            </w:r>
            <w:r w:rsidRPr="001A7A75">
              <w:rPr>
                <w:rFonts w:ascii="Garamond" w:hAnsi="Garamond"/>
                <w:sz w:val="18"/>
                <w:szCs w:val="18"/>
                <w:vertAlign w:val="superscript"/>
                <w:lang w:val="sq-AL"/>
              </w:rPr>
              <w:t>3</w:t>
            </w:r>
          </w:p>
        </w:tc>
      </w:tr>
      <w:tr w:rsidR="00ED3C64" w:rsidRPr="001A7A75" w:rsidTr="00BC62B1">
        <w:trPr>
          <w:jc w:val="center"/>
        </w:trPr>
        <w:tc>
          <w:tcPr>
            <w:tcW w:w="5000" w:type="pct"/>
            <w:gridSpan w:val="3"/>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(1) Për zbatimin e nenit 10 të draft ligjit nr.... datë... “Për mbrojtjen e cilësisë se ajrit të mjedisit r” dhe pikës 21 të këtij vendimi, kapërcimi i pragut është për t’u matur ose parashikohet për çdo 3 orë të njëpasnjëshme</w:t>
            </w:r>
          </w:p>
        </w:tc>
      </w:tr>
    </w:tbl>
    <w:p w:rsidR="00ED3C64" w:rsidRPr="00031315" w:rsidRDefault="00ED3C64" w:rsidP="00ED3C64">
      <w:pPr>
        <w:pStyle w:val="Paragrafi"/>
        <w:rPr>
          <w:sz w:val="14"/>
          <w:lang w:val="sq-AL"/>
        </w:rPr>
      </w:pPr>
    </w:p>
    <w:p w:rsidR="00ED3C64" w:rsidRPr="00DC42C4" w:rsidRDefault="00ED3C64" w:rsidP="00ED3C64">
      <w:pPr>
        <w:pStyle w:val="Paragrafi"/>
        <w:jc w:val="center"/>
        <w:rPr>
          <w:lang w:val="sq-AL"/>
        </w:rPr>
      </w:pPr>
      <w:r w:rsidRPr="00DC42C4">
        <w:rPr>
          <w:lang w:val="sq-AL"/>
        </w:rPr>
        <w:t>ANEKSI XIII</w:t>
      </w:r>
    </w:p>
    <w:p w:rsidR="00ED3C64" w:rsidRPr="00DC42C4" w:rsidRDefault="00ED3C64" w:rsidP="00ED3C64">
      <w:pPr>
        <w:pStyle w:val="Paragrafi"/>
        <w:jc w:val="center"/>
        <w:rPr>
          <w:lang w:val="sq-AL"/>
        </w:rPr>
      </w:pPr>
      <w:r w:rsidRPr="00DC42C4">
        <w:rPr>
          <w:lang w:val="sq-AL"/>
        </w:rPr>
        <w:t>Nivelet kritike për mbrojtjen e bimësisë</w:t>
      </w:r>
    </w:p>
    <w:p w:rsidR="00ED3C64" w:rsidRPr="00DC42C4" w:rsidRDefault="00ED3C64" w:rsidP="00ED3C64">
      <w:pPr>
        <w:pStyle w:val="Paragrafi"/>
        <w:jc w:val="center"/>
        <w:rPr>
          <w:lang w:val="sq-AL"/>
        </w:rPr>
      </w:pPr>
      <w:r w:rsidRPr="00DC42C4">
        <w:rPr>
          <w:lang w:val="sq-AL"/>
        </w:rPr>
        <w:t>(Referuar në pikën 19.1 të këtij vendimi)</w:t>
      </w:r>
    </w:p>
    <w:p w:rsidR="00ED3C64" w:rsidRPr="00DC42C4" w:rsidRDefault="00ED3C64" w:rsidP="00ED3C64">
      <w:pPr>
        <w:pStyle w:val="Hapesira7"/>
        <w:rPr>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83"/>
        <w:gridCol w:w="3286"/>
        <w:gridCol w:w="3286"/>
      </w:tblGrid>
      <w:tr w:rsidR="00ED3C64" w:rsidRPr="00DC42C4" w:rsidTr="00BC62B1">
        <w:tc>
          <w:tcPr>
            <w:tcW w:w="1666" w:type="pct"/>
          </w:tcPr>
          <w:p w:rsidR="00ED3C64" w:rsidRPr="005C2E74" w:rsidRDefault="00ED3C64" w:rsidP="00BC62B1">
            <w:pPr>
              <w:pStyle w:val="ListParagraph"/>
              <w:widowControl w:val="0"/>
              <w:spacing w:after="0" w:line="240" w:lineRule="auto"/>
              <w:ind w:left="0"/>
              <w:jc w:val="center"/>
              <w:rPr>
                <w:rFonts w:ascii="Garamond" w:hAnsi="Garamond"/>
                <w:b/>
                <w:sz w:val="20"/>
                <w:szCs w:val="20"/>
                <w:lang w:val="sq-AL"/>
              </w:rPr>
            </w:pPr>
            <w:r w:rsidRPr="005C2E74">
              <w:rPr>
                <w:rFonts w:ascii="Garamond" w:hAnsi="Garamond"/>
                <w:b/>
                <w:sz w:val="20"/>
                <w:szCs w:val="20"/>
                <w:lang w:val="sq-AL"/>
              </w:rPr>
              <w:t>Periudha mesatare</w:t>
            </w:r>
          </w:p>
        </w:tc>
        <w:tc>
          <w:tcPr>
            <w:tcW w:w="1667" w:type="pct"/>
          </w:tcPr>
          <w:p w:rsidR="00ED3C64" w:rsidRPr="005C2E74" w:rsidRDefault="00ED3C64" w:rsidP="00BC62B1">
            <w:pPr>
              <w:pStyle w:val="ListParagraph"/>
              <w:widowControl w:val="0"/>
              <w:spacing w:after="0" w:line="240" w:lineRule="auto"/>
              <w:ind w:left="0"/>
              <w:jc w:val="center"/>
              <w:rPr>
                <w:rFonts w:ascii="Garamond" w:hAnsi="Garamond"/>
                <w:b/>
                <w:sz w:val="20"/>
                <w:szCs w:val="20"/>
                <w:lang w:val="sq-AL"/>
              </w:rPr>
            </w:pPr>
            <w:r w:rsidRPr="005C2E74">
              <w:rPr>
                <w:rFonts w:ascii="Garamond" w:hAnsi="Garamond"/>
                <w:b/>
                <w:sz w:val="20"/>
                <w:szCs w:val="20"/>
                <w:lang w:val="sq-AL"/>
              </w:rPr>
              <w:t>Nivel kritik</w:t>
            </w:r>
          </w:p>
        </w:tc>
        <w:tc>
          <w:tcPr>
            <w:tcW w:w="1667" w:type="pct"/>
          </w:tcPr>
          <w:p w:rsidR="00ED3C64" w:rsidRPr="005C2E74" w:rsidRDefault="00ED3C64" w:rsidP="00BC62B1">
            <w:pPr>
              <w:pStyle w:val="ListParagraph"/>
              <w:widowControl w:val="0"/>
              <w:spacing w:after="0" w:line="240" w:lineRule="auto"/>
              <w:ind w:left="0"/>
              <w:jc w:val="center"/>
              <w:rPr>
                <w:rFonts w:ascii="Garamond" w:hAnsi="Garamond"/>
                <w:b/>
                <w:sz w:val="20"/>
                <w:szCs w:val="20"/>
                <w:lang w:val="sq-AL"/>
              </w:rPr>
            </w:pPr>
            <w:r w:rsidRPr="005C2E74">
              <w:rPr>
                <w:rFonts w:ascii="Garamond" w:hAnsi="Garamond"/>
                <w:b/>
                <w:sz w:val="20"/>
                <w:szCs w:val="20"/>
                <w:lang w:val="sq-AL"/>
              </w:rPr>
              <w:t>Marzhi i tolerancës</w:t>
            </w:r>
          </w:p>
        </w:tc>
      </w:tr>
      <w:tr w:rsidR="00ED3C64" w:rsidRPr="00DC42C4" w:rsidTr="00BC62B1">
        <w:tc>
          <w:tcPr>
            <w:tcW w:w="5000" w:type="pct"/>
            <w:gridSpan w:val="3"/>
          </w:tcPr>
          <w:p w:rsidR="00ED3C64" w:rsidRPr="00DC42C4" w:rsidRDefault="00ED3C64" w:rsidP="00BC62B1">
            <w:pPr>
              <w:pStyle w:val="ListParagraph"/>
              <w:widowControl w:val="0"/>
              <w:spacing w:after="0" w:line="240" w:lineRule="auto"/>
              <w:ind w:left="0"/>
              <w:jc w:val="both"/>
              <w:rPr>
                <w:rFonts w:ascii="Garamond" w:hAnsi="Garamond"/>
                <w:b/>
                <w:sz w:val="20"/>
                <w:szCs w:val="20"/>
                <w:lang w:val="sq-AL"/>
              </w:rPr>
            </w:pPr>
            <w:r>
              <w:rPr>
                <w:rFonts w:ascii="Garamond" w:hAnsi="Garamond"/>
                <w:b/>
                <w:sz w:val="20"/>
                <w:szCs w:val="20"/>
                <w:lang w:val="sq-AL"/>
              </w:rPr>
              <w:t>Dyoksid</w:t>
            </w:r>
            <w:r w:rsidRPr="00DC42C4">
              <w:rPr>
                <w:rFonts w:ascii="Garamond" w:hAnsi="Garamond"/>
                <w:b/>
                <w:sz w:val="20"/>
                <w:szCs w:val="20"/>
                <w:lang w:val="sq-AL"/>
              </w:rPr>
              <w:t>i i squfurit</w:t>
            </w:r>
          </w:p>
        </w:tc>
      </w:tr>
      <w:tr w:rsidR="00ED3C64" w:rsidRPr="00DC42C4" w:rsidTr="00BC62B1">
        <w:tc>
          <w:tcPr>
            <w:tcW w:w="1666" w:type="pct"/>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Viti kalendarik dhe dimri</w:t>
            </w:r>
          </w:p>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 xml:space="preserve">(1 </w:t>
            </w:r>
            <w:r>
              <w:rPr>
                <w:rFonts w:ascii="Garamond" w:hAnsi="Garamond"/>
                <w:sz w:val="20"/>
                <w:szCs w:val="20"/>
                <w:lang w:val="sq-AL"/>
              </w:rPr>
              <w:t>t</w:t>
            </w:r>
            <w:r w:rsidRPr="00DC42C4">
              <w:rPr>
                <w:rFonts w:ascii="Garamond" w:hAnsi="Garamond"/>
                <w:sz w:val="20"/>
                <w:szCs w:val="20"/>
                <w:lang w:val="sq-AL"/>
              </w:rPr>
              <w:t xml:space="preserve">etor deri 31 </w:t>
            </w:r>
            <w:r>
              <w:rPr>
                <w:rFonts w:ascii="Garamond" w:hAnsi="Garamond"/>
                <w:sz w:val="20"/>
                <w:szCs w:val="20"/>
                <w:lang w:val="sq-AL"/>
              </w:rPr>
              <w:t>m</w:t>
            </w:r>
            <w:r w:rsidRPr="00DC42C4">
              <w:rPr>
                <w:rFonts w:ascii="Garamond" w:hAnsi="Garamond"/>
                <w:sz w:val="20"/>
                <w:szCs w:val="20"/>
                <w:lang w:val="sq-AL"/>
              </w:rPr>
              <w:t>ars)</w:t>
            </w:r>
          </w:p>
        </w:tc>
        <w:tc>
          <w:tcPr>
            <w:tcW w:w="1667" w:type="pct"/>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20 μg/m</w:t>
            </w:r>
            <w:r w:rsidRPr="00DC42C4">
              <w:rPr>
                <w:rFonts w:ascii="Garamond" w:hAnsi="Garamond"/>
                <w:sz w:val="20"/>
                <w:szCs w:val="20"/>
                <w:vertAlign w:val="superscript"/>
                <w:lang w:val="sq-AL"/>
              </w:rPr>
              <w:t>3</w:t>
            </w:r>
          </w:p>
        </w:tc>
        <w:tc>
          <w:tcPr>
            <w:tcW w:w="1667" w:type="pct"/>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 xml:space="preserve">Asnjë </w:t>
            </w:r>
          </w:p>
        </w:tc>
      </w:tr>
      <w:tr w:rsidR="00ED3C64" w:rsidRPr="00DC42C4" w:rsidTr="00BC62B1">
        <w:tc>
          <w:tcPr>
            <w:tcW w:w="5000" w:type="pct"/>
            <w:gridSpan w:val="3"/>
          </w:tcPr>
          <w:p w:rsidR="00ED3C64" w:rsidRPr="00DC42C4" w:rsidRDefault="00ED3C64" w:rsidP="00BC62B1">
            <w:pPr>
              <w:pStyle w:val="ListParagraph"/>
              <w:widowControl w:val="0"/>
              <w:spacing w:after="0" w:line="240" w:lineRule="auto"/>
              <w:ind w:left="0"/>
              <w:jc w:val="both"/>
              <w:rPr>
                <w:rFonts w:ascii="Garamond" w:hAnsi="Garamond"/>
                <w:b/>
                <w:sz w:val="20"/>
                <w:szCs w:val="20"/>
                <w:lang w:val="sq-AL"/>
              </w:rPr>
            </w:pPr>
            <w:r w:rsidRPr="00DC42C4">
              <w:rPr>
                <w:rFonts w:ascii="Garamond" w:hAnsi="Garamond"/>
                <w:b/>
                <w:sz w:val="20"/>
                <w:szCs w:val="20"/>
                <w:lang w:val="sq-AL"/>
              </w:rPr>
              <w:t>Oksidet e azotit</w:t>
            </w:r>
          </w:p>
        </w:tc>
      </w:tr>
      <w:tr w:rsidR="00ED3C64" w:rsidRPr="00DC42C4" w:rsidTr="00BC62B1">
        <w:tc>
          <w:tcPr>
            <w:tcW w:w="1666" w:type="pct"/>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Viti kalendarik</w:t>
            </w:r>
          </w:p>
        </w:tc>
        <w:tc>
          <w:tcPr>
            <w:tcW w:w="1667" w:type="pct"/>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30 μg/m</w:t>
            </w:r>
            <w:r w:rsidRPr="00DC42C4">
              <w:rPr>
                <w:rFonts w:ascii="Garamond" w:hAnsi="Garamond"/>
                <w:sz w:val="20"/>
                <w:szCs w:val="20"/>
                <w:vertAlign w:val="superscript"/>
                <w:lang w:val="sq-AL"/>
              </w:rPr>
              <w:t>3</w:t>
            </w:r>
            <w:r w:rsidRPr="00DC42C4">
              <w:rPr>
                <w:rFonts w:ascii="Garamond" w:hAnsi="Garamond"/>
                <w:sz w:val="20"/>
                <w:szCs w:val="20"/>
                <w:lang w:val="sq-AL"/>
              </w:rPr>
              <w:t xml:space="preserve"> NOx</w:t>
            </w:r>
          </w:p>
        </w:tc>
        <w:tc>
          <w:tcPr>
            <w:tcW w:w="1667" w:type="pct"/>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 xml:space="preserve">Asnjë </w:t>
            </w:r>
          </w:p>
        </w:tc>
      </w:tr>
    </w:tbl>
    <w:p w:rsidR="00ED3C64" w:rsidRPr="00031315" w:rsidRDefault="00ED3C64" w:rsidP="00ED3C64">
      <w:pPr>
        <w:pStyle w:val="Paragrafi"/>
        <w:jc w:val="center"/>
        <w:rPr>
          <w:sz w:val="14"/>
          <w:lang w:val="sq-AL"/>
        </w:rPr>
      </w:pPr>
    </w:p>
    <w:p w:rsidR="00ED3C64" w:rsidRDefault="00ED3C64" w:rsidP="00ED3C64">
      <w:pPr>
        <w:pStyle w:val="Paragrafi"/>
        <w:jc w:val="center"/>
        <w:rPr>
          <w:lang w:val="sq-AL"/>
        </w:rPr>
        <w:sectPr w:rsidR="00ED3C64" w:rsidSect="001E746C">
          <w:type w:val="continuous"/>
          <w:pgSz w:w="11907" w:h="16840" w:code="9"/>
          <w:pgMar w:top="720" w:right="1134" w:bottom="720" w:left="1134" w:header="851" w:footer="851" w:gutter="0"/>
          <w:cols w:space="720"/>
          <w:docGrid w:linePitch="360"/>
        </w:sectPr>
      </w:pPr>
    </w:p>
    <w:p w:rsidR="00ED3C64" w:rsidRPr="00BD2584" w:rsidRDefault="00ED3C64" w:rsidP="00ED3C64">
      <w:pPr>
        <w:pStyle w:val="Paragrafi"/>
        <w:jc w:val="center"/>
        <w:rPr>
          <w:spacing w:val="-4"/>
          <w:lang w:val="sq-AL"/>
        </w:rPr>
      </w:pPr>
      <w:r w:rsidRPr="00BD2584">
        <w:rPr>
          <w:spacing w:val="-4"/>
          <w:lang w:val="sq-AL"/>
        </w:rPr>
        <w:lastRenderedPageBreak/>
        <w:t>ANEKSI XIV</w:t>
      </w:r>
    </w:p>
    <w:p w:rsidR="00ED3C64" w:rsidRPr="00BD2584" w:rsidRDefault="00ED3C64" w:rsidP="00ED3C64">
      <w:pPr>
        <w:pStyle w:val="Paragrafi"/>
        <w:jc w:val="center"/>
        <w:rPr>
          <w:spacing w:val="-4"/>
          <w:lang w:val="sq-AL"/>
        </w:rPr>
      </w:pPr>
      <w:r w:rsidRPr="00BD2584">
        <w:rPr>
          <w:spacing w:val="-4"/>
          <w:lang w:val="sq-AL"/>
        </w:rPr>
        <w:t>Synimi i pakësimit të ekspozimit kombëtar, vlera e synuar dhe vlera kufi për PM</w:t>
      </w:r>
      <w:r>
        <w:rPr>
          <w:spacing w:val="-4"/>
          <w:lang w:val="sq-AL"/>
        </w:rPr>
        <w:t xml:space="preserve"> </w:t>
      </w:r>
      <w:r w:rsidRPr="00CE1E6A">
        <w:rPr>
          <w:spacing w:val="-4"/>
          <w:vertAlign w:val="subscript"/>
          <w:lang w:val="sq-AL"/>
        </w:rPr>
        <w:t>2,5</w:t>
      </w:r>
    </w:p>
    <w:p w:rsidR="00ED3C64" w:rsidRPr="00BD2584" w:rsidRDefault="00ED3C64" w:rsidP="00ED3C64">
      <w:pPr>
        <w:pStyle w:val="Paragrafi"/>
        <w:jc w:val="center"/>
        <w:rPr>
          <w:spacing w:val="-4"/>
          <w:lang w:val="sq-AL"/>
        </w:rPr>
      </w:pPr>
      <w:r w:rsidRPr="00BD2584">
        <w:rPr>
          <w:spacing w:val="-4"/>
          <w:lang w:val="sq-AL"/>
        </w:rPr>
        <w:t>(Referuar në pikat 17.5, 24.1.a, 25, 26.2.a, 26.1.b, 26.2.b, 26.4 të këtij vendimi)</w:t>
      </w:r>
    </w:p>
    <w:p w:rsidR="00ED3C64" w:rsidRPr="001A7A75" w:rsidRDefault="00ED3C64" w:rsidP="00ED3C64">
      <w:pPr>
        <w:pStyle w:val="Hapesira7"/>
        <w:rPr>
          <w:spacing w:val="-4"/>
          <w:sz w:val="8"/>
          <w:lang w:val="sq-AL"/>
        </w:rPr>
      </w:pPr>
    </w:p>
    <w:p w:rsidR="00ED3C64" w:rsidRPr="00BD2584" w:rsidRDefault="00ED3C64" w:rsidP="00ED3C64">
      <w:pPr>
        <w:pStyle w:val="Paragrafi"/>
        <w:rPr>
          <w:spacing w:val="-4"/>
          <w:lang w:val="sq-AL"/>
        </w:rPr>
      </w:pPr>
      <w:r w:rsidRPr="00BD2584">
        <w:rPr>
          <w:spacing w:val="-4"/>
          <w:lang w:val="sq-AL"/>
        </w:rPr>
        <w:lastRenderedPageBreak/>
        <w:t>Seksioni A. Treguesi i ekspozimit mesatar</w:t>
      </w:r>
    </w:p>
    <w:p w:rsidR="00ED3C64" w:rsidRPr="00BD2584" w:rsidRDefault="00ED3C64" w:rsidP="00ED3C64">
      <w:pPr>
        <w:pStyle w:val="Paragrafi"/>
        <w:rPr>
          <w:spacing w:val="-4"/>
          <w:lang w:val="sq-AL"/>
        </w:rPr>
      </w:pPr>
      <w:r w:rsidRPr="00BD2584">
        <w:rPr>
          <w:spacing w:val="-4"/>
          <w:lang w:val="sq-AL"/>
        </w:rPr>
        <w:t>1. Treguesi i Ekspozimit Mesatar i shprehur në μg/m</w:t>
      </w:r>
      <w:r w:rsidRPr="00BD2584">
        <w:rPr>
          <w:spacing w:val="-4"/>
          <w:vertAlign w:val="superscript"/>
          <w:lang w:val="sq-AL"/>
        </w:rPr>
        <w:t>3</w:t>
      </w:r>
      <w:r w:rsidRPr="00BD2584">
        <w:rPr>
          <w:spacing w:val="-4"/>
          <w:lang w:val="sq-AL"/>
        </w:rPr>
        <w:t xml:space="preserve"> (TEM) bazohet në matjet në vendndodhje me karakter urban në zona dhe aglomeratë në të gjithë territorin e Republikës së Shqipërisë. TEM vlerësohet si përqendrimi mesatar vjetor i tre viteve kalendarike rresht i mesatarizuar për të gjitha pikat e marrjes së mostrave të ngritura në bazë të seksionit B të aneksit V të këtij vendimi. TEM për vitin 2020 do të jetë përqendrimi mesatar i viteve 2018, 2019 dhe 2020.</w:t>
      </w:r>
    </w:p>
    <w:p w:rsidR="00ED3C64" w:rsidRPr="00BD2584" w:rsidRDefault="00ED3C64" w:rsidP="00ED3C64">
      <w:pPr>
        <w:pStyle w:val="Paragrafi"/>
        <w:rPr>
          <w:spacing w:val="-4"/>
          <w:lang w:val="sq-AL"/>
        </w:rPr>
      </w:pPr>
      <w:r w:rsidRPr="00BD2584">
        <w:rPr>
          <w:spacing w:val="-4"/>
          <w:lang w:val="sq-AL"/>
        </w:rPr>
        <w:t>2. Megjithatë n.q.s. për vitin 2018 nuk disponohen të dhëna, AKM mund të përdorë përqendrimin mesatar të viteve 2019 dhe 2020 ose përqendrimin mesatar të vitit 2019, 2020 dhe 2021.</w:t>
      </w:r>
    </w:p>
    <w:p w:rsidR="00ED3C64" w:rsidRPr="00BD2584" w:rsidRDefault="00ED3C64" w:rsidP="00ED3C64">
      <w:pPr>
        <w:pStyle w:val="Paragrafi"/>
        <w:rPr>
          <w:spacing w:val="-4"/>
          <w:lang w:val="sq-AL"/>
        </w:rPr>
      </w:pPr>
      <w:r w:rsidRPr="00BD2584">
        <w:rPr>
          <w:spacing w:val="-4"/>
          <w:lang w:val="sq-AL"/>
        </w:rPr>
        <w:t>3. TEM për vitin 2030 do të jetë përqendrimi mesatar i 3 viteve rresht mesatarizuar përgjatë gjithë pikave të marrjes së mostrave për vitet 2028, 2029 dhe 2030. TEM përdoret për të gjykuar nëse është arritur synimi për pakësimin e ekspozimit kombëtar.</w:t>
      </w:r>
    </w:p>
    <w:p w:rsidR="00ED3C64" w:rsidRDefault="00ED3C64" w:rsidP="00ED3C64">
      <w:pPr>
        <w:pStyle w:val="Paragrafi"/>
        <w:rPr>
          <w:lang w:val="sq-AL"/>
        </w:rPr>
      </w:pPr>
      <w:r w:rsidRPr="00BD2584">
        <w:rPr>
          <w:spacing w:val="-4"/>
          <w:lang w:val="sq-AL"/>
        </w:rPr>
        <w:t>4. TEM për vitin 2015 do të jetë përqendrimin mesatar i 3 viteve rresht i mesatarizuar për të gjitha pikat e marrjes së mostrave për vitet 2023, 2024 dhe 2025. TEM përdoret për të gjykuar nëse është arritur detyrimi për përqendrimin e ekspozimit.</w:t>
      </w:r>
    </w:p>
    <w:p w:rsidR="00ED3C64" w:rsidRDefault="00ED3C64" w:rsidP="00ED3C64">
      <w:pPr>
        <w:pStyle w:val="Paragrafi"/>
        <w:rPr>
          <w:lang w:val="sq-AL"/>
        </w:rPr>
        <w:sectPr w:rsidR="00ED3C64" w:rsidSect="001E746C">
          <w:type w:val="continuous"/>
          <w:pgSz w:w="11907" w:h="16840" w:code="9"/>
          <w:pgMar w:top="720" w:right="1134" w:bottom="720" w:left="1134" w:header="851" w:footer="851" w:gutter="0"/>
          <w:cols w:space="454"/>
          <w:docGrid w:linePitch="360"/>
        </w:sectPr>
      </w:pPr>
    </w:p>
    <w:p w:rsidR="00ED3C64" w:rsidRDefault="00ED3C64" w:rsidP="00ED3C64">
      <w:pPr>
        <w:pStyle w:val="Paragrafi"/>
        <w:rPr>
          <w:lang w:val="sq-AL"/>
        </w:rPr>
      </w:pPr>
      <w:r w:rsidRPr="00DC42C4">
        <w:rPr>
          <w:lang w:val="sq-AL"/>
        </w:rPr>
        <w:lastRenderedPageBreak/>
        <w:t>Seksioni B. Synimi për pakësimin e ekspozimit kombëtar</w:t>
      </w:r>
    </w:p>
    <w:p w:rsidR="00ED3C64" w:rsidRPr="000C7791" w:rsidRDefault="00ED3C64" w:rsidP="00ED3C64">
      <w:pPr>
        <w:pStyle w:val="Paragrafi"/>
        <w:rPr>
          <w:sz w:val="14"/>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66"/>
        <w:gridCol w:w="4084"/>
        <w:gridCol w:w="2505"/>
      </w:tblGrid>
      <w:tr w:rsidR="00ED3C64" w:rsidRPr="00DC42C4" w:rsidTr="00BC62B1">
        <w:tc>
          <w:tcPr>
            <w:tcW w:w="3729" w:type="pct"/>
            <w:gridSpan w:val="2"/>
          </w:tcPr>
          <w:p w:rsidR="00ED3C64" w:rsidRPr="00DC42C4" w:rsidRDefault="00ED3C64" w:rsidP="00BC62B1">
            <w:pPr>
              <w:pStyle w:val="ListParagraph"/>
              <w:widowControl w:val="0"/>
              <w:numPr>
                <w:ilvl w:val="0"/>
                <w:numId w:val="20"/>
              </w:numPr>
              <w:spacing w:after="0" w:line="240" w:lineRule="auto"/>
              <w:ind w:left="0" w:firstLine="0"/>
              <w:jc w:val="both"/>
              <w:rPr>
                <w:rFonts w:ascii="Garamond" w:hAnsi="Garamond"/>
                <w:sz w:val="20"/>
                <w:szCs w:val="20"/>
                <w:lang w:val="sq-AL"/>
              </w:rPr>
            </w:pPr>
            <w:r w:rsidRPr="00DC42C4">
              <w:rPr>
                <w:rFonts w:ascii="Garamond" w:hAnsi="Garamond"/>
                <w:sz w:val="20"/>
                <w:szCs w:val="20"/>
                <w:lang w:val="sq-AL"/>
              </w:rPr>
              <w:t>Synimi i pakësimit të ekspozimit në lidhje me TEM në vitin  2020</w:t>
            </w:r>
          </w:p>
        </w:tc>
        <w:tc>
          <w:tcPr>
            <w:tcW w:w="1271" w:type="pct"/>
            <w:vMerge w:val="restart"/>
          </w:tcPr>
          <w:p w:rsidR="00ED3C64" w:rsidRPr="00DC42C4" w:rsidRDefault="00ED3C64" w:rsidP="00BC62B1">
            <w:pPr>
              <w:widowControl w:val="0"/>
              <w:numPr>
                <w:ilvl w:val="0"/>
                <w:numId w:val="20"/>
              </w:numPr>
              <w:autoSpaceDE w:val="0"/>
              <w:autoSpaceDN w:val="0"/>
              <w:adjustRightInd w:val="0"/>
              <w:spacing w:after="0" w:line="240" w:lineRule="auto"/>
              <w:ind w:left="0" w:firstLine="0"/>
              <w:jc w:val="left"/>
              <w:outlineLvl w:val="0"/>
              <w:rPr>
                <w:rFonts w:ascii="Garamond" w:hAnsi="Garamond"/>
                <w:sz w:val="20"/>
                <w:szCs w:val="20"/>
                <w:lang w:val="sq-AL"/>
              </w:rPr>
            </w:pPr>
            <w:r w:rsidRPr="00DC42C4">
              <w:rPr>
                <w:rFonts w:ascii="Garamond" w:hAnsi="Garamond"/>
                <w:sz w:val="20"/>
                <w:szCs w:val="20"/>
                <w:lang w:val="sq-AL"/>
              </w:rPr>
              <w:t>Viti kur duhet të arrihet synimi për pakësimin e ekspozimit</w:t>
            </w:r>
          </w:p>
        </w:tc>
      </w:tr>
      <w:tr w:rsidR="00ED3C64" w:rsidRPr="00DC42C4" w:rsidTr="00BC62B1">
        <w:tc>
          <w:tcPr>
            <w:tcW w:w="1657" w:type="pct"/>
          </w:tcPr>
          <w:p w:rsidR="00ED3C64" w:rsidRPr="00DC42C4" w:rsidRDefault="00ED3C64" w:rsidP="00BC62B1">
            <w:pPr>
              <w:pStyle w:val="ListParagraph"/>
              <w:widowControl w:val="0"/>
              <w:numPr>
                <w:ilvl w:val="0"/>
                <w:numId w:val="20"/>
              </w:numPr>
              <w:spacing w:after="0" w:line="240" w:lineRule="auto"/>
              <w:ind w:left="0" w:firstLine="0"/>
              <w:jc w:val="both"/>
              <w:outlineLvl w:val="0"/>
              <w:rPr>
                <w:rFonts w:ascii="Garamond" w:hAnsi="Garamond"/>
                <w:sz w:val="20"/>
                <w:szCs w:val="20"/>
                <w:lang w:val="sq-AL"/>
              </w:rPr>
            </w:pPr>
            <w:r w:rsidRPr="00DC42C4">
              <w:rPr>
                <w:rFonts w:ascii="Garamond" w:hAnsi="Garamond"/>
                <w:sz w:val="20"/>
                <w:szCs w:val="20"/>
                <w:lang w:val="sq-AL"/>
              </w:rPr>
              <w:t>Përqendrimet fillestare në μg/m³</w:t>
            </w:r>
          </w:p>
        </w:tc>
        <w:tc>
          <w:tcPr>
            <w:tcW w:w="2072" w:type="pct"/>
          </w:tcPr>
          <w:p w:rsidR="00ED3C64" w:rsidRPr="00DC42C4" w:rsidRDefault="00ED3C64" w:rsidP="00BC62B1">
            <w:pPr>
              <w:pStyle w:val="ListParagraph"/>
              <w:widowControl w:val="0"/>
              <w:numPr>
                <w:ilvl w:val="0"/>
                <w:numId w:val="20"/>
              </w:numPr>
              <w:spacing w:after="0" w:line="240" w:lineRule="auto"/>
              <w:ind w:left="0" w:firstLine="0"/>
              <w:jc w:val="both"/>
              <w:outlineLvl w:val="0"/>
              <w:rPr>
                <w:rFonts w:ascii="Garamond" w:hAnsi="Garamond"/>
                <w:sz w:val="20"/>
                <w:szCs w:val="20"/>
                <w:lang w:val="sq-AL"/>
              </w:rPr>
            </w:pPr>
            <w:r w:rsidRPr="00DC42C4">
              <w:rPr>
                <w:rFonts w:ascii="Garamond" w:hAnsi="Garamond"/>
                <w:sz w:val="20"/>
                <w:szCs w:val="20"/>
                <w:lang w:val="sq-AL"/>
              </w:rPr>
              <w:t>Synimi i pakësimit në përqindje</w:t>
            </w:r>
          </w:p>
        </w:tc>
        <w:tc>
          <w:tcPr>
            <w:tcW w:w="1271" w:type="pct"/>
            <w:vMerge/>
          </w:tcPr>
          <w:p w:rsidR="00ED3C64" w:rsidRPr="00DC42C4" w:rsidRDefault="00ED3C64" w:rsidP="00BC62B1">
            <w:pPr>
              <w:pStyle w:val="ListParagraph"/>
              <w:widowControl w:val="0"/>
              <w:numPr>
                <w:ilvl w:val="0"/>
                <w:numId w:val="20"/>
              </w:numPr>
              <w:spacing w:after="0" w:line="240" w:lineRule="auto"/>
              <w:ind w:left="0" w:firstLine="0"/>
              <w:jc w:val="both"/>
              <w:rPr>
                <w:rFonts w:ascii="Garamond" w:hAnsi="Garamond"/>
                <w:sz w:val="20"/>
                <w:szCs w:val="20"/>
                <w:lang w:val="sq-AL"/>
              </w:rPr>
            </w:pPr>
          </w:p>
        </w:tc>
      </w:tr>
      <w:tr w:rsidR="00ED3C64" w:rsidRPr="00DC42C4" w:rsidTr="00BC62B1">
        <w:tc>
          <w:tcPr>
            <w:tcW w:w="1657" w:type="pct"/>
          </w:tcPr>
          <w:p w:rsidR="00ED3C64" w:rsidRPr="00DC42C4" w:rsidRDefault="00ED3C64" w:rsidP="00BC62B1">
            <w:pPr>
              <w:pStyle w:val="ListParagraph"/>
              <w:widowControl w:val="0"/>
              <w:numPr>
                <w:ilvl w:val="0"/>
                <w:numId w:val="20"/>
              </w:numPr>
              <w:spacing w:after="0" w:line="240" w:lineRule="auto"/>
              <w:ind w:left="0" w:firstLine="0"/>
              <w:jc w:val="both"/>
              <w:rPr>
                <w:rFonts w:ascii="Garamond" w:hAnsi="Garamond"/>
                <w:sz w:val="20"/>
                <w:szCs w:val="20"/>
                <w:lang w:val="sq-AL"/>
              </w:rPr>
            </w:pPr>
            <w:r w:rsidRPr="00DC42C4">
              <w:rPr>
                <w:rFonts w:ascii="Garamond" w:hAnsi="Garamond"/>
                <w:sz w:val="20"/>
                <w:szCs w:val="20"/>
                <w:lang w:val="sq-AL"/>
              </w:rPr>
              <w:t>&lt; 8,5 = 8,5</w:t>
            </w:r>
          </w:p>
        </w:tc>
        <w:tc>
          <w:tcPr>
            <w:tcW w:w="2072" w:type="pct"/>
          </w:tcPr>
          <w:p w:rsidR="00ED3C64" w:rsidRPr="00DC42C4" w:rsidRDefault="00ED3C64" w:rsidP="00BC62B1">
            <w:pPr>
              <w:pStyle w:val="ListParagraph"/>
              <w:widowControl w:val="0"/>
              <w:numPr>
                <w:ilvl w:val="0"/>
                <w:numId w:val="20"/>
              </w:numPr>
              <w:spacing w:after="0" w:line="240" w:lineRule="auto"/>
              <w:ind w:left="0" w:firstLine="0"/>
              <w:jc w:val="center"/>
              <w:rPr>
                <w:rFonts w:ascii="Garamond" w:hAnsi="Garamond"/>
                <w:sz w:val="20"/>
                <w:szCs w:val="20"/>
                <w:lang w:val="sq-AL"/>
              </w:rPr>
            </w:pPr>
            <w:r w:rsidRPr="00DC42C4">
              <w:rPr>
                <w:rFonts w:ascii="Garamond" w:hAnsi="Garamond"/>
                <w:sz w:val="20"/>
                <w:szCs w:val="20"/>
                <w:lang w:val="sq-AL"/>
              </w:rPr>
              <w:t>0%</w:t>
            </w:r>
          </w:p>
        </w:tc>
        <w:tc>
          <w:tcPr>
            <w:tcW w:w="1271" w:type="pct"/>
            <w:vMerge w:val="restart"/>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p>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2030</w:t>
            </w:r>
          </w:p>
        </w:tc>
      </w:tr>
      <w:tr w:rsidR="00ED3C64" w:rsidRPr="00DC42C4" w:rsidTr="00BC62B1">
        <w:tc>
          <w:tcPr>
            <w:tcW w:w="1657" w:type="pct"/>
          </w:tcPr>
          <w:p w:rsidR="00ED3C64" w:rsidRPr="00DC42C4" w:rsidRDefault="00ED3C64" w:rsidP="00BC62B1">
            <w:pPr>
              <w:pStyle w:val="ListParagraph"/>
              <w:widowControl w:val="0"/>
              <w:numPr>
                <w:ilvl w:val="0"/>
                <w:numId w:val="20"/>
              </w:numPr>
              <w:spacing w:after="0" w:line="240" w:lineRule="auto"/>
              <w:ind w:left="0" w:firstLine="0"/>
              <w:jc w:val="both"/>
              <w:outlineLvl w:val="0"/>
              <w:rPr>
                <w:rFonts w:ascii="Garamond" w:hAnsi="Garamond"/>
                <w:sz w:val="20"/>
                <w:szCs w:val="20"/>
                <w:lang w:val="sq-AL"/>
              </w:rPr>
            </w:pPr>
            <w:r w:rsidRPr="00DC42C4">
              <w:rPr>
                <w:rFonts w:ascii="Garamond" w:hAnsi="Garamond"/>
                <w:sz w:val="20"/>
                <w:szCs w:val="20"/>
                <w:lang w:val="sq-AL"/>
              </w:rPr>
              <w:t>&gt; 8,5 — &lt; 13</w:t>
            </w:r>
          </w:p>
        </w:tc>
        <w:tc>
          <w:tcPr>
            <w:tcW w:w="2072" w:type="pct"/>
          </w:tcPr>
          <w:p w:rsidR="00ED3C64" w:rsidRPr="00DC42C4" w:rsidRDefault="00ED3C64" w:rsidP="00BC62B1">
            <w:pPr>
              <w:pStyle w:val="ListParagraph"/>
              <w:widowControl w:val="0"/>
              <w:numPr>
                <w:ilvl w:val="0"/>
                <w:numId w:val="20"/>
              </w:numPr>
              <w:spacing w:after="0" w:line="240" w:lineRule="auto"/>
              <w:ind w:left="0" w:firstLine="0"/>
              <w:jc w:val="center"/>
              <w:outlineLvl w:val="0"/>
              <w:rPr>
                <w:rFonts w:ascii="Garamond" w:hAnsi="Garamond"/>
                <w:sz w:val="20"/>
                <w:szCs w:val="20"/>
                <w:lang w:val="sq-AL"/>
              </w:rPr>
            </w:pPr>
            <w:r w:rsidRPr="00DC42C4">
              <w:rPr>
                <w:rFonts w:ascii="Garamond" w:hAnsi="Garamond"/>
                <w:sz w:val="20"/>
                <w:szCs w:val="20"/>
                <w:lang w:val="sq-AL"/>
              </w:rPr>
              <w:t>10%</w:t>
            </w:r>
          </w:p>
        </w:tc>
        <w:tc>
          <w:tcPr>
            <w:tcW w:w="1271" w:type="pct"/>
            <w:vMerge/>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p>
        </w:tc>
      </w:tr>
      <w:tr w:rsidR="00ED3C64" w:rsidRPr="00DC42C4" w:rsidTr="00BC62B1">
        <w:tc>
          <w:tcPr>
            <w:tcW w:w="1657" w:type="pct"/>
          </w:tcPr>
          <w:p w:rsidR="00ED3C64" w:rsidRPr="00DC42C4" w:rsidRDefault="00ED3C64" w:rsidP="00BC62B1">
            <w:pPr>
              <w:pStyle w:val="ListParagraph"/>
              <w:widowControl w:val="0"/>
              <w:numPr>
                <w:ilvl w:val="0"/>
                <w:numId w:val="20"/>
              </w:numPr>
              <w:spacing w:after="0" w:line="240" w:lineRule="auto"/>
              <w:ind w:left="0" w:firstLine="0"/>
              <w:jc w:val="both"/>
              <w:rPr>
                <w:rFonts w:ascii="Garamond" w:hAnsi="Garamond"/>
                <w:sz w:val="20"/>
                <w:szCs w:val="20"/>
                <w:lang w:val="sq-AL"/>
              </w:rPr>
            </w:pPr>
            <w:r w:rsidRPr="00DC42C4">
              <w:rPr>
                <w:rFonts w:ascii="Garamond" w:hAnsi="Garamond"/>
                <w:sz w:val="20"/>
                <w:szCs w:val="20"/>
                <w:lang w:val="sq-AL"/>
              </w:rPr>
              <w:t>= 13 — &lt; 18</w:t>
            </w:r>
          </w:p>
        </w:tc>
        <w:tc>
          <w:tcPr>
            <w:tcW w:w="2072" w:type="pct"/>
          </w:tcPr>
          <w:p w:rsidR="00ED3C64" w:rsidRPr="00DC42C4" w:rsidRDefault="00ED3C64" w:rsidP="00BC62B1">
            <w:pPr>
              <w:pStyle w:val="ListParagraph"/>
              <w:widowControl w:val="0"/>
              <w:numPr>
                <w:ilvl w:val="0"/>
                <w:numId w:val="20"/>
              </w:numPr>
              <w:spacing w:after="0" w:line="240" w:lineRule="auto"/>
              <w:ind w:left="0" w:firstLine="0"/>
              <w:jc w:val="center"/>
              <w:rPr>
                <w:rFonts w:ascii="Garamond" w:hAnsi="Garamond"/>
                <w:sz w:val="20"/>
                <w:szCs w:val="20"/>
                <w:lang w:val="sq-AL"/>
              </w:rPr>
            </w:pPr>
            <w:r w:rsidRPr="00DC42C4">
              <w:rPr>
                <w:rFonts w:ascii="Garamond" w:hAnsi="Garamond"/>
                <w:sz w:val="20"/>
                <w:szCs w:val="20"/>
                <w:lang w:val="sq-AL"/>
              </w:rPr>
              <w:t>15%</w:t>
            </w:r>
          </w:p>
        </w:tc>
        <w:tc>
          <w:tcPr>
            <w:tcW w:w="1271" w:type="pct"/>
            <w:vMerge/>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p>
        </w:tc>
      </w:tr>
      <w:tr w:rsidR="00ED3C64" w:rsidRPr="00DC42C4" w:rsidTr="00BC62B1">
        <w:tc>
          <w:tcPr>
            <w:tcW w:w="1657" w:type="pct"/>
          </w:tcPr>
          <w:p w:rsidR="00ED3C64" w:rsidRPr="00DC42C4" w:rsidRDefault="00ED3C64" w:rsidP="00BC62B1">
            <w:pPr>
              <w:pStyle w:val="ListParagraph"/>
              <w:widowControl w:val="0"/>
              <w:numPr>
                <w:ilvl w:val="0"/>
                <w:numId w:val="20"/>
              </w:numPr>
              <w:spacing w:after="0" w:line="240" w:lineRule="auto"/>
              <w:ind w:left="0" w:firstLine="0"/>
              <w:jc w:val="both"/>
              <w:rPr>
                <w:rFonts w:ascii="Garamond" w:hAnsi="Garamond"/>
                <w:sz w:val="20"/>
                <w:szCs w:val="20"/>
                <w:lang w:val="sq-AL"/>
              </w:rPr>
            </w:pPr>
            <w:r w:rsidRPr="00DC42C4">
              <w:rPr>
                <w:rFonts w:ascii="Garamond" w:hAnsi="Garamond"/>
                <w:sz w:val="20"/>
                <w:szCs w:val="20"/>
                <w:lang w:val="sq-AL"/>
              </w:rPr>
              <w:t>= 18 — &lt; 22</w:t>
            </w:r>
          </w:p>
        </w:tc>
        <w:tc>
          <w:tcPr>
            <w:tcW w:w="2072" w:type="pct"/>
          </w:tcPr>
          <w:p w:rsidR="00ED3C64" w:rsidRPr="00DC42C4" w:rsidRDefault="00ED3C64" w:rsidP="00BC62B1">
            <w:pPr>
              <w:pStyle w:val="ListParagraph"/>
              <w:widowControl w:val="0"/>
              <w:numPr>
                <w:ilvl w:val="0"/>
                <w:numId w:val="20"/>
              </w:numPr>
              <w:spacing w:after="0" w:line="240" w:lineRule="auto"/>
              <w:ind w:left="0" w:firstLine="0"/>
              <w:jc w:val="center"/>
              <w:rPr>
                <w:rFonts w:ascii="Garamond" w:hAnsi="Garamond"/>
                <w:sz w:val="20"/>
                <w:szCs w:val="20"/>
                <w:lang w:val="sq-AL"/>
              </w:rPr>
            </w:pPr>
            <w:r w:rsidRPr="00DC42C4">
              <w:rPr>
                <w:rFonts w:ascii="Garamond" w:hAnsi="Garamond"/>
                <w:sz w:val="20"/>
                <w:szCs w:val="20"/>
                <w:lang w:val="sq-AL"/>
              </w:rPr>
              <w:t>20%</w:t>
            </w:r>
          </w:p>
        </w:tc>
        <w:tc>
          <w:tcPr>
            <w:tcW w:w="1271" w:type="pct"/>
            <w:vMerge/>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p>
        </w:tc>
      </w:tr>
      <w:tr w:rsidR="00ED3C64" w:rsidRPr="00DC42C4" w:rsidTr="00BC62B1">
        <w:tc>
          <w:tcPr>
            <w:tcW w:w="1657" w:type="pct"/>
          </w:tcPr>
          <w:p w:rsidR="00ED3C64" w:rsidRPr="00DC42C4" w:rsidRDefault="00ED3C64" w:rsidP="00BC62B1">
            <w:pPr>
              <w:pStyle w:val="ListParagraph"/>
              <w:widowControl w:val="0"/>
              <w:numPr>
                <w:ilvl w:val="0"/>
                <w:numId w:val="20"/>
              </w:numPr>
              <w:spacing w:after="0" w:line="240" w:lineRule="auto"/>
              <w:ind w:left="0" w:firstLine="0"/>
              <w:jc w:val="both"/>
              <w:rPr>
                <w:rFonts w:ascii="Garamond" w:hAnsi="Garamond"/>
                <w:sz w:val="20"/>
                <w:szCs w:val="20"/>
                <w:lang w:val="sq-AL"/>
              </w:rPr>
            </w:pPr>
            <w:r w:rsidRPr="00DC42C4">
              <w:rPr>
                <w:rFonts w:ascii="Garamond" w:hAnsi="Garamond"/>
                <w:sz w:val="20"/>
                <w:szCs w:val="20"/>
                <w:lang w:val="sq-AL"/>
              </w:rPr>
              <w:t>≥ 22</w:t>
            </w:r>
          </w:p>
        </w:tc>
        <w:tc>
          <w:tcPr>
            <w:tcW w:w="2072" w:type="pct"/>
          </w:tcPr>
          <w:p w:rsidR="00ED3C64" w:rsidRPr="00DC42C4" w:rsidRDefault="00ED3C64" w:rsidP="00BC62B1">
            <w:pPr>
              <w:widowControl w:val="0"/>
              <w:autoSpaceDE w:val="0"/>
              <w:autoSpaceDN w:val="0"/>
              <w:adjustRightInd w:val="0"/>
              <w:spacing w:after="0" w:line="240" w:lineRule="auto"/>
              <w:ind w:firstLine="0"/>
              <w:rPr>
                <w:rFonts w:ascii="Garamond" w:hAnsi="Garamond"/>
                <w:sz w:val="20"/>
                <w:szCs w:val="20"/>
                <w:lang w:val="sq-AL"/>
              </w:rPr>
            </w:pPr>
            <w:r w:rsidRPr="00DC42C4">
              <w:rPr>
                <w:rFonts w:ascii="Garamond" w:hAnsi="Garamond"/>
                <w:sz w:val="20"/>
                <w:szCs w:val="20"/>
                <w:lang w:val="sq-AL"/>
              </w:rPr>
              <w:t>Të gjitha masat e duhura për të arritur 18 μg/m</w:t>
            </w:r>
            <w:r w:rsidRPr="00DC42C4">
              <w:rPr>
                <w:rFonts w:ascii="Garamond" w:hAnsi="Garamond"/>
                <w:sz w:val="20"/>
                <w:szCs w:val="20"/>
                <w:vertAlign w:val="superscript"/>
                <w:lang w:val="sq-AL"/>
              </w:rPr>
              <w:t>3</w:t>
            </w:r>
          </w:p>
        </w:tc>
        <w:tc>
          <w:tcPr>
            <w:tcW w:w="1271" w:type="pct"/>
            <w:vMerge/>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p>
        </w:tc>
      </w:tr>
    </w:tbl>
    <w:p w:rsidR="00ED3C64" w:rsidRDefault="00ED3C64" w:rsidP="00ED3C64">
      <w:pPr>
        <w:pStyle w:val="Paragrafi"/>
        <w:rPr>
          <w:lang w:val="sq-AL"/>
        </w:rPr>
      </w:pPr>
    </w:p>
    <w:p w:rsidR="00ED3C64" w:rsidRDefault="00ED3C64" w:rsidP="00ED3C64">
      <w:pPr>
        <w:pStyle w:val="Paragrafi"/>
        <w:rPr>
          <w:sz w:val="14"/>
          <w:lang w:val="sq-AL"/>
        </w:rPr>
      </w:pPr>
    </w:p>
    <w:p w:rsidR="00ED3C64" w:rsidRPr="00031315" w:rsidRDefault="00ED3C64" w:rsidP="00ED3C64">
      <w:pPr>
        <w:pStyle w:val="Paragrafi"/>
        <w:rPr>
          <w:sz w:val="14"/>
          <w:lang w:val="sq-AL"/>
        </w:rPr>
        <w:sectPr w:rsidR="00ED3C64" w:rsidRPr="00031315" w:rsidSect="001E746C">
          <w:type w:val="continuous"/>
          <w:pgSz w:w="11907" w:h="16840" w:code="9"/>
          <w:pgMar w:top="720" w:right="1134" w:bottom="720" w:left="1134" w:header="851" w:footer="851" w:gutter="0"/>
          <w:cols w:space="720"/>
          <w:docGrid w:linePitch="360"/>
        </w:sectPr>
      </w:pPr>
    </w:p>
    <w:p w:rsidR="00ED3C64" w:rsidRPr="00BD2584" w:rsidRDefault="00ED3C64" w:rsidP="00ED3C64">
      <w:pPr>
        <w:pStyle w:val="Paragrafi"/>
        <w:rPr>
          <w:spacing w:val="-4"/>
          <w:lang w:val="sq-AL"/>
        </w:rPr>
      </w:pPr>
      <w:r w:rsidRPr="00BD2584">
        <w:rPr>
          <w:spacing w:val="-4"/>
          <w:lang w:val="sq-AL"/>
        </w:rPr>
        <w:lastRenderedPageBreak/>
        <w:t>1. Kur në vitin referencë TEM është 8,5 μg/m</w:t>
      </w:r>
      <w:r w:rsidRPr="00BD2584">
        <w:rPr>
          <w:spacing w:val="-4"/>
          <w:vertAlign w:val="superscript"/>
          <w:lang w:val="sq-AL"/>
        </w:rPr>
        <w:t>3</w:t>
      </w:r>
      <w:r w:rsidRPr="00BD2584">
        <w:rPr>
          <w:spacing w:val="-4"/>
          <w:lang w:val="sq-AL"/>
        </w:rPr>
        <w:t xml:space="preserve"> ose më pak se kaq, synimi për pakësimin e ekspozimit do të jetë zero. </w:t>
      </w:r>
    </w:p>
    <w:p w:rsidR="00ED3C64" w:rsidRDefault="00ED3C64" w:rsidP="00ED3C64">
      <w:pPr>
        <w:pStyle w:val="Paragrafi"/>
        <w:rPr>
          <w:spacing w:val="-4"/>
          <w:lang w:val="sq-AL"/>
        </w:rPr>
      </w:pPr>
    </w:p>
    <w:p w:rsidR="00ED3C64" w:rsidRDefault="00ED3C64" w:rsidP="00ED3C64">
      <w:pPr>
        <w:pStyle w:val="Paragrafi"/>
        <w:rPr>
          <w:spacing w:val="-4"/>
          <w:lang w:val="sq-AL"/>
        </w:rPr>
      </w:pPr>
    </w:p>
    <w:p w:rsidR="00ED3C64" w:rsidRPr="000C7791" w:rsidRDefault="00ED3C64" w:rsidP="00ED3C64">
      <w:pPr>
        <w:pStyle w:val="Paragrafi"/>
        <w:rPr>
          <w:spacing w:val="-4"/>
          <w:sz w:val="2"/>
          <w:lang w:val="sq-AL"/>
        </w:rPr>
      </w:pPr>
    </w:p>
    <w:p w:rsidR="00ED3C64" w:rsidRDefault="00ED3C64" w:rsidP="00ED3C64">
      <w:pPr>
        <w:pStyle w:val="Paragrafi"/>
        <w:rPr>
          <w:spacing w:val="-4"/>
          <w:lang w:val="sq-AL"/>
        </w:rPr>
      </w:pPr>
      <w:r w:rsidRPr="00BD2584">
        <w:rPr>
          <w:spacing w:val="-4"/>
          <w:lang w:val="sq-AL"/>
        </w:rPr>
        <w:t>2. Gjatë periudhës nga 2020 deri 2030 synimi për pakësim do të jetë zero edhe kur TEM arrin nivelin 8,5 μg/m</w:t>
      </w:r>
      <w:r w:rsidRPr="00BD2584">
        <w:rPr>
          <w:spacing w:val="-4"/>
          <w:vertAlign w:val="superscript"/>
          <w:lang w:val="sq-AL"/>
        </w:rPr>
        <w:t>3</w:t>
      </w:r>
      <w:r w:rsidRPr="00BD2584">
        <w:rPr>
          <w:spacing w:val="-4"/>
          <w:lang w:val="sq-AL"/>
        </w:rPr>
        <w:t xml:space="preserve"> në çdo kohë dhe mbahet në atë nivel ose nën të.</w:t>
      </w:r>
    </w:p>
    <w:p w:rsidR="00ED3C64" w:rsidRPr="00BD2584" w:rsidRDefault="00ED3C64" w:rsidP="00ED3C64">
      <w:pPr>
        <w:pStyle w:val="Paragrafi"/>
        <w:rPr>
          <w:spacing w:val="-4"/>
          <w:lang w:val="sq-AL"/>
        </w:rPr>
      </w:pPr>
    </w:p>
    <w:p w:rsidR="00ED3C64" w:rsidRDefault="00ED3C64" w:rsidP="00ED3C64">
      <w:pPr>
        <w:pStyle w:val="Paragrafi"/>
        <w:rPr>
          <w:lang w:val="sq-AL"/>
        </w:rPr>
        <w:sectPr w:rsidR="00ED3C64" w:rsidSect="001E746C">
          <w:type w:val="continuous"/>
          <w:pgSz w:w="11907" w:h="16840" w:code="9"/>
          <w:pgMar w:top="720" w:right="1134" w:bottom="720" w:left="1134" w:header="851" w:footer="851" w:gutter="0"/>
          <w:cols w:space="454"/>
          <w:docGrid w:linePitch="360"/>
        </w:sectPr>
      </w:pPr>
    </w:p>
    <w:p w:rsidR="00ED3C64" w:rsidRPr="00DC42C4" w:rsidRDefault="00ED3C64" w:rsidP="00ED3C64">
      <w:pPr>
        <w:pStyle w:val="Paragrafi"/>
        <w:rPr>
          <w:lang w:val="sq-AL"/>
        </w:rPr>
      </w:pPr>
      <w:r w:rsidRPr="00DC42C4">
        <w:rPr>
          <w:lang w:val="sq-AL"/>
        </w:rPr>
        <w:lastRenderedPageBreak/>
        <w:t>Seksioni C. Detyrimi për përqendrimin e ekspozimit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19"/>
        <w:gridCol w:w="5136"/>
      </w:tblGrid>
      <w:tr w:rsidR="00ED3C64" w:rsidRPr="00DC42C4" w:rsidTr="00BC62B1">
        <w:trPr>
          <w:jc w:val="center"/>
        </w:trPr>
        <w:tc>
          <w:tcPr>
            <w:tcW w:w="2394" w:type="pct"/>
          </w:tcPr>
          <w:p w:rsidR="00ED3C64" w:rsidRPr="00DC42C4" w:rsidRDefault="00ED3C64" w:rsidP="00BC62B1">
            <w:pPr>
              <w:pStyle w:val="ListParagraph"/>
              <w:widowControl w:val="0"/>
              <w:numPr>
                <w:ilvl w:val="0"/>
                <w:numId w:val="20"/>
              </w:numPr>
              <w:spacing w:after="0" w:line="240" w:lineRule="auto"/>
              <w:ind w:left="0" w:firstLine="0"/>
              <w:jc w:val="both"/>
              <w:rPr>
                <w:rFonts w:ascii="Garamond" w:hAnsi="Garamond"/>
                <w:sz w:val="20"/>
                <w:szCs w:val="20"/>
                <w:lang w:val="sq-AL"/>
              </w:rPr>
            </w:pPr>
            <w:r w:rsidRPr="00DC42C4">
              <w:rPr>
                <w:rFonts w:ascii="Garamond" w:hAnsi="Garamond"/>
                <w:sz w:val="20"/>
                <w:szCs w:val="20"/>
                <w:lang w:val="sq-AL"/>
              </w:rPr>
              <w:t>Detyrimi për përqendrimin e ekspozimit</w:t>
            </w:r>
          </w:p>
        </w:tc>
        <w:tc>
          <w:tcPr>
            <w:tcW w:w="2606" w:type="pct"/>
          </w:tcPr>
          <w:p w:rsidR="00ED3C64" w:rsidRPr="00DC42C4" w:rsidRDefault="00ED3C64" w:rsidP="00BC62B1">
            <w:pPr>
              <w:pStyle w:val="ListParagraph"/>
              <w:widowControl w:val="0"/>
              <w:numPr>
                <w:ilvl w:val="0"/>
                <w:numId w:val="20"/>
              </w:numPr>
              <w:spacing w:after="0" w:line="240" w:lineRule="auto"/>
              <w:ind w:left="0" w:firstLine="0"/>
              <w:jc w:val="both"/>
              <w:rPr>
                <w:rFonts w:ascii="Garamond" w:hAnsi="Garamond"/>
                <w:sz w:val="20"/>
                <w:szCs w:val="20"/>
                <w:lang w:val="sq-AL"/>
              </w:rPr>
            </w:pPr>
            <w:r w:rsidRPr="00DC42C4">
              <w:rPr>
                <w:rFonts w:ascii="Garamond" w:hAnsi="Garamond"/>
                <w:sz w:val="20"/>
                <w:szCs w:val="20"/>
                <w:lang w:val="sq-AL"/>
              </w:rPr>
              <w:t>Viti kur duhet të arrihet vlera e detyrimit</w:t>
            </w:r>
          </w:p>
        </w:tc>
      </w:tr>
      <w:tr w:rsidR="00ED3C64" w:rsidRPr="00DC42C4" w:rsidTr="00BC62B1">
        <w:trPr>
          <w:jc w:val="center"/>
        </w:trPr>
        <w:tc>
          <w:tcPr>
            <w:tcW w:w="2394" w:type="pct"/>
          </w:tcPr>
          <w:p w:rsidR="00ED3C64" w:rsidRPr="00DC42C4" w:rsidRDefault="00ED3C64" w:rsidP="00BC62B1">
            <w:pPr>
              <w:pStyle w:val="ListParagraph"/>
              <w:widowControl w:val="0"/>
              <w:numPr>
                <w:ilvl w:val="0"/>
                <w:numId w:val="20"/>
              </w:numPr>
              <w:spacing w:after="0" w:line="240" w:lineRule="auto"/>
              <w:ind w:left="0" w:firstLine="0"/>
              <w:jc w:val="center"/>
              <w:rPr>
                <w:rFonts w:ascii="Garamond" w:hAnsi="Garamond"/>
                <w:sz w:val="20"/>
                <w:szCs w:val="20"/>
                <w:lang w:val="sq-AL"/>
              </w:rPr>
            </w:pPr>
            <w:r w:rsidRPr="00DC42C4">
              <w:rPr>
                <w:rFonts w:ascii="Garamond" w:hAnsi="Garamond"/>
                <w:sz w:val="20"/>
                <w:szCs w:val="20"/>
                <w:lang w:val="sq-AL"/>
              </w:rPr>
              <w:t>20 μg/m</w:t>
            </w:r>
            <w:r w:rsidRPr="00DC42C4">
              <w:rPr>
                <w:rFonts w:ascii="Garamond" w:hAnsi="Garamond"/>
                <w:sz w:val="20"/>
                <w:szCs w:val="20"/>
                <w:vertAlign w:val="superscript"/>
                <w:lang w:val="sq-AL"/>
              </w:rPr>
              <w:t>3</w:t>
            </w:r>
          </w:p>
        </w:tc>
        <w:tc>
          <w:tcPr>
            <w:tcW w:w="2606" w:type="pct"/>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2025</w:t>
            </w:r>
          </w:p>
        </w:tc>
      </w:tr>
    </w:tbl>
    <w:p w:rsidR="00ED3C64" w:rsidRPr="00205512" w:rsidRDefault="00ED3C64" w:rsidP="00ED3C64">
      <w:pPr>
        <w:pStyle w:val="Paragrafi"/>
        <w:rPr>
          <w:sz w:val="14"/>
          <w:lang w:val="sq-AL"/>
        </w:rPr>
      </w:pPr>
    </w:p>
    <w:p w:rsidR="00ED3C64" w:rsidRPr="00DC42C4" w:rsidRDefault="00ED3C64" w:rsidP="00ED3C64">
      <w:pPr>
        <w:pStyle w:val="Paragrafi"/>
        <w:rPr>
          <w:lang w:val="sq-AL"/>
        </w:rPr>
      </w:pPr>
      <w:r w:rsidRPr="00DC42C4">
        <w:rPr>
          <w:lang w:val="sq-AL"/>
        </w:rPr>
        <w:t>Seksioni D. Vlera e synuar</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04"/>
        <w:gridCol w:w="2198"/>
        <w:gridCol w:w="4953"/>
      </w:tblGrid>
      <w:tr w:rsidR="00ED3C64" w:rsidRPr="00DC42C4" w:rsidTr="00BC62B1">
        <w:trPr>
          <w:jc w:val="center"/>
        </w:trPr>
        <w:tc>
          <w:tcPr>
            <w:tcW w:w="1372" w:type="pct"/>
          </w:tcPr>
          <w:p w:rsidR="00ED3C64" w:rsidRPr="00DC42C4" w:rsidRDefault="00ED3C64" w:rsidP="00BC62B1">
            <w:pPr>
              <w:pStyle w:val="ListParagraph"/>
              <w:widowControl w:val="0"/>
              <w:numPr>
                <w:ilvl w:val="0"/>
                <w:numId w:val="20"/>
              </w:numPr>
              <w:spacing w:after="0" w:line="240" w:lineRule="auto"/>
              <w:ind w:left="0" w:firstLine="0"/>
              <w:jc w:val="both"/>
              <w:outlineLvl w:val="0"/>
              <w:rPr>
                <w:rFonts w:ascii="Garamond" w:hAnsi="Garamond"/>
                <w:sz w:val="20"/>
                <w:szCs w:val="20"/>
                <w:lang w:val="sq-AL"/>
              </w:rPr>
            </w:pPr>
            <w:r w:rsidRPr="00DC42C4">
              <w:rPr>
                <w:rFonts w:ascii="Garamond" w:hAnsi="Garamond"/>
                <w:sz w:val="20"/>
                <w:szCs w:val="20"/>
                <w:lang w:val="sq-AL"/>
              </w:rPr>
              <w:t>Periudha mesatare</w:t>
            </w:r>
          </w:p>
        </w:tc>
        <w:tc>
          <w:tcPr>
            <w:tcW w:w="1115" w:type="pct"/>
          </w:tcPr>
          <w:p w:rsidR="00ED3C64" w:rsidRPr="00DC42C4" w:rsidRDefault="00ED3C64" w:rsidP="00BC62B1">
            <w:pPr>
              <w:pStyle w:val="ListParagraph"/>
              <w:widowControl w:val="0"/>
              <w:numPr>
                <w:ilvl w:val="0"/>
                <w:numId w:val="20"/>
              </w:numPr>
              <w:spacing w:after="0" w:line="240" w:lineRule="auto"/>
              <w:ind w:left="0" w:firstLine="0"/>
              <w:jc w:val="both"/>
              <w:outlineLvl w:val="0"/>
              <w:rPr>
                <w:rFonts w:ascii="Garamond" w:hAnsi="Garamond"/>
                <w:sz w:val="20"/>
                <w:szCs w:val="20"/>
                <w:lang w:val="sq-AL"/>
              </w:rPr>
            </w:pPr>
            <w:r w:rsidRPr="00DC42C4">
              <w:rPr>
                <w:rFonts w:ascii="Garamond" w:hAnsi="Garamond"/>
                <w:sz w:val="20"/>
                <w:szCs w:val="20"/>
                <w:lang w:val="sq-AL"/>
              </w:rPr>
              <w:t>Vlera e synuar</w:t>
            </w:r>
          </w:p>
        </w:tc>
        <w:tc>
          <w:tcPr>
            <w:tcW w:w="2513" w:type="pct"/>
          </w:tcPr>
          <w:p w:rsidR="00ED3C64" w:rsidRPr="00DC42C4" w:rsidRDefault="00ED3C64" w:rsidP="00BC62B1">
            <w:pPr>
              <w:pStyle w:val="ListParagraph"/>
              <w:widowControl w:val="0"/>
              <w:numPr>
                <w:ilvl w:val="0"/>
                <w:numId w:val="20"/>
              </w:numPr>
              <w:spacing w:after="0" w:line="240" w:lineRule="auto"/>
              <w:ind w:left="0" w:firstLine="0"/>
              <w:jc w:val="both"/>
              <w:outlineLvl w:val="0"/>
              <w:rPr>
                <w:rFonts w:ascii="Garamond" w:hAnsi="Garamond"/>
                <w:sz w:val="20"/>
                <w:szCs w:val="20"/>
                <w:lang w:val="sq-AL"/>
              </w:rPr>
            </w:pPr>
            <w:r w:rsidRPr="00DC42C4">
              <w:rPr>
                <w:rFonts w:ascii="Garamond" w:hAnsi="Garamond"/>
                <w:sz w:val="20"/>
                <w:szCs w:val="20"/>
                <w:lang w:val="sq-AL"/>
              </w:rPr>
              <w:t>Data kur duhet të arrihet vlera e synuar</w:t>
            </w:r>
          </w:p>
        </w:tc>
      </w:tr>
      <w:tr w:rsidR="00ED3C64" w:rsidRPr="00DC42C4" w:rsidTr="00BC62B1">
        <w:trPr>
          <w:jc w:val="center"/>
        </w:trPr>
        <w:tc>
          <w:tcPr>
            <w:tcW w:w="1372" w:type="pct"/>
          </w:tcPr>
          <w:p w:rsidR="00ED3C64" w:rsidRPr="00DC42C4" w:rsidRDefault="00ED3C64" w:rsidP="00BC62B1">
            <w:pPr>
              <w:pStyle w:val="ListParagraph"/>
              <w:widowControl w:val="0"/>
              <w:numPr>
                <w:ilvl w:val="0"/>
                <w:numId w:val="20"/>
              </w:numPr>
              <w:spacing w:after="0" w:line="240" w:lineRule="auto"/>
              <w:ind w:left="0" w:firstLine="0"/>
              <w:jc w:val="both"/>
              <w:outlineLvl w:val="0"/>
              <w:rPr>
                <w:rFonts w:ascii="Garamond" w:hAnsi="Garamond"/>
                <w:sz w:val="20"/>
                <w:szCs w:val="20"/>
                <w:lang w:val="sq-AL"/>
              </w:rPr>
            </w:pPr>
            <w:r w:rsidRPr="00DC42C4">
              <w:rPr>
                <w:rFonts w:ascii="Garamond" w:hAnsi="Garamond"/>
                <w:sz w:val="20"/>
                <w:szCs w:val="20"/>
                <w:lang w:val="sq-AL"/>
              </w:rPr>
              <w:t>Viti kalendarik</w:t>
            </w:r>
          </w:p>
        </w:tc>
        <w:tc>
          <w:tcPr>
            <w:tcW w:w="1115" w:type="pct"/>
          </w:tcPr>
          <w:p w:rsidR="00ED3C64" w:rsidRPr="00DC42C4" w:rsidRDefault="00ED3C64" w:rsidP="00BC62B1">
            <w:pPr>
              <w:pStyle w:val="ListParagraph"/>
              <w:widowControl w:val="0"/>
              <w:spacing w:after="0" w:line="240" w:lineRule="auto"/>
              <w:ind w:left="-360"/>
              <w:jc w:val="center"/>
              <w:outlineLvl w:val="0"/>
              <w:rPr>
                <w:rFonts w:ascii="Garamond" w:hAnsi="Garamond"/>
                <w:sz w:val="20"/>
                <w:szCs w:val="20"/>
                <w:lang w:val="sq-AL"/>
              </w:rPr>
            </w:pPr>
            <w:r w:rsidRPr="00DC42C4">
              <w:rPr>
                <w:rFonts w:ascii="Garamond" w:hAnsi="Garamond"/>
                <w:sz w:val="20"/>
                <w:szCs w:val="20"/>
                <w:lang w:val="sq-AL"/>
              </w:rPr>
              <w:t>25 μg/m</w:t>
            </w:r>
            <w:r w:rsidRPr="00DC42C4">
              <w:rPr>
                <w:rFonts w:ascii="Garamond" w:hAnsi="Garamond"/>
                <w:sz w:val="20"/>
                <w:szCs w:val="20"/>
                <w:vertAlign w:val="superscript"/>
                <w:lang w:val="sq-AL"/>
              </w:rPr>
              <w:t>3</w:t>
            </w:r>
          </w:p>
        </w:tc>
        <w:tc>
          <w:tcPr>
            <w:tcW w:w="2513" w:type="pct"/>
          </w:tcPr>
          <w:p w:rsidR="00ED3C64" w:rsidRPr="00DC42C4" w:rsidRDefault="00ED3C64" w:rsidP="00BC62B1">
            <w:pPr>
              <w:pStyle w:val="ListParagraph"/>
              <w:widowControl w:val="0"/>
              <w:spacing w:after="0" w:line="240" w:lineRule="auto"/>
              <w:ind w:left="-360"/>
              <w:jc w:val="center"/>
              <w:outlineLvl w:val="0"/>
              <w:rPr>
                <w:rFonts w:ascii="Garamond" w:hAnsi="Garamond"/>
                <w:sz w:val="20"/>
                <w:szCs w:val="20"/>
                <w:lang w:val="sq-AL"/>
              </w:rPr>
            </w:pPr>
            <w:r w:rsidRPr="00DC42C4">
              <w:rPr>
                <w:rFonts w:ascii="Garamond" w:hAnsi="Garamond"/>
                <w:sz w:val="20"/>
                <w:szCs w:val="20"/>
                <w:lang w:val="sq-AL"/>
              </w:rPr>
              <w:t xml:space="preserve">1 </w:t>
            </w:r>
            <w:r>
              <w:rPr>
                <w:rFonts w:ascii="Garamond" w:hAnsi="Garamond"/>
                <w:sz w:val="20"/>
                <w:szCs w:val="20"/>
                <w:lang w:val="sq-AL"/>
              </w:rPr>
              <w:t>j</w:t>
            </w:r>
            <w:r w:rsidRPr="00DC42C4">
              <w:rPr>
                <w:rFonts w:ascii="Garamond" w:hAnsi="Garamond"/>
                <w:sz w:val="20"/>
                <w:szCs w:val="20"/>
                <w:lang w:val="sq-AL"/>
              </w:rPr>
              <w:t>anar 2020</w:t>
            </w:r>
          </w:p>
        </w:tc>
      </w:tr>
    </w:tbl>
    <w:p w:rsidR="00ED3C64" w:rsidRPr="00205512" w:rsidRDefault="00ED3C64" w:rsidP="00ED3C64">
      <w:pPr>
        <w:pStyle w:val="Paragrafi"/>
        <w:rPr>
          <w:sz w:val="14"/>
          <w:lang w:val="sq-AL"/>
        </w:rPr>
      </w:pPr>
    </w:p>
    <w:p w:rsidR="00ED3C64" w:rsidRPr="00DC42C4" w:rsidRDefault="00ED3C64" w:rsidP="00ED3C64">
      <w:pPr>
        <w:pStyle w:val="Paragrafi"/>
        <w:rPr>
          <w:lang w:val="sq-AL"/>
        </w:rPr>
      </w:pPr>
      <w:r w:rsidRPr="00DC42C4">
        <w:rPr>
          <w:lang w:val="sq-AL"/>
        </w:rPr>
        <w:t>Seksioni E. Vlera kufi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38"/>
        <w:gridCol w:w="1350"/>
        <w:gridCol w:w="4500"/>
        <w:gridCol w:w="2070"/>
      </w:tblGrid>
      <w:tr w:rsidR="00ED3C64" w:rsidRPr="00CF64B6" w:rsidTr="00BC62B1">
        <w:trPr>
          <w:jc w:val="center"/>
        </w:trPr>
        <w:tc>
          <w:tcPr>
            <w:tcW w:w="1638" w:type="dxa"/>
          </w:tcPr>
          <w:p w:rsidR="00ED3C64" w:rsidRPr="00CF64B6" w:rsidRDefault="00ED3C64" w:rsidP="00BC62B1">
            <w:pPr>
              <w:pStyle w:val="ListParagraph"/>
              <w:widowControl w:val="0"/>
              <w:spacing w:after="0" w:line="240" w:lineRule="auto"/>
              <w:ind w:left="0"/>
              <w:jc w:val="center"/>
              <w:outlineLvl w:val="0"/>
              <w:rPr>
                <w:rFonts w:ascii="Garamond" w:hAnsi="Garamond"/>
                <w:b/>
                <w:sz w:val="20"/>
                <w:szCs w:val="20"/>
                <w:lang w:val="sq-AL"/>
              </w:rPr>
            </w:pPr>
            <w:r w:rsidRPr="00CF64B6">
              <w:rPr>
                <w:rFonts w:ascii="Garamond" w:hAnsi="Garamond"/>
                <w:b/>
                <w:sz w:val="20"/>
                <w:szCs w:val="20"/>
                <w:lang w:val="sq-AL"/>
              </w:rPr>
              <w:t>Periudha mesatare</w:t>
            </w:r>
          </w:p>
        </w:tc>
        <w:tc>
          <w:tcPr>
            <w:tcW w:w="1350" w:type="dxa"/>
          </w:tcPr>
          <w:p w:rsidR="00ED3C64" w:rsidRPr="00CF64B6" w:rsidRDefault="00ED3C64" w:rsidP="00BC62B1">
            <w:pPr>
              <w:pStyle w:val="ListParagraph"/>
              <w:widowControl w:val="0"/>
              <w:spacing w:after="0" w:line="240" w:lineRule="auto"/>
              <w:ind w:left="0"/>
              <w:jc w:val="center"/>
              <w:outlineLvl w:val="0"/>
              <w:rPr>
                <w:rFonts w:ascii="Garamond" w:hAnsi="Garamond"/>
                <w:b/>
                <w:sz w:val="20"/>
                <w:szCs w:val="20"/>
                <w:lang w:val="sq-AL"/>
              </w:rPr>
            </w:pPr>
            <w:r w:rsidRPr="00CF64B6">
              <w:rPr>
                <w:rFonts w:ascii="Garamond" w:hAnsi="Garamond"/>
                <w:b/>
                <w:sz w:val="20"/>
                <w:szCs w:val="20"/>
                <w:lang w:val="sq-AL"/>
              </w:rPr>
              <w:t>Vlera kufi</w:t>
            </w:r>
          </w:p>
        </w:tc>
        <w:tc>
          <w:tcPr>
            <w:tcW w:w="4500" w:type="dxa"/>
          </w:tcPr>
          <w:p w:rsidR="00ED3C64" w:rsidRPr="00CF64B6" w:rsidRDefault="00ED3C64" w:rsidP="00BC62B1">
            <w:pPr>
              <w:pStyle w:val="ListParagraph"/>
              <w:widowControl w:val="0"/>
              <w:spacing w:after="0" w:line="240" w:lineRule="auto"/>
              <w:ind w:left="0"/>
              <w:jc w:val="center"/>
              <w:outlineLvl w:val="0"/>
              <w:rPr>
                <w:rFonts w:ascii="Garamond" w:hAnsi="Garamond"/>
                <w:b/>
                <w:sz w:val="20"/>
                <w:szCs w:val="20"/>
                <w:lang w:val="sq-AL"/>
              </w:rPr>
            </w:pPr>
            <w:r w:rsidRPr="00CF64B6">
              <w:rPr>
                <w:rFonts w:ascii="Garamond" w:hAnsi="Garamond"/>
                <w:b/>
                <w:sz w:val="20"/>
                <w:szCs w:val="20"/>
                <w:lang w:val="sq-AL"/>
              </w:rPr>
              <w:t>Marzhi i tolerancës</w:t>
            </w:r>
          </w:p>
        </w:tc>
        <w:tc>
          <w:tcPr>
            <w:tcW w:w="2070" w:type="dxa"/>
          </w:tcPr>
          <w:p w:rsidR="00ED3C64" w:rsidRPr="00CF64B6" w:rsidRDefault="00ED3C64" w:rsidP="00BC62B1">
            <w:pPr>
              <w:widowControl w:val="0"/>
              <w:autoSpaceDE w:val="0"/>
              <w:autoSpaceDN w:val="0"/>
              <w:adjustRightInd w:val="0"/>
              <w:spacing w:after="0" w:line="240" w:lineRule="auto"/>
              <w:ind w:firstLine="0"/>
              <w:jc w:val="center"/>
              <w:outlineLvl w:val="0"/>
              <w:rPr>
                <w:rFonts w:ascii="Garamond" w:hAnsi="Garamond"/>
                <w:b/>
                <w:sz w:val="20"/>
                <w:szCs w:val="20"/>
                <w:lang w:val="sq-AL"/>
              </w:rPr>
            </w:pPr>
            <w:r w:rsidRPr="00CF64B6">
              <w:rPr>
                <w:rFonts w:ascii="Garamond" w:hAnsi="Garamond"/>
                <w:b/>
                <w:sz w:val="20"/>
                <w:szCs w:val="20"/>
                <w:lang w:val="sq-AL"/>
              </w:rPr>
              <w:t>Data në të cilën duhet të arrihet vlera kufi</w:t>
            </w:r>
          </w:p>
        </w:tc>
      </w:tr>
      <w:tr w:rsidR="00ED3C64" w:rsidRPr="00DC42C4" w:rsidTr="00BC62B1">
        <w:trPr>
          <w:jc w:val="center"/>
        </w:trPr>
        <w:tc>
          <w:tcPr>
            <w:tcW w:w="9558" w:type="dxa"/>
            <w:gridSpan w:val="4"/>
          </w:tcPr>
          <w:p w:rsidR="00ED3C64" w:rsidRPr="00DC42C4" w:rsidRDefault="00ED3C64" w:rsidP="00BC62B1">
            <w:pPr>
              <w:pStyle w:val="ListParagraph"/>
              <w:widowControl w:val="0"/>
              <w:spacing w:after="0" w:line="240" w:lineRule="auto"/>
              <w:ind w:left="0"/>
              <w:jc w:val="both"/>
              <w:outlineLvl w:val="0"/>
              <w:rPr>
                <w:rFonts w:ascii="Garamond" w:hAnsi="Garamond"/>
                <w:sz w:val="20"/>
                <w:szCs w:val="20"/>
                <w:lang w:val="sq-AL"/>
              </w:rPr>
            </w:pPr>
            <w:r w:rsidRPr="00DC42C4">
              <w:rPr>
                <w:rFonts w:ascii="Garamond" w:hAnsi="Garamond"/>
                <w:sz w:val="20"/>
                <w:szCs w:val="20"/>
                <w:lang w:val="sq-AL"/>
              </w:rPr>
              <w:t>Faza 1</w:t>
            </w:r>
          </w:p>
        </w:tc>
      </w:tr>
      <w:tr w:rsidR="00ED3C64" w:rsidRPr="00DC42C4" w:rsidTr="00BC62B1">
        <w:trPr>
          <w:jc w:val="center"/>
        </w:trPr>
        <w:tc>
          <w:tcPr>
            <w:tcW w:w="1638" w:type="dxa"/>
          </w:tcPr>
          <w:p w:rsidR="00ED3C64" w:rsidRPr="00DC42C4" w:rsidRDefault="00ED3C64" w:rsidP="00BC62B1">
            <w:pPr>
              <w:pStyle w:val="ListParagraph"/>
              <w:widowControl w:val="0"/>
              <w:spacing w:after="0" w:line="240" w:lineRule="auto"/>
              <w:ind w:left="0"/>
              <w:jc w:val="both"/>
              <w:outlineLvl w:val="0"/>
              <w:rPr>
                <w:rFonts w:ascii="Garamond" w:hAnsi="Garamond"/>
                <w:sz w:val="20"/>
                <w:szCs w:val="20"/>
                <w:lang w:val="sq-AL"/>
              </w:rPr>
            </w:pPr>
            <w:r w:rsidRPr="00DC42C4">
              <w:rPr>
                <w:rFonts w:ascii="Garamond" w:hAnsi="Garamond"/>
                <w:sz w:val="20"/>
                <w:szCs w:val="20"/>
                <w:lang w:val="sq-AL"/>
              </w:rPr>
              <w:t>Viti kalendarik</w:t>
            </w:r>
          </w:p>
        </w:tc>
        <w:tc>
          <w:tcPr>
            <w:tcW w:w="1350" w:type="dxa"/>
          </w:tcPr>
          <w:p w:rsidR="00ED3C64" w:rsidRPr="00DC42C4" w:rsidRDefault="00ED3C64" w:rsidP="00BC62B1">
            <w:pPr>
              <w:pStyle w:val="ListParagraph"/>
              <w:widowControl w:val="0"/>
              <w:spacing w:after="0" w:line="240" w:lineRule="auto"/>
              <w:ind w:left="0"/>
              <w:jc w:val="both"/>
              <w:outlineLvl w:val="0"/>
              <w:rPr>
                <w:rFonts w:ascii="Garamond" w:hAnsi="Garamond"/>
                <w:sz w:val="20"/>
                <w:szCs w:val="20"/>
                <w:lang w:val="sq-AL"/>
              </w:rPr>
            </w:pPr>
            <w:r w:rsidRPr="00DC42C4">
              <w:rPr>
                <w:rFonts w:ascii="Garamond" w:hAnsi="Garamond"/>
                <w:sz w:val="20"/>
                <w:szCs w:val="20"/>
                <w:lang w:val="sq-AL"/>
              </w:rPr>
              <w:t>25 μg/m</w:t>
            </w:r>
            <w:r w:rsidRPr="00DC42C4">
              <w:rPr>
                <w:rFonts w:ascii="Garamond" w:hAnsi="Garamond"/>
                <w:sz w:val="20"/>
                <w:szCs w:val="20"/>
                <w:vertAlign w:val="superscript"/>
                <w:lang w:val="sq-AL"/>
              </w:rPr>
              <w:t>3</w:t>
            </w:r>
          </w:p>
        </w:tc>
        <w:tc>
          <w:tcPr>
            <w:tcW w:w="4500" w:type="dxa"/>
          </w:tcPr>
          <w:p w:rsidR="00ED3C64" w:rsidRPr="00DC42C4" w:rsidRDefault="00ED3C64" w:rsidP="00BC62B1">
            <w:pPr>
              <w:widowControl w:val="0"/>
              <w:autoSpaceDE w:val="0"/>
              <w:autoSpaceDN w:val="0"/>
              <w:adjustRightInd w:val="0"/>
              <w:spacing w:after="0" w:line="240" w:lineRule="auto"/>
              <w:ind w:firstLine="0"/>
              <w:outlineLvl w:val="0"/>
              <w:rPr>
                <w:rFonts w:ascii="Garamond" w:hAnsi="Garamond"/>
                <w:sz w:val="20"/>
                <w:szCs w:val="20"/>
                <w:lang w:val="sq-AL"/>
              </w:rPr>
            </w:pPr>
            <w:r w:rsidRPr="00DC42C4">
              <w:rPr>
                <w:rFonts w:ascii="Garamond" w:hAnsi="Garamond"/>
                <w:sz w:val="20"/>
                <w:szCs w:val="20"/>
                <w:lang w:val="sq-AL"/>
              </w:rPr>
              <w:t xml:space="preserve">20 % më 11 qershor 2018, që zvogëlohet në 1 </w:t>
            </w:r>
            <w:r>
              <w:rPr>
                <w:rFonts w:ascii="Garamond" w:hAnsi="Garamond"/>
                <w:sz w:val="20"/>
                <w:szCs w:val="20"/>
                <w:lang w:val="sq-AL"/>
              </w:rPr>
              <w:t>j</w:t>
            </w:r>
            <w:r w:rsidRPr="00DC42C4">
              <w:rPr>
                <w:rFonts w:ascii="Garamond" w:hAnsi="Garamond"/>
                <w:sz w:val="20"/>
                <w:szCs w:val="20"/>
                <w:lang w:val="sq-AL"/>
              </w:rPr>
              <w:t xml:space="preserve">anarin e ardhshëm dhe </w:t>
            </w:r>
            <w:r>
              <w:rPr>
                <w:rFonts w:ascii="Garamond" w:hAnsi="Garamond"/>
                <w:sz w:val="20"/>
                <w:szCs w:val="20"/>
                <w:lang w:val="sq-AL"/>
              </w:rPr>
              <w:t>çdo</w:t>
            </w:r>
            <w:r w:rsidRPr="00DC42C4">
              <w:rPr>
                <w:rFonts w:ascii="Garamond" w:hAnsi="Garamond"/>
                <w:sz w:val="20"/>
                <w:szCs w:val="20"/>
                <w:lang w:val="sq-AL"/>
              </w:rPr>
              <w:t xml:space="preserve"> 12 muaj më pas në përqindje të barabarta vjetore për të arritur në 0 % më 1 </w:t>
            </w:r>
            <w:r>
              <w:rPr>
                <w:rFonts w:ascii="Garamond" w:hAnsi="Garamond"/>
                <w:sz w:val="20"/>
                <w:szCs w:val="20"/>
                <w:lang w:val="sq-AL"/>
              </w:rPr>
              <w:t>j</w:t>
            </w:r>
            <w:r w:rsidRPr="00DC42C4">
              <w:rPr>
                <w:rFonts w:ascii="Garamond" w:hAnsi="Garamond"/>
                <w:sz w:val="20"/>
                <w:szCs w:val="20"/>
                <w:lang w:val="sq-AL"/>
              </w:rPr>
              <w:t>anar 2025</w:t>
            </w:r>
          </w:p>
        </w:tc>
        <w:tc>
          <w:tcPr>
            <w:tcW w:w="2070" w:type="dxa"/>
          </w:tcPr>
          <w:p w:rsidR="00ED3C64" w:rsidRPr="00DC42C4" w:rsidRDefault="00ED3C64" w:rsidP="00BC62B1">
            <w:pPr>
              <w:pStyle w:val="ListParagraph"/>
              <w:widowControl w:val="0"/>
              <w:spacing w:after="0" w:line="240" w:lineRule="auto"/>
              <w:ind w:left="0"/>
              <w:jc w:val="both"/>
              <w:outlineLvl w:val="0"/>
              <w:rPr>
                <w:rFonts w:ascii="Garamond" w:hAnsi="Garamond"/>
                <w:sz w:val="20"/>
                <w:szCs w:val="20"/>
                <w:lang w:val="sq-AL"/>
              </w:rPr>
            </w:pPr>
            <w:r w:rsidRPr="00DC42C4">
              <w:rPr>
                <w:rFonts w:ascii="Garamond" w:hAnsi="Garamond"/>
                <w:sz w:val="20"/>
                <w:szCs w:val="20"/>
                <w:lang w:val="sq-AL"/>
              </w:rPr>
              <w:t>1 janar 2025</w:t>
            </w:r>
          </w:p>
        </w:tc>
      </w:tr>
      <w:tr w:rsidR="00ED3C64" w:rsidRPr="00DC42C4" w:rsidTr="00BC62B1">
        <w:trPr>
          <w:jc w:val="center"/>
        </w:trPr>
        <w:tc>
          <w:tcPr>
            <w:tcW w:w="9558" w:type="dxa"/>
            <w:gridSpan w:val="4"/>
          </w:tcPr>
          <w:p w:rsidR="00ED3C64" w:rsidRPr="00DC42C4" w:rsidRDefault="00ED3C64" w:rsidP="00BC62B1">
            <w:pPr>
              <w:pStyle w:val="ListParagraph"/>
              <w:widowControl w:val="0"/>
              <w:spacing w:after="0" w:line="240" w:lineRule="auto"/>
              <w:ind w:left="0"/>
              <w:jc w:val="both"/>
              <w:outlineLvl w:val="0"/>
              <w:rPr>
                <w:rFonts w:ascii="Garamond" w:hAnsi="Garamond"/>
                <w:sz w:val="20"/>
                <w:szCs w:val="20"/>
                <w:lang w:val="sq-AL"/>
              </w:rPr>
            </w:pPr>
            <w:r w:rsidRPr="00DC42C4">
              <w:rPr>
                <w:rFonts w:ascii="Garamond" w:hAnsi="Garamond"/>
                <w:sz w:val="20"/>
                <w:szCs w:val="20"/>
                <w:lang w:val="sq-AL"/>
              </w:rPr>
              <w:t>Faza 2 (1)</w:t>
            </w:r>
          </w:p>
        </w:tc>
      </w:tr>
      <w:tr w:rsidR="00ED3C64" w:rsidRPr="00DC42C4" w:rsidTr="00BC62B1">
        <w:trPr>
          <w:jc w:val="center"/>
        </w:trPr>
        <w:tc>
          <w:tcPr>
            <w:tcW w:w="1638" w:type="dxa"/>
          </w:tcPr>
          <w:p w:rsidR="00ED3C64" w:rsidRPr="00DC42C4" w:rsidRDefault="00ED3C64" w:rsidP="00BC62B1">
            <w:pPr>
              <w:pStyle w:val="ListParagraph"/>
              <w:widowControl w:val="0"/>
              <w:spacing w:after="0" w:line="240" w:lineRule="auto"/>
              <w:ind w:left="0"/>
              <w:jc w:val="both"/>
              <w:outlineLvl w:val="0"/>
              <w:rPr>
                <w:rFonts w:ascii="Garamond" w:hAnsi="Garamond"/>
                <w:sz w:val="20"/>
                <w:szCs w:val="20"/>
                <w:lang w:val="sq-AL"/>
              </w:rPr>
            </w:pPr>
            <w:r w:rsidRPr="00DC42C4">
              <w:rPr>
                <w:rFonts w:ascii="Garamond" w:hAnsi="Garamond"/>
                <w:sz w:val="20"/>
                <w:szCs w:val="20"/>
                <w:lang w:val="sq-AL"/>
              </w:rPr>
              <w:t>Viti kalendarik</w:t>
            </w:r>
          </w:p>
        </w:tc>
        <w:tc>
          <w:tcPr>
            <w:tcW w:w="1350" w:type="dxa"/>
          </w:tcPr>
          <w:p w:rsidR="00ED3C64" w:rsidRPr="00DC42C4" w:rsidRDefault="00ED3C64" w:rsidP="00BC62B1">
            <w:pPr>
              <w:pStyle w:val="ListParagraph"/>
              <w:widowControl w:val="0"/>
              <w:spacing w:after="0" w:line="240" w:lineRule="auto"/>
              <w:ind w:left="0"/>
              <w:jc w:val="both"/>
              <w:outlineLvl w:val="0"/>
              <w:rPr>
                <w:rFonts w:ascii="Garamond" w:hAnsi="Garamond"/>
                <w:sz w:val="20"/>
                <w:szCs w:val="20"/>
                <w:lang w:val="sq-AL"/>
              </w:rPr>
            </w:pPr>
            <w:r w:rsidRPr="00DC42C4">
              <w:rPr>
                <w:rFonts w:ascii="Garamond" w:hAnsi="Garamond"/>
                <w:sz w:val="20"/>
                <w:szCs w:val="20"/>
                <w:lang w:val="sq-AL"/>
              </w:rPr>
              <w:t>20 μg/m</w:t>
            </w:r>
            <w:r w:rsidRPr="00DC42C4">
              <w:rPr>
                <w:rFonts w:ascii="Garamond" w:hAnsi="Garamond"/>
                <w:sz w:val="20"/>
                <w:szCs w:val="20"/>
                <w:vertAlign w:val="superscript"/>
                <w:lang w:val="sq-AL"/>
              </w:rPr>
              <w:t>3</w:t>
            </w:r>
          </w:p>
        </w:tc>
        <w:tc>
          <w:tcPr>
            <w:tcW w:w="4500" w:type="dxa"/>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p>
        </w:tc>
        <w:tc>
          <w:tcPr>
            <w:tcW w:w="2070" w:type="dxa"/>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1 janar 2030</w:t>
            </w:r>
          </w:p>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p>
        </w:tc>
      </w:tr>
      <w:tr w:rsidR="00ED3C64" w:rsidRPr="00DC42C4" w:rsidTr="00BC62B1">
        <w:trPr>
          <w:jc w:val="center"/>
        </w:trPr>
        <w:tc>
          <w:tcPr>
            <w:tcW w:w="9558" w:type="dxa"/>
            <w:gridSpan w:val="4"/>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(1) Faza 2 — në 2023 vlera treguese kufi do të rishikohet nga ministri nga pikëpamja e informacionit të mëtejshëm mbi efektet në shëndet dhe mjedis, fizibilitetin teknik dhe eksperiencën me vlerën e synuar.</w:t>
            </w:r>
          </w:p>
        </w:tc>
      </w:tr>
    </w:tbl>
    <w:p w:rsidR="00ED3C64" w:rsidRPr="00205512" w:rsidRDefault="00ED3C64" w:rsidP="00ED3C64">
      <w:pPr>
        <w:pStyle w:val="Paragrafi"/>
        <w:rPr>
          <w:sz w:val="14"/>
          <w:lang w:val="sq-AL"/>
        </w:rPr>
      </w:pPr>
    </w:p>
    <w:p w:rsidR="00ED3C64" w:rsidRPr="00DC42C4" w:rsidRDefault="00ED3C64" w:rsidP="00ED3C64">
      <w:pPr>
        <w:pStyle w:val="Paragrafi"/>
        <w:jc w:val="center"/>
        <w:rPr>
          <w:lang w:val="sq-AL"/>
        </w:rPr>
      </w:pPr>
      <w:r w:rsidRPr="00DC42C4">
        <w:rPr>
          <w:lang w:val="sq-AL"/>
        </w:rPr>
        <w:t>ANEKSI XV</w:t>
      </w:r>
    </w:p>
    <w:p w:rsidR="00ED3C64" w:rsidRPr="00DC42C4" w:rsidRDefault="00ED3C64" w:rsidP="00ED3C64">
      <w:pPr>
        <w:pStyle w:val="Paragrafi"/>
        <w:jc w:val="center"/>
        <w:rPr>
          <w:lang w:val="sq-AL"/>
        </w:rPr>
      </w:pPr>
      <w:r w:rsidRPr="00DC42C4">
        <w:rPr>
          <w:lang w:val="sq-AL"/>
        </w:rPr>
        <w:t>Vlerat e synuara për arsenikun, kadmiumin, nikelin dhe benzo(a)pirenin</w:t>
      </w:r>
    </w:p>
    <w:p w:rsidR="00ED3C64" w:rsidRDefault="00ED3C64" w:rsidP="00ED3C64">
      <w:pPr>
        <w:pStyle w:val="Paragrafi"/>
        <w:jc w:val="center"/>
        <w:rPr>
          <w:lang w:val="sq-AL"/>
        </w:rPr>
      </w:pPr>
      <w:r w:rsidRPr="00DC42C4">
        <w:rPr>
          <w:lang w:val="sq-AL"/>
        </w:rPr>
        <w:t>(Referuar në pikën 18.1, aneksin XVII. I.4 I këtij vendimi)</w:t>
      </w:r>
    </w:p>
    <w:p w:rsidR="00ED3C64" w:rsidRPr="00DC42C4" w:rsidRDefault="00ED3C64" w:rsidP="00ED3C64">
      <w:pPr>
        <w:pStyle w:val="Paragrafi"/>
        <w:jc w:val="center"/>
        <w:rPr>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03"/>
        <w:gridCol w:w="5152"/>
      </w:tblGrid>
      <w:tr w:rsidR="00ED3C64" w:rsidRPr="00DC42C4" w:rsidTr="00BC62B1">
        <w:trPr>
          <w:jc w:val="center"/>
        </w:trPr>
        <w:tc>
          <w:tcPr>
            <w:tcW w:w="2386" w:type="pct"/>
          </w:tcPr>
          <w:p w:rsidR="00ED3C64" w:rsidRPr="00CF64B6" w:rsidRDefault="00ED3C64" w:rsidP="00BC62B1">
            <w:pPr>
              <w:pStyle w:val="ListParagraph"/>
              <w:widowControl w:val="0"/>
              <w:spacing w:after="0" w:line="240" w:lineRule="auto"/>
              <w:ind w:left="0"/>
              <w:jc w:val="both"/>
              <w:outlineLvl w:val="0"/>
              <w:rPr>
                <w:rFonts w:ascii="Garamond" w:hAnsi="Garamond"/>
                <w:b/>
                <w:sz w:val="20"/>
                <w:szCs w:val="20"/>
                <w:lang w:val="sq-AL"/>
              </w:rPr>
            </w:pPr>
            <w:r w:rsidRPr="00CF64B6">
              <w:rPr>
                <w:rFonts w:ascii="Garamond" w:hAnsi="Garamond"/>
                <w:b/>
                <w:sz w:val="20"/>
                <w:szCs w:val="20"/>
                <w:lang w:val="sq-AL"/>
              </w:rPr>
              <w:t>Ndotësi</w:t>
            </w:r>
          </w:p>
        </w:tc>
        <w:tc>
          <w:tcPr>
            <w:tcW w:w="2614" w:type="pct"/>
          </w:tcPr>
          <w:p w:rsidR="00ED3C64" w:rsidRPr="00CF64B6" w:rsidRDefault="00ED3C64" w:rsidP="00BC62B1">
            <w:pPr>
              <w:pStyle w:val="ListParagraph"/>
              <w:widowControl w:val="0"/>
              <w:spacing w:after="0" w:line="240" w:lineRule="auto"/>
              <w:ind w:left="0"/>
              <w:jc w:val="both"/>
              <w:outlineLvl w:val="0"/>
              <w:rPr>
                <w:rFonts w:ascii="Garamond" w:hAnsi="Garamond"/>
                <w:b/>
                <w:sz w:val="20"/>
                <w:szCs w:val="20"/>
                <w:lang w:val="sq-AL"/>
              </w:rPr>
            </w:pPr>
            <w:r w:rsidRPr="00CF64B6">
              <w:rPr>
                <w:rFonts w:ascii="Garamond" w:hAnsi="Garamond"/>
                <w:b/>
                <w:sz w:val="20"/>
                <w:szCs w:val="20"/>
                <w:lang w:val="sq-AL"/>
              </w:rPr>
              <w:t>Vlerat e synuara (1)</w:t>
            </w:r>
          </w:p>
        </w:tc>
      </w:tr>
      <w:tr w:rsidR="00ED3C64" w:rsidRPr="00DC42C4" w:rsidTr="00BC62B1">
        <w:trPr>
          <w:jc w:val="center"/>
        </w:trPr>
        <w:tc>
          <w:tcPr>
            <w:tcW w:w="2386" w:type="pct"/>
          </w:tcPr>
          <w:p w:rsidR="00ED3C64" w:rsidRPr="00DC42C4" w:rsidRDefault="00ED3C64" w:rsidP="00BC62B1">
            <w:pPr>
              <w:pStyle w:val="ListParagraph"/>
              <w:widowControl w:val="0"/>
              <w:spacing w:after="0" w:line="240" w:lineRule="auto"/>
              <w:ind w:left="0"/>
              <w:jc w:val="both"/>
              <w:outlineLvl w:val="0"/>
              <w:rPr>
                <w:rFonts w:ascii="Garamond" w:hAnsi="Garamond"/>
                <w:sz w:val="20"/>
                <w:szCs w:val="20"/>
                <w:lang w:val="sq-AL"/>
              </w:rPr>
            </w:pPr>
            <w:r w:rsidRPr="00DC42C4">
              <w:rPr>
                <w:rFonts w:ascii="Garamond" w:hAnsi="Garamond"/>
                <w:sz w:val="20"/>
                <w:szCs w:val="20"/>
                <w:lang w:val="sq-AL"/>
              </w:rPr>
              <w:lastRenderedPageBreak/>
              <w:t>Arseniku</w:t>
            </w:r>
          </w:p>
        </w:tc>
        <w:tc>
          <w:tcPr>
            <w:tcW w:w="2614" w:type="pct"/>
          </w:tcPr>
          <w:p w:rsidR="00ED3C64" w:rsidRPr="00DC42C4" w:rsidRDefault="00ED3C64" w:rsidP="00BC62B1">
            <w:pPr>
              <w:pStyle w:val="ListParagraph"/>
              <w:widowControl w:val="0"/>
              <w:spacing w:after="0" w:line="240" w:lineRule="auto"/>
              <w:ind w:left="0"/>
              <w:jc w:val="both"/>
              <w:outlineLvl w:val="0"/>
              <w:rPr>
                <w:rFonts w:ascii="Garamond" w:hAnsi="Garamond"/>
                <w:sz w:val="20"/>
                <w:szCs w:val="20"/>
                <w:lang w:val="sq-AL"/>
              </w:rPr>
            </w:pPr>
            <w:r w:rsidRPr="00DC42C4">
              <w:rPr>
                <w:rFonts w:ascii="Garamond" w:hAnsi="Garamond"/>
                <w:sz w:val="20"/>
                <w:szCs w:val="20"/>
                <w:lang w:val="sq-AL"/>
              </w:rPr>
              <w:t>6 ng/m</w:t>
            </w:r>
            <w:r w:rsidRPr="00DC42C4">
              <w:rPr>
                <w:rFonts w:ascii="Garamond" w:hAnsi="Garamond"/>
                <w:sz w:val="20"/>
                <w:szCs w:val="20"/>
                <w:vertAlign w:val="superscript"/>
                <w:lang w:val="sq-AL"/>
              </w:rPr>
              <w:t>3</w:t>
            </w:r>
          </w:p>
        </w:tc>
      </w:tr>
      <w:tr w:rsidR="00ED3C64" w:rsidRPr="00DC42C4" w:rsidTr="00BC62B1">
        <w:trPr>
          <w:jc w:val="center"/>
        </w:trPr>
        <w:tc>
          <w:tcPr>
            <w:tcW w:w="2386" w:type="pct"/>
          </w:tcPr>
          <w:p w:rsidR="00ED3C64" w:rsidRPr="00DC42C4" w:rsidRDefault="00ED3C64" w:rsidP="00BC62B1">
            <w:pPr>
              <w:pStyle w:val="ListParagraph"/>
              <w:widowControl w:val="0"/>
              <w:spacing w:after="0" w:line="240" w:lineRule="auto"/>
              <w:ind w:left="0"/>
              <w:jc w:val="both"/>
              <w:outlineLvl w:val="0"/>
              <w:rPr>
                <w:rFonts w:ascii="Garamond" w:hAnsi="Garamond"/>
                <w:sz w:val="20"/>
                <w:szCs w:val="20"/>
                <w:lang w:val="sq-AL"/>
              </w:rPr>
            </w:pPr>
            <w:r w:rsidRPr="00DC42C4">
              <w:rPr>
                <w:rFonts w:ascii="Garamond" w:hAnsi="Garamond"/>
                <w:sz w:val="20"/>
                <w:szCs w:val="20"/>
                <w:lang w:val="sq-AL"/>
              </w:rPr>
              <w:t>Kadmiumi</w:t>
            </w:r>
          </w:p>
        </w:tc>
        <w:tc>
          <w:tcPr>
            <w:tcW w:w="2614" w:type="pct"/>
          </w:tcPr>
          <w:p w:rsidR="00ED3C64" w:rsidRPr="00DC42C4" w:rsidRDefault="00ED3C64" w:rsidP="00BC62B1">
            <w:pPr>
              <w:pStyle w:val="ListParagraph"/>
              <w:widowControl w:val="0"/>
              <w:spacing w:after="0" w:line="240" w:lineRule="auto"/>
              <w:ind w:left="0"/>
              <w:jc w:val="both"/>
              <w:outlineLvl w:val="0"/>
              <w:rPr>
                <w:rFonts w:ascii="Garamond" w:hAnsi="Garamond"/>
                <w:sz w:val="20"/>
                <w:szCs w:val="20"/>
                <w:lang w:val="sq-AL"/>
              </w:rPr>
            </w:pPr>
            <w:r w:rsidRPr="00DC42C4">
              <w:rPr>
                <w:rFonts w:ascii="Garamond" w:hAnsi="Garamond"/>
                <w:sz w:val="20"/>
                <w:szCs w:val="20"/>
                <w:lang w:val="sq-AL"/>
              </w:rPr>
              <w:t>5 ng/m</w:t>
            </w:r>
            <w:r w:rsidRPr="00DC42C4">
              <w:rPr>
                <w:rFonts w:ascii="Garamond" w:hAnsi="Garamond"/>
                <w:sz w:val="20"/>
                <w:szCs w:val="20"/>
                <w:vertAlign w:val="superscript"/>
                <w:lang w:val="sq-AL"/>
              </w:rPr>
              <w:t>3</w:t>
            </w:r>
          </w:p>
        </w:tc>
      </w:tr>
      <w:tr w:rsidR="00ED3C64" w:rsidRPr="00DC42C4" w:rsidTr="00BC62B1">
        <w:trPr>
          <w:jc w:val="center"/>
        </w:trPr>
        <w:tc>
          <w:tcPr>
            <w:tcW w:w="2386" w:type="pct"/>
          </w:tcPr>
          <w:p w:rsidR="00ED3C64" w:rsidRPr="00DC42C4" w:rsidRDefault="00ED3C64" w:rsidP="00BC62B1">
            <w:pPr>
              <w:pStyle w:val="ListParagraph"/>
              <w:widowControl w:val="0"/>
              <w:spacing w:after="0" w:line="240" w:lineRule="auto"/>
              <w:ind w:left="0"/>
              <w:jc w:val="both"/>
              <w:outlineLvl w:val="0"/>
              <w:rPr>
                <w:rFonts w:ascii="Garamond" w:hAnsi="Garamond"/>
                <w:sz w:val="20"/>
                <w:szCs w:val="20"/>
                <w:lang w:val="sq-AL"/>
              </w:rPr>
            </w:pPr>
            <w:r w:rsidRPr="00DC42C4">
              <w:rPr>
                <w:rFonts w:ascii="Garamond" w:hAnsi="Garamond"/>
                <w:sz w:val="20"/>
                <w:szCs w:val="20"/>
                <w:lang w:val="sq-AL"/>
              </w:rPr>
              <w:t>Nikeli</w:t>
            </w:r>
          </w:p>
        </w:tc>
        <w:tc>
          <w:tcPr>
            <w:tcW w:w="2614" w:type="pct"/>
          </w:tcPr>
          <w:p w:rsidR="00ED3C64" w:rsidRPr="00DC42C4" w:rsidRDefault="00ED3C64" w:rsidP="00BC62B1">
            <w:pPr>
              <w:pStyle w:val="ListParagraph"/>
              <w:widowControl w:val="0"/>
              <w:spacing w:after="0" w:line="240" w:lineRule="auto"/>
              <w:ind w:left="0"/>
              <w:jc w:val="both"/>
              <w:outlineLvl w:val="0"/>
              <w:rPr>
                <w:rFonts w:ascii="Garamond" w:hAnsi="Garamond"/>
                <w:sz w:val="20"/>
                <w:szCs w:val="20"/>
                <w:lang w:val="sq-AL"/>
              </w:rPr>
            </w:pPr>
            <w:r w:rsidRPr="00DC42C4">
              <w:rPr>
                <w:rFonts w:ascii="Garamond" w:hAnsi="Garamond"/>
                <w:sz w:val="20"/>
                <w:szCs w:val="20"/>
                <w:lang w:val="sq-AL"/>
              </w:rPr>
              <w:t>20 ng/m</w:t>
            </w:r>
            <w:r w:rsidRPr="00DC42C4">
              <w:rPr>
                <w:rFonts w:ascii="Garamond" w:hAnsi="Garamond"/>
                <w:sz w:val="20"/>
                <w:szCs w:val="20"/>
                <w:vertAlign w:val="superscript"/>
                <w:lang w:val="sq-AL"/>
              </w:rPr>
              <w:t>3</w:t>
            </w:r>
          </w:p>
        </w:tc>
      </w:tr>
      <w:tr w:rsidR="00ED3C64" w:rsidRPr="00DC42C4" w:rsidTr="00BC62B1">
        <w:trPr>
          <w:jc w:val="center"/>
        </w:trPr>
        <w:tc>
          <w:tcPr>
            <w:tcW w:w="2386" w:type="pct"/>
          </w:tcPr>
          <w:p w:rsidR="00ED3C64" w:rsidRPr="00DC42C4" w:rsidRDefault="00ED3C64" w:rsidP="00BC62B1">
            <w:pPr>
              <w:pStyle w:val="ListParagraph"/>
              <w:widowControl w:val="0"/>
              <w:spacing w:after="0" w:line="240" w:lineRule="auto"/>
              <w:ind w:left="0"/>
              <w:jc w:val="both"/>
              <w:outlineLvl w:val="0"/>
              <w:rPr>
                <w:rFonts w:ascii="Garamond" w:hAnsi="Garamond"/>
                <w:sz w:val="20"/>
                <w:szCs w:val="20"/>
                <w:lang w:val="sq-AL"/>
              </w:rPr>
            </w:pPr>
            <w:r w:rsidRPr="00DC42C4">
              <w:rPr>
                <w:rFonts w:ascii="Garamond" w:hAnsi="Garamond"/>
                <w:sz w:val="20"/>
                <w:szCs w:val="20"/>
                <w:lang w:val="sq-AL"/>
              </w:rPr>
              <w:t>Benzo(a)pireni</w:t>
            </w:r>
          </w:p>
        </w:tc>
        <w:tc>
          <w:tcPr>
            <w:tcW w:w="2614" w:type="pct"/>
          </w:tcPr>
          <w:p w:rsidR="00ED3C64" w:rsidRPr="00DC42C4" w:rsidRDefault="00ED3C64" w:rsidP="00BC62B1">
            <w:pPr>
              <w:pStyle w:val="ListParagraph"/>
              <w:widowControl w:val="0"/>
              <w:spacing w:after="0" w:line="240" w:lineRule="auto"/>
              <w:ind w:left="0"/>
              <w:jc w:val="both"/>
              <w:outlineLvl w:val="0"/>
              <w:rPr>
                <w:rFonts w:ascii="Garamond" w:hAnsi="Garamond"/>
                <w:sz w:val="20"/>
                <w:szCs w:val="20"/>
                <w:lang w:val="sq-AL"/>
              </w:rPr>
            </w:pPr>
            <w:r w:rsidRPr="00DC42C4">
              <w:rPr>
                <w:rFonts w:ascii="Garamond" w:hAnsi="Garamond"/>
                <w:sz w:val="20"/>
                <w:szCs w:val="20"/>
                <w:lang w:val="sq-AL"/>
              </w:rPr>
              <w:t>1 ng/m</w:t>
            </w:r>
            <w:r w:rsidRPr="00DC42C4">
              <w:rPr>
                <w:rFonts w:ascii="Garamond" w:hAnsi="Garamond"/>
                <w:sz w:val="20"/>
                <w:szCs w:val="20"/>
                <w:vertAlign w:val="superscript"/>
                <w:lang w:val="sq-AL"/>
              </w:rPr>
              <w:t>3</w:t>
            </w:r>
          </w:p>
        </w:tc>
      </w:tr>
      <w:tr w:rsidR="00ED3C64" w:rsidRPr="00DC42C4" w:rsidTr="00BC62B1">
        <w:trPr>
          <w:jc w:val="center"/>
        </w:trPr>
        <w:tc>
          <w:tcPr>
            <w:tcW w:w="5000" w:type="pct"/>
            <w:gridSpan w:val="2"/>
          </w:tcPr>
          <w:p w:rsidR="00ED3C64" w:rsidRPr="00DC42C4" w:rsidRDefault="00ED3C64" w:rsidP="00BC62B1">
            <w:pPr>
              <w:pStyle w:val="ListParagraph"/>
              <w:widowControl w:val="0"/>
              <w:spacing w:after="0" w:line="240" w:lineRule="auto"/>
              <w:ind w:left="0"/>
              <w:jc w:val="both"/>
              <w:outlineLvl w:val="0"/>
              <w:rPr>
                <w:rFonts w:ascii="Garamond" w:hAnsi="Garamond"/>
                <w:sz w:val="20"/>
                <w:szCs w:val="20"/>
                <w:lang w:val="sq-AL"/>
              </w:rPr>
            </w:pPr>
            <w:r w:rsidRPr="00DC42C4">
              <w:rPr>
                <w:rFonts w:ascii="Garamond" w:hAnsi="Garamond"/>
                <w:sz w:val="20"/>
                <w:szCs w:val="20"/>
                <w:lang w:val="sq-AL"/>
              </w:rPr>
              <w:t>(1) Për përmbajtjen totale në fraksionin PM</w:t>
            </w:r>
            <w:r w:rsidRPr="00DC42C4">
              <w:rPr>
                <w:rFonts w:ascii="Garamond" w:hAnsi="Garamond"/>
                <w:sz w:val="20"/>
                <w:szCs w:val="20"/>
                <w:vertAlign w:val="subscript"/>
                <w:lang w:val="sq-AL"/>
              </w:rPr>
              <w:t>10</w:t>
            </w:r>
            <w:r w:rsidRPr="00DC42C4">
              <w:rPr>
                <w:rFonts w:ascii="Garamond" w:hAnsi="Garamond"/>
                <w:sz w:val="20"/>
                <w:szCs w:val="20"/>
                <w:lang w:val="sq-AL"/>
              </w:rPr>
              <w:t xml:space="preserve"> të mesatarizuar gjatë një viti kalendarik.</w:t>
            </w:r>
          </w:p>
        </w:tc>
      </w:tr>
    </w:tbl>
    <w:p w:rsidR="00ED3C64" w:rsidRPr="00DC42C4" w:rsidRDefault="00ED3C64" w:rsidP="00ED3C64">
      <w:pPr>
        <w:pStyle w:val="Paragrafi"/>
        <w:rPr>
          <w:lang w:val="sq-AL"/>
        </w:rPr>
      </w:pPr>
    </w:p>
    <w:p w:rsidR="00ED3C64" w:rsidRDefault="00ED3C64" w:rsidP="00ED3C64">
      <w:pPr>
        <w:pStyle w:val="Paragrafi"/>
        <w:jc w:val="center"/>
        <w:rPr>
          <w:lang w:val="sq-AL"/>
        </w:rPr>
        <w:sectPr w:rsidR="00ED3C64" w:rsidSect="001E746C">
          <w:type w:val="continuous"/>
          <w:pgSz w:w="11907" w:h="16840" w:code="9"/>
          <w:pgMar w:top="720" w:right="1134" w:bottom="720" w:left="1134" w:header="851" w:footer="851" w:gutter="0"/>
          <w:cols w:space="720"/>
          <w:docGrid w:linePitch="360"/>
        </w:sectPr>
      </w:pPr>
    </w:p>
    <w:p w:rsidR="00ED3C64" w:rsidRPr="00BD2584" w:rsidRDefault="00ED3C64" w:rsidP="00ED3C64">
      <w:pPr>
        <w:pStyle w:val="Paragrafi"/>
        <w:jc w:val="center"/>
        <w:rPr>
          <w:spacing w:val="-4"/>
          <w:lang w:val="sq-AL"/>
        </w:rPr>
      </w:pPr>
      <w:r w:rsidRPr="00BD2584">
        <w:rPr>
          <w:spacing w:val="-4"/>
          <w:lang w:val="sq-AL"/>
        </w:rPr>
        <w:lastRenderedPageBreak/>
        <w:t>ANEKSI XVI</w:t>
      </w:r>
    </w:p>
    <w:p w:rsidR="00ED3C64" w:rsidRPr="00BD2584" w:rsidRDefault="00ED3C64" w:rsidP="00ED3C64">
      <w:pPr>
        <w:pStyle w:val="Paragrafi"/>
        <w:jc w:val="center"/>
        <w:rPr>
          <w:spacing w:val="-4"/>
          <w:lang w:val="sq-AL"/>
        </w:rPr>
      </w:pPr>
      <w:r w:rsidRPr="00BD2584">
        <w:rPr>
          <w:spacing w:val="-4"/>
          <w:lang w:val="sq-AL"/>
        </w:rPr>
        <w:t>Përcaktimi i kërkesave për vlerësimin e përqendrimeve të arsenikut, kadmiumit, nikelit dhe benzo(a)pirenit në ajrin e mjedisit brenda një zone ose aglomerati</w:t>
      </w:r>
    </w:p>
    <w:p w:rsidR="00ED3C64" w:rsidRDefault="00ED3C64" w:rsidP="00ED3C64">
      <w:pPr>
        <w:pStyle w:val="Paragrafi"/>
        <w:jc w:val="center"/>
        <w:rPr>
          <w:spacing w:val="-4"/>
          <w:lang w:val="sq-AL"/>
        </w:rPr>
      </w:pPr>
      <w:r w:rsidRPr="00BD2584">
        <w:rPr>
          <w:spacing w:val="-4"/>
          <w:lang w:val="sq-AL"/>
        </w:rPr>
        <w:t>(Referuar në pikat 10.1, 10.3, 11.2, 11.3 të këtij vendimi)</w:t>
      </w:r>
    </w:p>
    <w:p w:rsidR="00ED3C64" w:rsidRPr="000C7791" w:rsidRDefault="00ED3C64" w:rsidP="00ED3C64">
      <w:pPr>
        <w:pStyle w:val="Paragrafi"/>
        <w:jc w:val="center"/>
        <w:rPr>
          <w:spacing w:val="-4"/>
          <w:sz w:val="4"/>
          <w:lang w:val="sq-AL"/>
        </w:rPr>
      </w:pPr>
    </w:p>
    <w:p w:rsidR="00ED3C64" w:rsidRPr="00BD2584" w:rsidRDefault="00ED3C64" w:rsidP="00ED3C64">
      <w:pPr>
        <w:pStyle w:val="Paragrafi"/>
        <w:rPr>
          <w:spacing w:val="-4"/>
          <w:lang w:val="sq-AL"/>
        </w:rPr>
      </w:pPr>
      <w:r w:rsidRPr="00BD2584">
        <w:rPr>
          <w:spacing w:val="-4"/>
          <w:lang w:val="sq-AL"/>
        </w:rPr>
        <w:t>I. Pragjet e sipërme dhe të poshtme të vlerësimit</w:t>
      </w:r>
    </w:p>
    <w:p w:rsidR="00ED3C64" w:rsidRDefault="00ED3C64" w:rsidP="00ED3C64">
      <w:pPr>
        <w:pStyle w:val="Paragrafi"/>
        <w:rPr>
          <w:spacing w:val="-4"/>
          <w:lang w:val="sq-AL"/>
        </w:rPr>
      </w:pPr>
      <w:r w:rsidRPr="00BD2584">
        <w:rPr>
          <w:spacing w:val="-4"/>
          <w:lang w:val="sq-AL"/>
        </w:rPr>
        <w:t>Për këto ndotës do të zbatohen pragjet e sipërme dhe të poshtme të vlerësimit:</w:t>
      </w:r>
    </w:p>
    <w:p w:rsidR="00ED3C64" w:rsidRPr="007051F2" w:rsidRDefault="00ED3C64" w:rsidP="00ED3C64">
      <w:pPr>
        <w:pStyle w:val="Paragrafi"/>
        <w:rPr>
          <w:spacing w:val="-4"/>
          <w:sz w:val="14"/>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08"/>
        <w:gridCol w:w="1620"/>
        <w:gridCol w:w="1620"/>
        <w:gridCol w:w="1800"/>
        <w:gridCol w:w="1620"/>
      </w:tblGrid>
      <w:tr w:rsidR="00ED3C64" w:rsidRPr="00AF52D9" w:rsidTr="00BC62B1">
        <w:trPr>
          <w:jc w:val="center"/>
        </w:trPr>
        <w:tc>
          <w:tcPr>
            <w:tcW w:w="2808" w:type="dxa"/>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p>
        </w:tc>
        <w:tc>
          <w:tcPr>
            <w:tcW w:w="1620" w:type="dxa"/>
          </w:tcPr>
          <w:p w:rsidR="00ED3C64" w:rsidRPr="00AF52D9" w:rsidRDefault="00ED3C64" w:rsidP="00BC62B1">
            <w:pPr>
              <w:pStyle w:val="ListParagraph"/>
              <w:widowControl w:val="0"/>
              <w:spacing w:after="0" w:line="240" w:lineRule="auto"/>
              <w:ind w:left="0"/>
              <w:jc w:val="center"/>
              <w:rPr>
                <w:rFonts w:ascii="Garamond" w:hAnsi="Garamond"/>
                <w:b/>
                <w:sz w:val="20"/>
                <w:szCs w:val="20"/>
                <w:lang w:val="sq-AL"/>
              </w:rPr>
            </w:pPr>
            <w:r w:rsidRPr="00AF52D9">
              <w:rPr>
                <w:rFonts w:ascii="Garamond" w:hAnsi="Garamond"/>
                <w:b/>
                <w:sz w:val="20"/>
                <w:szCs w:val="20"/>
                <w:lang w:val="sq-AL"/>
              </w:rPr>
              <w:t>Arsenik</w:t>
            </w:r>
          </w:p>
        </w:tc>
        <w:tc>
          <w:tcPr>
            <w:tcW w:w="1620" w:type="dxa"/>
          </w:tcPr>
          <w:p w:rsidR="00ED3C64" w:rsidRPr="00AF52D9" w:rsidRDefault="00ED3C64" w:rsidP="00BC62B1">
            <w:pPr>
              <w:pStyle w:val="ListParagraph"/>
              <w:widowControl w:val="0"/>
              <w:spacing w:after="0" w:line="240" w:lineRule="auto"/>
              <w:ind w:left="0"/>
              <w:jc w:val="center"/>
              <w:rPr>
                <w:rFonts w:ascii="Garamond" w:hAnsi="Garamond"/>
                <w:b/>
                <w:sz w:val="20"/>
                <w:szCs w:val="20"/>
                <w:lang w:val="sq-AL"/>
              </w:rPr>
            </w:pPr>
            <w:r w:rsidRPr="00AF52D9">
              <w:rPr>
                <w:rFonts w:ascii="Garamond" w:hAnsi="Garamond"/>
                <w:b/>
                <w:sz w:val="20"/>
                <w:szCs w:val="20"/>
                <w:lang w:val="sq-AL"/>
              </w:rPr>
              <w:t>Kadmium</w:t>
            </w:r>
          </w:p>
        </w:tc>
        <w:tc>
          <w:tcPr>
            <w:tcW w:w="1800" w:type="dxa"/>
          </w:tcPr>
          <w:p w:rsidR="00ED3C64" w:rsidRPr="00AF52D9" w:rsidRDefault="00ED3C64" w:rsidP="00BC62B1">
            <w:pPr>
              <w:pStyle w:val="ListParagraph"/>
              <w:widowControl w:val="0"/>
              <w:spacing w:after="0" w:line="240" w:lineRule="auto"/>
              <w:ind w:left="0"/>
              <w:jc w:val="center"/>
              <w:rPr>
                <w:rFonts w:ascii="Garamond" w:hAnsi="Garamond"/>
                <w:b/>
                <w:sz w:val="20"/>
                <w:szCs w:val="20"/>
                <w:lang w:val="sq-AL"/>
              </w:rPr>
            </w:pPr>
            <w:r w:rsidRPr="00AF52D9">
              <w:rPr>
                <w:rFonts w:ascii="Garamond" w:hAnsi="Garamond"/>
                <w:b/>
                <w:sz w:val="20"/>
                <w:szCs w:val="20"/>
                <w:lang w:val="sq-AL"/>
              </w:rPr>
              <w:t>Nikel</w:t>
            </w:r>
          </w:p>
        </w:tc>
        <w:tc>
          <w:tcPr>
            <w:tcW w:w="1620" w:type="dxa"/>
          </w:tcPr>
          <w:p w:rsidR="00ED3C64" w:rsidRPr="00AF52D9" w:rsidRDefault="00ED3C64" w:rsidP="00BC62B1">
            <w:pPr>
              <w:pStyle w:val="ListParagraph"/>
              <w:widowControl w:val="0"/>
              <w:spacing w:after="0" w:line="240" w:lineRule="auto"/>
              <w:ind w:left="0"/>
              <w:jc w:val="center"/>
              <w:rPr>
                <w:rFonts w:ascii="Garamond" w:hAnsi="Garamond"/>
                <w:b/>
                <w:sz w:val="20"/>
                <w:szCs w:val="20"/>
                <w:lang w:val="sq-AL"/>
              </w:rPr>
            </w:pPr>
            <w:r w:rsidRPr="00AF52D9">
              <w:rPr>
                <w:rFonts w:ascii="Garamond" w:hAnsi="Garamond"/>
                <w:b/>
                <w:sz w:val="20"/>
                <w:szCs w:val="20"/>
                <w:lang w:val="sq-AL"/>
              </w:rPr>
              <w:t>B(a)P</w:t>
            </w:r>
          </w:p>
        </w:tc>
      </w:tr>
      <w:tr w:rsidR="00ED3C64" w:rsidRPr="00DC42C4" w:rsidTr="00BC62B1">
        <w:trPr>
          <w:jc w:val="center"/>
        </w:trPr>
        <w:tc>
          <w:tcPr>
            <w:tcW w:w="2808" w:type="dxa"/>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Pragu i sipërm i vlerësimit në  përqindje të vlerës së synuar</w:t>
            </w:r>
          </w:p>
        </w:tc>
        <w:tc>
          <w:tcPr>
            <w:tcW w:w="162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60 %</w:t>
            </w:r>
          </w:p>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(3,6 ng/m</w:t>
            </w:r>
            <w:r w:rsidRPr="00DC42C4">
              <w:rPr>
                <w:rFonts w:ascii="Garamond" w:hAnsi="Garamond"/>
                <w:sz w:val="20"/>
                <w:szCs w:val="20"/>
                <w:vertAlign w:val="superscript"/>
                <w:lang w:val="sq-AL"/>
              </w:rPr>
              <w:t>3</w:t>
            </w:r>
            <w:r w:rsidRPr="00DC42C4">
              <w:rPr>
                <w:rFonts w:ascii="Garamond" w:hAnsi="Garamond"/>
                <w:sz w:val="20"/>
                <w:szCs w:val="20"/>
                <w:lang w:val="sq-AL"/>
              </w:rPr>
              <w:t>)</w:t>
            </w:r>
          </w:p>
        </w:tc>
        <w:tc>
          <w:tcPr>
            <w:tcW w:w="162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60 %</w:t>
            </w:r>
          </w:p>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(3 ng/m</w:t>
            </w:r>
            <w:r w:rsidRPr="00DC42C4">
              <w:rPr>
                <w:rFonts w:ascii="Garamond" w:hAnsi="Garamond"/>
                <w:sz w:val="20"/>
                <w:szCs w:val="20"/>
                <w:vertAlign w:val="superscript"/>
                <w:lang w:val="sq-AL"/>
              </w:rPr>
              <w:t>3</w:t>
            </w:r>
            <w:r w:rsidRPr="00DC42C4">
              <w:rPr>
                <w:rFonts w:ascii="Garamond" w:hAnsi="Garamond"/>
                <w:sz w:val="20"/>
                <w:szCs w:val="20"/>
                <w:lang w:val="sq-AL"/>
              </w:rPr>
              <w:t>)</w:t>
            </w:r>
          </w:p>
        </w:tc>
        <w:tc>
          <w:tcPr>
            <w:tcW w:w="180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70 %</w:t>
            </w:r>
          </w:p>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(14 ng/m</w:t>
            </w:r>
            <w:r w:rsidRPr="00DC42C4">
              <w:rPr>
                <w:rFonts w:ascii="Garamond" w:hAnsi="Garamond"/>
                <w:sz w:val="20"/>
                <w:szCs w:val="20"/>
                <w:vertAlign w:val="superscript"/>
                <w:lang w:val="sq-AL"/>
              </w:rPr>
              <w:t>3</w:t>
            </w:r>
            <w:r w:rsidRPr="00DC42C4">
              <w:rPr>
                <w:rFonts w:ascii="Garamond" w:hAnsi="Garamond"/>
                <w:sz w:val="20"/>
                <w:szCs w:val="20"/>
                <w:lang w:val="sq-AL"/>
              </w:rPr>
              <w:t>)</w:t>
            </w:r>
          </w:p>
        </w:tc>
        <w:tc>
          <w:tcPr>
            <w:tcW w:w="162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60 %</w:t>
            </w:r>
          </w:p>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(0,6 ng/m</w:t>
            </w:r>
            <w:r w:rsidRPr="00DC42C4">
              <w:rPr>
                <w:rFonts w:ascii="Garamond" w:hAnsi="Garamond"/>
                <w:sz w:val="20"/>
                <w:szCs w:val="20"/>
                <w:vertAlign w:val="superscript"/>
                <w:lang w:val="sq-AL"/>
              </w:rPr>
              <w:t>3</w:t>
            </w:r>
            <w:r w:rsidRPr="00DC42C4">
              <w:rPr>
                <w:rFonts w:ascii="Garamond" w:hAnsi="Garamond"/>
                <w:sz w:val="20"/>
                <w:szCs w:val="20"/>
                <w:lang w:val="sq-AL"/>
              </w:rPr>
              <w:t>)</w:t>
            </w:r>
          </w:p>
        </w:tc>
      </w:tr>
      <w:tr w:rsidR="00ED3C64" w:rsidRPr="00DC42C4" w:rsidTr="00BC62B1">
        <w:trPr>
          <w:jc w:val="center"/>
        </w:trPr>
        <w:tc>
          <w:tcPr>
            <w:tcW w:w="2808" w:type="dxa"/>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Pragu i poshtëm i vlerësimit në  përqindje të vlerës së synuar</w:t>
            </w:r>
          </w:p>
        </w:tc>
        <w:tc>
          <w:tcPr>
            <w:tcW w:w="162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40 %</w:t>
            </w:r>
          </w:p>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(2,4 ng/m</w:t>
            </w:r>
            <w:r w:rsidRPr="00DC42C4">
              <w:rPr>
                <w:rFonts w:ascii="Garamond" w:hAnsi="Garamond"/>
                <w:sz w:val="20"/>
                <w:szCs w:val="20"/>
                <w:vertAlign w:val="superscript"/>
                <w:lang w:val="sq-AL"/>
              </w:rPr>
              <w:t>3</w:t>
            </w:r>
            <w:r w:rsidRPr="00DC42C4">
              <w:rPr>
                <w:rFonts w:ascii="Garamond" w:hAnsi="Garamond"/>
                <w:sz w:val="20"/>
                <w:szCs w:val="20"/>
                <w:lang w:val="sq-AL"/>
              </w:rPr>
              <w:t>)</w:t>
            </w:r>
          </w:p>
        </w:tc>
        <w:tc>
          <w:tcPr>
            <w:tcW w:w="162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40 %</w:t>
            </w:r>
          </w:p>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(2 ng/m</w:t>
            </w:r>
            <w:r w:rsidRPr="00DC42C4">
              <w:rPr>
                <w:rFonts w:ascii="Garamond" w:hAnsi="Garamond"/>
                <w:sz w:val="20"/>
                <w:szCs w:val="20"/>
                <w:vertAlign w:val="superscript"/>
                <w:lang w:val="sq-AL"/>
              </w:rPr>
              <w:t>3</w:t>
            </w:r>
            <w:r w:rsidRPr="00DC42C4">
              <w:rPr>
                <w:rFonts w:ascii="Garamond" w:hAnsi="Garamond"/>
                <w:sz w:val="20"/>
                <w:szCs w:val="20"/>
                <w:lang w:val="sq-AL"/>
              </w:rPr>
              <w:t>)</w:t>
            </w:r>
          </w:p>
        </w:tc>
        <w:tc>
          <w:tcPr>
            <w:tcW w:w="180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50 %</w:t>
            </w:r>
          </w:p>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(10 ng/m</w:t>
            </w:r>
            <w:r w:rsidRPr="00DC42C4">
              <w:rPr>
                <w:rFonts w:ascii="Garamond" w:hAnsi="Garamond"/>
                <w:sz w:val="20"/>
                <w:szCs w:val="20"/>
                <w:vertAlign w:val="superscript"/>
                <w:lang w:val="sq-AL"/>
              </w:rPr>
              <w:t>3</w:t>
            </w:r>
            <w:r w:rsidRPr="00DC42C4">
              <w:rPr>
                <w:rFonts w:ascii="Garamond" w:hAnsi="Garamond"/>
                <w:sz w:val="20"/>
                <w:szCs w:val="20"/>
                <w:lang w:val="sq-AL"/>
              </w:rPr>
              <w:t>)</w:t>
            </w:r>
          </w:p>
        </w:tc>
        <w:tc>
          <w:tcPr>
            <w:tcW w:w="162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40 %</w:t>
            </w:r>
          </w:p>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(0,4 ng/m</w:t>
            </w:r>
            <w:r w:rsidRPr="00DC42C4">
              <w:rPr>
                <w:rFonts w:ascii="Garamond" w:hAnsi="Garamond"/>
                <w:sz w:val="20"/>
                <w:szCs w:val="20"/>
                <w:vertAlign w:val="superscript"/>
                <w:lang w:val="sq-AL"/>
              </w:rPr>
              <w:t>3</w:t>
            </w:r>
            <w:r w:rsidRPr="00DC42C4">
              <w:rPr>
                <w:rFonts w:ascii="Garamond" w:hAnsi="Garamond"/>
                <w:sz w:val="20"/>
                <w:szCs w:val="20"/>
                <w:lang w:val="sq-AL"/>
              </w:rPr>
              <w:t>)</w:t>
            </w:r>
          </w:p>
        </w:tc>
      </w:tr>
    </w:tbl>
    <w:p w:rsidR="00ED3C64" w:rsidRDefault="00ED3C64" w:rsidP="00ED3C64">
      <w:pPr>
        <w:pStyle w:val="Paragrafi"/>
        <w:rPr>
          <w:lang w:val="sq-AL"/>
        </w:rPr>
      </w:pPr>
    </w:p>
    <w:p w:rsidR="00ED3C64" w:rsidRDefault="00ED3C64" w:rsidP="00ED3C64">
      <w:pPr>
        <w:pStyle w:val="Paragrafi"/>
        <w:rPr>
          <w:lang w:val="sq-AL"/>
        </w:rPr>
        <w:sectPr w:rsidR="00ED3C64" w:rsidSect="001E746C">
          <w:type w:val="continuous"/>
          <w:pgSz w:w="11907" w:h="16840" w:code="9"/>
          <w:pgMar w:top="720" w:right="1134" w:bottom="720" w:left="1134" w:header="851" w:footer="851" w:gutter="0"/>
          <w:cols w:space="720"/>
          <w:docGrid w:linePitch="360"/>
        </w:sectPr>
      </w:pPr>
    </w:p>
    <w:p w:rsidR="00ED3C64" w:rsidRDefault="00ED3C64" w:rsidP="00ED3C64">
      <w:pPr>
        <w:pStyle w:val="Paragrafi"/>
        <w:rPr>
          <w:lang w:val="sq-AL"/>
        </w:rPr>
      </w:pPr>
    </w:p>
    <w:p w:rsidR="00ED3C64" w:rsidRDefault="00ED3C64" w:rsidP="00ED3C64">
      <w:pPr>
        <w:pStyle w:val="Paragrafi"/>
        <w:rPr>
          <w:lang w:val="sq-AL"/>
        </w:rPr>
      </w:pPr>
    </w:p>
    <w:p w:rsidR="00ED3C64" w:rsidRDefault="00ED3C64" w:rsidP="00ED3C64">
      <w:pPr>
        <w:pStyle w:val="Paragrafi"/>
        <w:rPr>
          <w:lang w:val="sq-AL"/>
        </w:rPr>
      </w:pPr>
    </w:p>
    <w:p w:rsidR="00ED3C64" w:rsidRDefault="00ED3C64" w:rsidP="00ED3C64">
      <w:pPr>
        <w:pStyle w:val="Paragrafi"/>
        <w:rPr>
          <w:lang w:val="sq-AL"/>
        </w:rPr>
      </w:pPr>
    </w:p>
    <w:p w:rsidR="00ED3C64" w:rsidRDefault="00ED3C64" w:rsidP="00ED3C64">
      <w:pPr>
        <w:pStyle w:val="Paragrafi"/>
        <w:rPr>
          <w:lang w:val="sq-AL"/>
        </w:rPr>
      </w:pPr>
    </w:p>
    <w:p w:rsidR="00ED3C64" w:rsidRDefault="00ED3C64" w:rsidP="00ED3C64">
      <w:pPr>
        <w:pStyle w:val="Paragrafi"/>
        <w:rPr>
          <w:lang w:val="sq-AL"/>
        </w:rPr>
      </w:pPr>
    </w:p>
    <w:p w:rsidR="00ED3C64" w:rsidRDefault="00ED3C64" w:rsidP="00ED3C64">
      <w:pPr>
        <w:pStyle w:val="Paragrafi"/>
        <w:rPr>
          <w:lang w:val="sq-AL"/>
        </w:rPr>
      </w:pPr>
    </w:p>
    <w:p w:rsidR="00ED3C64" w:rsidRDefault="00ED3C64" w:rsidP="00ED3C64">
      <w:pPr>
        <w:pStyle w:val="Paragrafi"/>
        <w:rPr>
          <w:lang w:val="sq-AL"/>
        </w:rPr>
      </w:pPr>
    </w:p>
    <w:p w:rsidR="00ED3C64" w:rsidRPr="00205512" w:rsidRDefault="00ED3C64" w:rsidP="00ED3C64">
      <w:pPr>
        <w:pStyle w:val="Paragrafi"/>
        <w:rPr>
          <w:lang w:val="sq-AL"/>
        </w:rPr>
      </w:pPr>
      <w:r w:rsidRPr="00205512">
        <w:rPr>
          <w:lang w:val="sq-AL"/>
        </w:rPr>
        <w:t>II. Përcaktimi i kapërcimeve të pragjeve të sipërme dhe të poshtme të vlerësimit</w:t>
      </w:r>
    </w:p>
    <w:p w:rsidR="00ED3C64" w:rsidRPr="00205512" w:rsidRDefault="00ED3C64" w:rsidP="00ED3C64">
      <w:pPr>
        <w:pStyle w:val="Paragrafi"/>
        <w:rPr>
          <w:lang w:val="sq-AL"/>
        </w:rPr>
      </w:pPr>
      <w:r w:rsidRPr="00205512">
        <w:rPr>
          <w:lang w:val="sq-AL"/>
        </w:rPr>
        <w:t xml:space="preserve">1. AKM përcakton kapërcimet e pragjeve të sipërme dhe të poshtme mbi bazën e përqendrimeve gjatë pesë viteve kur disponohen të dhëna të mjaftueshme. Pragu i vlerësimit do të konsiderohet se është kapërcyer në qoftë se ai është kapërcyer gjatë tre nga pesë vitet e mëparshme kalendarike. </w:t>
      </w:r>
    </w:p>
    <w:p w:rsidR="00ED3C64" w:rsidRPr="00205512" w:rsidRDefault="00ED3C64" w:rsidP="00ED3C64">
      <w:pPr>
        <w:pStyle w:val="Paragrafi"/>
        <w:rPr>
          <w:lang w:val="sq-AL"/>
        </w:rPr>
      </w:pPr>
      <w:r w:rsidRPr="00205512">
        <w:rPr>
          <w:lang w:val="sq-AL"/>
        </w:rPr>
        <w:t>2. Kur disponohen të dhëna për më pak se pesë vjet, AKM mund të kombinojë fushatat afatshkurtër të matjeve në vende potencialisht tipike për nivelet më të larta të ndotjes gjatë vitit me rezultatet e përftuara nga informacioni i inventarëve të shkarkimeve dhe modelimi për të përcaktuar kapërcimet e pragjeve të sipërme dhe të poshtme të vlerësimit.</w:t>
      </w:r>
    </w:p>
    <w:p w:rsidR="00ED3C64" w:rsidRPr="00205512" w:rsidRDefault="00ED3C64" w:rsidP="00ED3C64">
      <w:pPr>
        <w:pStyle w:val="Hapesira7"/>
        <w:rPr>
          <w:sz w:val="6"/>
          <w:lang w:val="sq-AL"/>
        </w:rPr>
      </w:pPr>
    </w:p>
    <w:p w:rsidR="00ED3C64" w:rsidRPr="00205512" w:rsidRDefault="00ED3C64" w:rsidP="00ED3C64">
      <w:pPr>
        <w:pStyle w:val="Paragrafi"/>
        <w:jc w:val="center"/>
        <w:rPr>
          <w:lang w:val="sq-AL"/>
        </w:rPr>
      </w:pPr>
      <w:r w:rsidRPr="00205512">
        <w:rPr>
          <w:lang w:val="sq-AL"/>
        </w:rPr>
        <w:t>ANEKSI XVII</w:t>
      </w:r>
    </w:p>
    <w:p w:rsidR="00ED3C64" w:rsidRPr="00205512" w:rsidRDefault="00ED3C64" w:rsidP="00ED3C64">
      <w:pPr>
        <w:pStyle w:val="Paragrafi"/>
        <w:jc w:val="center"/>
        <w:rPr>
          <w:lang w:val="sq-AL"/>
        </w:rPr>
      </w:pPr>
      <w:r w:rsidRPr="00205512">
        <w:rPr>
          <w:lang w:val="sq-AL"/>
        </w:rPr>
        <w:t>Vendndodhja dhe numri minimal i pikave të marrjes së mostrave për matjen e përqendrimeve në ajrin e mjedisit dhe normat e depozitimit</w:t>
      </w:r>
    </w:p>
    <w:p w:rsidR="00ED3C64" w:rsidRPr="00205512" w:rsidRDefault="00ED3C64" w:rsidP="00ED3C64">
      <w:pPr>
        <w:pStyle w:val="Paragrafi"/>
        <w:jc w:val="center"/>
        <w:rPr>
          <w:lang w:val="sq-AL"/>
        </w:rPr>
      </w:pPr>
      <w:r w:rsidRPr="00205512">
        <w:rPr>
          <w:lang w:val="sq-AL"/>
        </w:rPr>
        <w:t>(Referuar në pikat 13, 14.5, 15.2.b të këtij vendimi)</w:t>
      </w:r>
    </w:p>
    <w:p w:rsidR="00ED3C64" w:rsidRPr="00205512" w:rsidRDefault="00ED3C64" w:rsidP="00ED3C64">
      <w:pPr>
        <w:pStyle w:val="Hapesira7"/>
        <w:rPr>
          <w:sz w:val="6"/>
          <w:lang w:val="sq-AL"/>
        </w:rPr>
      </w:pPr>
    </w:p>
    <w:p w:rsidR="00ED3C64" w:rsidRPr="00205512" w:rsidRDefault="00ED3C64" w:rsidP="00ED3C64">
      <w:pPr>
        <w:pStyle w:val="Paragrafi"/>
        <w:rPr>
          <w:lang w:val="sq-AL"/>
        </w:rPr>
      </w:pPr>
      <w:r w:rsidRPr="00205512">
        <w:rPr>
          <w:lang w:val="sq-AL"/>
        </w:rPr>
        <w:t>I. Përcaktimi i vendndodhjes në shkallë makro</w:t>
      </w:r>
    </w:p>
    <w:p w:rsidR="00ED3C64" w:rsidRPr="00205512" w:rsidRDefault="00ED3C64" w:rsidP="00ED3C64">
      <w:pPr>
        <w:pStyle w:val="Paragrafi"/>
        <w:rPr>
          <w:lang w:val="sq-AL"/>
        </w:rPr>
      </w:pPr>
      <w:r w:rsidRPr="00205512">
        <w:rPr>
          <w:lang w:val="sq-AL"/>
        </w:rPr>
        <w:t>1. Vendndodhjet për marrjen e mostrave përzgjidhen në mënyrë të tillë që:</w:t>
      </w:r>
    </w:p>
    <w:p w:rsidR="00ED3C64" w:rsidRPr="00205512" w:rsidRDefault="00ED3C64" w:rsidP="00ED3C64">
      <w:pPr>
        <w:pStyle w:val="Paragrafi"/>
        <w:rPr>
          <w:lang w:val="sq-AL"/>
        </w:rPr>
      </w:pPr>
      <w:r w:rsidRPr="00205512">
        <w:rPr>
          <w:lang w:val="sq-AL"/>
        </w:rPr>
        <w:t>a) të sigurojnë të dhëna për territoret brenda zonave dhe aglomerateve ku popullsia ka gjasa të ekspozohet në mënyrë të drejtpërdrejtë ose jo të drejtpërdrejtë ndaj përqendrimeve më të larta të mesatarizuara përgjatë një viti kalendarik;</w:t>
      </w:r>
    </w:p>
    <w:p w:rsidR="00ED3C64" w:rsidRDefault="00ED3C64" w:rsidP="00ED3C64">
      <w:pPr>
        <w:pStyle w:val="Paragrafi"/>
        <w:rPr>
          <w:lang w:val="sq-AL"/>
        </w:rPr>
      </w:pPr>
      <w:r w:rsidRPr="00205512">
        <w:rPr>
          <w:lang w:val="sq-AL"/>
        </w:rPr>
        <w:t>b) të sigurojnë të dhëna për nivelet në vendndodhje të tjera në zona dhe aglomerate që janë përfaqësuese të ekspozimit të popullsisë në përgjithësi;</w:t>
      </w:r>
    </w:p>
    <w:p w:rsidR="00ED3C64" w:rsidRPr="00205512" w:rsidRDefault="00ED3C64" w:rsidP="00ED3C64">
      <w:pPr>
        <w:pStyle w:val="Paragrafi"/>
        <w:rPr>
          <w:lang w:val="sq-AL"/>
        </w:rPr>
      </w:pPr>
      <w:r w:rsidRPr="00205512">
        <w:rPr>
          <w:lang w:val="sq-AL"/>
        </w:rPr>
        <w:t>c) të sigurojnë të dhëna për normat e depozitimit që përfaqësojnë ekspozimin jo të drejtpërdrejtë të popullsisë nëpërmjet zinxhirit ushqimor.</w:t>
      </w:r>
    </w:p>
    <w:p w:rsidR="00ED3C64" w:rsidRPr="00205512" w:rsidRDefault="00ED3C64" w:rsidP="00ED3C64">
      <w:pPr>
        <w:pStyle w:val="Paragrafi"/>
        <w:rPr>
          <w:lang w:val="sq-AL"/>
        </w:rPr>
      </w:pPr>
      <w:r w:rsidRPr="00205512">
        <w:rPr>
          <w:lang w:val="sq-AL"/>
        </w:rPr>
        <w:t>2. Pikat për marrjen e mostrave në përgjithësi vendosen në vende të tilla që të shmanget matja e mikro-mjediseve shumë të vogla direkt pranë tyre. Si udhëzim, një pikë për marrjen e mostrave është përfaqësuese e cilësisë së ajrit në zonat përreth prej jo më pak se 200 m</w:t>
      </w:r>
      <w:r w:rsidRPr="00205512">
        <w:rPr>
          <w:vertAlign w:val="superscript"/>
          <w:lang w:val="sq-AL"/>
        </w:rPr>
        <w:t>2</w:t>
      </w:r>
      <w:r w:rsidRPr="00205512">
        <w:rPr>
          <w:lang w:val="sq-AL"/>
        </w:rPr>
        <w:t xml:space="preserve"> në territoret e orientuara nga trafiku, të paktën 250 m x 250 m në zonat industriale, kur është e mundur, dhe disa kilometra katrorë në vendndodhjet me karakter urban.</w:t>
      </w:r>
    </w:p>
    <w:p w:rsidR="00ED3C64" w:rsidRPr="00205512" w:rsidRDefault="00ED3C64" w:rsidP="00ED3C64">
      <w:pPr>
        <w:pStyle w:val="Paragrafi"/>
        <w:rPr>
          <w:lang w:val="sq-AL"/>
        </w:rPr>
      </w:pPr>
      <w:r w:rsidRPr="00205512">
        <w:rPr>
          <w:lang w:val="sq-AL"/>
        </w:rPr>
        <w:t>3. Kur objektivi është vlerësimi i niveleve në sfond vendndodhja e marrjes së mostrave nuk duhet të ndikohen nga zonat, aglomeratët apo zonat industriale në afërsi të tij, që do të thotë territore më afër se disa kilometra.</w:t>
      </w:r>
    </w:p>
    <w:p w:rsidR="00ED3C64" w:rsidRPr="00205512" w:rsidRDefault="00ED3C64" w:rsidP="00ED3C64">
      <w:pPr>
        <w:pStyle w:val="Paragrafi"/>
        <w:rPr>
          <w:lang w:val="sq-AL"/>
        </w:rPr>
      </w:pPr>
      <w:r w:rsidRPr="00205512">
        <w:rPr>
          <w:lang w:val="sq-AL"/>
        </w:rPr>
        <w:lastRenderedPageBreak/>
        <w:t>4. Kur vlerësohen kontributet nga burimet industrial, të paktën një pikë për marrjen e mostrave nga burimi instalohet në drejtim të erës në zonën e banimit më të afërt. Kur nuk dihet përqendrimi në sfond, duhet shtuar</w:t>
      </w:r>
      <w:r w:rsidRPr="00205512" w:rsidDel="005C0A31">
        <w:rPr>
          <w:lang w:val="sq-AL"/>
        </w:rPr>
        <w:t xml:space="preserve"> </w:t>
      </w:r>
      <w:r w:rsidRPr="00205512">
        <w:rPr>
          <w:lang w:val="sq-AL"/>
        </w:rPr>
        <w:t>një pikë për marrjen e mostrave në drejtimin kryesor të erës. Në veçanti, kur vlerat e synuara të përcaktuara në aneksin XV të këtij vendimi tejkalohen, pikat për marrjen e mostrave duhet të vendosen në vendndodhje ku mund të monitorohet</w:t>
      </w:r>
      <w:r w:rsidRPr="00205512" w:rsidDel="005C0A31">
        <w:rPr>
          <w:lang w:val="sq-AL"/>
        </w:rPr>
        <w:t xml:space="preserve"> </w:t>
      </w:r>
      <w:r w:rsidRPr="00205512">
        <w:rPr>
          <w:lang w:val="sq-AL"/>
        </w:rPr>
        <w:t>zbatimi i TMD-ve.</w:t>
      </w:r>
    </w:p>
    <w:p w:rsidR="00ED3C64" w:rsidRDefault="00ED3C64" w:rsidP="00ED3C64">
      <w:pPr>
        <w:pStyle w:val="Paragrafi"/>
        <w:rPr>
          <w:lang w:val="sq-AL"/>
        </w:rPr>
      </w:pPr>
      <w:r w:rsidRPr="00205512">
        <w:rPr>
          <w:lang w:val="sq-AL"/>
        </w:rPr>
        <w:t>5. Gjithashtu, kur është e mundur, pikat për marrjen e mostrave, duhet të jenë përfaqësuese të vendndodhjeve të ngjashme jo direkt pranë tyre. Kur është e përshtatshme, ato duhet të integrohen me pikat për marrjen e mostrave për PM</w:t>
      </w:r>
      <w:r w:rsidRPr="00205512">
        <w:rPr>
          <w:vertAlign w:val="subscript"/>
          <w:lang w:val="sq-AL"/>
        </w:rPr>
        <w:t>10</w:t>
      </w:r>
      <w:r w:rsidRPr="00205512">
        <w:rPr>
          <w:lang w:val="sq-AL"/>
        </w:rPr>
        <w:t>.</w:t>
      </w:r>
    </w:p>
    <w:p w:rsidR="00ED3C64" w:rsidRPr="00205512" w:rsidRDefault="00ED3C64" w:rsidP="00ED3C64">
      <w:pPr>
        <w:pStyle w:val="Paragrafi"/>
        <w:rPr>
          <w:lang w:val="sq-AL"/>
        </w:rPr>
      </w:pPr>
      <w:r w:rsidRPr="00205512">
        <w:rPr>
          <w:lang w:val="sq-AL"/>
        </w:rPr>
        <w:t>II. Përcaktimi i vendndodhjeve në shkallë mikro</w:t>
      </w:r>
    </w:p>
    <w:p w:rsidR="00ED3C64" w:rsidRPr="00205512" w:rsidRDefault="00ED3C64" w:rsidP="00ED3C64">
      <w:pPr>
        <w:pStyle w:val="Paragrafi"/>
        <w:rPr>
          <w:lang w:val="sq-AL"/>
        </w:rPr>
      </w:pPr>
      <w:r w:rsidRPr="00205512">
        <w:rPr>
          <w:lang w:val="sq-AL"/>
        </w:rPr>
        <w:t>1. Udhëzimet e mëposhtme ndiqen për sa kohë janë praktikisht të mundshme:</w:t>
      </w:r>
    </w:p>
    <w:p w:rsidR="00ED3C64" w:rsidRPr="008250F7" w:rsidRDefault="00ED3C64" w:rsidP="00ED3C64">
      <w:pPr>
        <w:pStyle w:val="Paragrafi"/>
        <w:rPr>
          <w:spacing w:val="-4"/>
          <w:lang w:val="sq-AL"/>
        </w:rPr>
      </w:pPr>
      <w:r w:rsidRPr="00205512">
        <w:rPr>
          <w:lang w:val="sq-AL"/>
        </w:rPr>
        <w:t xml:space="preserve">a) hapësira rreth grykës së sondës për marrjen e mostrave duhet të jetë e pakufizuar, pa pengesa që ndikojnë futjen e ajrit në afërsi të marrësit të mostrës (normalisht disa metra larg ndërtesave, ballkoneve, pemëve dhe pengesave të tjera dhe të </w:t>
      </w:r>
      <w:r w:rsidRPr="008250F7">
        <w:rPr>
          <w:spacing w:val="-4"/>
          <w:lang w:val="sq-AL"/>
        </w:rPr>
        <w:t>paktën 0,5 m larg nga ndërtesa më e afërt në rastin e pikave të marrjes së mostrave që përfaqësojnë cilësinë e ajrit në vijën e ndërtesës);</w:t>
      </w:r>
    </w:p>
    <w:p w:rsidR="00ED3C64" w:rsidRPr="008250F7" w:rsidRDefault="00ED3C64" w:rsidP="00ED3C64">
      <w:pPr>
        <w:pStyle w:val="Paragrafi"/>
        <w:rPr>
          <w:spacing w:val="-4"/>
          <w:lang w:val="sq-AL"/>
        </w:rPr>
      </w:pPr>
      <w:r w:rsidRPr="008250F7">
        <w:rPr>
          <w:spacing w:val="-4"/>
          <w:lang w:val="sq-AL"/>
        </w:rPr>
        <w:t xml:space="preserve">b) në përgjithësi, pika e marrjes së mostrave duhet të jetë midis 1,5 m (niveli i frymëmarrjes) dhe 4 m mbi tokë. Në disa rrethana mund të jenë të nevojshme pozicione më të larta (deri në 8 m). Një pozicion akoma më i lartë se kaq mund të jetë gjithashtu i përshtatshëm në qoftë se stacioni është përfaqësues i një zone të madhe; </w:t>
      </w:r>
    </w:p>
    <w:p w:rsidR="00ED3C64" w:rsidRPr="008250F7" w:rsidRDefault="00ED3C64" w:rsidP="00ED3C64">
      <w:pPr>
        <w:pStyle w:val="Paragrafi"/>
        <w:rPr>
          <w:spacing w:val="-4"/>
          <w:lang w:val="sq-AL"/>
        </w:rPr>
      </w:pPr>
      <w:r w:rsidRPr="008250F7">
        <w:rPr>
          <w:spacing w:val="-4"/>
          <w:lang w:val="sq-AL"/>
        </w:rPr>
        <w:t>c) sonda hyrëse nuk duhet pozicionuar në afërsi të drejtpërdrejtë të burimeve me qëllim që të shmanget futja direkte e shkarkimeve të papërziera me ajrin e mjedisit;</w:t>
      </w:r>
    </w:p>
    <w:p w:rsidR="00ED3C64" w:rsidRDefault="00ED3C64" w:rsidP="00ED3C64">
      <w:pPr>
        <w:pStyle w:val="Paragrafi"/>
        <w:rPr>
          <w:spacing w:val="-4"/>
          <w:lang w:val="sq-AL"/>
        </w:rPr>
      </w:pPr>
      <w:r w:rsidRPr="008250F7">
        <w:rPr>
          <w:spacing w:val="-4"/>
          <w:lang w:val="sq-AL"/>
        </w:rPr>
        <w:t xml:space="preserve">d) me qëllim që të shmanget futja direkte e shkarkimeve që nuk janë përzier me ajrin e mjedisit, sonda hyrëse nuk vendoset ngjitur me burimet; </w:t>
      </w:r>
    </w:p>
    <w:p w:rsidR="00ED3C64" w:rsidRPr="008250F7" w:rsidRDefault="00ED3C64" w:rsidP="00ED3C64">
      <w:pPr>
        <w:pStyle w:val="Paragrafi"/>
        <w:rPr>
          <w:spacing w:val="-4"/>
          <w:lang w:val="sq-AL"/>
        </w:rPr>
      </w:pPr>
    </w:p>
    <w:p w:rsidR="00ED3C64" w:rsidRDefault="00ED3C64" w:rsidP="00ED3C64">
      <w:pPr>
        <w:pStyle w:val="Paragrafi"/>
        <w:rPr>
          <w:spacing w:val="-4"/>
          <w:lang w:val="sq-AL"/>
        </w:rPr>
      </w:pPr>
      <w:r w:rsidRPr="008250F7">
        <w:rPr>
          <w:spacing w:val="-4"/>
          <w:lang w:val="sq-AL"/>
        </w:rPr>
        <w:t xml:space="preserve">e) pikat e marrjes së mostrave të orientuara nga trafiku duhet të jenë të paktën 25 metra nga kryqëzimet e mëdha dhe të paktën 4 m nga qendra e korsisë më të afërt të trafikut; gryka e hyres duhet të pozicionohet në mënyrë të tillë që mostra e marrë të jetë përfaqësuese e cilësisë së ajrit pranë rreshtit të ndërtesave; </w:t>
      </w:r>
    </w:p>
    <w:p w:rsidR="00ED3C64" w:rsidRPr="008250F7" w:rsidRDefault="00ED3C64" w:rsidP="00ED3C64">
      <w:pPr>
        <w:pStyle w:val="Paragrafi"/>
        <w:rPr>
          <w:spacing w:val="-4"/>
          <w:lang w:val="sq-AL"/>
        </w:rPr>
      </w:pPr>
      <w:r w:rsidRPr="008250F7">
        <w:rPr>
          <w:spacing w:val="-4"/>
          <w:lang w:val="sq-AL"/>
        </w:rPr>
        <w:t>f) për matjen e depozitimeve në vendndodhjet me karakter rural, për aq sa është praktikisht e mundur, dhe kur nuk përcaktohen në anekse duhet të zbatohen udhëzimet dhe kriteret e EMEP.</w:t>
      </w:r>
    </w:p>
    <w:p w:rsidR="00ED3C64" w:rsidRPr="008250F7" w:rsidRDefault="00ED3C64" w:rsidP="00ED3C64">
      <w:pPr>
        <w:pStyle w:val="Paragrafi"/>
        <w:rPr>
          <w:spacing w:val="-4"/>
          <w:lang w:val="sq-AL"/>
        </w:rPr>
      </w:pPr>
      <w:r w:rsidRPr="008250F7">
        <w:rPr>
          <w:spacing w:val="-4"/>
          <w:lang w:val="sq-AL"/>
        </w:rPr>
        <w:t>3. Gjithashtu, duhet të merren parasysh faktorët e mëposhtëm:</w:t>
      </w:r>
    </w:p>
    <w:p w:rsidR="00ED3C64" w:rsidRPr="008250F7" w:rsidRDefault="00ED3C64" w:rsidP="00ED3C64">
      <w:pPr>
        <w:pStyle w:val="Paragrafi"/>
        <w:rPr>
          <w:spacing w:val="-4"/>
          <w:lang w:val="sq-AL"/>
        </w:rPr>
      </w:pPr>
      <w:r w:rsidRPr="008250F7">
        <w:rPr>
          <w:spacing w:val="-4"/>
          <w:lang w:val="sq-AL"/>
        </w:rPr>
        <w:t>a) burimet interferuese;</w:t>
      </w:r>
    </w:p>
    <w:p w:rsidR="00ED3C64" w:rsidRPr="008250F7" w:rsidRDefault="00ED3C64" w:rsidP="00ED3C64">
      <w:pPr>
        <w:pStyle w:val="Paragrafi"/>
        <w:rPr>
          <w:spacing w:val="-4"/>
          <w:lang w:val="sq-AL"/>
        </w:rPr>
      </w:pPr>
      <w:r w:rsidRPr="008250F7">
        <w:rPr>
          <w:spacing w:val="-4"/>
          <w:lang w:val="sq-AL"/>
        </w:rPr>
        <w:t>b) sigurimi;</w:t>
      </w:r>
    </w:p>
    <w:p w:rsidR="00ED3C64" w:rsidRPr="008250F7" w:rsidRDefault="00ED3C64" w:rsidP="00ED3C64">
      <w:pPr>
        <w:pStyle w:val="Paragrafi"/>
        <w:rPr>
          <w:spacing w:val="-4"/>
          <w:lang w:val="sq-AL"/>
        </w:rPr>
      </w:pPr>
      <w:r w:rsidRPr="008250F7">
        <w:rPr>
          <w:spacing w:val="-4"/>
          <w:lang w:val="sq-AL"/>
        </w:rPr>
        <w:t>c) aksesi;</w:t>
      </w:r>
    </w:p>
    <w:p w:rsidR="00ED3C64" w:rsidRPr="008250F7" w:rsidRDefault="00ED3C64" w:rsidP="00ED3C64">
      <w:pPr>
        <w:pStyle w:val="Paragrafi"/>
        <w:rPr>
          <w:spacing w:val="-4"/>
          <w:lang w:val="sq-AL"/>
        </w:rPr>
      </w:pPr>
      <w:r w:rsidRPr="008250F7">
        <w:rPr>
          <w:spacing w:val="-4"/>
          <w:lang w:val="sq-AL"/>
        </w:rPr>
        <w:t>d) aksesi në rrjetin e energjisë elektrike dhe të telefonisë;</w:t>
      </w:r>
    </w:p>
    <w:p w:rsidR="00ED3C64" w:rsidRPr="008250F7" w:rsidRDefault="00ED3C64" w:rsidP="00ED3C64">
      <w:pPr>
        <w:pStyle w:val="Paragrafi"/>
        <w:rPr>
          <w:spacing w:val="-4"/>
          <w:lang w:val="sq-AL"/>
        </w:rPr>
      </w:pPr>
      <w:r w:rsidRPr="008250F7">
        <w:rPr>
          <w:spacing w:val="-4"/>
          <w:lang w:val="sq-AL"/>
        </w:rPr>
        <w:t>e) vizibiliteti i territorit në lidhje me zonat përreth tij;</w:t>
      </w:r>
    </w:p>
    <w:p w:rsidR="00ED3C64" w:rsidRDefault="00ED3C64" w:rsidP="00ED3C64">
      <w:pPr>
        <w:pStyle w:val="Paragrafi"/>
        <w:rPr>
          <w:spacing w:val="-4"/>
          <w:lang w:val="sq-AL"/>
        </w:rPr>
      </w:pPr>
      <w:r w:rsidRPr="008250F7">
        <w:rPr>
          <w:spacing w:val="-4"/>
          <w:lang w:val="sq-AL"/>
        </w:rPr>
        <w:t>f) siguria e publikut dhe operatorëve;</w:t>
      </w:r>
    </w:p>
    <w:p w:rsidR="00ED3C64" w:rsidRPr="008250F7" w:rsidRDefault="00ED3C64" w:rsidP="00ED3C64">
      <w:pPr>
        <w:pStyle w:val="Paragrafi"/>
        <w:rPr>
          <w:spacing w:val="-4"/>
          <w:lang w:val="sq-AL"/>
        </w:rPr>
      </w:pPr>
    </w:p>
    <w:p w:rsidR="00ED3C64" w:rsidRPr="008250F7" w:rsidRDefault="00ED3C64" w:rsidP="00ED3C64">
      <w:pPr>
        <w:pStyle w:val="Paragrafi"/>
        <w:rPr>
          <w:spacing w:val="-4"/>
          <w:lang w:val="sq-AL"/>
        </w:rPr>
      </w:pPr>
      <w:r w:rsidRPr="008250F7">
        <w:rPr>
          <w:spacing w:val="-4"/>
          <w:lang w:val="sq-AL"/>
        </w:rPr>
        <w:t>g) preferenca për pikave integrale për marrjen e mostrave për ndotës të ndryshëm;</w:t>
      </w:r>
    </w:p>
    <w:p w:rsidR="00ED3C64" w:rsidRPr="008250F7" w:rsidRDefault="00ED3C64" w:rsidP="00ED3C64">
      <w:pPr>
        <w:pStyle w:val="Paragrafi"/>
        <w:rPr>
          <w:spacing w:val="-4"/>
          <w:lang w:val="sq-AL"/>
        </w:rPr>
      </w:pPr>
      <w:r w:rsidRPr="008250F7">
        <w:rPr>
          <w:spacing w:val="-4"/>
          <w:lang w:val="sq-AL"/>
        </w:rPr>
        <w:t>h) nevoja për planifikim.</w:t>
      </w:r>
    </w:p>
    <w:p w:rsidR="00ED3C64" w:rsidRPr="008250F7" w:rsidRDefault="00ED3C64" w:rsidP="00ED3C64">
      <w:pPr>
        <w:pStyle w:val="Paragrafi"/>
        <w:rPr>
          <w:spacing w:val="-4"/>
          <w:lang w:val="sq-AL"/>
        </w:rPr>
      </w:pPr>
      <w:r w:rsidRPr="008250F7">
        <w:rPr>
          <w:spacing w:val="-4"/>
          <w:lang w:val="sq-AL"/>
        </w:rPr>
        <w:t>III. Dokumentacioni dhe rishikimi i vend</w:t>
      </w:r>
      <w:r>
        <w:rPr>
          <w:spacing w:val="-4"/>
          <w:lang w:val="sq-AL"/>
        </w:rPr>
        <w:t>-</w:t>
      </w:r>
      <w:r w:rsidRPr="008250F7">
        <w:rPr>
          <w:spacing w:val="-4"/>
          <w:lang w:val="sq-AL"/>
        </w:rPr>
        <w:t>ndodhjes së përzgjedhur</w:t>
      </w:r>
    </w:p>
    <w:p w:rsidR="00ED3C64" w:rsidRPr="008250F7" w:rsidRDefault="00ED3C64" w:rsidP="00ED3C64">
      <w:pPr>
        <w:pStyle w:val="Paragrafi"/>
        <w:rPr>
          <w:spacing w:val="-4"/>
          <w:lang w:val="sq-AL"/>
        </w:rPr>
      </w:pPr>
      <w:r w:rsidRPr="008250F7">
        <w:rPr>
          <w:spacing w:val="-4"/>
          <w:lang w:val="sq-AL"/>
        </w:rPr>
        <w:t>Në fazën e klasifikimit procedurat për përzgjedhjen e vendndodhjes duhet të jenë plotësisht të dokumentuara nga mjete të tilla si fotografitë e zonave përreth dhe një hartë e detajuar. Vendndodhjet duhet të rishikohen në intervale të rregullta me dokumentacion të përsëritur për të siguruar që kriteret e përzgjedhjes mbeten të vlefshme gjatë gjithë kohës.</w:t>
      </w:r>
    </w:p>
    <w:p w:rsidR="00ED3C64" w:rsidRPr="008250F7" w:rsidRDefault="00ED3C64" w:rsidP="00ED3C64">
      <w:pPr>
        <w:pStyle w:val="Paragrafi"/>
        <w:rPr>
          <w:spacing w:val="-4"/>
          <w:lang w:val="sq-AL"/>
        </w:rPr>
      </w:pPr>
      <w:r w:rsidRPr="008250F7">
        <w:rPr>
          <w:spacing w:val="-4"/>
          <w:lang w:val="sq-AL"/>
        </w:rPr>
        <w:t>IV. Kriteret për përcaktimin e numrave të pikave për marrjen e mostrave për matjen fikse të përqendrimeve të arsenikut, kadmiumit, nikelit dhe benzo(a)pirenit në ajrin e mjedisit</w:t>
      </w:r>
    </w:p>
    <w:p w:rsidR="00ED3C64" w:rsidRDefault="00ED3C64" w:rsidP="00ED3C64">
      <w:pPr>
        <w:pStyle w:val="Paragrafi"/>
        <w:rPr>
          <w:spacing w:val="-4"/>
          <w:lang w:val="sq-AL"/>
        </w:rPr>
      </w:pPr>
      <w:r w:rsidRPr="008250F7">
        <w:rPr>
          <w:spacing w:val="-4"/>
          <w:lang w:val="sq-AL"/>
        </w:rPr>
        <w:t>Numri minimal i pikave për marrjen e mostrave për matje fikse për të vlerësuar respektimin e vlerave të synuara për mbrojtjen e shëndetit publik në zona dhe aglomeratë ku matja fikse është burimi i vetëm i informacionit.</w:t>
      </w:r>
    </w:p>
    <w:p w:rsidR="00ED3C64" w:rsidRDefault="00ED3C64" w:rsidP="00ED3C64">
      <w:pPr>
        <w:pStyle w:val="Paragrafi"/>
        <w:rPr>
          <w:lang w:val="sq-AL"/>
        </w:rPr>
        <w:sectPr w:rsidR="00ED3C64" w:rsidSect="001E746C">
          <w:type w:val="continuous"/>
          <w:pgSz w:w="11907" w:h="16840" w:code="9"/>
          <w:pgMar w:top="720" w:right="1134" w:bottom="720" w:left="1134" w:header="851" w:footer="851" w:gutter="0"/>
          <w:cols w:space="454"/>
          <w:docGrid w:linePitch="360"/>
        </w:sectPr>
      </w:pPr>
    </w:p>
    <w:p w:rsidR="00ED3C64" w:rsidRDefault="00ED3C64" w:rsidP="00ED3C64">
      <w:pPr>
        <w:pStyle w:val="Hapesira7"/>
        <w:rPr>
          <w:lang w:val="sq-AL"/>
        </w:rPr>
      </w:pPr>
    </w:p>
    <w:p w:rsidR="00ED3C64" w:rsidRPr="001A7A75" w:rsidRDefault="00ED3C64" w:rsidP="00ED3C64">
      <w:pPr>
        <w:pStyle w:val="Hapesira7"/>
        <w:rPr>
          <w:sz w:val="24"/>
          <w:lang w:val="sq-AL"/>
        </w:rPr>
      </w:pPr>
      <w:r>
        <w:rPr>
          <w:spacing w:val="-4"/>
          <w:sz w:val="24"/>
          <w:lang w:val="sq-AL"/>
        </w:rPr>
        <w:t xml:space="preserve">a) </w:t>
      </w:r>
      <w:r w:rsidRPr="001A7A75">
        <w:rPr>
          <w:spacing w:val="-4"/>
          <w:sz w:val="24"/>
          <w:lang w:val="sq-AL"/>
        </w:rPr>
        <w:t>Burimet e përhapjes</w:t>
      </w:r>
    </w:p>
    <w:p w:rsidR="00ED3C64" w:rsidRPr="00DC42C4" w:rsidRDefault="00ED3C64" w:rsidP="00ED3C64">
      <w:pPr>
        <w:pStyle w:val="Hapesira7"/>
        <w:rPr>
          <w:lang w:val="sq-AL"/>
        </w:rPr>
      </w:pPr>
    </w:p>
    <w:tbl>
      <w:tblPr>
        <w:tblW w:w="0" w:type="auto"/>
        <w:jc w:val="center"/>
        <w:tblInd w:w="8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03"/>
        <w:gridCol w:w="1703"/>
        <w:gridCol w:w="1703"/>
        <w:gridCol w:w="1703"/>
        <w:gridCol w:w="1704"/>
      </w:tblGrid>
      <w:tr w:rsidR="00ED3C64" w:rsidRPr="001A7A75" w:rsidTr="00BC62B1">
        <w:trPr>
          <w:jc w:val="center"/>
        </w:trPr>
        <w:tc>
          <w:tcPr>
            <w:tcW w:w="1703" w:type="dxa"/>
            <w:vMerge w:val="restart"/>
          </w:tcPr>
          <w:p w:rsidR="00ED3C64" w:rsidRPr="00CF64B6" w:rsidRDefault="00ED3C64" w:rsidP="00BC62B1">
            <w:pPr>
              <w:pStyle w:val="ListParagraph"/>
              <w:widowControl w:val="0"/>
              <w:spacing w:after="0" w:line="240" w:lineRule="auto"/>
              <w:ind w:left="0"/>
              <w:jc w:val="center"/>
              <w:rPr>
                <w:rFonts w:ascii="Garamond" w:hAnsi="Garamond"/>
                <w:b/>
                <w:sz w:val="18"/>
                <w:szCs w:val="18"/>
                <w:lang w:val="sq-AL"/>
              </w:rPr>
            </w:pPr>
            <w:r w:rsidRPr="00CF64B6">
              <w:rPr>
                <w:rFonts w:ascii="Garamond" w:hAnsi="Garamond"/>
                <w:b/>
                <w:sz w:val="18"/>
                <w:szCs w:val="18"/>
                <w:lang w:val="sq-AL"/>
              </w:rPr>
              <w:t>Popullsia e aglomeratit ose zonës</w:t>
            </w:r>
          </w:p>
          <w:p w:rsidR="00ED3C64" w:rsidRPr="00CF64B6" w:rsidRDefault="00ED3C64" w:rsidP="00BC62B1">
            <w:pPr>
              <w:pStyle w:val="ListParagraph"/>
              <w:widowControl w:val="0"/>
              <w:spacing w:after="0" w:line="240" w:lineRule="auto"/>
              <w:ind w:left="0"/>
              <w:jc w:val="center"/>
              <w:rPr>
                <w:rFonts w:ascii="Garamond" w:hAnsi="Garamond"/>
                <w:b/>
                <w:sz w:val="18"/>
                <w:szCs w:val="18"/>
                <w:lang w:val="sq-AL"/>
              </w:rPr>
            </w:pPr>
            <w:r w:rsidRPr="00CF64B6">
              <w:rPr>
                <w:rFonts w:ascii="Garamond" w:hAnsi="Garamond"/>
                <w:b/>
                <w:sz w:val="18"/>
                <w:szCs w:val="18"/>
                <w:lang w:val="sq-AL"/>
              </w:rPr>
              <w:t>(mijëra)</w:t>
            </w:r>
          </w:p>
        </w:tc>
        <w:tc>
          <w:tcPr>
            <w:tcW w:w="3406" w:type="dxa"/>
            <w:gridSpan w:val="2"/>
          </w:tcPr>
          <w:p w:rsidR="00ED3C64" w:rsidRPr="00CF64B6" w:rsidRDefault="00ED3C64" w:rsidP="00BC62B1">
            <w:pPr>
              <w:pStyle w:val="ListParagraph"/>
              <w:widowControl w:val="0"/>
              <w:spacing w:after="0" w:line="240" w:lineRule="auto"/>
              <w:ind w:left="0"/>
              <w:jc w:val="center"/>
              <w:rPr>
                <w:rFonts w:ascii="Garamond" w:hAnsi="Garamond"/>
                <w:b/>
                <w:sz w:val="18"/>
                <w:szCs w:val="18"/>
                <w:lang w:val="sq-AL"/>
              </w:rPr>
            </w:pPr>
            <w:r w:rsidRPr="00CF64B6">
              <w:rPr>
                <w:rFonts w:ascii="Garamond" w:hAnsi="Garamond"/>
                <w:b/>
                <w:sz w:val="18"/>
                <w:szCs w:val="18"/>
                <w:lang w:val="sq-AL"/>
              </w:rPr>
              <w:t>Në qoftë se përqendrimet maksimale kapërcejnë pragun e sipërm të vlerësimit (1)</w:t>
            </w:r>
          </w:p>
        </w:tc>
        <w:tc>
          <w:tcPr>
            <w:tcW w:w="3407" w:type="dxa"/>
            <w:gridSpan w:val="2"/>
          </w:tcPr>
          <w:p w:rsidR="00ED3C64" w:rsidRPr="00CF64B6" w:rsidRDefault="00ED3C64" w:rsidP="00BC62B1">
            <w:pPr>
              <w:pStyle w:val="ListParagraph"/>
              <w:widowControl w:val="0"/>
              <w:spacing w:after="0" w:line="240" w:lineRule="auto"/>
              <w:ind w:left="0"/>
              <w:jc w:val="center"/>
              <w:rPr>
                <w:rFonts w:ascii="Garamond" w:hAnsi="Garamond"/>
                <w:b/>
                <w:sz w:val="18"/>
                <w:szCs w:val="18"/>
                <w:lang w:val="sq-AL"/>
              </w:rPr>
            </w:pPr>
            <w:r w:rsidRPr="00CF64B6">
              <w:rPr>
                <w:rFonts w:ascii="Garamond" w:hAnsi="Garamond"/>
                <w:b/>
                <w:sz w:val="18"/>
                <w:szCs w:val="18"/>
                <w:lang w:val="sq-AL"/>
              </w:rPr>
              <w:t>Në qoftë se përqendrimet maksimale janë midis pragjeve të sipërme dhe të poshtme të vlerësimit</w:t>
            </w:r>
          </w:p>
        </w:tc>
      </w:tr>
      <w:tr w:rsidR="00ED3C64" w:rsidRPr="001A7A75" w:rsidTr="00BC62B1">
        <w:trPr>
          <w:jc w:val="center"/>
        </w:trPr>
        <w:tc>
          <w:tcPr>
            <w:tcW w:w="1703" w:type="dxa"/>
            <w:vMerge/>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As, Cd, Ni</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B(a)P</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As, Cd, Ni</w:t>
            </w:r>
          </w:p>
        </w:tc>
        <w:tc>
          <w:tcPr>
            <w:tcW w:w="1704"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B(a)P</w:t>
            </w:r>
          </w:p>
        </w:tc>
      </w:tr>
      <w:tr w:rsidR="00ED3C64" w:rsidRPr="001A7A75" w:rsidTr="00BC62B1">
        <w:trPr>
          <w:jc w:val="center"/>
        </w:trPr>
        <w:tc>
          <w:tcPr>
            <w:tcW w:w="1703"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0–749</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1</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1</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1</w:t>
            </w:r>
          </w:p>
        </w:tc>
        <w:tc>
          <w:tcPr>
            <w:tcW w:w="1704"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1</w:t>
            </w:r>
          </w:p>
        </w:tc>
      </w:tr>
      <w:tr w:rsidR="00ED3C64" w:rsidRPr="001A7A75" w:rsidTr="00BC62B1">
        <w:trPr>
          <w:jc w:val="center"/>
        </w:trPr>
        <w:tc>
          <w:tcPr>
            <w:tcW w:w="1703"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750–1 999</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2</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2</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1</w:t>
            </w:r>
          </w:p>
        </w:tc>
        <w:tc>
          <w:tcPr>
            <w:tcW w:w="1704"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1</w:t>
            </w:r>
          </w:p>
        </w:tc>
      </w:tr>
      <w:tr w:rsidR="00ED3C64" w:rsidRPr="001A7A75" w:rsidTr="00BC62B1">
        <w:trPr>
          <w:jc w:val="center"/>
        </w:trPr>
        <w:tc>
          <w:tcPr>
            <w:tcW w:w="1703"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lastRenderedPageBreak/>
              <w:t>2 000–3 749</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2</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3</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1</w:t>
            </w:r>
          </w:p>
        </w:tc>
        <w:tc>
          <w:tcPr>
            <w:tcW w:w="1704"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1</w:t>
            </w:r>
          </w:p>
        </w:tc>
      </w:tr>
      <w:tr w:rsidR="00ED3C64" w:rsidRPr="001A7A75" w:rsidTr="00BC62B1">
        <w:trPr>
          <w:jc w:val="center"/>
        </w:trPr>
        <w:tc>
          <w:tcPr>
            <w:tcW w:w="1703"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3 750–4 749</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3</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4</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2</w:t>
            </w:r>
          </w:p>
        </w:tc>
        <w:tc>
          <w:tcPr>
            <w:tcW w:w="1704"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2</w:t>
            </w:r>
          </w:p>
        </w:tc>
      </w:tr>
      <w:tr w:rsidR="00ED3C64" w:rsidRPr="001A7A75" w:rsidTr="00BC62B1">
        <w:trPr>
          <w:jc w:val="center"/>
        </w:trPr>
        <w:tc>
          <w:tcPr>
            <w:tcW w:w="1703"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4 750–5 999</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4</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5</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2</w:t>
            </w:r>
          </w:p>
        </w:tc>
        <w:tc>
          <w:tcPr>
            <w:tcW w:w="1704"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2</w:t>
            </w:r>
          </w:p>
        </w:tc>
      </w:tr>
      <w:tr w:rsidR="00ED3C64" w:rsidRPr="001A7A75" w:rsidTr="00BC62B1">
        <w:trPr>
          <w:jc w:val="center"/>
        </w:trPr>
        <w:tc>
          <w:tcPr>
            <w:tcW w:w="1703" w:type="dxa"/>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 6 000</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5</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5</w:t>
            </w:r>
          </w:p>
        </w:tc>
        <w:tc>
          <w:tcPr>
            <w:tcW w:w="1703"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2</w:t>
            </w:r>
          </w:p>
        </w:tc>
        <w:tc>
          <w:tcPr>
            <w:tcW w:w="1704" w:type="dxa"/>
          </w:tcPr>
          <w:p w:rsidR="00ED3C64" w:rsidRPr="001A7A75" w:rsidRDefault="00ED3C64" w:rsidP="00BC62B1">
            <w:pPr>
              <w:pStyle w:val="ListParagraph"/>
              <w:widowControl w:val="0"/>
              <w:spacing w:after="0" w:line="240" w:lineRule="auto"/>
              <w:ind w:left="0"/>
              <w:jc w:val="center"/>
              <w:rPr>
                <w:rFonts w:ascii="Garamond" w:hAnsi="Garamond"/>
                <w:sz w:val="18"/>
                <w:szCs w:val="18"/>
                <w:lang w:val="sq-AL"/>
              </w:rPr>
            </w:pPr>
            <w:r w:rsidRPr="001A7A75">
              <w:rPr>
                <w:rFonts w:ascii="Garamond" w:hAnsi="Garamond"/>
                <w:sz w:val="18"/>
                <w:szCs w:val="18"/>
                <w:lang w:val="sq-AL"/>
              </w:rPr>
              <w:t>2</w:t>
            </w:r>
          </w:p>
        </w:tc>
      </w:tr>
      <w:tr w:rsidR="00ED3C64" w:rsidRPr="001A7A75" w:rsidTr="00BC62B1">
        <w:trPr>
          <w:jc w:val="center"/>
        </w:trPr>
        <w:tc>
          <w:tcPr>
            <w:tcW w:w="8516" w:type="dxa"/>
            <w:gridSpan w:val="5"/>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r w:rsidRPr="001A7A75">
              <w:rPr>
                <w:rFonts w:ascii="Garamond" w:hAnsi="Garamond"/>
                <w:sz w:val="18"/>
                <w:szCs w:val="18"/>
                <w:lang w:val="sq-AL"/>
              </w:rPr>
              <w:t>(1) Të përfshihet të paktën një stacion në mjedis urban dhe për benzo(a)pirenin edhe një stacion i orientuar nga trafiku me kusht që kjo të mos e rrisë numrin e pikave të marrjes së mostrave.</w:t>
            </w:r>
          </w:p>
        </w:tc>
      </w:tr>
      <w:tr w:rsidR="00ED3C64" w:rsidRPr="001A7A75" w:rsidTr="00BC62B1">
        <w:trPr>
          <w:jc w:val="center"/>
        </w:trPr>
        <w:tc>
          <w:tcPr>
            <w:tcW w:w="8516" w:type="dxa"/>
            <w:gridSpan w:val="5"/>
          </w:tcPr>
          <w:p w:rsidR="00ED3C64" w:rsidRPr="001A7A75" w:rsidRDefault="00ED3C64" w:rsidP="00BC62B1">
            <w:pPr>
              <w:pStyle w:val="ListParagraph"/>
              <w:widowControl w:val="0"/>
              <w:spacing w:after="0" w:line="240" w:lineRule="auto"/>
              <w:ind w:left="0"/>
              <w:jc w:val="both"/>
              <w:rPr>
                <w:rFonts w:ascii="Garamond" w:hAnsi="Garamond"/>
                <w:sz w:val="18"/>
                <w:szCs w:val="18"/>
                <w:lang w:val="sq-AL"/>
              </w:rPr>
            </w:pPr>
          </w:p>
        </w:tc>
      </w:tr>
    </w:tbl>
    <w:p w:rsidR="00ED3C64" w:rsidRDefault="00ED3C64" w:rsidP="00ED3C64">
      <w:pPr>
        <w:pStyle w:val="Paragrafi"/>
        <w:rPr>
          <w:lang w:val="sq-AL"/>
        </w:rPr>
      </w:pPr>
    </w:p>
    <w:p w:rsidR="00ED3C64" w:rsidRDefault="00ED3C64" w:rsidP="00ED3C64">
      <w:pPr>
        <w:pStyle w:val="Paragrafi"/>
        <w:rPr>
          <w:lang w:val="sq-AL"/>
        </w:rPr>
        <w:sectPr w:rsidR="00ED3C64" w:rsidSect="001E746C">
          <w:type w:val="continuous"/>
          <w:pgSz w:w="11907" w:h="16840" w:code="9"/>
          <w:pgMar w:top="720" w:right="1134" w:bottom="720" w:left="1134" w:header="851" w:footer="851" w:gutter="0"/>
          <w:cols w:space="720"/>
          <w:docGrid w:linePitch="360"/>
        </w:sectPr>
      </w:pPr>
    </w:p>
    <w:p w:rsidR="00ED3C64" w:rsidRPr="00DC42C4" w:rsidRDefault="00ED3C64" w:rsidP="00ED3C64">
      <w:pPr>
        <w:pStyle w:val="Paragrafi"/>
        <w:rPr>
          <w:lang w:val="sq-AL"/>
        </w:rPr>
      </w:pPr>
      <w:r w:rsidRPr="00DC42C4">
        <w:rPr>
          <w:lang w:val="sq-AL"/>
        </w:rPr>
        <w:lastRenderedPageBreak/>
        <w:t>b)</w:t>
      </w:r>
      <w:r>
        <w:rPr>
          <w:lang w:val="sq-AL"/>
        </w:rPr>
        <w:t xml:space="preserve"> </w:t>
      </w:r>
      <w:r w:rsidRPr="00DC42C4">
        <w:rPr>
          <w:lang w:val="sq-AL"/>
        </w:rPr>
        <w:t>Burimet e identifikueshme</w:t>
      </w:r>
    </w:p>
    <w:p w:rsidR="00ED3C64" w:rsidRPr="00DC42C4" w:rsidRDefault="00ED3C64" w:rsidP="00ED3C64">
      <w:pPr>
        <w:pStyle w:val="Paragrafi"/>
        <w:rPr>
          <w:lang w:val="sq-AL"/>
        </w:rPr>
      </w:pPr>
      <w:r w:rsidRPr="00DC42C4">
        <w:rPr>
          <w:lang w:val="sq-AL"/>
        </w:rPr>
        <w:t>1. Për vlerësimin e ndotjes në afërsi të burimeve identifikueshme, numri i pikave për marrjen e mostrave për matje fikse duhet të përcaktohet duke marrë parasysh densitetin e shkarkimeve, modelet e mundshme të përhapjes së ndotjes në ajrin e mjedisit dhe ekspozimin potencial të popullsisë.</w:t>
      </w:r>
    </w:p>
    <w:p w:rsidR="00ED3C64" w:rsidRPr="00DC42C4" w:rsidRDefault="00ED3C64" w:rsidP="00ED3C64">
      <w:pPr>
        <w:pStyle w:val="Paragrafi"/>
        <w:rPr>
          <w:lang w:val="sq-AL"/>
        </w:rPr>
      </w:pPr>
      <w:r w:rsidRPr="00DC42C4">
        <w:rPr>
          <w:lang w:val="sq-AL"/>
        </w:rPr>
        <w:t xml:space="preserve">2. Pikat për marrjen e mostrave duhet të jenë në vendndodhje të tilla ku mund të monitorohet zbatimi i TMD-ve. </w:t>
      </w:r>
    </w:p>
    <w:p w:rsidR="00ED3C64" w:rsidRPr="00DC42C4" w:rsidRDefault="00ED3C64" w:rsidP="00ED3C64">
      <w:pPr>
        <w:pStyle w:val="Paragrafi"/>
        <w:jc w:val="center"/>
        <w:rPr>
          <w:lang w:val="sq-AL"/>
        </w:rPr>
      </w:pPr>
      <w:r w:rsidRPr="00DC42C4">
        <w:rPr>
          <w:lang w:val="sq-AL"/>
        </w:rPr>
        <w:t>ANEKSI XVIII</w:t>
      </w:r>
    </w:p>
    <w:p w:rsidR="00ED3C64" w:rsidRPr="00DC42C4" w:rsidRDefault="00ED3C64" w:rsidP="00ED3C64">
      <w:pPr>
        <w:pStyle w:val="Paragrafi"/>
        <w:jc w:val="center"/>
        <w:rPr>
          <w:lang w:val="sq-AL"/>
        </w:rPr>
      </w:pPr>
      <w:r w:rsidRPr="00DC42C4">
        <w:rPr>
          <w:lang w:val="sq-AL"/>
        </w:rPr>
        <w:t>Objektivat për cilësinë e të dhënave dhe kërkesat për modelet e cilësisë së ajrit</w:t>
      </w:r>
    </w:p>
    <w:p w:rsidR="00ED3C64" w:rsidRPr="00DC42C4" w:rsidRDefault="00ED3C64" w:rsidP="00ED3C64">
      <w:pPr>
        <w:pStyle w:val="Paragrafi"/>
        <w:jc w:val="center"/>
        <w:rPr>
          <w:lang w:val="sq-AL"/>
        </w:rPr>
      </w:pPr>
      <w:r w:rsidRPr="00DC42C4">
        <w:rPr>
          <w:lang w:val="sq-AL"/>
        </w:rPr>
        <w:t>(Referuar në pikat 11.2, 12 të këtij vendimi)</w:t>
      </w:r>
    </w:p>
    <w:p w:rsidR="00ED3C64" w:rsidRPr="00D945D0" w:rsidRDefault="00ED3C64" w:rsidP="00ED3C64">
      <w:pPr>
        <w:pStyle w:val="Paragrafi"/>
        <w:rPr>
          <w:sz w:val="14"/>
          <w:lang w:val="sq-AL"/>
        </w:rPr>
      </w:pPr>
    </w:p>
    <w:p w:rsidR="00ED3C64" w:rsidRPr="00DC42C4" w:rsidRDefault="00ED3C64" w:rsidP="00ED3C64">
      <w:pPr>
        <w:pStyle w:val="Paragrafi"/>
        <w:rPr>
          <w:lang w:val="sq-AL"/>
        </w:rPr>
      </w:pPr>
      <w:r w:rsidRPr="00DC42C4">
        <w:rPr>
          <w:lang w:val="sq-AL"/>
        </w:rPr>
        <w:t>I. Objektivat për cilësinë e të dhënave</w:t>
      </w:r>
    </w:p>
    <w:p w:rsidR="00ED3C64" w:rsidRDefault="00ED3C64" w:rsidP="00ED3C64">
      <w:pPr>
        <w:pStyle w:val="Paragrafi"/>
        <w:rPr>
          <w:lang w:val="sq-AL"/>
        </w:rPr>
      </w:pPr>
      <w:r w:rsidRPr="00DC42C4">
        <w:rPr>
          <w:lang w:val="sq-AL"/>
        </w:rPr>
        <w:t>Objektivat e mëposhtëm për cilësinë e të dhënave duhen përdorur si udhëzues për sigurimin e cilësisë.</w:t>
      </w:r>
    </w:p>
    <w:p w:rsidR="00ED3C64" w:rsidRDefault="00ED3C64" w:rsidP="00ED3C64">
      <w:pPr>
        <w:pStyle w:val="Paragrafi"/>
        <w:rPr>
          <w:lang w:val="sq-AL"/>
        </w:rPr>
      </w:pPr>
    </w:p>
    <w:p w:rsidR="00ED3C64" w:rsidRDefault="00ED3C64" w:rsidP="00ED3C64">
      <w:pPr>
        <w:pStyle w:val="Paragrafi"/>
        <w:rPr>
          <w:lang w:val="sq-AL"/>
        </w:rPr>
        <w:sectPr w:rsidR="00ED3C64" w:rsidSect="001E746C">
          <w:type w:val="continuous"/>
          <w:pgSz w:w="11907" w:h="16840" w:code="9"/>
          <w:pgMar w:top="720" w:right="1134" w:bottom="720" w:left="1134" w:header="851" w:footer="851" w:gutter="0"/>
          <w:cols w:space="454"/>
          <w:docGrid w:linePitch="360"/>
        </w:sectPr>
      </w:pPr>
    </w:p>
    <w:p w:rsidR="00ED3C64" w:rsidRDefault="00ED3C64" w:rsidP="00ED3C64">
      <w:pPr>
        <w:pStyle w:val="Paragrafi"/>
        <w:rPr>
          <w:sz w:val="14"/>
          <w:lang w:val="sq-AL"/>
        </w:rPr>
      </w:pPr>
    </w:p>
    <w:p w:rsidR="00ED3C64" w:rsidRDefault="00ED3C64" w:rsidP="00ED3C64">
      <w:pPr>
        <w:pStyle w:val="Paragrafi"/>
        <w:rPr>
          <w:sz w:val="14"/>
          <w:lang w:val="sq-AL"/>
        </w:rPr>
      </w:pPr>
    </w:p>
    <w:p w:rsidR="00ED3C64" w:rsidRDefault="00ED3C64" w:rsidP="00ED3C64">
      <w:pPr>
        <w:pStyle w:val="Paragrafi"/>
        <w:rPr>
          <w:sz w:val="14"/>
          <w:lang w:val="sq-AL"/>
        </w:rPr>
      </w:pPr>
    </w:p>
    <w:p w:rsidR="00ED3C64" w:rsidRDefault="00ED3C64" w:rsidP="00ED3C64">
      <w:pPr>
        <w:pStyle w:val="Paragrafi"/>
        <w:rPr>
          <w:sz w:val="14"/>
          <w:lang w:val="sq-AL"/>
        </w:rPr>
      </w:pPr>
    </w:p>
    <w:p w:rsidR="00ED3C64" w:rsidRDefault="00ED3C64" w:rsidP="00ED3C64">
      <w:pPr>
        <w:pStyle w:val="Paragrafi"/>
        <w:rPr>
          <w:sz w:val="14"/>
          <w:lang w:val="sq-AL"/>
        </w:rPr>
      </w:pPr>
    </w:p>
    <w:p w:rsidR="00ED3C64" w:rsidRPr="00D945D0" w:rsidRDefault="00ED3C64" w:rsidP="00ED3C64">
      <w:pPr>
        <w:pStyle w:val="Paragrafi"/>
        <w:rPr>
          <w:sz w:val="14"/>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32"/>
        <w:gridCol w:w="1487"/>
        <w:gridCol w:w="1530"/>
        <w:gridCol w:w="3060"/>
        <w:gridCol w:w="1175"/>
      </w:tblGrid>
      <w:tr w:rsidR="00ED3C64" w:rsidRPr="00DC42C4" w:rsidTr="00BC62B1">
        <w:tc>
          <w:tcPr>
            <w:tcW w:w="2532" w:type="dxa"/>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p>
        </w:tc>
        <w:tc>
          <w:tcPr>
            <w:tcW w:w="1356" w:type="dxa"/>
          </w:tcPr>
          <w:p w:rsidR="00ED3C64" w:rsidRPr="00CF64B6" w:rsidRDefault="00ED3C64" w:rsidP="00BC62B1">
            <w:pPr>
              <w:pStyle w:val="ListParagraph"/>
              <w:widowControl w:val="0"/>
              <w:spacing w:after="0" w:line="240" w:lineRule="auto"/>
              <w:ind w:left="0"/>
              <w:jc w:val="center"/>
              <w:rPr>
                <w:rFonts w:ascii="Garamond" w:hAnsi="Garamond"/>
                <w:b/>
                <w:sz w:val="20"/>
                <w:szCs w:val="20"/>
                <w:lang w:val="sq-AL"/>
              </w:rPr>
            </w:pPr>
            <w:r w:rsidRPr="00CF64B6">
              <w:rPr>
                <w:rFonts w:ascii="Garamond" w:hAnsi="Garamond"/>
                <w:b/>
                <w:sz w:val="20"/>
                <w:szCs w:val="20"/>
                <w:lang w:val="sq-AL"/>
              </w:rPr>
              <w:t>Benzo(a)pireni</w:t>
            </w:r>
          </w:p>
        </w:tc>
        <w:tc>
          <w:tcPr>
            <w:tcW w:w="1530" w:type="dxa"/>
          </w:tcPr>
          <w:p w:rsidR="00ED3C64" w:rsidRPr="00CF64B6" w:rsidRDefault="00ED3C64" w:rsidP="00BC62B1">
            <w:pPr>
              <w:widowControl w:val="0"/>
              <w:autoSpaceDE w:val="0"/>
              <w:autoSpaceDN w:val="0"/>
              <w:adjustRightInd w:val="0"/>
              <w:spacing w:after="0" w:line="240" w:lineRule="auto"/>
              <w:ind w:firstLine="0"/>
              <w:jc w:val="center"/>
              <w:rPr>
                <w:rFonts w:ascii="Garamond" w:hAnsi="Garamond"/>
                <w:b/>
                <w:sz w:val="20"/>
                <w:szCs w:val="20"/>
                <w:lang w:val="sq-AL"/>
              </w:rPr>
            </w:pPr>
            <w:r w:rsidRPr="00CF64B6">
              <w:rPr>
                <w:rFonts w:ascii="Garamond" w:hAnsi="Garamond"/>
                <w:b/>
                <w:sz w:val="20"/>
                <w:szCs w:val="20"/>
                <w:lang w:val="sq-AL"/>
              </w:rPr>
              <w:t>Arsenik, kadmium dhe nikel</w:t>
            </w:r>
          </w:p>
        </w:tc>
        <w:tc>
          <w:tcPr>
            <w:tcW w:w="3060" w:type="dxa"/>
          </w:tcPr>
          <w:p w:rsidR="00ED3C64" w:rsidRPr="00CF64B6" w:rsidRDefault="00ED3C64" w:rsidP="00BC62B1">
            <w:pPr>
              <w:widowControl w:val="0"/>
              <w:autoSpaceDE w:val="0"/>
              <w:autoSpaceDN w:val="0"/>
              <w:adjustRightInd w:val="0"/>
              <w:spacing w:after="0" w:line="240" w:lineRule="auto"/>
              <w:ind w:firstLine="0"/>
              <w:jc w:val="center"/>
              <w:rPr>
                <w:rFonts w:ascii="Garamond" w:hAnsi="Garamond"/>
                <w:b/>
                <w:sz w:val="20"/>
                <w:szCs w:val="20"/>
                <w:lang w:val="sq-AL"/>
              </w:rPr>
            </w:pPr>
            <w:r w:rsidRPr="00CF64B6">
              <w:rPr>
                <w:rFonts w:ascii="Garamond" w:hAnsi="Garamond"/>
                <w:b/>
                <w:sz w:val="20"/>
                <w:szCs w:val="20"/>
                <w:lang w:val="sq-AL"/>
              </w:rPr>
              <w:t>Hidrokarburet aromatike policiklike përveç benzo(a)pirenit, mërkurit të gaztë total</w:t>
            </w:r>
          </w:p>
        </w:tc>
        <w:tc>
          <w:tcPr>
            <w:tcW w:w="1170" w:type="dxa"/>
          </w:tcPr>
          <w:p w:rsidR="00ED3C64" w:rsidRPr="00CF64B6" w:rsidRDefault="00ED3C64" w:rsidP="00BC62B1">
            <w:pPr>
              <w:pStyle w:val="ListParagraph"/>
              <w:widowControl w:val="0"/>
              <w:spacing w:after="0" w:line="240" w:lineRule="auto"/>
              <w:ind w:left="0"/>
              <w:jc w:val="center"/>
              <w:rPr>
                <w:rFonts w:ascii="Garamond" w:hAnsi="Garamond"/>
                <w:b/>
                <w:sz w:val="20"/>
                <w:szCs w:val="20"/>
                <w:lang w:val="sq-AL"/>
              </w:rPr>
            </w:pPr>
            <w:r w:rsidRPr="00CF64B6">
              <w:rPr>
                <w:rFonts w:ascii="Garamond" w:hAnsi="Garamond"/>
                <w:b/>
                <w:sz w:val="20"/>
                <w:szCs w:val="20"/>
                <w:lang w:val="sq-AL"/>
              </w:rPr>
              <w:t>Depozitimi total</w:t>
            </w:r>
          </w:p>
        </w:tc>
      </w:tr>
      <w:tr w:rsidR="00ED3C64" w:rsidRPr="00DC42C4" w:rsidTr="00BC62B1">
        <w:tc>
          <w:tcPr>
            <w:tcW w:w="2532" w:type="dxa"/>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 Pasiguria</w:t>
            </w:r>
          </w:p>
        </w:tc>
        <w:tc>
          <w:tcPr>
            <w:tcW w:w="1356" w:type="dxa"/>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p>
        </w:tc>
        <w:tc>
          <w:tcPr>
            <w:tcW w:w="1530" w:type="dxa"/>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p>
        </w:tc>
        <w:tc>
          <w:tcPr>
            <w:tcW w:w="3060" w:type="dxa"/>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p>
        </w:tc>
        <w:tc>
          <w:tcPr>
            <w:tcW w:w="1170" w:type="dxa"/>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p>
        </w:tc>
      </w:tr>
      <w:tr w:rsidR="00ED3C64" w:rsidRPr="00DC42C4" w:rsidTr="00BC62B1">
        <w:tc>
          <w:tcPr>
            <w:tcW w:w="2532" w:type="dxa"/>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Matjet fikse dhe treguese</w:t>
            </w:r>
          </w:p>
        </w:tc>
        <w:tc>
          <w:tcPr>
            <w:tcW w:w="1356"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50%</w:t>
            </w:r>
          </w:p>
        </w:tc>
        <w:tc>
          <w:tcPr>
            <w:tcW w:w="153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40%</w:t>
            </w:r>
          </w:p>
        </w:tc>
        <w:tc>
          <w:tcPr>
            <w:tcW w:w="306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50%</w:t>
            </w:r>
          </w:p>
        </w:tc>
        <w:tc>
          <w:tcPr>
            <w:tcW w:w="117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70%</w:t>
            </w:r>
          </w:p>
        </w:tc>
      </w:tr>
      <w:tr w:rsidR="00ED3C64" w:rsidRPr="00DC42C4" w:rsidTr="00BC62B1">
        <w:tc>
          <w:tcPr>
            <w:tcW w:w="2532" w:type="dxa"/>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Modelimi</w:t>
            </w:r>
          </w:p>
        </w:tc>
        <w:tc>
          <w:tcPr>
            <w:tcW w:w="1356"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60%</w:t>
            </w:r>
          </w:p>
        </w:tc>
        <w:tc>
          <w:tcPr>
            <w:tcW w:w="153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60%</w:t>
            </w:r>
          </w:p>
        </w:tc>
        <w:tc>
          <w:tcPr>
            <w:tcW w:w="306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60%</w:t>
            </w:r>
          </w:p>
        </w:tc>
        <w:tc>
          <w:tcPr>
            <w:tcW w:w="117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60%</w:t>
            </w:r>
          </w:p>
        </w:tc>
      </w:tr>
      <w:tr w:rsidR="00ED3C64" w:rsidRPr="00DC42C4" w:rsidTr="00BC62B1">
        <w:tc>
          <w:tcPr>
            <w:tcW w:w="2532" w:type="dxa"/>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 Sigurimi minimal i të dhënave</w:t>
            </w:r>
          </w:p>
        </w:tc>
        <w:tc>
          <w:tcPr>
            <w:tcW w:w="1356"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90%</w:t>
            </w:r>
          </w:p>
        </w:tc>
        <w:tc>
          <w:tcPr>
            <w:tcW w:w="153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90%</w:t>
            </w:r>
          </w:p>
        </w:tc>
        <w:tc>
          <w:tcPr>
            <w:tcW w:w="306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90%</w:t>
            </w:r>
          </w:p>
        </w:tc>
        <w:tc>
          <w:tcPr>
            <w:tcW w:w="117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90%</w:t>
            </w:r>
          </w:p>
        </w:tc>
      </w:tr>
      <w:tr w:rsidR="00ED3C64" w:rsidRPr="00DC42C4" w:rsidTr="00BC62B1">
        <w:tc>
          <w:tcPr>
            <w:tcW w:w="2532" w:type="dxa"/>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 Mbulimi minimal i kohës:</w:t>
            </w:r>
          </w:p>
        </w:tc>
        <w:tc>
          <w:tcPr>
            <w:tcW w:w="1356"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p>
        </w:tc>
        <w:tc>
          <w:tcPr>
            <w:tcW w:w="153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p>
        </w:tc>
        <w:tc>
          <w:tcPr>
            <w:tcW w:w="306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p>
        </w:tc>
        <w:tc>
          <w:tcPr>
            <w:tcW w:w="117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p>
        </w:tc>
      </w:tr>
      <w:tr w:rsidR="00ED3C64" w:rsidRPr="00DC42C4" w:rsidTr="00BC62B1">
        <w:tc>
          <w:tcPr>
            <w:tcW w:w="2532" w:type="dxa"/>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Matjet fikse</w:t>
            </w:r>
          </w:p>
        </w:tc>
        <w:tc>
          <w:tcPr>
            <w:tcW w:w="1356"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33%</w:t>
            </w:r>
          </w:p>
        </w:tc>
        <w:tc>
          <w:tcPr>
            <w:tcW w:w="153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50%</w:t>
            </w:r>
          </w:p>
        </w:tc>
        <w:tc>
          <w:tcPr>
            <w:tcW w:w="306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p>
        </w:tc>
        <w:tc>
          <w:tcPr>
            <w:tcW w:w="117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p>
        </w:tc>
      </w:tr>
      <w:tr w:rsidR="00ED3C64" w:rsidRPr="00DC42C4" w:rsidTr="00BC62B1">
        <w:tc>
          <w:tcPr>
            <w:tcW w:w="2532" w:type="dxa"/>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Matjet treguese(*)</w:t>
            </w:r>
          </w:p>
        </w:tc>
        <w:tc>
          <w:tcPr>
            <w:tcW w:w="1356"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14%</w:t>
            </w:r>
          </w:p>
        </w:tc>
        <w:tc>
          <w:tcPr>
            <w:tcW w:w="153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14%</w:t>
            </w:r>
          </w:p>
        </w:tc>
        <w:tc>
          <w:tcPr>
            <w:tcW w:w="306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14%</w:t>
            </w:r>
          </w:p>
        </w:tc>
        <w:tc>
          <w:tcPr>
            <w:tcW w:w="1170" w:type="dxa"/>
          </w:tcPr>
          <w:p w:rsidR="00ED3C64" w:rsidRPr="00DC42C4" w:rsidRDefault="00ED3C64" w:rsidP="00BC62B1">
            <w:pPr>
              <w:pStyle w:val="ListParagraph"/>
              <w:widowControl w:val="0"/>
              <w:spacing w:after="0" w:line="240" w:lineRule="auto"/>
              <w:ind w:left="0"/>
              <w:jc w:val="center"/>
              <w:rPr>
                <w:rFonts w:ascii="Garamond" w:hAnsi="Garamond"/>
                <w:sz w:val="20"/>
                <w:szCs w:val="20"/>
                <w:lang w:val="sq-AL"/>
              </w:rPr>
            </w:pPr>
            <w:r w:rsidRPr="00DC42C4">
              <w:rPr>
                <w:rFonts w:ascii="Garamond" w:hAnsi="Garamond"/>
                <w:sz w:val="20"/>
                <w:szCs w:val="20"/>
                <w:lang w:val="sq-AL"/>
              </w:rPr>
              <w:t>33%</w:t>
            </w:r>
          </w:p>
        </w:tc>
      </w:tr>
      <w:tr w:rsidR="00ED3C64" w:rsidRPr="00DC42C4" w:rsidTr="00BC62B1">
        <w:tc>
          <w:tcPr>
            <w:tcW w:w="9648" w:type="dxa"/>
            <w:gridSpan w:val="5"/>
          </w:tcPr>
          <w:p w:rsidR="00ED3C64" w:rsidRPr="00DC42C4" w:rsidRDefault="00ED3C64" w:rsidP="00BC62B1">
            <w:pPr>
              <w:pStyle w:val="ListParagraph"/>
              <w:widowControl w:val="0"/>
              <w:spacing w:after="0" w:line="240" w:lineRule="auto"/>
              <w:ind w:left="0"/>
              <w:jc w:val="both"/>
              <w:rPr>
                <w:rFonts w:ascii="Garamond" w:hAnsi="Garamond"/>
                <w:sz w:val="20"/>
                <w:szCs w:val="20"/>
                <w:lang w:val="sq-AL"/>
              </w:rPr>
            </w:pPr>
            <w:r w:rsidRPr="00DC42C4">
              <w:rPr>
                <w:rFonts w:ascii="Garamond" w:hAnsi="Garamond"/>
                <w:sz w:val="20"/>
                <w:szCs w:val="20"/>
                <w:lang w:val="sq-AL"/>
              </w:rPr>
              <w:t>(*)Matjet treguese janë matje që kryhen me rregullsi të reduktuar, por që plotësojnë objektivat e tjerë për cilësinë e të dhënave.</w:t>
            </w:r>
          </w:p>
        </w:tc>
      </w:tr>
    </w:tbl>
    <w:p w:rsidR="00ED3C64" w:rsidRDefault="00ED3C64" w:rsidP="00ED3C64">
      <w:pPr>
        <w:pStyle w:val="Paragrafi"/>
        <w:rPr>
          <w:lang w:val="sq-AL"/>
        </w:rPr>
      </w:pPr>
    </w:p>
    <w:p w:rsidR="00ED3C64" w:rsidRPr="004938EF" w:rsidRDefault="00ED3C64" w:rsidP="00ED3C64">
      <w:pPr>
        <w:pStyle w:val="Paragrafi"/>
        <w:rPr>
          <w:sz w:val="14"/>
          <w:lang w:val="sq-AL"/>
        </w:rPr>
        <w:sectPr w:rsidR="00ED3C64" w:rsidRPr="004938EF" w:rsidSect="001E746C">
          <w:type w:val="continuous"/>
          <w:pgSz w:w="11907" w:h="16840" w:code="9"/>
          <w:pgMar w:top="720" w:right="1134" w:bottom="720" w:left="1134" w:header="851" w:footer="851" w:gutter="0"/>
          <w:cols w:space="720"/>
          <w:docGrid w:linePitch="360"/>
        </w:sectPr>
      </w:pPr>
    </w:p>
    <w:p w:rsidR="00ED3C64" w:rsidRPr="008250F7" w:rsidRDefault="00ED3C64" w:rsidP="00ED3C64">
      <w:pPr>
        <w:pStyle w:val="Paragrafi"/>
        <w:rPr>
          <w:spacing w:val="-4"/>
          <w:lang w:val="sq-AL"/>
        </w:rPr>
      </w:pPr>
      <w:r w:rsidRPr="008250F7">
        <w:rPr>
          <w:spacing w:val="-4"/>
          <w:lang w:val="sq-AL"/>
        </w:rPr>
        <w:lastRenderedPageBreak/>
        <w:t xml:space="preserve">1. Pasiguria (e shprehur me besueshmëri 95 %) e metodave të përdorura për vlerësimin e përqendrimeve të ajrit të mjedisit do të vlerësohet në përputhje me parimet e Udhëzuesit CEN për shprehjen e pasigurisë në matje (ENV 13005-1999), metodologjia e </w:t>
      </w:r>
      <w:hyperlink r:id="rId12" w:tgtFrame="_blank" w:history="1">
        <w:r w:rsidRPr="008250F7">
          <w:rPr>
            <w:rStyle w:val="Hyperlink"/>
            <w:spacing w:val="-4"/>
            <w:lang w:val="sq-AL"/>
          </w:rPr>
          <w:t>S SH ISO 5725-1:2008</w:t>
        </w:r>
      </w:hyperlink>
      <w:r w:rsidRPr="008250F7">
        <w:rPr>
          <w:spacing w:val="-4"/>
          <w:lang w:val="sq-AL"/>
        </w:rPr>
        <w:t xml:space="preserve"> pjesët 2,3,4,5,6 dhe udhëzuesi i dhënë në </w:t>
      </w:r>
      <w:r>
        <w:rPr>
          <w:spacing w:val="-4"/>
          <w:lang w:val="sq-AL"/>
        </w:rPr>
        <w:t>Raportin CEN, ‘Cilësia e ajrit.-</w:t>
      </w:r>
      <w:r w:rsidRPr="008250F7">
        <w:rPr>
          <w:spacing w:val="-4"/>
          <w:lang w:val="sq-AL"/>
        </w:rPr>
        <w:t xml:space="preserve"> Përqasje për vlerësimin e pasigurisë për metodat referencë të matjeve të ajrit të mjedisit (CR 14377:2002E). Përqindjet për pasigurinë jepen për matje individuale, që mesatarizohen përgjatë kohërave tipike të marrjes së mostrave, për intervalin e besueshmërisë prej 95 %. Pasiguria e matjeve duhet konsideruar e aplikueshme rrotull vlerës së duhur të synuar. Me qëllim që të shmanget shtrembërimi i rezultateve matjet fikse dhe treguese duhet të shpërndahen në mënyrë të njëtrajtshme përgjatë vitit.</w:t>
      </w:r>
    </w:p>
    <w:p w:rsidR="00ED3C64" w:rsidRPr="008250F7" w:rsidRDefault="00ED3C64" w:rsidP="00ED3C64">
      <w:pPr>
        <w:pStyle w:val="Paragrafi"/>
        <w:rPr>
          <w:spacing w:val="-4"/>
          <w:lang w:val="sq-AL"/>
        </w:rPr>
      </w:pPr>
      <w:r w:rsidRPr="008250F7">
        <w:rPr>
          <w:spacing w:val="-4"/>
          <w:lang w:val="sq-AL"/>
        </w:rPr>
        <w:t>2. Kërkesat për sigurimin minimal të të dhënave dhe mbulimin kohor nuk përfshijnë humbjet e të dhënave për shkak të kalibrimit të rregullt apo mirëmbajtjes normale të instrumenteve. Për matjen e benzo(a)pirenit dhe hidrokarbureve të tjera aromatike policiklike kërkohet marrja e mostrave njëzet e katër orë. Me kujdes, mostrat individuale të marra gjatë një periudhe deri një mujore mund të kombinohen dhe analizohen si një mostër e përbërë, me kusht që metoda të sigurojë që mostrat të jenë të qëndrueshme për atë periudhë. Tre përbërjet me prejardhje të njëjtë benzo(b)fluoranteni, benzo(j)fluoranteni, benzo</w:t>
      </w:r>
      <w:r>
        <w:rPr>
          <w:spacing w:val="-4"/>
          <w:lang w:val="sq-AL"/>
        </w:rPr>
        <w:t>-</w:t>
      </w:r>
      <w:r w:rsidRPr="008250F7">
        <w:rPr>
          <w:spacing w:val="-4"/>
          <w:lang w:val="sq-AL"/>
        </w:rPr>
        <w:t>(k)fluoranteni mund të jetë e vështirë të ndahen analitikisht. Në raste të tilla mund të raportohet shuma e tyre. Marrja e mostrave njëzet e katër orë është gjithashtu e këshillueshme për matjen e përqendrimeve të arsenikut, kadmiumit dhe and nikelit. Marrja e mostrave duhet të shpërndahet në mënyrë të njëtrajtshme gjatë ditëve të javës dhe gjatë vitit. Për matjen e normave mujore ose javore të depozitimit, rekomandohen mostrat e marra gjatë gjithë vitit.</w:t>
      </w:r>
    </w:p>
    <w:p w:rsidR="00ED3C64" w:rsidRPr="008250F7" w:rsidRDefault="00ED3C64" w:rsidP="00ED3C64">
      <w:pPr>
        <w:pStyle w:val="Paragrafi"/>
        <w:rPr>
          <w:spacing w:val="-4"/>
          <w:lang w:val="sq-AL"/>
        </w:rPr>
      </w:pPr>
      <w:r w:rsidRPr="008250F7">
        <w:rPr>
          <w:spacing w:val="-4"/>
          <w:lang w:val="sq-AL"/>
        </w:rPr>
        <w:t>3. AKM mund të përdorë marrjen e mostrave të njoma në vend të atyre voluminozë nëse mund të demonstrojë që ndryshimi midis tyre është brenda 10 %. Normat e depozitimit në përgjithësi duhet të jepen si μg/m</w:t>
      </w:r>
      <w:r w:rsidRPr="008250F7">
        <w:rPr>
          <w:spacing w:val="-4"/>
          <w:vertAlign w:val="superscript"/>
          <w:lang w:val="sq-AL"/>
        </w:rPr>
        <w:t>2</w:t>
      </w:r>
      <w:r w:rsidRPr="008250F7">
        <w:rPr>
          <w:spacing w:val="-4"/>
          <w:lang w:val="sq-AL"/>
        </w:rPr>
        <w:t xml:space="preserve"> në ditë.</w:t>
      </w:r>
    </w:p>
    <w:p w:rsidR="00ED3C64" w:rsidRPr="008250F7" w:rsidRDefault="00ED3C64" w:rsidP="00ED3C64">
      <w:pPr>
        <w:pStyle w:val="Paragrafi"/>
        <w:rPr>
          <w:spacing w:val="-4"/>
          <w:lang w:val="sq-AL"/>
        </w:rPr>
      </w:pPr>
      <w:r w:rsidRPr="008250F7">
        <w:rPr>
          <w:spacing w:val="-4"/>
          <w:lang w:val="sq-AL"/>
        </w:rPr>
        <w:t>4. AKM mund të zbatojë një mbulim kohor minimal më të ulët se ai i treguar në tabelë, por jo më i ulët se sa 14 % për matje fikse dhe 6 % për matjet treguese, me kusht që të mund të demonstrohet që për mesataren vjetore të arrihet</w:t>
      </w:r>
      <w:r w:rsidRPr="008250F7" w:rsidDel="00234CF5">
        <w:rPr>
          <w:spacing w:val="-4"/>
          <w:lang w:val="sq-AL"/>
        </w:rPr>
        <w:t xml:space="preserve"> </w:t>
      </w:r>
      <w:r w:rsidRPr="008250F7">
        <w:rPr>
          <w:spacing w:val="-4"/>
          <w:lang w:val="sq-AL"/>
        </w:rPr>
        <w:t>pasiguria e rritur prej 95 %, llogaritur nga objektivat për cilësinë e të dhënave në tabelë sipas ISO 11222:2002 — ‘Përcaktimi i pasigurisë së mesatares së kohës për matjet e cilësisë së ajrit’.</w:t>
      </w:r>
    </w:p>
    <w:p w:rsidR="00ED3C64" w:rsidRPr="008250F7" w:rsidRDefault="00ED3C64" w:rsidP="00ED3C64">
      <w:pPr>
        <w:pStyle w:val="Paragrafi"/>
        <w:rPr>
          <w:spacing w:val="-4"/>
          <w:lang w:val="sq-AL"/>
        </w:rPr>
      </w:pPr>
      <w:r w:rsidRPr="008250F7">
        <w:rPr>
          <w:spacing w:val="-4"/>
          <w:lang w:val="sq-AL"/>
        </w:rPr>
        <w:t>II. Kërkesat për modelet e cilësisë së ajrit</w:t>
      </w:r>
    </w:p>
    <w:p w:rsidR="00ED3C64" w:rsidRPr="008250F7" w:rsidRDefault="00ED3C64" w:rsidP="00ED3C64">
      <w:pPr>
        <w:pStyle w:val="Paragrafi"/>
        <w:rPr>
          <w:spacing w:val="-4"/>
          <w:lang w:val="sq-AL"/>
        </w:rPr>
      </w:pPr>
      <w:r w:rsidRPr="008250F7">
        <w:rPr>
          <w:spacing w:val="-4"/>
          <w:lang w:val="sq-AL"/>
        </w:rPr>
        <w:t>1. Kur për vlerësimin e</w:t>
      </w:r>
      <w:r w:rsidRPr="008250F7" w:rsidDel="00353195">
        <w:rPr>
          <w:spacing w:val="-4"/>
          <w:lang w:val="sq-AL"/>
        </w:rPr>
        <w:t xml:space="preserve"> </w:t>
      </w:r>
      <w:r w:rsidRPr="008250F7">
        <w:rPr>
          <w:spacing w:val="-4"/>
          <w:lang w:val="sq-AL"/>
        </w:rPr>
        <w:t>cilësinë e ajrit përdoren</w:t>
      </w:r>
      <w:r w:rsidRPr="008250F7" w:rsidDel="00353195">
        <w:rPr>
          <w:spacing w:val="-4"/>
          <w:lang w:val="sq-AL"/>
        </w:rPr>
        <w:t xml:space="preserve"> </w:t>
      </w:r>
      <w:r w:rsidRPr="008250F7">
        <w:rPr>
          <w:spacing w:val="-4"/>
          <w:lang w:val="sq-AL"/>
        </w:rPr>
        <w:t>modelet, hartohen referenca për përshkrimet e modelit dhe informacion për pasigurinë. Pasiguria për modelimin përkufizohet si shmangia maksimale e niveleve të përqendrimit të matur dhe të llogaritur, përgjatë një viti të plotë, pa marrë parasysh kohën kur ndodhin ngjarjet.</w:t>
      </w:r>
    </w:p>
    <w:p w:rsidR="00ED3C64" w:rsidRPr="008250F7" w:rsidRDefault="00ED3C64" w:rsidP="00ED3C64">
      <w:pPr>
        <w:pStyle w:val="Paragrafi"/>
        <w:rPr>
          <w:spacing w:val="-4"/>
          <w:lang w:val="sq-AL"/>
        </w:rPr>
      </w:pPr>
      <w:r w:rsidRPr="008250F7">
        <w:rPr>
          <w:spacing w:val="-4"/>
          <w:lang w:val="sq-AL"/>
        </w:rPr>
        <w:t>III. Kërkesat për teknikat e vlerësimit të objektivit</w:t>
      </w:r>
    </w:p>
    <w:p w:rsidR="00ED3C64" w:rsidRPr="008250F7" w:rsidRDefault="00ED3C64" w:rsidP="00ED3C64">
      <w:pPr>
        <w:pStyle w:val="Paragrafi"/>
        <w:rPr>
          <w:spacing w:val="-4"/>
          <w:lang w:val="sq-AL"/>
        </w:rPr>
      </w:pPr>
      <w:r w:rsidRPr="008250F7">
        <w:rPr>
          <w:spacing w:val="-4"/>
          <w:lang w:val="sq-AL"/>
        </w:rPr>
        <w:t>1. Kur përdoren teknikat e vlerësimit të objektivit, pasiguria nuk duhet të kapërcejë 100 %.</w:t>
      </w:r>
    </w:p>
    <w:p w:rsidR="00ED3C64" w:rsidRPr="008250F7" w:rsidRDefault="00ED3C64" w:rsidP="00ED3C64">
      <w:pPr>
        <w:pStyle w:val="Paragrafi"/>
        <w:rPr>
          <w:spacing w:val="-4"/>
          <w:lang w:val="sq-AL"/>
        </w:rPr>
      </w:pPr>
      <w:r w:rsidRPr="008250F7">
        <w:rPr>
          <w:spacing w:val="-4"/>
          <w:lang w:val="sq-AL"/>
        </w:rPr>
        <w:t>IV. Standardizimi</w:t>
      </w:r>
    </w:p>
    <w:p w:rsidR="00ED3C64" w:rsidRPr="008250F7" w:rsidRDefault="00ED3C64" w:rsidP="00ED3C64">
      <w:pPr>
        <w:pStyle w:val="Paragrafi"/>
        <w:rPr>
          <w:spacing w:val="-4"/>
          <w:lang w:val="sq-AL"/>
        </w:rPr>
      </w:pPr>
      <w:r w:rsidRPr="008250F7">
        <w:rPr>
          <w:spacing w:val="-4"/>
          <w:lang w:val="sq-AL"/>
        </w:rPr>
        <w:t>1. Për analizën e substancave në fraksionin e PM</w:t>
      </w:r>
      <w:r w:rsidRPr="004255F4">
        <w:rPr>
          <w:spacing w:val="-4"/>
          <w:vertAlign w:val="subscript"/>
          <w:lang w:val="sq-AL"/>
        </w:rPr>
        <w:t>10</w:t>
      </w:r>
      <w:r w:rsidRPr="008250F7">
        <w:rPr>
          <w:spacing w:val="-4"/>
          <w:lang w:val="sq-AL"/>
        </w:rPr>
        <w:t xml:space="preserve"> vëllimi i marrjes së mostrave i referohet kushteve të mjedisit.</w:t>
      </w:r>
    </w:p>
    <w:p w:rsidR="00ED3C64" w:rsidRDefault="00ED3C64" w:rsidP="00ED3C64">
      <w:pPr>
        <w:pStyle w:val="Hapesira7"/>
        <w:rPr>
          <w:spacing w:val="-4"/>
          <w:lang w:val="sq-AL"/>
        </w:rPr>
      </w:pPr>
    </w:p>
    <w:p w:rsidR="00ED3C64" w:rsidRDefault="00ED3C64" w:rsidP="00ED3C64">
      <w:pPr>
        <w:pStyle w:val="Hapesira7"/>
        <w:rPr>
          <w:spacing w:val="-4"/>
          <w:lang w:val="sq-AL"/>
        </w:rPr>
      </w:pPr>
    </w:p>
    <w:p w:rsidR="00ED3C64" w:rsidRDefault="00ED3C64" w:rsidP="00ED3C64">
      <w:pPr>
        <w:pStyle w:val="Hapesira7"/>
        <w:rPr>
          <w:spacing w:val="-4"/>
          <w:lang w:val="sq-AL"/>
        </w:rPr>
      </w:pPr>
    </w:p>
    <w:p w:rsidR="00ED3C64" w:rsidRDefault="00ED3C64" w:rsidP="00ED3C64">
      <w:pPr>
        <w:pStyle w:val="Hapesira7"/>
        <w:rPr>
          <w:spacing w:val="-4"/>
          <w:lang w:val="sq-AL"/>
        </w:rPr>
      </w:pPr>
    </w:p>
    <w:p w:rsidR="00ED3C64" w:rsidRPr="008250F7" w:rsidRDefault="00ED3C64" w:rsidP="00ED3C64">
      <w:pPr>
        <w:pStyle w:val="Hapesira7"/>
        <w:rPr>
          <w:spacing w:val="-4"/>
          <w:lang w:val="sq-AL"/>
        </w:rPr>
      </w:pPr>
    </w:p>
    <w:p w:rsidR="00ED3C64" w:rsidRPr="008250F7" w:rsidRDefault="00ED3C64" w:rsidP="00ED3C64">
      <w:pPr>
        <w:pStyle w:val="Paragrafi"/>
        <w:jc w:val="center"/>
        <w:rPr>
          <w:spacing w:val="-4"/>
          <w:lang w:val="sq-AL"/>
        </w:rPr>
      </w:pPr>
      <w:r w:rsidRPr="008250F7">
        <w:rPr>
          <w:spacing w:val="-4"/>
          <w:lang w:val="sq-AL"/>
        </w:rPr>
        <w:t>ANEKSI XIX</w:t>
      </w:r>
    </w:p>
    <w:p w:rsidR="00ED3C64" w:rsidRPr="008250F7" w:rsidRDefault="00ED3C64" w:rsidP="00ED3C64">
      <w:pPr>
        <w:pStyle w:val="Paragrafi"/>
        <w:jc w:val="center"/>
        <w:rPr>
          <w:spacing w:val="-4"/>
          <w:lang w:val="sq-AL"/>
        </w:rPr>
      </w:pPr>
      <w:r w:rsidRPr="008250F7">
        <w:rPr>
          <w:spacing w:val="-4"/>
          <w:lang w:val="sq-AL"/>
        </w:rPr>
        <w:t>Metodat referencë për vlerësimin e përqendrimeve në ajrin e mjedisit dhe normat e depozitimit</w:t>
      </w:r>
    </w:p>
    <w:p w:rsidR="00ED3C64" w:rsidRPr="008250F7" w:rsidRDefault="00ED3C64" w:rsidP="00ED3C64">
      <w:pPr>
        <w:pStyle w:val="Paragrafi"/>
        <w:jc w:val="center"/>
        <w:rPr>
          <w:spacing w:val="-4"/>
          <w:lang w:val="sq-AL"/>
        </w:rPr>
      </w:pPr>
      <w:r w:rsidRPr="008250F7">
        <w:rPr>
          <w:spacing w:val="-4"/>
          <w:lang w:val="sq-AL"/>
        </w:rPr>
        <w:t>(Referuar në pikën 16 të këtij vendimi)</w:t>
      </w:r>
    </w:p>
    <w:p w:rsidR="00ED3C64" w:rsidRPr="008250F7" w:rsidRDefault="00ED3C64" w:rsidP="00ED3C64">
      <w:pPr>
        <w:pStyle w:val="Hapesira7"/>
        <w:rPr>
          <w:spacing w:val="-4"/>
          <w:lang w:val="sq-AL"/>
        </w:rPr>
      </w:pPr>
    </w:p>
    <w:p w:rsidR="00ED3C64" w:rsidRPr="008250F7" w:rsidRDefault="00ED3C64" w:rsidP="00ED3C64">
      <w:pPr>
        <w:pStyle w:val="Paragrafi"/>
        <w:rPr>
          <w:spacing w:val="-4"/>
          <w:lang w:val="sq-AL"/>
        </w:rPr>
      </w:pPr>
      <w:r w:rsidRPr="008250F7">
        <w:rPr>
          <w:spacing w:val="-4"/>
          <w:lang w:val="sq-AL"/>
        </w:rPr>
        <w:t>I. Metoda referencë për marrjen e mostrave dhe analizën e arsenikut, kadmiumit dhe nikelit në ajrin e mjedisit</w:t>
      </w:r>
    </w:p>
    <w:p w:rsidR="00ED3C64" w:rsidRPr="008250F7" w:rsidRDefault="00ED3C64" w:rsidP="00ED3C64">
      <w:pPr>
        <w:pStyle w:val="Paragrafi"/>
        <w:rPr>
          <w:spacing w:val="-4"/>
          <w:lang w:val="sq-AL"/>
        </w:rPr>
      </w:pPr>
      <w:r w:rsidRPr="008250F7">
        <w:rPr>
          <w:spacing w:val="-4"/>
          <w:lang w:val="sq-AL"/>
        </w:rPr>
        <w:t xml:space="preserve">1. Metoda referencë për matjen e përqendrimeve të arsenikut, kadmiumit dhe nikelit në ajrin e </w:t>
      </w:r>
      <w:r w:rsidRPr="008250F7">
        <w:rPr>
          <w:spacing w:val="-4"/>
          <w:lang w:val="sq-AL"/>
        </w:rPr>
        <w:lastRenderedPageBreak/>
        <w:t>mjedisit aktualisht ëshë duke u standardizuar nga CEN dhe do të bazohet në marrjen manuale të mostrave të PM</w:t>
      </w:r>
      <w:r w:rsidRPr="004255F4">
        <w:rPr>
          <w:spacing w:val="-4"/>
          <w:vertAlign w:val="subscript"/>
          <w:lang w:val="sq-AL"/>
        </w:rPr>
        <w:t>10</w:t>
      </w:r>
      <w:r w:rsidRPr="008250F7">
        <w:rPr>
          <w:spacing w:val="-4"/>
          <w:lang w:val="sq-AL"/>
        </w:rPr>
        <w:t xml:space="preserve"> njëlloj si në S SH EN 12341:2005, pasuar nga tretja e mostrave dhe analiza me Spektrometër me Absorbim Atomik apo Spektrometria e Masës ICP. Në mungesë të metodës së standardeve CEN, AKM përdor metodat e standardeve kombëtare ose metodat e standardeve ISO.</w:t>
      </w:r>
    </w:p>
    <w:p w:rsidR="00ED3C64" w:rsidRPr="008250F7" w:rsidRDefault="00ED3C64" w:rsidP="00ED3C64">
      <w:pPr>
        <w:pStyle w:val="Paragrafi"/>
        <w:rPr>
          <w:spacing w:val="-4"/>
          <w:lang w:val="sq-AL"/>
        </w:rPr>
      </w:pPr>
      <w:r w:rsidRPr="008250F7">
        <w:rPr>
          <w:spacing w:val="-4"/>
          <w:lang w:val="sq-AL"/>
        </w:rPr>
        <w:t>2. AKM mund të përdorë gjithashtu çdo lloj metode tjetër për të cilën mund të demonstrojë se jep rezultate të barasvlefshme me metodën e mësipërme.</w:t>
      </w:r>
    </w:p>
    <w:p w:rsidR="00ED3C64" w:rsidRPr="008250F7" w:rsidRDefault="00ED3C64" w:rsidP="00ED3C64">
      <w:pPr>
        <w:pStyle w:val="Paragrafi"/>
        <w:rPr>
          <w:spacing w:val="-4"/>
          <w:lang w:val="sq-AL"/>
        </w:rPr>
      </w:pPr>
      <w:r w:rsidRPr="008250F7">
        <w:rPr>
          <w:spacing w:val="-4"/>
          <w:lang w:val="sq-AL"/>
        </w:rPr>
        <w:t>II. Metoda referencë për marrjen e mostrave dhe analizën e hidrokarbureve aromatike policiklike në ajrin e mjedisit</w:t>
      </w:r>
    </w:p>
    <w:p w:rsidR="00ED3C64" w:rsidRPr="008250F7" w:rsidRDefault="00ED3C64" w:rsidP="00ED3C64">
      <w:pPr>
        <w:pStyle w:val="Paragrafi"/>
        <w:rPr>
          <w:spacing w:val="-4"/>
          <w:lang w:val="sq-AL"/>
        </w:rPr>
      </w:pPr>
      <w:r w:rsidRPr="008250F7">
        <w:rPr>
          <w:spacing w:val="-4"/>
          <w:lang w:val="sq-AL"/>
        </w:rPr>
        <w:t>1. Metoda referencë për matjen e përqendrimeve të benzo(a)pirenit në ajrin e mjedisit aktualisht ëshë duke u standardizuar nga CEN dhe do të bazohet në marrjen manuale të mostrave të PM</w:t>
      </w:r>
      <w:r w:rsidRPr="004938EF">
        <w:rPr>
          <w:spacing w:val="-4"/>
          <w:vertAlign w:val="subscript"/>
          <w:lang w:val="sq-AL"/>
        </w:rPr>
        <w:t>10</w:t>
      </w:r>
      <w:r w:rsidRPr="008250F7">
        <w:rPr>
          <w:spacing w:val="-4"/>
          <w:lang w:val="sq-AL"/>
        </w:rPr>
        <w:t xml:space="preserve"> njëlloj si në S SH EN 12341:2005. Në mungesë të një metode të standardeve CEN për benzo(a)pirenin apo hidrokarbure të tjera përkatëse aromatike policiklike, AKM përdor metodat e standardeve kombëtare ose metodat ISO siç është standardi ISO 12884.</w:t>
      </w:r>
    </w:p>
    <w:p w:rsidR="00ED3C64" w:rsidRPr="008250F7" w:rsidRDefault="00ED3C64" w:rsidP="00ED3C64">
      <w:pPr>
        <w:pStyle w:val="Paragrafi"/>
        <w:rPr>
          <w:spacing w:val="-4"/>
          <w:lang w:val="sq-AL"/>
        </w:rPr>
      </w:pPr>
      <w:r w:rsidRPr="008250F7">
        <w:rPr>
          <w:spacing w:val="-4"/>
          <w:lang w:val="sq-AL"/>
        </w:rPr>
        <w:t>2. AKM mund të përdorë gjithashtu çdo lloj metode tjetër që mund të tregohet se jep rezultate të barasvlefshme me metodën e mësipërme.</w:t>
      </w:r>
    </w:p>
    <w:p w:rsidR="00ED3C64" w:rsidRPr="008250F7" w:rsidRDefault="00ED3C64" w:rsidP="00ED3C64">
      <w:pPr>
        <w:pStyle w:val="Paragrafi"/>
        <w:rPr>
          <w:spacing w:val="-4"/>
          <w:lang w:val="sq-AL"/>
        </w:rPr>
      </w:pPr>
      <w:r w:rsidRPr="008250F7">
        <w:rPr>
          <w:spacing w:val="-4"/>
          <w:lang w:val="sq-AL"/>
        </w:rPr>
        <w:t>III. Metoda referencë për marrjen e mostrave dhe analizën e merkurit në ajrin e mjedisit</w:t>
      </w:r>
    </w:p>
    <w:p w:rsidR="00ED3C64" w:rsidRPr="008250F7" w:rsidRDefault="00ED3C64" w:rsidP="00ED3C64">
      <w:pPr>
        <w:pStyle w:val="Paragrafi"/>
        <w:rPr>
          <w:spacing w:val="-4"/>
          <w:lang w:val="sq-AL"/>
        </w:rPr>
      </w:pPr>
      <w:r w:rsidRPr="008250F7">
        <w:rPr>
          <w:spacing w:val="-4"/>
          <w:lang w:val="sq-AL"/>
        </w:rPr>
        <w:t>1. Metoda referencë për matjen e përqendrimeve të merkurit të gaztë total në ajrin e mjedisit do të jetë një metodë e automatizuar bazuar në Spektrometrinë e Absorbimit Atomik ose Spektrometrinë e Fluoreshencës Atomike. Në mungesë të një metode të standardeve CEN, AKM përdor metodat e standardeve kombëtare ose metodat e standardeve ISO.</w:t>
      </w:r>
    </w:p>
    <w:p w:rsidR="00ED3C64" w:rsidRPr="008250F7" w:rsidRDefault="00ED3C64" w:rsidP="00ED3C64">
      <w:pPr>
        <w:pStyle w:val="Paragrafi"/>
        <w:rPr>
          <w:spacing w:val="-4"/>
          <w:lang w:val="sq-AL"/>
        </w:rPr>
      </w:pPr>
      <w:r w:rsidRPr="008250F7">
        <w:rPr>
          <w:spacing w:val="-4"/>
          <w:lang w:val="sq-AL"/>
        </w:rPr>
        <w:t>2. AKM mund të përdorë gjithashtu çdo lloj metode tjetër për të cilën mund të tregohet se jep rezultate të barasvlefshme me metodën e mësipërme.</w:t>
      </w:r>
    </w:p>
    <w:p w:rsidR="00ED3C64" w:rsidRPr="008250F7" w:rsidRDefault="00ED3C64" w:rsidP="00ED3C64">
      <w:pPr>
        <w:pStyle w:val="Paragrafi"/>
        <w:rPr>
          <w:spacing w:val="-4"/>
          <w:lang w:val="sq-AL"/>
        </w:rPr>
      </w:pPr>
      <w:r w:rsidRPr="008250F7">
        <w:rPr>
          <w:spacing w:val="-4"/>
          <w:lang w:val="sq-AL"/>
        </w:rPr>
        <w:t>IV. Metoda referencë për marrjen e mostrave dhe analizën e depozitimit të arsenikut, kadmiumit, merkurit, nikelit dhe hidrokarbureve aromatike policiklike</w:t>
      </w:r>
    </w:p>
    <w:p w:rsidR="00ED3C64" w:rsidRPr="008250F7" w:rsidRDefault="00ED3C64" w:rsidP="00ED3C64">
      <w:pPr>
        <w:pStyle w:val="Paragrafi"/>
        <w:rPr>
          <w:spacing w:val="-4"/>
          <w:lang w:val="sq-AL"/>
        </w:rPr>
      </w:pPr>
      <w:r w:rsidRPr="008250F7">
        <w:rPr>
          <w:spacing w:val="-4"/>
          <w:lang w:val="sq-AL"/>
        </w:rPr>
        <w:t>Metoda referencë për marrjen e mostrave të arsenikut, kadmiumit, merkurit, nikelit dhe hidrokarbureve aromatike policiklike të depozituara duhet bazuar në ekspozimin e instrumenteve matës të depozitës cilindrike me përmasa të standardizuara. Në mungesë të një metode të standardizuar CEN, AKM mund të përdorë metoda të standardeve kombëtare.</w:t>
      </w:r>
    </w:p>
    <w:p w:rsidR="00ED3C64" w:rsidRPr="008250F7" w:rsidRDefault="00ED3C64" w:rsidP="00ED3C64">
      <w:pPr>
        <w:pStyle w:val="Paragrafi"/>
        <w:rPr>
          <w:spacing w:val="-4"/>
          <w:lang w:val="sq-AL"/>
        </w:rPr>
      </w:pPr>
      <w:r w:rsidRPr="008250F7">
        <w:rPr>
          <w:spacing w:val="-4"/>
          <w:lang w:val="sq-AL"/>
        </w:rPr>
        <w:t xml:space="preserve">V. Teknikat referencë të modelimit për cilësinë e ajrit </w:t>
      </w:r>
    </w:p>
    <w:p w:rsidR="00ED3C64" w:rsidRPr="008250F7" w:rsidRDefault="00ED3C64" w:rsidP="00ED3C64">
      <w:pPr>
        <w:pStyle w:val="Paragrafi"/>
        <w:rPr>
          <w:spacing w:val="-4"/>
          <w:lang w:val="sq-AL"/>
        </w:rPr>
      </w:pPr>
      <w:r w:rsidRPr="008250F7">
        <w:rPr>
          <w:spacing w:val="-4"/>
          <w:lang w:val="sq-AL"/>
        </w:rPr>
        <w:t xml:space="preserve">1. Teknikat referencë të modelimit për cilësinë e ajrit nuk janë specifikuar ende. </w:t>
      </w:r>
    </w:p>
    <w:p w:rsidR="00ED3C64" w:rsidRPr="008250F7" w:rsidRDefault="00ED3C64" w:rsidP="00ED3C64">
      <w:pPr>
        <w:pStyle w:val="Hapesira7"/>
        <w:rPr>
          <w:spacing w:val="-4"/>
          <w:lang w:val="sq-AL"/>
        </w:rPr>
      </w:pPr>
    </w:p>
    <w:p w:rsidR="00ED3C64" w:rsidRDefault="00ED3C64" w:rsidP="00ED3C64">
      <w:pPr>
        <w:pStyle w:val="Paragrafi"/>
        <w:jc w:val="center"/>
        <w:rPr>
          <w:spacing w:val="-4"/>
          <w:lang w:val="sq-AL"/>
        </w:rPr>
      </w:pPr>
      <w:r w:rsidRPr="008250F7">
        <w:rPr>
          <w:spacing w:val="-4"/>
          <w:lang w:val="sq-AL"/>
        </w:rPr>
        <w:t>ANEKSI XX</w:t>
      </w:r>
    </w:p>
    <w:p w:rsidR="00ED3C64" w:rsidRPr="00D945D0" w:rsidRDefault="00ED3C64" w:rsidP="00ED3C64">
      <w:pPr>
        <w:pStyle w:val="Paragrafi"/>
        <w:jc w:val="center"/>
        <w:rPr>
          <w:spacing w:val="-4"/>
          <w:sz w:val="14"/>
          <w:lang w:val="sq-AL"/>
        </w:rPr>
      </w:pPr>
    </w:p>
    <w:p w:rsidR="00ED3C64" w:rsidRPr="008250F7" w:rsidRDefault="00ED3C64" w:rsidP="00ED3C64">
      <w:pPr>
        <w:pStyle w:val="Paragrafi"/>
        <w:jc w:val="center"/>
        <w:rPr>
          <w:spacing w:val="-4"/>
          <w:lang w:val="sq-AL"/>
        </w:rPr>
      </w:pPr>
      <w:r w:rsidRPr="008250F7">
        <w:rPr>
          <w:spacing w:val="-4"/>
          <w:lang w:val="sq-AL"/>
        </w:rPr>
        <w:t>(Referuar në pikat 27.2, 28.2 të këtij vendimi)</w:t>
      </w:r>
    </w:p>
    <w:p w:rsidR="00ED3C64" w:rsidRPr="008250F7" w:rsidRDefault="00ED3C64" w:rsidP="00ED3C64">
      <w:pPr>
        <w:pStyle w:val="Paragrafi"/>
        <w:jc w:val="center"/>
        <w:rPr>
          <w:spacing w:val="-4"/>
          <w:lang w:val="sq-AL"/>
        </w:rPr>
      </w:pPr>
      <w:r w:rsidRPr="008250F7">
        <w:rPr>
          <w:spacing w:val="-4"/>
          <w:lang w:val="sq-AL"/>
        </w:rPr>
        <w:t>Informacion i kërkuar në kapitullin VIII lidhur me shtyrjen e disa afateve për arritjen e vlerave kufi dhe përjashtimet nga zbatimi i vlerave kufi</w:t>
      </w:r>
    </w:p>
    <w:p w:rsidR="00ED3C64" w:rsidRPr="008250F7" w:rsidRDefault="00ED3C64" w:rsidP="00ED3C64">
      <w:pPr>
        <w:pStyle w:val="Hapesira7"/>
        <w:rPr>
          <w:spacing w:val="-4"/>
          <w:lang w:val="sq-AL"/>
        </w:rPr>
      </w:pPr>
    </w:p>
    <w:p w:rsidR="00ED3C64" w:rsidRPr="008250F7" w:rsidRDefault="00ED3C64" w:rsidP="00ED3C64">
      <w:pPr>
        <w:pStyle w:val="Paragrafi"/>
        <w:rPr>
          <w:spacing w:val="-4"/>
          <w:lang w:val="sq-AL"/>
        </w:rPr>
      </w:pPr>
      <w:r w:rsidRPr="008250F7">
        <w:rPr>
          <w:spacing w:val="-4"/>
          <w:lang w:val="sq-AL"/>
        </w:rPr>
        <w:t>1. Informacion në lidhje me statusin e zbatimit të legjislacionit të mëposhtëm:</w:t>
      </w:r>
    </w:p>
    <w:p w:rsidR="00ED3C64" w:rsidRPr="008250F7" w:rsidRDefault="00ED3C64" w:rsidP="00ED3C64">
      <w:pPr>
        <w:pStyle w:val="Paragrafi"/>
        <w:rPr>
          <w:spacing w:val="-4"/>
          <w:lang w:val="sq-AL"/>
        </w:rPr>
      </w:pPr>
      <w:r w:rsidRPr="008250F7">
        <w:rPr>
          <w:spacing w:val="-4"/>
          <w:lang w:val="sq-AL"/>
        </w:rPr>
        <w:t xml:space="preserve">a) mbi masat që duhet të merren kundër ndotjes së ajrit nga shkarkimet e mjeteve motorike; </w:t>
      </w:r>
    </w:p>
    <w:p w:rsidR="00ED3C64" w:rsidRPr="004938EF" w:rsidRDefault="00ED3C64" w:rsidP="00ED3C64">
      <w:pPr>
        <w:pStyle w:val="Paragrafi"/>
        <w:rPr>
          <w:lang w:val="sq-AL"/>
        </w:rPr>
      </w:pPr>
      <w:r w:rsidRPr="004938EF">
        <w:rPr>
          <w:lang w:val="sq-AL"/>
        </w:rPr>
        <w:t xml:space="preserve">b) mbi masat për kontrollin e shkarkimit të përbërësve organikë të avullueshëm (VOC) që rezulton nga magazinimi i benzinës dhe shpërndarjes së saj nga terminalet në pikat e shitjes; </w:t>
      </w:r>
    </w:p>
    <w:p w:rsidR="00ED3C64" w:rsidRPr="004938EF" w:rsidRDefault="00ED3C64" w:rsidP="00ED3C64">
      <w:pPr>
        <w:pStyle w:val="Paragrafi"/>
        <w:rPr>
          <w:lang w:val="sq-AL"/>
        </w:rPr>
      </w:pPr>
      <w:r w:rsidRPr="004938EF">
        <w:rPr>
          <w:lang w:val="sq-AL"/>
        </w:rPr>
        <w:t xml:space="preserve">c) për parandalimin dhe kontrollin e integruar të ndotjes; </w:t>
      </w:r>
    </w:p>
    <w:p w:rsidR="00ED3C64" w:rsidRPr="004938EF" w:rsidRDefault="00ED3C64" w:rsidP="00ED3C64">
      <w:pPr>
        <w:pStyle w:val="Paragrafi"/>
        <w:rPr>
          <w:lang w:val="sq-AL"/>
        </w:rPr>
      </w:pPr>
      <w:r w:rsidRPr="004938EF">
        <w:rPr>
          <w:lang w:val="sq-AL"/>
        </w:rPr>
        <w:t xml:space="preserve">d) mbi masat që duhet të merren kundër shkarkimit të ndotësve te gaztë dhe lëndës së ngurtë pezull nga motorët me djegie të brendshme që instalohen në makineritë e lëvizshme jo rrugore; </w:t>
      </w:r>
    </w:p>
    <w:p w:rsidR="00ED3C64" w:rsidRPr="004938EF" w:rsidRDefault="00ED3C64" w:rsidP="00ED3C64">
      <w:pPr>
        <w:pStyle w:val="Paragrafi"/>
        <w:rPr>
          <w:lang w:val="sq-AL"/>
        </w:rPr>
      </w:pPr>
      <w:r w:rsidRPr="004938EF">
        <w:rPr>
          <w:lang w:val="sq-AL"/>
        </w:rPr>
        <w:t>e) mbi masat në lidhje me cilësinë e lëndëve djegëse benzinë dhe dizel;</w:t>
      </w:r>
    </w:p>
    <w:p w:rsidR="00ED3C64" w:rsidRDefault="00ED3C64" w:rsidP="00ED3C64">
      <w:pPr>
        <w:pStyle w:val="Paragrafi"/>
        <w:rPr>
          <w:lang w:val="sq-AL"/>
        </w:rPr>
      </w:pPr>
      <w:r w:rsidRPr="004938EF">
        <w:rPr>
          <w:lang w:val="sq-AL"/>
        </w:rPr>
        <w:t>f) mbi masat për kufizimin e shkarkimit të përbërësve organikë të avullueshëm nga përdorimi i tretësve organikë në disa aktivitete dhe instalime;</w:t>
      </w:r>
    </w:p>
    <w:p w:rsidR="00ED3C64" w:rsidRPr="004938EF" w:rsidRDefault="00ED3C64" w:rsidP="00ED3C64">
      <w:pPr>
        <w:pStyle w:val="Paragrafi"/>
        <w:rPr>
          <w:lang w:val="sq-AL"/>
        </w:rPr>
      </w:pPr>
    </w:p>
    <w:p w:rsidR="00ED3C64" w:rsidRPr="004938EF" w:rsidRDefault="00ED3C64" w:rsidP="00ED3C64">
      <w:pPr>
        <w:pStyle w:val="Paragrafi"/>
        <w:rPr>
          <w:lang w:val="sq-AL"/>
        </w:rPr>
      </w:pPr>
      <w:r w:rsidRPr="004938EF">
        <w:rPr>
          <w:lang w:val="sq-AL"/>
        </w:rPr>
        <w:t>g) Në lidhje me pakësimin e përmbajtjes së squfurit në disa lëndë djegëse të lëngshme;</w:t>
      </w:r>
    </w:p>
    <w:p w:rsidR="00ED3C64" w:rsidRPr="004938EF" w:rsidRDefault="00ED3C64" w:rsidP="00ED3C64">
      <w:pPr>
        <w:pStyle w:val="Paragrafi"/>
        <w:rPr>
          <w:lang w:val="sq-AL"/>
        </w:rPr>
      </w:pPr>
      <w:r w:rsidRPr="004938EF">
        <w:rPr>
          <w:lang w:val="sq-AL"/>
        </w:rPr>
        <w:lastRenderedPageBreak/>
        <w:t>h) mbi incinerimin e mbetjeve;</w:t>
      </w:r>
    </w:p>
    <w:p w:rsidR="00ED3C64" w:rsidRPr="004938EF" w:rsidRDefault="00ED3C64" w:rsidP="00ED3C64">
      <w:pPr>
        <w:pStyle w:val="Paragrafi"/>
        <w:rPr>
          <w:lang w:val="sq-AL"/>
        </w:rPr>
      </w:pPr>
      <w:r w:rsidRPr="004938EF">
        <w:rPr>
          <w:lang w:val="sq-AL"/>
        </w:rPr>
        <w:t>i) mbi kufizimin e shkarkimeve të disa ndotësve në ajër nga impiante të mëdha djegie;</w:t>
      </w:r>
    </w:p>
    <w:p w:rsidR="00ED3C64" w:rsidRPr="004938EF" w:rsidRDefault="00ED3C64" w:rsidP="00ED3C64">
      <w:pPr>
        <w:pStyle w:val="Paragrafi"/>
        <w:rPr>
          <w:lang w:val="sq-AL"/>
        </w:rPr>
      </w:pPr>
      <w:r w:rsidRPr="004938EF">
        <w:rPr>
          <w:lang w:val="sq-AL"/>
        </w:rPr>
        <w:t>j) mbi tavanet kombëtar të shkarkimit për disa ndotës atmosferik;</w:t>
      </w:r>
    </w:p>
    <w:p w:rsidR="00ED3C64" w:rsidRPr="004938EF" w:rsidRDefault="00ED3C64" w:rsidP="00ED3C64">
      <w:pPr>
        <w:pStyle w:val="Paragrafi"/>
        <w:rPr>
          <w:lang w:val="sq-AL"/>
        </w:rPr>
      </w:pPr>
      <w:r w:rsidRPr="004938EF">
        <w:rPr>
          <w:lang w:val="sq-AL"/>
        </w:rPr>
        <w:t xml:space="preserve">k) mbi masat për kufizimin e përbërësve organikë të avullueshëm nga përdorimi i përbërësve organikë në disa bojëra, llaqe dhe produkte për lustrimin e automjeteve; </w:t>
      </w:r>
    </w:p>
    <w:p w:rsidR="00ED3C64" w:rsidRPr="004938EF" w:rsidRDefault="00ED3C64" w:rsidP="00ED3C64">
      <w:pPr>
        <w:pStyle w:val="Paragrafi"/>
        <w:rPr>
          <w:lang w:val="sq-AL"/>
        </w:rPr>
      </w:pPr>
      <w:r w:rsidRPr="004938EF">
        <w:rPr>
          <w:lang w:val="sq-AL"/>
        </w:rPr>
        <w:t>l) mbi përmbajtjen e squfurit në lëndë djegëse që përdoren në anije;</w:t>
      </w:r>
    </w:p>
    <w:p w:rsidR="00ED3C64" w:rsidRPr="004938EF" w:rsidRDefault="00ED3C64" w:rsidP="00ED3C64">
      <w:pPr>
        <w:pStyle w:val="Paragrafi"/>
        <w:rPr>
          <w:lang w:val="sq-AL"/>
        </w:rPr>
      </w:pPr>
      <w:r w:rsidRPr="004938EF">
        <w:rPr>
          <w:lang w:val="sq-AL"/>
        </w:rPr>
        <w:t xml:space="preserve">m) mbi masat që duhen marrë kundër shkarkimeve në ajër të ndotësve te gaztë dhe lëndës së ngurtë pezull nga motorët me ndezje me kompresion dhe motorët me ndezje pozitive të që djegin gaz natyral apo të lëngshëm që përdoren në automjete; </w:t>
      </w:r>
    </w:p>
    <w:p w:rsidR="00ED3C64" w:rsidRPr="004938EF" w:rsidRDefault="00ED3C64" w:rsidP="00ED3C64">
      <w:pPr>
        <w:pStyle w:val="Paragrafi"/>
        <w:rPr>
          <w:lang w:val="sq-AL"/>
        </w:rPr>
      </w:pPr>
      <w:r w:rsidRPr="004938EF">
        <w:rPr>
          <w:lang w:val="sq-AL"/>
        </w:rPr>
        <w:t>n) për efiçencën në përdorimin përfundimtar të energjisë dhe shërbimet e energjisë;</w:t>
      </w:r>
    </w:p>
    <w:p w:rsidR="00ED3C64" w:rsidRPr="004938EF" w:rsidRDefault="00ED3C64" w:rsidP="00ED3C64">
      <w:pPr>
        <w:pStyle w:val="Paragrafi"/>
        <w:rPr>
          <w:lang w:val="sq-AL"/>
        </w:rPr>
      </w:pPr>
      <w:r w:rsidRPr="004938EF">
        <w:rPr>
          <w:lang w:val="sq-AL"/>
        </w:rPr>
        <w:t>2. Informacion për të gjitha masat e konsideruara për pakësimin e ndotjes së ajrit në nivel lokal, rajonal apo kombëtar për arritjen e objektivave për cilësinë e ajrit, përfshirë:</w:t>
      </w:r>
    </w:p>
    <w:p w:rsidR="00ED3C64" w:rsidRDefault="00ED3C64" w:rsidP="00ED3C64">
      <w:pPr>
        <w:pStyle w:val="Paragrafi"/>
        <w:rPr>
          <w:lang w:val="sq-AL"/>
        </w:rPr>
      </w:pPr>
      <w:r w:rsidRPr="004938EF">
        <w:rPr>
          <w:lang w:val="sq-AL"/>
        </w:rPr>
        <w:t>a) pakësimin e shkarkimeve nga burimet e palëvizshme duke siguruar që burimet  ndotëse të palëvizshme të djegies (përfshirë ato që përdorin biomasën) si të vogla dhe të mesme janë përshtatur me pajisje për kontrollin e shkarkimeve ose janë zëvendësuar;</w:t>
      </w:r>
    </w:p>
    <w:p w:rsidR="00ED3C64" w:rsidRPr="004938EF" w:rsidRDefault="00ED3C64" w:rsidP="00ED3C64">
      <w:pPr>
        <w:pStyle w:val="Paragrafi"/>
        <w:rPr>
          <w:lang w:val="sq-AL"/>
        </w:rPr>
      </w:pPr>
      <w:r w:rsidRPr="004938EF">
        <w:rPr>
          <w:lang w:val="sq-AL"/>
        </w:rPr>
        <w:t>b) pakësimin e shkarkimeve nga makinat nëpërmjet vendosjes së paisjeve për kontrollin e shkarkimeve. Për të përshpejtuar adoptimin/për-shtatjen e tyre duhet të merret në konsideratë përdorimi i stimujve ekonomikë;</w:t>
      </w:r>
    </w:p>
    <w:p w:rsidR="00ED3C64" w:rsidRPr="004938EF" w:rsidRDefault="00ED3C64" w:rsidP="00ED3C64">
      <w:pPr>
        <w:pStyle w:val="Paragrafi"/>
        <w:rPr>
          <w:lang w:val="sq-AL"/>
        </w:rPr>
      </w:pPr>
      <w:r w:rsidRPr="004938EF">
        <w:rPr>
          <w:lang w:val="sq-AL"/>
        </w:rPr>
        <w:t>c) prokurimi nga autoritetet publike, në përputhje me manualin për prokurimet publike mjedisore, të mjeteve të transportit rrugor, të karburanteve dhe pajisjeve me djegie për të pakësuar shkarkimet, përfshirë blerjen e:</w:t>
      </w:r>
    </w:p>
    <w:p w:rsidR="00ED3C64" w:rsidRPr="004938EF" w:rsidRDefault="00ED3C64" w:rsidP="00ED3C64">
      <w:pPr>
        <w:pStyle w:val="Paragrafi"/>
        <w:rPr>
          <w:lang w:val="sq-AL"/>
        </w:rPr>
      </w:pPr>
      <w:r w:rsidRPr="004938EF">
        <w:rPr>
          <w:lang w:val="sq-AL"/>
        </w:rPr>
        <w:t>i) makinave të reja, përfshirë makinat më shkarkime të ulëta,</w:t>
      </w:r>
    </w:p>
    <w:p w:rsidR="00ED3C64" w:rsidRPr="004938EF" w:rsidRDefault="00ED3C64" w:rsidP="00ED3C64">
      <w:pPr>
        <w:pStyle w:val="Paragrafi"/>
        <w:rPr>
          <w:lang w:val="sq-AL"/>
        </w:rPr>
      </w:pPr>
      <w:r w:rsidRPr="004938EF">
        <w:rPr>
          <w:lang w:val="sq-AL"/>
        </w:rPr>
        <w:t>ii) shërbimet e transportit të makinave më të pastra,</w:t>
      </w:r>
    </w:p>
    <w:p w:rsidR="00ED3C64" w:rsidRPr="004938EF" w:rsidRDefault="00ED3C64" w:rsidP="00ED3C64">
      <w:pPr>
        <w:pStyle w:val="Paragrafi"/>
        <w:rPr>
          <w:lang w:val="sq-AL"/>
        </w:rPr>
      </w:pPr>
      <w:r w:rsidRPr="004938EF">
        <w:rPr>
          <w:lang w:val="sq-AL"/>
        </w:rPr>
        <w:t>iii) burimet e palëvizshme të djegies me shkarkime të ulëta,</w:t>
      </w:r>
    </w:p>
    <w:p w:rsidR="00ED3C64" w:rsidRDefault="00ED3C64" w:rsidP="00ED3C64">
      <w:pPr>
        <w:pStyle w:val="Paragrafi"/>
        <w:rPr>
          <w:lang w:val="sq-AL"/>
        </w:rPr>
      </w:pPr>
      <w:r w:rsidRPr="004938EF">
        <w:rPr>
          <w:lang w:val="sq-AL"/>
        </w:rPr>
        <w:t>iv) karburantet me shkarkime të ulëta për burimet e palëvizshme dhe të lëvizshme,</w:t>
      </w:r>
    </w:p>
    <w:p w:rsidR="00ED3C64" w:rsidRPr="004938EF" w:rsidRDefault="00ED3C64" w:rsidP="00ED3C64">
      <w:pPr>
        <w:pStyle w:val="Paragrafi"/>
        <w:rPr>
          <w:lang w:val="sq-AL"/>
        </w:rPr>
      </w:pPr>
      <w:r w:rsidRPr="004938EF">
        <w:rPr>
          <w:lang w:val="sq-AL"/>
        </w:rPr>
        <w:t xml:space="preserve"> </w:t>
      </w:r>
    </w:p>
    <w:p w:rsidR="00ED3C64" w:rsidRPr="004938EF" w:rsidRDefault="00ED3C64" w:rsidP="00ED3C64">
      <w:pPr>
        <w:pStyle w:val="Paragrafi"/>
        <w:rPr>
          <w:lang w:val="sq-AL"/>
        </w:rPr>
      </w:pPr>
      <w:r w:rsidRPr="004938EF">
        <w:rPr>
          <w:lang w:val="sq-AL"/>
        </w:rPr>
        <w:t>d) kufizimin e shkarkimeve nga transporti nëpërmjet planifikimit dhe menaxhimit të trafikut (përfshirë përcaktimin e një çmimi për pikun e trafikut, tarifat e diferencuara të parkimit apo stimuj të tjerë ekonomikë; krijimin e zonave me shkarkime të ulëta);</w:t>
      </w:r>
    </w:p>
    <w:p w:rsidR="00ED3C64" w:rsidRPr="004938EF" w:rsidRDefault="00ED3C64" w:rsidP="00ED3C64">
      <w:pPr>
        <w:pStyle w:val="Paragrafi"/>
        <w:rPr>
          <w:lang w:val="sq-AL"/>
        </w:rPr>
      </w:pPr>
      <w:r w:rsidRPr="004938EF">
        <w:rPr>
          <w:lang w:val="sq-AL"/>
        </w:rPr>
        <w:t>e) për nxitjen e kalimit drejt  mënyrave më pak ndotëse të transportit;</w:t>
      </w:r>
    </w:p>
    <w:p w:rsidR="00ED3C64" w:rsidRPr="004938EF" w:rsidRDefault="00ED3C64" w:rsidP="00ED3C64">
      <w:pPr>
        <w:pStyle w:val="Paragrafi"/>
        <w:rPr>
          <w:lang w:val="sq-AL"/>
        </w:rPr>
      </w:pPr>
      <w:r w:rsidRPr="004938EF">
        <w:rPr>
          <w:lang w:val="sq-AL"/>
        </w:rPr>
        <w:t>f) duke siguruar që si burimet e palëvizshme (në masë të vogël, të mesme dhe të madhe) dhe burimet e lëvizshme të përdorin lëndët djegëse më pak ndotëse;</w:t>
      </w:r>
    </w:p>
    <w:p w:rsidR="00ED3C64" w:rsidRPr="004938EF" w:rsidRDefault="00ED3C64" w:rsidP="00ED3C64">
      <w:pPr>
        <w:pStyle w:val="Paragrafi"/>
        <w:rPr>
          <w:lang w:val="sq-AL"/>
        </w:rPr>
      </w:pPr>
      <w:r w:rsidRPr="004938EF">
        <w:rPr>
          <w:lang w:val="sq-AL"/>
        </w:rPr>
        <w:t>g) masat për pakësimin e ndotjes së ajrit përmes sistemit të lejeve të mjedisit, planeve të shkarkimeve kombëtare, dhe përmes përdorimit të instrumenteve ekonomikë siç janë taksat, tarifat apo tregtia e shkarkimeve.</w:t>
      </w:r>
    </w:p>
    <w:p w:rsidR="00ED3C64" w:rsidRPr="004938EF" w:rsidRDefault="00ED3C64" w:rsidP="00ED3C64">
      <w:pPr>
        <w:pStyle w:val="Paragrafi"/>
        <w:rPr>
          <w:lang w:val="sq-AL"/>
        </w:rPr>
      </w:pPr>
      <w:r w:rsidRPr="004938EF">
        <w:rPr>
          <w:lang w:val="sq-AL"/>
        </w:rPr>
        <w:t>h) sipas rastit, masat për mbrojtjen e shëndetit të fëmijëve apo grupeve të tjera të ndjeshme.</w:t>
      </w:r>
    </w:p>
    <w:p w:rsidR="00FD57DC" w:rsidRDefault="001E746C"/>
    <w:sectPr w:rsidR="00FD57DC" w:rsidSect="001E746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3C64" w:rsidRDefault="00ED3C64" w:rsidP="00ED3C64">
      <w:pPr>
        <w:spacing w:after="0" w:line="240" w:lineRule="auto"/>
      </w:pPr>
      <w:r>
        <w:separator/>
      </w:r>
    </w:p>
  </w:endnote>
  <w:endnote w:type="continuationSeparator" w:id="0">
    <w:p w:rsidR="00ED3C64" w:rsidRDefault="00ED3C64" w:rsidP="00ED3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New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1000417" w:usb3="00000000" w:csb0="00020000"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80485"/>
      <w:docPartObj>
        <w:docPartGallery w:val="Page Numbers (Bottom of Page)"/>
        <w:docPartUnique/>
      </w:docPartObj>
    </w:sdtPr>
    <w:sdtEndPr>
      <w:rPr>
        <w:rFonts w:ascii="Garamond" w:hAnsi="Garamond"/>
        <w:noProof/>
        <w:sz w:val="24"/>
        <w:szCs w:val="24"/>
      </w:rPr>
    </w:sdtEndPr>
    <w:sdtContent>
      <w:p w:rsidR="00ED3C64" w:rsidRDefault="00ED3C64" w:rsidP="004E770B">
        <w:pPr>
          <w:pStyle w:val="Footer"/>
          <w:ind w:firstLine="0"/>
          <w:rPr>
            <w:rFonts w:ascii="Garamond" w:hAnsi="Garamond"/>
            <w:noProof/>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3218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C64" w:rsidRPr="005B4361" w:rsidRDefault="00ED3C64" w:rsidP="001E746C">
    <w:pPr>
      <w:pStyle w:val="Footer"/>
      <w:ind w:firstLine="0"/>
      <w:jc w:val="center"/>
      <w:rPr>
        <w:rFonts w:ascii="Garamond" w:hAnsi="Garamond"/>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3C64" w:rsidRDefault="00ED3C64" w:rsidP="00ED3C64">
      <w:pPr>
        <w:spacing w:after="0" w:line="240" w:lineRule="auto"/>
      </w:pPr>
      <w:r>
        <w:separator/>
      </w:r>
    </w:p>
  </w:footnote>
  <w:footnote w:type="continuationSeparator" w:id="0">
    <w:p w:rsidR="00ED3C64" w:rsidRDefault="00ED3C64" w:rsidP="00ED3C64">
      <w:pPr>
        <w:spacing w:after="0" w:line="240" w:lineRule="auto"/>
      </w:pPr>
      <w:r>
        <w:continuationSeparator/>
      </w:r>
    </w:p>
  </w:footnote>
  <w:footnote w:id="1">
    <w:p w:rsidR="00ED3C64" w:rsidRPr="00667155" w:rsidRDefault="00ED3C64" w:rsidP="00ED3C64">
      <w:pPr>
        <w:pStyle w:val="Heading1"/>
        <w:spacing w:before="0" w:after="0"/>
        <w:ind w:left="0" w:firstLine="0"/>
        <w:rPr>
          <w:rFonts w:ascii="Garamond" w:hAnsi="Garamond"/>
          <w:b w:val="0"/>
          <w:bCs w:val="0"/>
          <w:kern w:val="0"/>
          <w:sz w:val="16"/>
          <w:szCs w:val="16"/>
          <w:lang w:val="sq-AL"/>
        </w:rPr>
      </w:pPr>
      <w:r w:rsidRPr="00667155">
        <w:rPr>
          <w:rStyle w:val="FootnoteReference"/>
          <w:rFonts w:ascii="Garamond" w:hAnsi="Garamond"/>
          <w:sz w:val="16"/>
          <w:szCs w:val="16"/>
          <w:lang w:val="sq-AL"/>
        </w:rPr>
        <w:sym w:font="Symbol" w:char="F02A"/>
      </w:r>
      <w:r w:rsidRPr="00667155">
        <w:rPr>
          <w:rFonts w:ascii="Garamond" w:hAnsi="Garamond"/>
          <w:sz w:val="16"/>
          <w:szCs w:val="16"/>
          <w:lang w:val="sq-AL"/>
        </w:rPr>
        <w:t xml:space="preserve"> </w:t>
      </w:r>
      <w:r w:rsidRPr="00667155">
        <w:rPr>
          <w:rFonts w:ascii="Garamond" w:hAnsi="Garamond"/>
          <w:b w:val="0"/>
          <w:bCs w:val="0"/>
          <w:kern w:val="0"/>
          <w:sz w:val="16"/>
          <w:szCs w:val="16"/>
          <w:lang w:val="sq-AL"/>
        </w:rPr>
        <w:t xml:space="preserve">Ky vendim përafron: </w:t>
      </w:r>
    </w:p>
    <w:p w:rsidR="00ED3C64" w:rsidRPr="00667155" w:rsidRDefault="00ED3C64" w:rsidP="00ED3C64">
      <w:pPr>
        <w:pStyle w:val="Heading1"/>
        <w:keepNext w:val="0"/>
        <w:tabs>
          <w:tab w:val="clear" w:pos="360"/>
        </w:tabs>
        <w:spacing w:before="0" w:after="0"/>
        <w:ind w:left="0" w:firstLine="0"/>
        <w:rPr>
          <w:rFonts w:ascii="Garamond" w:hAnsi="Garamond"/>
          <w:b w:val="0"/>
          <w:sz w:val="16"/>
          <w:szCs w:val="16"/>
          <w:lang w:val="sq-AL"/>
        </w:rPr>
      </w:pPr>
      <w:r>
        <w:rPr>
          <w:rFonts w:ascii="Garamond" w:hAnsi="Garamond"/>
          <w:b w:val="0"/>
          <w:sz w:val="16"/>
          <w:szCs w:val="16"/>
          <w:lang w:val="sq-AL"/>
        </w:rPr>
        <w:t xml:space="preserve">- </w:t>
      </w:r>
      <w:r w:rsidRPr="00667155">
        <w:rPr>
          <w:rFonts w:ascii="Garamond" w:hAnsi="Garamond"/>
          <w:b w:val="0"/>
          <w:sz w:val="16"/>
          <w:szCs w:val="16"/>
          <w:lang w:val="sq-AL"/>
        </w:rPr>
        <w:t xml:space="preserve">Direktivën 2008/50/EC “Mbi cilësinë e ajrit të mjedisit dhe një ajër më të pastër në Evropë”. </w:t>
      </w:r>
      <w:r>
        <w:rPr>
          <w:rFonts w:ascii="Garamond" w:hAnsi="Garamond"/>
          <w:b w:val="0"/>
          <w:sz w:val="16"/>
          <w:szCs w:val="16"/>
          <w:lang w:val="sq-AL"/>
        </w:rPr>
        <w:t>n</w:t>
      </w:r>
      <w:r w:rsidRPr="00667155">
        <w:rPr>
          <w:rFonts w:ascii="Garamond" w:hAnsi="Garamond"/>
          <w:b w:val="0"/>
          <w:sz w:val="16"/>
          <w:szCs w:val="16"/>
          <w:lang w:val="sq-AL"/>
        </w:rPr>
        <w:t>r.</w:t>
      </w:r>
      <w:r>
        <w:rPr>
          <w:rFonts w:ascii="Garamond" w:hAnsi="Garamond"/>
          <w:b w:val="0"/>
          <w:sz w:val="16"/>
          <w:szCs w:val="16"/>
          <w:lang w:val="sq-AL"/>
        </w:rPr>
        <w:t xml:space="preserve"> Celex 32008L0050, publikuar në </w:t>
      </w:r>
      <w:r w:rsidRPr="00667155">
        <w:rPr>
          <w:rFonts w:ascii="Garamond" w:hAnsi="Garamond"/>
          <w:b w:val="0"/>
          <w:sz w:val="16"/>
          <w:szCs w:val="16"/>
          <w:lang w:val="sq-AL"/>
        </w:rPr>
        <w:t xml:space="preserve">Fletoren Zyrtare,  L 152, 11.6.2008. </w:t>
      </w:r>
    </w:p>
    <w:p w:rsidR="00ED3C64" w:rsidRPr="00667155" w:rsidRDefault="00ED3C64" w:rsidP="00ED3C64">
      <w:pPr>
        <w:pStyle w:val="Heading1"/>
        <w:keepNext w:val="0"/>
        <w:tabs>
          <w:tab w:val="clear" w:pos="360"/>
        </w:tabs>
        <w:spacing w:before="0" w:after="0"/>
        <w:ind w:left="0" w:firstLine="0"/>
        <w:rPr>
          <w:rFonts w:ascii="Garamond" w:hAnsi="Garamond"/>
          <w:b w:val="0"/>
          <w:bCs w:val="0"/>
          <w:kern w:val="0"/>
          <w:sz w:val="16"/>
          <w:szCs w:val="16"/>
          <w:lang w:val="sq-AL"/>
        </w:rPr>
      </w:pPr>
      <w:r>
        <w:rPr>
          <w:rFonts w:ascii="Garamond" w:hAnsi="Garamond"/>
          <w:b w:val="0"/>
          <w:sz w:val="16"/>
          <w:szCs w:val="16"/>
          <w:lang w:val="sq-AL"/>
        </w:rPr>
        <w:t xml:space="preserve">- </w:t>
      </w:r>
      <w:r w:rsidRPr="00667155">
        <w:rPr>
          <w:rFonts w:ascii="Garamond" w:hAnsi="Garamond"/>
          <w:b w:val="0"/>
          <w:sz w:val="16"/>
          <w:szCs w:val="16"/>
          <w:lang w:val="sq-AL"/>
        </w:rPr>
        <w:t>Direktivën 2004/107/EC në lidhje me arsenikun, merkurin, nikelin dhe hidrokarburet aromatike policiklik</w:t>
      </w:r>
      <w:r>
        <w:rPr>
          <w:rFonts w:ascii="Garamond" w:hAnsi="Garamond"/>
          <w:b w:val="0"/>
          <w:sz w:val="16"/>
          <w:szCs w:val="16"/>
          <w:lang w:val="sq-AL"/>
        </w:rPr>
        <w:t>e në ajrin e ambientit. n</w:t>
      </w:r>
      <w:r w:rsidRPr="00667155">
        <w:rPr>
          <w:rFonts w:ascii="Garamond" w:hAnsi="Garamond"/>
          <w:b w:val="0"/>
          <w:sz w:val="16"/>
          <w:szCs w:val="16"/>
          <w:lang w:val="sq-AL"/>
        </w:rPr>
        <w:t>r.</w:t>
      </w:r>
      <w:r>
        <w:rPr>
          <w:rFonts w:ascii="Garamond" w:hAnsi="Garamond"/>
          <w:b w:val="0"/>
          <w:sz w:val="16"/>
          <w:szCs w:val="16"/>
          <w:lang w:val="sq-AL"/>
        </w:rPr>
        <w:t xml:space="preserve"> </w:t>
      </w:r>
      <w:r w:rsidRPr="00667155">
        <w:rPr>
          <w:rFonts w:ascii="Garamond" w:hAnsi="Garamond"/>
          <w:b w:val="0"/>
          <w:sz w:val="16"/>
          <w:szCs w:val="16"/>
          <w:lang w:val="sq-AL"/>
        </w:rPr>
        <w:t>Celex 32004L0107, publikuar në “</w:t>
      </w:r>
      <w:r w:rsidRPr="00667155">
        <w:rPr>
          <w:rFonts w:ascii="Garamond" w:hAnsi="Garamond"/>
          <w:b w:val="0"/>
          <w:bCs w:val="0"/>
          <w:kern w:val="0"/>
          <w:sz w:val="16"/>
          <w:szCs w:val="16"/>
          <w:lang w:val="sq-AL"/>
        </w:rPr>
        <w:t>Fletoren zyrtare”, L</w:t>
      </w:r>
      <w:r w:rsidRPr="00667155">
        <w:rPr>
          <w:rFonts w:ascii="Garamond" w:hAnsi="Garamond"/>
          <w:b w:val="0"/>
          <w:kern w:val="0"/>
          <w:sz w:val="16"/>
          <w:szCs w:val="16"/>
          <w:lang w:val="sq-AL"/>
        </w:rPr>
        <w:t xml:space="preserve"> </w:t>
      </w:r>
      <w:r w:rsidRPr="00667155">
        <w:rPr>
          <w:rFonts w:ascii="Garamond" w:hAnsi="Garamond"/>
          <w:b w:val="0"/>
          <w:bCs w:val="0"/>
          <w:iCs/>
          <w:kern w:val="0"/>
          <w:sz w:val="16"/>
          <w:szCs w:val="16"/>
          <w:lang w:val="sq-AL"/>
        </w:rPr>
        <w:t>023, 26/01/2005.</w:t>
      </w:r>
    </w:p>
    <w:p w:rsidR="00ED3C64" w:rsidRPr="00667155" w:rsidRDefault="00ED3C64" w:rsidP="00ED3C64">
      <w:pPr>
        <w:pStyle w:val="FootnoteText"/>
        <w:tabs>
          <w:tab w:val="left" w:pos="284"/>
        </w:tabs>
        <w:rPr>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ED3C64" w:rsidRPr="00EB260B" w:rsidTr="006248F0">
      <w:trPr>
        <w:trHeight w:val="936"/>
        <w:jc w:val="center"/>
      </w:trPr>
      <w:tc>
        <w:tcPr>
          <w:tcW w:w="1392" w:type="pct"/>
          <w:shd w:val="pct5" w:color="auto" w:fill="F2F2F2"/>
          <w:vAlign w:val="center"/>
        </w:tcPr>
        <w:p w:rsidR="00ED3C64" w:rsidRPr="00EB260B" w:rsidRDefault="00ED3C64" w:rsidP="006248F0">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ED3C64" w:rsidRPr="00EB260B" w:rsidRDefault="00ED3C64" w:rsidP="006248F0">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6ED80A3F" wp14:editId="710E06F3">
                <wp:extent cx="304524" cy="427512"/>
                <wp:effectExtent l="0" t="0" r="635" b="0"/>
                <wp:docPr id="2"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ED3C64" w:rsidRPr="00EB260B" w:rsidRDefault="00ED3C64" w:rsidP="006248F0">
          <w:pPr>
            <w:pStyle w:val="NoSpacing"/>
            <w:spacing w:before="100" w:after="100"/>
            <w:jc w:val="center"/>
            <w:rPr>
              <w:rFonts w:ascii="Garamond" w:hAnsi="Garamond"/>
              <w:b/>
              <w:sz w:val="28"/>
              <w:szCs w:val="28"/>
            </w:rPr>
          </w:pPr>
          <w:r>
            <w:rPr>
              <w:rFonts w:ascii="Garamond" w:hAnsi="Garamond"/>
              <w:b/>
              <w:sz w:val="28"/>
              <w:szCs w:val="28"/>
            </w:rPr>
            <w:t xml:space="preserve"> Viti 2015 – Numri 72 </w:t>
          </w:r>
        </w:p>
      </w:tc>
    </w:tr>
  </w:tbl>
  <w:p w:rsidR="00ED3C64" w:rsidRDefault="00ED3C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B40EB2"/>
    <w:multiLevelType w:val="hybridMultilevel"/>
    <w:tmpl w:val="6FFED1E6"/>
    <w:lvl w:ilvl="0" w:tplc="A5ECD824">
      <w:start w:val="1"/>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4DB4386"/>
    <w:multiLevelType w:val="hybridMultilevel"/>
    <w:tmpl w:val="BE3A3772"/>
    <w:lvl w:ilvl="0" w:tplc="BFF24C30">
      <w:start w:val="1"/>
      <w:numFmt w:val="bullet"/>
      <w:lvlText w:val="□"/>
      <w:lvlJc w:val="left"/>
      <w:pPr>
        <w:ind w:left="782" w:hanging="360"/>
      </w:pPr>
      <w:rPr>
        <w:rFonts w:ascii="Courier New" w:hAnsi="Courier New"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9EF1C85"/>
    <w:multiLevelType w:val="hybridMultilevel"/>
    <w:tmpl w:val="1A82546A"/>
    <w:lvl w:ilvl="0" w:tplc="04090001">
      <w:start w:val="1"/>
      <w:numFmt w:val="bullet"/>
      <w:lvlText w:val=""/>
      <w:lvlJc w:val="left"/>
      <w:pPr>
        <w:ind w:left="360" w:hanging="360"/>
      </w:pPr>
      <w:rPr>
        <w:rFonts w:ascii="Symbol" w:hAnsi="Symbol" w:hint="default"/>
      </w:rPr>
    </w:lvl>
    <w:lvl w:ilvl="1" w:tplc="B9B86018">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1F3C6685"/>
    <w:multiLevelType w:val="hybridMultilevel"/>
    <w:tmpl w:val="94282B6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11A2096"/>
    <w:multiLevelType w:val="hybridMultilevel"/>
    <w:tmpl w:val="485A0B3E"/>
    <w:lvl w:ilvl="0" w:tplc="BFF24C30">
      <w:start w:val="1"/>
      <w:numFmt w:val="bullet"/>
      <w:lvlText w:val="□"/>
      <w:lvlJc w:val="left"/>
      <w:pPr>
        <w:ind w:left="792"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8131B25"/>
    <w:multiLevelType w:val="multilevel"/>
    <w:tmpl w:val="0A6897E0"/>
    <w:lvl w:ilvl="0">
      <w:start w:val="1"/>
      <w:numFmt w:val="decimal"/>
      <w:pStyle w:val="ALB-Regparagraph"/>
      <w:isLgl/>
      <w:lvlText w:val="%1."/>
      <w:lvlJc w:val="left"/>
      <w:pPr>
        <w:tabs>
          <w:tab w:val="num" w:pos="397"/>
        </w:tabs>
        <w:ind w:left="397" w:hanging="397"/>
      </w:pPr>
      <w:rPr>
        <w:rFonts w:ascii="Times New Roman" w:eastAsia="Times New Roman" w:hAnsi="Times New Roman" w:cs="Times New Roman" w:hint="default"/>
        <w:b w:val="0"/>
        <w:i w:val="0"/>
        <w:sz w:val="24"/>
      </w:rPr>
    </w:lvl>
    <w:lvl w:ilvl="1">
      <w:start w:val="1"/>
      <w:numFmt w:val="lowerLetter"/>
      <w:lvlText w:val="%2."/>
      <w:lvlJc w:val="left"/>
      <w:pPr>
        <w:tabs>
          <w:tab w:val="num" w:pos="340"/>
        </w:tabs>
        <w:ind w:left="340" w:hanging="340"/>
      </w:pPr>
      <w:rPr>
        <w:rFonts w:hint="default"/>
      </w:rPr>
    </w:lvl>
    <w:lvl w:ilvl="2">
      <w:start w:val="1"/>
      <w:numFmt w:val="lowerRoman"/>
      <w:lvlText w:val="%3."/>
      <w:lvlJc w:val="right"/>
      <w:pPr>
        <w:tabs>
          <w:tab w:val="num" w:pos="1475"/>
        </w:tabs>
        <w:ind w:left="1701" w:hanging="566"/>
      </w:pPr>
      <w:rPr>
        <w:rFonts w:hint="default"/>
        <w:b/>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nsid w:val="2E6C1C1A"/>
    <w:multiLevelType w:val="hybridMultilevel"/>
    <w:tmpl w:val="A19A0D60"/>
    <w:lvl w:ilvl="0" w:tplc="2D36C7CA">
      <w:numFmt w:val="bullet"/>
      <w:lvlText w:val="–"/>
      <w:lvlJc w:val="left"/>
      <w:pPr>
        <w:ind w:left="432" w:hanging="360"/>
      </w:pPr>
      <w:rPr>
        <w:rFonts w:ascii="Book Antiqua" w:eastAsia="Times New Roman" w:hAnsi="Book Antiqua" w:cs="TimesNewRoman"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9">
    <w:nsid w:val="2EE132B5"/>
    <w:multiLevelType w:val="hybridMultilevel"/>
    <w:tmpl w:val="E4C60A6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2F797C67"/>
    <w:multiLevelType w:val="hybridMultilevel"/>
    <w:tmpl w:val="C5CA5A84"/>
    <w:lvl w:ilvl="0" w:tplc="D83E6540">
      <w:start w:val="1"/>
      <w:numFmt w:val="decimal"/>
      <w:lvlText w:val="%1."/>
      <w:lvlJc w:val="left"/>
      <w:pPr>
        <w:ind w:left="403" w:hanging="360"/>
      </w:pPr>
      <w:rPr>
        <w:rFonts w:hint="default"/>
        <w:sz w:val="22"/>
      </w:rPr>
    </w:lvl>
    <w:lvl w:ilvl="1" w:tplc="04090019">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abstractNum w:abstractNumId="21">
    <w:nsid w:val="3C361114"/>
    <w:multiLevelType w:val="hybridMultilevel"/>
    <w:tmpl w:val="E0C0DA66"/>
    <w:lvl w:ilvl="0" w:tplc="0409000F">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E1A2D05"/>
    <w:multiLevelType w:val="hybridMultilevel"/>
    <w:tmpl w:val="71FE94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1D30F24"/>
    <w:multiLevelType w:val="hybridMultilevel"/>
    <w:tmpl w:val="1A0E0F3A"/>
    <w:lvl w:ilvl="0" w:tplc="BFF24C3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nsid w:val="5722019F"/>
    <w:multiLevelType w:val="hybridMultilevel"/>
    <w:tmpl w:val="7E22799A"/>
    <w:lvl w:ilvl="0" w:tplc="9E1AE0E0">
      <w:start w:val="1"/>
      <w:numFmt w:val="decimal"/>
      <w:lvlText w:val="%1."/>
      <w:lvlJc w:val="left"/>
      <w:pPr>
        <w:ind w:left="426" w:hanging="360"/>
      </w:pPr>
      <w:rPr>
        <w:rFonts w:cs="Times New Roman" w:hint="default"/>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26">
    <w:nsid w:val="5C3E053F"/>
    <w:multiLevelType w:val="hybridMultilevel"/>
    <w:tmpl w:val="F8521D88"/>
    <w:lvl w:ilvl="0" w:tplc="0409001B">
      <w:start w:val="1"/>
      <w:numFmt w:val="lowerRoman"/>
      <w:lvlText w:val="%1."/>
      <w:lvlJc w:val="righ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7">
    <w:nsid w:val="6059065C"/>
    <w:multiLevelType w:val="hybridMultilevel"/>
    <w:tmpl w:val="C16CF71A"/>
    <w:lvl w:ilvl="0" w:tplc="5846C958">
      <w:start w:val="1"/>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9">
    <w:nsid w:val="67B14BA8"/>
    <w:multiLevelType w:val="hybridMultilevel"/>
    <w:tmpl w:val="A7C48A82"/>
    <w:lvl w:ilvl="0" w:tplc="0A7ED62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A6860C6"/>
    <w:multiLevelType w:val="hybridMultilevel"/>
    <w:tmpl w:val="813A1EDE"/>
    <w:lvl w:ilvl="0" w:tplc="52D63F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C39248B"/>
    <w:multiLevelType w:val="hybridMultilevel"/>
    <w:tmpl w:val="2B083EB0"/>
    <w:lvl w:ilvl="0" w:tplc="2D36C7CA">
      <w:numFmt w:val="bullet"/>
      <w:lvlText w:val="–"/>
      <w:lvlJc w:val="left"/>
      <w:pPr>
        <w:ind w:left="1062" w:hanging="360"/>
      </w:pPr>
      <w:rPr>
        <w:rFonts w:ascii="Book Antiqua" w:eastAsia="Times New Roman" w:hAnsi="Book Antiqua" w:cs="TimesNewRoman"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3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D0A3295"/>
    <w:multiLevelType w:val="hybridMultilevel"/>
    <w:tmpl w:val="6CF6A75E"/>
    <w:lvl w:ilvl="0" w:tplc="2D36C7CA">
      <w:numFmt w:val="bullet"/>
      <w:lvlText w:val="–"/>
      <w:lvlJc w:val="left"/>
      <w:pPr>
        <w:ind w:left="720" w:hanging="360"/>
      </w:pPr>
      <w:rPr>
        <w:rFonts w:ascii="Book Antiqua" w:eastAsia="Times New Roman" w:hAnsi="Book Antiqua" w:cs="TimesNew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4"/>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33"/>
  </w:num>
  <w:num w:numId="16">
    <w:abstractNumId w:val="32"/>
  </w:num>
  <w:num w:numId="17">
    <w:abstractNumId w:val="17"/>
  </w:num>
  <w:num w:numId="18">
    <w:abstractNumId w:val="14"/>
  </w:num>
  <w:num w:numId="19">
    <w:abstractNumId w:val="25"/>
  </w:num>
  <w:num w:numId="20">
    <w:abstractNumId w:val="19"/>
  </w:num>
  <w:num w:numId="21">
    <w:abstractNumId w:val="15"/>
  </w:num>
  <w:num w:numId="22">
    <w:abstractNumId w:val="26"/>
  </w:num>
  <w:num w:numId="23">
    <w:abstractNumId w:val="34"/>
  </w:num>
  <w:num w:numId="24">
    <w:abstractNumId w:val="31"/>
  </w:num>
  <w:num w:numId="25">
    <w:abstractNumId w:val="20"/>
  </w:num>
  <w:num w:numId="26">
    <w:abstractNumId w:val="21"/>
  </w:num>
  <w:num w:numId="27">
    <w:abstractNumId w:val="27"/>
  </w:num>
  <w:num w:numId="28">
    <w:abstractNumId w:val="10"/>
  </w:num>
  <w:num w:numId="29">
    <w:abstractNumId w:val="30"/>
  </w:num>
  <w:num w:numId="30">
    <w:abstractNumId w:val="29"/>
  </w:num>
  <w:num w:numId="31">
    <w:abstractNumId w:val="22"/>
  </w:num>
  <w:num w:numId="32">
    <w:abstractNumId w:val="18"/>
  </w:num>
  <w:num w:numId="33">
    <w:abstractNumId w:val="16"/>
  </w:num>
  <w:num w:numId="34">
    <w:abstractNumId w:val="23"/>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D3C64"/>
    <w:rsid w:val="00013606"/>
    <w:rsid w:val="00032E53"/>
    <w:rsid w:val="001D125B"/>
    <w:rsid w:val="001E746C"/>
    <w:rsid w:val="002C0AA4"/>
    <w:rsid w:val="002E7553"/>
    <w:rsid w:val="00332E0F"/>
    <w:rsid w:val="00455FC5"/>
    <w:rsid w:val="004A4709"/>
    <w:rsid w:val="00627136"/>
    <w:rsid w:val="006815F0"/>
    <w:rsid w:val="007A33AA"/>
    <w:rsid w:val="00912120"/>
    <w:rsid w:val="0099581E"/>
    <w:rsid w:val="00A3508F"/>
    <w:rsid w:val="00B441A3"/>
    <w:rsid w:val="00D27DAF"/>
    <w:rsid w:val="00E12DC7"/>
    <w:rsid w:val="00ED3C64"/>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ED3C64"/>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ED3C64"/>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ED3C64"/>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ED3C64"/>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ED3C64"/>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ED3C64"/>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D3C64"/>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ED3C64"/>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ED3C64"/>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ED3C64"/>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ED3C64"/>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ED3C64"/>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ED3C6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D3C64"/>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ED3C64"/>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ED3C64"/>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ED3C64"/>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ED3C64"/>
    <w:rPr>
      <w:rFonts w:ascii="Cambria" w:eastAsia="MS Mincho" w:hAnsi="Cambria" w:cs="Cambria"/>
      <w:sz w:val="20"/>
      <w:szCs w:val="20"/>
    </w:rPr>
  </w:style>
  <w:style w:type="character" w:customStyle="1" w:styleId="Heading9Char">
    <w:name w:val="Heading 9 Char"/>
    <w:basedOn w:val="DefaultParagraphFont"/>
    <w:link w:val="Heading9"/>
    <w:uiPriority w:val="9"/>
    <w:rsid w:val="00ED3C64"/>
    <w:rPr>
      <w:rFonts w:ascii="Cambria" w:eastAsia="MS Mincho" w:hAnsi="Cambria" w:cs="Cambria"/>
      <w:i/>
      <w:iCs/>
      <w:spacing w:val="5"/>
      <w:sz w:val="20"/>
      <w:szCs w:val="20"/>
    </w:rPr>
  </w:style>
  <w:style w:type="paragraph" w:styleId="NoSpacing">
    <w:name w:val="No Spacing"/>
    <w:link w:val="NoSpacingChar"/>
    <w:uiPriority w:val="1"/>
    <w:qFormat/>
    <w:rsid w:val="00ED3C64"/>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D3C64"/>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ED3C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D3C64"/>
    <w:rPr>
      <w:rFonts w:ascii="Tahoma" w:eastAsia="Calibri" w:hAnsi="Tahoma" w:cs="Tahoma"/>
      <w:sz w:val="16"/>
      <w:szCs w:val="16"/>
    </w:rPr>
  </w:style>
  <w:style w:type="paragraph" w:styleId="Header">
    <w:name w:val="header"/>
    <w:basedOn w:val="Normal"/>
    <w:link w:val="HeaderChar"/>
    <w:uiPriority w:val="99"/>
    <w:unhideWhenUsed/>
    <w:rsid w:val="00ED3C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C64"/>
    <w:rPr>
      <w:rFonts w:ascii="Calibri" w:eastAsia="Calibri" w:hAnsi="Calibri" w:cs="Times New Roman"/>
    </w:rPr>
  </w:style>
  <w:style w:type="paragraph" w:styleId="Footer">
    <w:name w:val="footer"/>
    <w:basedOn w:val="Normal"/>
    <w:link w:val="FooterChar"/>
    <w:uiPriority w:val="99"/>
    <w:unhideWhenUsed/>
    <w:rsid w:val="00ED3C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C64"/>
    <w:rPr>
      <w:rFonts w:ascii="Calibri" w:eastAsia="Calibri" w:hAnsi="Calibri" w:cs="Times New Roman"/>
    </w:rPr>
  </w:style>
  <w:style w:type="paragraph" w:customStyle="1" w:styleId="Akti">
    <w:name w:val="Akti"/>
    <w:link w:val="AktiChar"/>
    <w:rsid w:val="00ED3C64"/>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64"/>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64"/>
    <w:rPr>
      <w:rFonts w:ascii="Garamond" w:eastAsia="MS Mincho" w:hAnsi="Garamond" w:cs="CG Times"/>
      <w:b/>
      <w:bCs/>
      <w:sz w:val="24"/>
      <w:lang w:val="en-GB"/>
    </w:rPr>
  </w:style>
  <w:style w:type="paragraph" w:customStyle="1" w:styleId="Paragrafi">
    <w:name w:val="Paragrafi"/>
    <w:link w:val="ParagrafiChar"/>
    <w:rsid w:val="00ED3C64"/>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ED3C64"/>
    <w:rPr>
      <w:rFonts w:ascii="Garamond" w:eastAsia="MS Mincho" w:hAnsi="Garamond" w:cs="CG Times"/>
      <w:sz w:val="24"/>
    </w:rPr>
  </w:style>
  <w:style w:type="paragraph" w:customStyle="1" w:styleId="Titulli">
    <w:name w:val="Titulli"/>
    <w:next w:val="Normal"/>
    <w:link w:val="TitulliChar"/>
    <w:rsid w:val="00ED3C64"/>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64"/>
    <w:rPr>
      <w:rFonts w:ascii="Garamond" w:eastAsia="MS Mincho" w:hAnsi="Garamond" w:cs="CG Times"/>
      <w:b/>
      <w:bCs/>
      <w:caps/>
      <w:sz w:val="24"/>
      <w:lang w:val="en-GB"/>
    </w:rPr>
  </w:style>
  <w:style w:type="character" w:customStyle="1" w:styleId="AktiChar">
    <w:name w:val="Akti Char"/>
    <w:basedOn w:val="DefaultParagraphFont"/>
    <w:link w:val="Akti"/>
    <w:rsid w:val="00ED3C64"/>
    <w:rPr>
      <w:rFonts w:ascii="Garamond" w:eastAsia="MS Mincho" w:hAnsi="Garamond" w:cs="CG Times"/>
      <w:b/>
      <w:bCs/>
      <w:caps/>
      <w:color w:val="000000"/>
      <w:sz w:val="24"/>
      <w:lang w:val="en-GB"/>
    </w:rPr>
  </w:style>
  <w:style w:type="paragraph" w:customStyle="1" w:styleId="NeniNr">
    <w:name w:val="Neni_Nr"/>
    <w:next w:val="Normal"/>
    <w:link w:val="NeniNrChar"/>
    <w:rsid w:val="00ED3C64"/>
    <w:pPr>
      <w:keepNext/>
      <w:widowControl w:val="0"/>
      <w:jc w:val="center"/>
    </w:pPr>
    <w:rPr>
      <w:rFonts w:ascii="Garamond" w:eastAsia="MS Mincho" w:hAnsi="Garamond" w:cs="CG Times"/>
      <w:sz w:val="24"/>
      <w:lang w:val="en-GB"/>
    </w:rPr>
  </w:style>
  <w:style w:type="paragraph" w:customStyle="1" w:styleId="NeniTitull">
    <w:name w:val="Neni_Titull"/>
    <w:next w:val="Normal"/>
    <w:rsid w:val="00ED3C64"/>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64"/>
    <w:rPr>
      <w:rFonts w:ascii="Garamond" w:eastAsia="MS Mincho" w:hAnsi="Garamond" w:cs="CG Times"/>
      <w:sz w:val="24"/>
      <w:lang w:val="en-GB"/>
    </w:rPr>
  </w:style>
  <w:style w:type="paragraph" w:customStyle="1" w:styleId="Autoriteti">
    <w:name w:val="Autoriteti"/>
    <w:next w:val="Normal"/>
    <w:link w:val="AutoritetiChar"/>
    <w:rsid w:val="00ED3C64"/>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D3C64"/>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ED3C64"/>
    <w:rPr>
      <w:rFonts w:ascii="Garamond" w:eastAsia="MS Mincho" w:hAnsi="Garamond" w:cs="CG Times"/>
      <w:caps/>
      <w:sz w:val="24"/>
      <w:lang w:val="en-GB"/>
    </w:rPr>
  </w:style>
  <w:style w:type="character" w:customStyle="1" w:styleId="AutoritetiEmerChar">
    <w:name w:val="Autoriteti_Emer Char"/>
    <w:link w:val="AutoritetiEmer"/>
    <w:locked/>
    <w:rsid w:val="00ED3C64"/>
    <w:rPr>
      <w:rFonts w:ascii="Garamond" w:eastAsia="MS Mincho" w:hAnsi="Garamond" w:cs="Times New Roman"/>
      <w:b/>
      <w:bCs/>
      <w:sz w:val="24"/>
      <w:lang w:val="en-GB"/>
    </w:rPr>
  </w:style>
  <w:style w:type="paragraph" w:customStyle="1" w:styleId="Titull-Titull">
    <w:name w:val="Titull-Titull"/>
    <w:basedOn w:val="Paragrafi"/>
    <w:qFormat/>
    <w:rsid w:val="00ED3C64"/>
    <w:pPr>
      <w:ind w:firstLine="0"/>
      <w:jc w:val="center"/>
    </w:pPr>
    <w:rPr>
      <w:caps/>
      <w:szCs w:val="24"/>
    </w:rPr>
  </w:style>
  <w:style w:type="paragraph" w:customStyle="1" w:styleId="Vendosi">
    <w:name w:val="Vendosi"/>
    <w:basedOn w:val="Titull-Titull"/>
    <w:qFormat/>
    <w:rsid w:val="00ED3C64"/>
  </w:style>
  <w:style w:type="paragraph" w:customStyle="1" w:styleId="Hapesira7">
    <w:name w:val="Hapesira 7"/>
    <w:basedOn w:val="Paragrafi"/>
    <w:qFormat/>
    <w:rsid w:val="00ED3C64"/>
    <w:rPr>
      <w:sz w:val="14"/>
      <w:szCs w:val="24"/>
    </w:rPr>
  </w:style>
  <w:style w:type="paragraph" w:styleId="ListParagraph">
    <w:name w:val="List Paragraph"/>
    <w:aliases w:val="List Paragraph2"/>
    <w:basedOn w:val="Normal"/>
    <w:link w:val="ListParagraphChar"/>
    <w:uiPriority w:val="34"/>
    <w:qFormat/>
    <w:rsid w:val="00ED3C64"/>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D3C64"/>
    <w:rPr>
      <w:rFonts w:ascii="Calibri" w:eastAsia="Times New Roman" w:hAnsi="Calibri" w:cs="Times New Roman"/>
    </w:rPr>
  </w:style>
  <w:style w:type="paragraph" w:customStyle="1" w:styleId="Style1">
    <w:name w:val="Style1"/>
    <w:basedOn w:val="Akti"/>
    <w:qFormat/>
    <w:rsid w:val="00ED3C64"/>
    <w:rPr>
      <w:rFonts w:ascii="CG Times" w:hAnsi="CG Times"/>
      <w:sz w:val="21"/>
    </w:rPr>
  </w:style>
  <w:style w:type="character" w:customStyle="1" w:styleId="Heading2Char1">
    <w:name w:val="Heading 2 Char1"/>
    <w:link w:val="Heading2"/>
    <w:uiPriority w:val="9"/>
    <w:locked/>
    <w:rsid w:val="00ED3C64"/>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ED3C64"/>
    <w:rPr>
      <w:rFonts w:ascii="Cambria" w:eastAsia="MS Mincho" w:hAnsi="Cambria" w:cs="Cambria"/>
      <w:b/>
      <w:bCs/>
      <w:sz w:val="24"/>
      <w:szCs w:val="24"/>
    </w:rPr>
  </w:style>
  <w:style w:type="paragraph" w:customStyle="1" w:styleId="ADDRESS">
    <w:name w:val="ADDRESS"/>
    <w:basedOn w:val="Normal"/>
    <w:rsid w:val="00ED3C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D3C64"/>
    <w:rPr>
      <w:rFonts w:ascii="CG Times" w:eastAsia="MS Mincho" w:hAnsi="CG Times" w:cs="CG Times"/>
      <w:sz w:val="21"/>
      <w:lang w:val="en-GB"/>
    </w:rPr>
  </w:style>
  <w:style w:type="paragraph" w:customStyle="1" w:styleId="AneksiNr">
    <w:name w:val="Aneksi_Nr"/>
    <w:next w:val="Normal"/>
    <w:rsid w:val="00ED3C64"/>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ED3C64"/>
    <w:pPr>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ED3C64"/>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ED3C64"/>
    <w:rPr>
      <w:rFonts w:ascii="Arial" w:eastAsia="Times New Roman" w:hAnsi="Arial" w:cs="Arial"/>
      <w:color w:val="000000"/>
      <w:sz w:val="24"/>
      <w:szCs w:val="24"/>
    </w:rPr>
  </w:style>
  <w:style w:type="paragraph" w:customStyle="1" w:styleId="BazLigjPropozues">
    <w:name w:val="Baz_Ligj_Propozues"/>
    <w:rsid w:val="00ED3C64"/>
    <w:pPr>
      <w:keepNext/>
      <w:widowControl w:val="0"/>
    </w:pPr>
    <w:rPr>
      <w:rFonts w:ascii="CG Times" w:eastAsia="MS Mincho" w:hAnsi="CG Times" w:cs="CG Times"/>
      <w:color w:val="000000"/>
      <w:sz w:val="21"/>
      <w:lang w:val="en-GB"/>
    </w:rPr>
  </w:style>
  <w:style w:type="paragraph" w:styleId="Subtitle">
    <w:name w:val="Subtitle"/>
    <w:basedOn w:val="Normal"/>
    <w:link w:val="SubtitleChar"/>
    <w:uiPriority w:val="11"/>
    <w:qFormat/>
    <w:rsid w:val="00ED3C64"/>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ED3C64"/>
    <w:rPr>
      <w:rFonts w:ascii="Times New Roman" w:eastAsia="Times New Roman" w:hAnsi="Times New Roman" w:cs="Times New Roman"/>
      <w:caps/>
      <w:sz w:val="26"/>
      <w:szCs w:val="26"/>
      <w:lang w:val="en-GB"/>
    </w:rPr>
  </w:style>
  <w:style w:type="character" w:customStyle="1" w:styleId="apple-converted-space">
    <w:name w:val="apple-converted-space"/>
    <w:rsid w:val="00ED3C64"/>
  </w:style>
  <w:style w:type="character" w:styleId="Hyperlink">
    <w:name w:val="Hyperlink"/>
    <w:uiPriority w:val="99"/>
    <w:unhideWhenUsed/>
    <w:rsid w:val="00ED3C64"/>
    <w:rPr>
      <w:color w:val="0000FF"/>
      <w:u w:val="single"/>
    </w:rPr>
  </w:style>
  <w:style w:type="character" w:styleId="FollowedHyperlink">
    <w:name w:val="FollowedHyperlink"/>
    <w:uiPriority w:val="99"/>
    <w:unhideWhenUsed/>
    <w:rsid w:val="00ED3C64"/>
    <w:rPr>
      <w:color w:val="800080"/>
      <w:u w:val="single"/>
    </w:rPr>
  </w:style>
  <w:style w:type="paragraph" w:customStyle="1" w:styleId="font5">
    <w:name w:val="font5"/>
    <w:basedOn w:val="Normal"/>
    <w:rsid w:val="00ED3C6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D3C64"/>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D3C64"/>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D3C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D3C6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D3C6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D3C64"/>
    <w:pPr>
      <w:widowControl w:val="0"/>
      <w:ind w:firstLine="284"/>
      <w:outlineLvl w:val="2"/>
    </w:pPr>
    <w:rPr>
      <w:rFonts w:ascii="CG Times" w:eastAsia="MS Mincho" w:hAnsi="CG Times" w:cs="CG Times"/>
    </w:rPr>
  </w:style>
  <w:style w:type="paragraph" w:customStyle="1" w:styleId="xl69">
    <w:name w:val="xl69"/>
    <w:basedOn w:val="Normal"/>
    <w:rsid w:val="00ED3C64"/>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D3C6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D3C64"/>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D3C6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D3C64"/>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D3C64"/>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ED3C64"/>
    <w:pPr>
      <w:pageBreakBefore/>
    </w:pPr>
    <w:rPr>
      <w:rFonts w:ascii="CG Times" w:eastAsia="MS Mincho" w:hAnsi="CG Times" w:cs="CG Times"/>
      <w:b/>
      <w:bCs/>
      <w:sz w:val="21"/>
    </w:rPr>
  </w:style>
  <w:style w:type="paragraph" w:customStyle="1" w:styleId="KapitulliNr">
    <w:name w:val="Kapitulli_Nr"/>
    <w:rsid w:val="00ED3C64"/>
    <w:pPr>
      <w:keepNext/>
      <w:widowControl w:val="0"/>
      <w:jc w:val="center"/>
    </w:pPr>
    <w:rPr>
      <w:rFonts w:ascii="CG Times" w:eastAsia="MS Mincho" w:hAnsi="CG Times" w:cs="CG Times"/>
      <w:caps/>
      <w:sz w:val="21"/>
      <w:lang w:val="en-GB"/>
    </w:rPr>
  </w:style>
  <w:style w:type="paragraph" w:customStyle="1" w:styleId="KapitulliTitull">
    <w:name w:val="Kapitulli_Titull"/>
    <w:rsid w:val="00ED3C64"/>
    <w:pPr>
      <w:keepNext/>
      <w:widowControl w:val="0"/>
      <w:jc w:val="center"/>
    </w:pPr>
    <w:rPr>
      <w:rFonts w:ascii="CG Times" w:eastAsia="MS Mincho" w:hAnsi="CG Times" w:cs="CG Times"/>
      <w:caps/>
      <w:sz w:val="21"/>
      <w:lang w:val="en-GB"/>
    </w:rPr>
  </w:style>
  <w:style w:type="paragraph" w:customStyle="1" w:styleId="KreuNr">
    <w:name w:val="Kreu_Nr"/>
    <w:rsid w:val="00ED3C64"/>
    <w:pPr>
      <w:keepNext/>
      <w:widowControl w:val="0"/>
      <w:jc w:val="center"/>
    </w:pPr>
    <w:rPr>
      <w:rFonts w:ascii="CG Times" w:eastAsia="MS Mincho" w:hAnsi="CG Times" w:cs="CG Times"/>
      <w:caps/>
      <w:sz w:val="21"/>
    </w:rPr>
  </w:style>
  <w:style w:type="paragraph" w:customStyle="1" w:styleId="KreuTitull">
    <w:name w:val="Kreu_Titull"/>
    <w:next w:val="KapitulliTitull"/>
    <w:rsid w:val="00ED3C64"/>
    <w:pPr>
      <w:keepNext/>
      <w:widowControl w:val="0"/>
      <w:jc w:val="center"/>
    </w:pPr>
    <w:rPr>
      <w:rFonts w:ascii="CG Times" w:eastAsia="MS Mincho" w:hAnsi="CG Times" w:cs="CG Times"/>
      <w:caps/>
      <w:sz w:val="21"/>
    </w:rPr>
  </w:style>
  <w:style w:type="paragraph" w:customStyle="1" w:styleId="xl74">
    <w:name w:val="xl74"/>
    <w:basedOn w:val="Normal"/>
    <w:rsid w:val="00ED3C6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D3C64"/>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D3C6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D3C64"/>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D3C64"/>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D3C64"/>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D3C6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D3C64"/>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D3C64"/>
    <w:pPr>
      <w:keepNext/>
      <w:widowControl w:val="0"/>
      <w:jc w:val="center"/>
    </w:pPr>
    <w:rPr>
      <w:rFonts w:ascii="CG Times" w:eastAsia="MS Mincho" w:hAnsi="CG Times" w:cs="CG Times"/>
      <w:i/>
      <w:iCs/>
      <w:sz w:val="21"/>
    </w:rPr>
  </w:style>
  <w:style w:type="paragraph" w:customStyle="1" w:styleId="NenkreuNr">
    <w:name w:val="Nenkreu_Nr"/>
    <w:rsid w:val="00ED3C64"/>
    <w:pPr>
      <w:keepNext/>
      <w:widowControl w:val="0"/>
      <w:jc w:val="center"/>
    </w:pPr>
    <w:rPr>
      <w:rFonts w:ascii="CG Times" w:eastAsia="MS Mincho" w:hAnsi="CG Times" w:cs="CG Times"/>
      <w:caps/>
      <w:sz w:val="21"/>
      <w:lang w:val="en-GB"/>
    </w:rPr>
  </w:style>
  <w:style w:type="paragraph" w:customStyle="1" w:styleId="NenkreuTitull">
    <w:name w:val="Nenkreu_Titull"/>
    <w:rsid w:val="00ED3C64"/>
    <w:pPr>
      <w:jc w:val="center"/>
    </w:pPr>
    <w:rPr>
      <w:rFonts w:ascii="CG Times" w:eastAsia="MS Mincho" w:hAnsi="CG Times" w:cs="CG Times"/>
      <w:caps/>
      <w:sz w:val="21"/>
      <w:lang w:val="en-GB"/>
    </w:rPr>
  </w:style>
  <w:style w:type="paragraph" w:customStyle="1" w:styleId="xl82">
    <w:name w:val="xl82"/>
    <w:basedOn w:val="Normal"/>
    <w:rsid w:val="00ED3C64"/>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D3C64"/>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D3C6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D3C64"/>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D3C64"/>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D3C64"/>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D3C64"/>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D3C64"/>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D3C64"/>
    <w:pPr>
      <w:widowControl w:val="0"/>
    </w:pPr>
    <w:rPr>
      <w:rFonts w:ascii="CG Times" w:eastAsia="MS Mincho" w:hAnsi="CG Times" w:cs="CG Times"/>
      <w:sz w:val="21"/>
    </w:rPr>
  </w:style>
  <w:style w:type="paragraph" w:customStyle="1" w:styleId="PikeKreu">
    <w:name w:val="Pike_Kreu"/>
    <w:basedOn w:val="Heading1"/>
    <w:rsid w:val="00ED3C64"/>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ED3C64"/>
    <w:pPr>
      <w:keepNext/>
      <w:widowControl w:val="0"/>
      <w:jc w:val="center"/>
    </w:pPr>
    <w:rPr>
      <w:rFonts w:ascii="CG Times" w:eastAsia="MS Mincho" w:hAnsi="CG Times" w:cs="CG Times"/>
      <w:caps/>
      <w:sz w:val="21"/>
      <w:lang w:val="en-GB"/>
    </w:rPr>
  </w:style>
  <w:style w:type="paragraph" w:customStyle="1" w:styleId="PjesaTitull">
    <w:name w:val="Pjesa_Titull"/>
    <w:rsid w:val="00ED3C64"/>
    <w:pPr>
      <w:keepNext/>
      <w:widowControl w:val="0"/>
      <w:jc w:val="center"/>
    </w:pPr>
    <w:rPr>
      <w:rFonts w:ascii="CG Times" w:eastAsia="MS Mincho" w:hAnsi="CG Times" w:cs="CG Times"/>
      <w:caps/>
      <w:sz w:val="21"/>
      <w:lang w:val="en-GB"/>
    </w:rPr>
  </w:style>
  <w:style w:type="paragraph" w:customStyle="1" w:styleId="xl90">
    <w:name w:val="xl90"/>
    <w:basedOn w:val="Normal"/>
    <w:rsid w:val="00ED3C64"/>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D3C64"/>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D3C64"/>
    <w:pPr>
      <w:widowControl w:val="0"/>
    </w:pPr>
    <w:rPr>
      <w:rFonts w:ascii="CG Times" w:eastAsia="MS Mincho" w:hAnsi="CG Times" w:cs="CG Times"/>
      <w:b/>
      <w:bCs/>
      <w:color w:val="000000"/>
      <w:sz w:val="21"/>
      <w:lang w:val="sq-AL"/>
    </w:rPr>
  </w:style>
  <w:style w:type="paragraph" w:customStyle="1" w:styleId="xl92">
    <w:name w:val="xl92"/>
    <w:basedOn w:val="Normal"/>
    <w:rsid w:val="00ED3C64"/>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D3C6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D3C64"/>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D3C64"/>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D3C64"/>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D3C64"/>
    <w:pPr>
      <w:ind w:firstLine="284"/>
    </w:pPr>
    <w:rPr>
      <w:rFonts w:ascii="CG Times" w:eastAsia="MS Mincho" w:hAnsi="CG Times" w:cs="CG Times"/>
      <w:lang w:val="en-GB"/>
    </w:rPr>
  </w:style>
  <w:style w:type="paragraph" w:customStyle="1" w:styleId="xl97">
    <w:name w:val="xl97"/>
    <w:basedOn w:val="Normal"/>
    <w:rsid w:val="00ED3C6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D3C64"/>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D3C64"/>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D3C64"/>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D3C64"/>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D3C64"/>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D3C64"/>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D3C64"/>
    <w:pPr>
      <w:keepNext/>
      <w:widowControl w:val="0"/>
      <w:jc w:val="center"/>
    </w:pPr>
    <w:rPr>
      <w:rFonts w:ascii="CG Times" w:eastAsia="MS Mincho" w:hAnsi="CG Times" w:cs="CG Times"/>
      <w:caps/>
      <w:sz w:val="21"/>
      <w:lang w:val="en-GB"/>
    </w:rPr>
  </w:style>
  <w:style w:type="paragraph" w:customStyle="1" w:styleId="xl104">
    <w:name w:val="xl104"/>
    <w:basedOn w:val="Normal"/>
    <w:rsid w:val="00ED3C64"/>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D3C64"/>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D3C6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D3C6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D3C6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D3C6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D3C64"/>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D3C64"/>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D3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D3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D3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D3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D3C6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D3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D3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D3C64"/>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D3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D3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D3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D3C6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D3C64"/>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D3C6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D3C6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D3C6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D3C6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D3C64"/>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ED3C64"/>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D3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D3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D3C6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D3C6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D3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D3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D3C64"/>
    <w:rPr>
      <w:b/>
      <w:bCs/>
    </w:rPr>
  </w:style>
  <w:style w:type="paragraph" w:customStyle="1" w:styleId="xl136">
    <w:name w:val="xl136"/>
    <w:basedOn w:val="Normal"/>
    <w:rsid w:val="00ED3C6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D3C6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D3C64"/>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D3C64"/>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D3C6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D3C64"/>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D3C6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D3C6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D3C6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D3C6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D3C6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D3C6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D3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D3C6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D3C64"/>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D3C64"/>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D3C6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D3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D3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D3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D3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D3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D3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D3C6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D3C64"/>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ED3C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D3C64"/>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ED3C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D3C64"/>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D3C64"/>
  </w:style>
  <w:style w:type="paragraph" w:styleId="Title">
    <w:name w:val="Title"/>
    <w:basedOn w:val="Heading1"/>
    <w:next w:val="Normal"/>
    <w:link w:val="TitleChar"/>
    <w:qFormat/>
    <w:rsid w:val="00ED3C64"/>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ED3C64"/>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D3C64"/>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D3C64"/>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ED3C64"/>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ED3C64"/>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D3C64"/>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D3C64"/>
    <w:pPr>
      <w:spacing w:after="100"/>
      <w:ind w:left="660" w:firstLine="0"/>
      <w:jc w:val="left"/>
    </w:pPr>
    <w:rPr>
      <w:rFonts w:eastAsia="Times New Roman"/>
    </w:rPr>
  </w:style>
  <w:style w:type="paragraph" w:styleId="TOC5">
    <w:name w:val="toc 5"/>
    <w:basedOn w:val="Normal"/>
    <w:next w:val="Normal"/>
    <w:autoRedefine/>
    <w:unhideWhenUsed/>
    <w:rsid w:val="00ED3C64"/>
    <w:pPr>
      <w:spacing w:after="100"/>
      <w:ind w:left="880" w:firstLine="0"/>
      <w:jc w:val="left"/>
    </w:pPr>
    <w:rPr>
      <w:rFonts w:eastAsia="Times New Roman"/>
    </w:rPr>
  </w:style>
  <w:style w:type="paragraph" w:styleId="TOC6">
    <w:name w:val="toc 6"/>
    <w:basedOn w:val="Normal"/>
    <w:next w:val="Normal"/>
    <w:autoRedefine/>
    <w:unhideWhenUsed/>
    <w:rsid w:val="00ED3C64"/>
    <w:pPr>
      <w:spacing w:after="100"/>
      <w:ind w:left="1100" w:firstLine="0"/>
      <w:jc w:val="left"/>
    </w:pPr>
    <w:rPr>
      <w:rFonts w:eastAsia="Times New Roman"/>
    </w:rPr>
  </w:style>
  <w:style w:type="paragraph" w:styleId="TOC7">
    <w:name w:val="toc 7"/>
    <w:basedOn w:val="Normal"/>
    <w:next w:val="Normal"/>
    <w:autoRedefine/>
    <w:unhideWhenUsed/>
    <w:rsid w:val="00ED3C64"/>
    <w:pPr>
      <w:spacing w:after="100"/>
      <w:ind w:left="1320" w:firstLine="0"/>
      <w:jc w:val="left"/>
    </w:pPr>
    <w:rPr>
      <w:rFonts w:eastAsia="Times New Roman"/>
    </w:rPr>
  </w:style>
  <w:style w:type="paragraph" w:styleId="TOC8">
    <w:name w:val="toc 8"/>
    <w:basedOn w:val="Normal"/>
    <w:next w:val="Normal"/>
    <w:autoRedefine/>
    <w:unhideWhenUsed/>
    <w:rsid w:val="00ED3C64"/>
    <w:pPr>
      <w:spacing w:after="100"/>
      <w:ind w:left="1540" w:firstLine="0"/>
      <w:jc w:val="left"/>
    </w:pPr>
    <w:rPr>
      <w:rFonts w:eastAsia="Times New Roman"/>
    </w:rPr>
  </w:style>
  <w:style w:type="paragraph" w:styleId="TOC9">
    <w:name w:val="toc 9"/>
    <w:basedOn w:val="Normal"/>
    <w:next w:val="Normal"/>
    <w:autoRedefine/>
    <w:unhideWhenUsed/>
    <w:rsid w:val="00ED3C64"/>
    <w:pPr>
      <w:spacing w:after="100"/>
      <w:ind w:left="1760" w:firstLine="0"/>
      <w:jc w:val="left"/>
    </w:pPr>
    <w:rPr>
      <w:rFonts w:eastAsia="Times New Roman"/>
    </w:rPr>
  </w:style>
  <w:style w:type="paragraph" w:styleId="BodyTextIndent">
    <w:name w:val="Body Text Indent"/>
    <w:basedOn w:val="Normal"/>
    <w:link w:val="BodyTextIndentChar"/>
    <w:unhideWhenUsed/>
    <w:rsid w:val="00ED3C64"/>
    <w:pPr>
      <w:spacing w:after="120"/>
      <w:ind w:left="360"/>
    </w:pPr>
  </w:style>
  <w:style w:type="character" w:customStyle="1" w:styleId="BodyTextIndentChar">
    <w:name w:val="Body Text Indent Char"/>
    <w:basedOn w:val="DefaultParagraphFont"/>
    <w:link w:val="BodyTextIndent"/>
    <w:rsid w:val="00ED3C64"/>
    <w:rPr>
      <w:rFonts w:ascii="Calibri" w:eastAsia="Calibri" w:hAnsi="Calibri" w:cs="Times New Roman"/>
    </w:rPr>
  </w:style>
  <w:style w:type="paragraph" w:customStyle="1" w:styleId="numridata0">
    <w:name w:val="numridata"/>
    <w:basedOn w:val="Normal"/>
    <w:rsid w:val="00ED3C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D3C64"/>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D3C64"/>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D3C64"/>
    <w:rPr>
      <w:rFonts w:ascii="Times New Roman" w:eastAsia="Times New Roman" w:hAnsi="Times New Roman" w:cs="Times New Roman"/>
      <w:sz w:val="16"/>
      <w:szCs w:val="16"/>
    </w:rPr>
  </w:style>
  <w:style w:type="paragraph" w:customStyle="1" w:styleId="s32b251d">
    <w:name w:val="s32b251d"/>
    <w:basedOn w:val="Normal"/>
    <w:rsid w:val="00ED3C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D3C64"/>
  </w:style>
  <w:style w:type="paragraph" w:customStyle="1" w:styleId="s30eec3f8">
    <w:name w:val="s30eec3f8"/>
    <w:basedOn w:val="Normal"/>
    <w:rsid w:val="00ED3C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D3C64"/>
    <w:rPr>
      <w:sz w:val="24"/>
      <w:lang w:val="en-GB" w:eastAsia="fr-FR"/>
    </w:rPr>
  </w:style>
  <w:style w:type="paragraph" w:customStyle="1" w:styleId="JuPara">
    <w:name w:val="Ju_Para"/>
    <w:basedOn w:val="Normal"/>
    <w:link w:val="JuParaCar"/>
    <w:rsid w:val="00ED3C64"/>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D3C64"/>
    <w:pPr>
      <w:spacing w:after="120" w:line="360" w:lineRule="auto"/>
    </w:pPr>
    <w:rPr>
      <w:rFonts w:ascii="Calibri" w:eastAsia="MS Mincho" w:hAnsi="Calibri" w:cs="Times New Roman"/>
      <w:bCs/>
    </w:rPr>
  </w:style>
  <w:style w:type="paragraph" w:customStyle="1" w:styleId="Level1">
    <w:name w:val="_Level 1"/>
    <w:basedOn w:val="Normal"/>
    <w:uiPriority w:val="99"/>
    <w:qFormat/>
    <w:rsid w:val="00ED3C64"/>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D3C64"/>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D3C6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D3C64"/>
    <w:rPr>
      <w:vertAlign w:val="superscript"/>
    </w:rPr>
  </w:style>
  <w:style w:type="paragraph" w:customStyle="1" w:styleId="ju-005fpara">
    <w:name w:val="ju-005fpara"/>
    <w:basedOn w:val="Normal"/>
    <w:rsid w:val="00ED3C64"/>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D3C64"/>
  </w:style>
  <w:style w:type="character" w:customStyle="1" w:styleId="s7d2086b4">
    <w:name w:val="s7d2086b4"/>
    <w:basedOn w:val="DefaultParagraphFont"/>
    <w:uiPriority w:val="99"/>
    <w:rsid w:val="00ED3C64"/>
  </w:style>
  <w:style w:type="character" w:customStyle="1" w:styleId="hps">
    <w:name w:val="hps"/>
    <w:basedOn w:val="DefaultParagraphFont"/>
    <w:rsid w:val="00ED3C64"/>
  </w:style>
  <w:style w:type="paragraph" w:customStyle="1" w:styleId="paragrafi0">
    <w:name w:val="paragrafi"/>
    <w:basedOn w:val="Normal"/>
    <w:rsid w:val="00ED3C6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D3C64"/>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D3C64"/>
    <w:rPr>
      <w:rFonts w:cs="Times New Roman"/>
    </w:rPr>
  </w:style>
  <w:style w:type="paragraph" w:customStyle="1" w:styleId="titulli0">
    <w:name w:val="titulli"/>
    <w:basedOn w:val="Normal"/>
    <w:rsid w:val="00ED3C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D3C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D3C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D3C64"/>
  </w:style>
  <w:style w:type="paragraph" w:customStyle="1" w:styleId="akti0">
    <w:name w:val="akti"/>
    <w:basedOn w:val="Normal"/>
    <w:rsid w:val="00ED3C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D3C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D3C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D3C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D3C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D3C64"/>
  </w:style>
  <w:style w:type="paragraph" w:customStyle="1" w:styleId="CM49">
    <w:name w:val="CM49"/>
    <w:basedOn w:val="Normal"/>
    <w:next w:val="Normal"/>
    <w:rsid w:val="00ED3C64"/>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D3C64"/>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D3C64"/>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D3C64"/>
    <w:pPr>
      <w:widowControl w:val="0"/>
    </w:pPr>
    <w:rPr>
      <w:rFonts w:ascii="Helvetica" w:eastAsia="Times New Roman" w:hAnsi="Helvetica" w:cs="Helvetica"/>
      <w:lang w:val="sq-AL"/>
    </w:rPr>
  </w:style>
  <w:style w:type="paragraph" w:customStyle="1" w:styleId="CM57">
    <w:name w:val="CM57"/>
    <w:basedOn w:val="Normal"/>
    <w:next w:val="Normal"/>
    <w:rsid w:val="00ED3C64"/>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D3C64"/>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D3C64"/>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ED3C64"/>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D3C64"/>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D3C64"/>
  </w:style>
  <w:style w:type="character" w:customStyle="1" w:styleId="StyleHeading6BoldChar">
    <w:name w:val="Style Heading 6 + Bold Char"/>
    <w:link w:val="StyleHeading6Bold"/>
    <w:rsid w:val="00ED3C64"/>
    <w:rPr>
      <w:rFonts w:ascii="Cambria" w:eastAsia="MS Mincho" w:hAnsi="Cambria" w:cs="Cambria"/>
      <w:b/>
      <w:bCs/>
      <w:i/>
      <w:iCs/>
      <w:color w:val="7F7F7F"/>
      <w:sz w:val="24"/>
      <w:szCs w:val="24"/>
    </w:rPr>
  </w:style>
  <w:style w:type="paragraph" w:customStyle="1" w:styleId="tableheaders">
    <w:name w:val="table headers"/>
    <w:rsid w:val="00ED3C64"/>
    <w:pPr>
      <w:jc w:val="left"/>
    </w:pPr>
    <w:rPr>
      <w:rFonts w:ascii="Arial Narrow" w:eastAsia="Times New Roman" w:hAnsi="Arial Narrow" w:cs="Times New Roman"/>
      <w:b/>
      <w:szCs w:val="20"/>
      <w:lang w:val="sq-AL"/>
    </w:rPr>
  </w:style>
  <w:style w:type="paragraph" w:customStyle="1" w:styleId="tablebody">
    <w:name w:val="table body"/>
    <w:basedOn w:val="tableheaders"/>
    <w:rsid w:val="00ED3C64"/>
    <w:rPr>
      <w:b w:val="0"/>
    </w:rPr>
  </w:style>
  <w:style w:type="paragraph" w:styleId="PlainText">
    <w:name w:val="Plain Text"/>
    <w:basedOn w:val="Normal"/>
    <w:link w:val="PlainTextChar"/>
    <w:uiPriority w:val="99"/>
    <w:unhideWhenUsed/>
    <w:rsid w:val="00ED3C64"/>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D3C64"/>
    <w:rPr>
      <w:rFonts w:ascii="Consolas" w:eastAsia="Calibri" w:hAnsi="Consolas" w:cs="Times New Roman"/>
      <w:sz w:val="21"/>
      <w:szCs w:val="21"/>
      <w:lang w:val="sq-AL"/>
    </w:rPr>
  </w:style>
  <w:style w:type="paragraph" w:customStyle="1" w:styleId="StyleStyle1Bold">
    <w:name w:val="Style Style1 + Bold"/>
    <w:basedOn w:val="Style1"/>
    <w:rsid w:val="00ED3C64"/>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ED3C64"/>
    <w:rPr>
      <w:rFonts w:ascii="EUAlbertina" w:hAnsi="EUAlbertina"/>
      <w:color w:val="auto"/>
    </w:rPr>
  </w:style>
  <w:style w:type="paragraph" w:customStyle="1" w:styleId="CM4">
    <w:name w:val="CM4"/>
    <w:basedOn w:val="Normal"/>
    <w:next w:val="Normal"/>
    <w:uiPriority w:val="99"/>
    <w:rsid w:val="00ED3C64"/>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D3C64"/>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ED3C64"/>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ED3C64"/>
    <w:rPr>
      <w:rFonts w:ascii="Tahoma" w:eastAsia="Times New Roman" w:hAnsi="Tahoma" w:cs="Times New Roman"/>
      <w:sz w:val="16"/>
      <w:szCs w:val="16"/>
      <w:lang w:val="sq-AL"/>
    </w:rPr>
  </w:style>
  <w:style w:type="numbering" w:customStyle="1" w:styleId="NoList3">
    <w:name w:val="No List3"/>
    <w:next w:val="NoList"/>
    <w:uiPriority w:val="99"/>
    <w:semiHidden/>
    <w:rsid w:val="00ED3C64"/>
  </w:style>
  <w:style w:type="numbering" w:customStyle="1" w:styleId="NoList4">
    <w:name w:val="No List4"/>
    <w:next w:val="NoList"/>
    <w:uiPriority w:val="99"/>
    <w:semiHidden/>
    <w:rsid w:val="00ED3C64"/>
  </w:style>
  <w:style w:type="paragraph" w:customStyle="1" w:styleId="Point1">
    <w:name w:val="Point 1"/>
    <w:basedOn w:val="Normal"/>
    <w:link w:val="Point1Char"/>
    <w:rsid w:val="00ED3C64"/>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D3C64"/>
    <w:rPr>
      <w:rFonts w:ascii="Calibri" w:eastAsia="Times New Roman" w:hAnsi="Calibri" w:cs="Times New Roman"/>
      <w:sz w:val="24"/>
      <w:szCs w:val="24"/>
      <w:lang w:val="en-GB" w:eastAsia="en-GB"/>
    </w:rPr>
  </w:style>
  <w:style w:type="character" w:customStyle="1" w:styleId="longtext">
    <w:name w:val="long_text"/>
    <w:rsid w:val="00ED3C64"/>
    <w:rPr>
      <w:rFonts w:ascii="Comic Sans MS" w:hAnsi="Comic Sans MS"/>
      <w:b/>
      <w:sz w:val="96"/>
      <w:szCs w:val="24"/>
      <w:lang w:val="pl-PL" w:eastAsia="pl-PL" w:bidi="ar-SA"/>
    </w:rPr>
  </w:style>
  <w:style w:type="paragraph" w:customStyle="1" w:styleId="Text1">
    <w:name w:val="Text 1"/>
    <w:basedOn w:val="Normal"/>
    <w:link w:val="Text1Char"/>
    <w:rsid w:val="00ED3C64"/>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D3C64"/>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D3C64"/>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D3C64"/>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D3C64"/>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D3C64"/>
  </w:style>
  <w:style w:type="character" w:customStyle="1" w:styleId="SectionTitleCharCharChar">
    <w:name w:val="SectionTitle Char Char Char"/>
    <w:link w:val="SectionTitleCharChar"/>
    <w:rsid w:val="00ED3C64"/>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D3C64"/>
    <w:rPr>
      <w:rFonts w:ascii="Calibri" w:eastAsia="Times New Roman" w:hAnsi="Calibri" w:cs="Times New Roman"/>
      <w:b/>
      <w:bCs/>
      <w:smallCaps/>
      <w:sz w:val="28"/>
      <w:szCs w:val="28"/>
      <w:lang w:val="en-GB" w:eastAsia="en-GB"/>
    </w:rPr>
  </w:style>
  <w:style w:type="character" w:customStyle="1" w:styleId="Text1Char">
    <w:name w:val="Text 1 Char"/>
    <w:link w:val="Text1"/>
    <w:rsid w:val="00ED3C64"/>
    <w:rPr>
      <w:rFonts w:ascii="Calibri" w:eastAsia="Times New Roman" w:hAnsi="Calibri" w:cs="Times New Roman"/>
      <w:sz w:val="24"/>
      <w:szCs w:val="24"/>
      <w:lang w:val="en-GB" w:eastAsia="en-GB"/>
    </w:rPr>
  </w:style>
  <w:style w:type="character" w:customStyle="1" w:styleId="Point1CharChar">
    <w:name w:val="Point 1 Char Char"/>
    <w:rsid w:val="00ED3C64"/>
    <w:rPr>
      <w:sz w:val="24"/>
      <w:szCs w:val="24"/>
      <w:lang w:val="en-GB" w:eastAsia="en-GB" w:bidi="ar-SA"/>
    </w:rPr>
  </w:style>
  <w:style w:type="paragraph" w:customStyle="1" w:styleId="Point0">
    <w:name w:val="Point 0"/>
    <w:basedOn w:val="Normal"/>
    <w:rsid w:val="00ED3C64"/>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D3C64"/>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D3C64"/>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D3C64"/>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D3C64"/>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D3C64"/>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D3C64"/>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D3C64"/>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D3C64"/>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D3C64"/>
    <w:rPr>
      <w:rFonts w:ascii="CG Times" w:hAnsi="CG Times"/>
      <w:sz w:val="22"/>
      <w:lang w:val="en-US" w:eastAsia="en-US" w:bidi="ar-SA"/>
    </w:rPr>
  </w:style>
  <w:style w:type="paragraph" w:customStyle="1" w:styleId="SectionTitle">
    <w:name w:val="SectionTitle"/>
    <w:basedOn w:val="Normal"/>
    <w:next w:val="Heading1"/>
    <w:rsid w:val="00ED3C64"/>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D3C64"/>
  </w:style>
  <w:style w:type="paragraph" w:styleId="TableofFigures">
    <w:name w:val="table of figures"/>
    <w:basedOn w:val="Normal"/>
    <w:next w:val="Normal"/>
    <w:rsid w:val="00ED3C64"/>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D3C64"/>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D3C64"/>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D3C64"/>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D3C64"/>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D3C64"/>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D3C64"/>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D3C64"/>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D3C64"/>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D3C64"/>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D3C64"/>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D3C64"/>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D3C64"/>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D3C64"/>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D3C64"/>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D3C64"/>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D3C64"/>
    <w:pPr>
      <w:spacing w:after="0" w:line="360" w:lineRule="auto"/>
      <w:ind w:firstLine="0"/>
      <w:jc w:val="left"/>
    </w:pPr>
    <w:rPr>
      <w:rFonts w:ascii="Tahoma" w:eastAsia="Times New Roman" w:hAnsi="Tahoma"/>
      <w:lang w:val="de-AT" w:eastAsia="de-DE"/>
    </w:rPr>
  </w:style>
  <w:style w:type="paragraph" w:styleId="List">
    <w:name w:val="List"/>
    <w:basedOn w:val="Normal"/>
    <w:rsid w:val="00ED3C64"/>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D3C64"/>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D3C64"/>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D3C64"/>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D3C64"/>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D3C64"/>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D3C64"/>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D3C64"/>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D3C64"/>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D3C64"/>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D3C64"/>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D3C64"/>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D3C64"/>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D3C64"/>
    <w:rPr>
      <w:sz w:val="16"/>
      <w:szCs w:val="16"/>
    </w:rPr>
  </w:style>
  <w:style w:type="paragraph" w:styleId="CommentText">
    <w:name w:val="annotation text"/>
    <w:aliases w:val=" Char"/>
    <w:basedOn w:val="Normal"/>
    <w:link w:val="CommentTextChar"/>
    <w:uiPriority w:val="99"/>
    <w:unhideWhenUsed/>
    <w:rsid w:val="00ED3C64"/>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ED3C64"/>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ED3C64"/>
    <w:rPr>
      <w:b/>
      <w:bCs/>
    </w:rPr>
  </w:style>
  <w:style w:type="character" w:customStyle="1" w:styleId="CommentSubjectChar">
    <w:name w:val="Comment Subject Char"/>
    <w:basedOn w:val="CommentTextChar"/>
    <w:link w:val="CommentSubject"/>
    <w:uiPriority w:val="99"/>
    <w:rsid w:val="00ED3C64"/>
    <w:rPr>
      <w:rFonts w:ascii="Calibri" w:eastAsia="MS Mincho" w:hAnsi="Calibri" w:cs="Times New Roman"/>
      <w:b/>
      <w:bCs/>
      <w:sz w:val="20"/>
      <w:szCs w:val="20"/>
      <w:lang w:val="sq-AL"/>
    </w:rPr>
  </w:style>
  <w:style w:type="paragraph" w:styleId="ListNumber4">
    <w:name w:val="List Number 4"/>
    <w:basedOn w:val="Normal"/>
    <w:rsid w:val="00ED3C64"/>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D3C64"/>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ED3C64"/>
  </w:style>
  <w:style w:type="paragraph" w:styleId="MacroText">
    <w:name w:val="macro"/>
    <w:link w:val="MacroTextChar"/>
    <w:semiHidden/>
    <w:rsid w:val="00ED3C64"/>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D3C64"/>
    <w:rPr>
      <w:rFonts w:ascii="Courier New" w:eastAsia="Times New Roman" w:hAnsi="Courier New" w:cs="Times New Roman"/>
      <w:lang w:val="de-DE" w:eastAsia="de-DE"/>
    </w:rPr>
  </w:style>
  <w:style w:type="paragraph" w:styleId="NormalIndent">
    <w:name w:val="Normal Indent"/>
    <w:basedOn w:val="Normal"/>
    <w:link w:val="NormalIndentChar"/>
    <w:rsid w:val="00ED3C64"/>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D3C64"/>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D3C64"/>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D3C64"/>
    <w:rPr>
      <w:rFonts w:ascii="Tahoma" w:hAnsi="Tahoma"/>
      <w:sz w:val="22"/>
    </w:rPr>
  </w:style>
  <w:style w:type="paragraph" w:styleId="BlockText">
    <w:name w:val="Block Text"/>
    <w:basedOn w:val="Normal"/>
    <w:rsid w:val="00ED3C64"/>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D3C64"/>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D3C64"/>
    <w:rPr>
      <w:rFonts w:ascii="Tahoma" w:eastAsia="Times New Roman" w:hAnsi="Tahoma" w:cs="Times New Roman"/>
      <w:lang w:val="de-AT" w:eastAsia="de-DE"/>
    </w:rPr>
  </w:style>
  <w:style w:type="character" w:customStyle="1" w:styleId="Emphasis1">
    <w:name w:val="Emphasis1"/>
    <w:semiHidden/>
    <w:rsid w:val="00ED3C64"/>
  </w:style>
  <w:style w:type="paragraph" w:styleId="NoteHeading">
    <w:name w:val="Note Heading"/>
    <w:basedOn w:val="Normal"/>
    <w:next w:val="Normal"/>
    <w:link w:val="NoteHeadingChar"/>
    <w:rsid w:val="00ED3C64"/>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D3C64"/>
    <w:rPr>
      <w:rFonts w:ascii="Tahoma" w:eastAsia="Times New Roman" w:hAnsi="Tahoma" w:cs="Times New Roman"/>
      <w:lang w:val="de-AT" w:eastAsia="de-DE"/>
    </w:rPr>
  </w:style>
  <w:style w:type="paragraph" w:styleId="MessageHeader">
    <w:name w:val="Message Header"/>
    <w:basedOn w:val="Normal"/>
    <w:link w:val="MessageHeaderChar"/>
    <w:semiHidden/>
    <w:rsid w:val="00ED3C64"/>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D3C6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D3C64"/>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ED3C64"/>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ED3C64"/>
    <w:rPr>
      <w:rFonts w:ascii="Tahoma" w:eastAsia="Times New Roman" w:hAnsi="Tahoma" w:cs="Times New Roman"/>
      <w:sz w:val="20"/>
      <w:szCs w:val="20"/>
    </w:rPr>
  </w:style>
  <w:style w:type="character" w:styleId="EndnoteReference">
    <w:name w:val="endnote reference"/>
    <w:uiPriority w:val="99"/>
    <w:semiHidden/>
    <w:unhideWhenUsed/>
    <w:rsid w:val="00ED3C64"/>
    <w:rPr>
      <w:vertAlign w:val="superscript"/>
    </w:rPr>
  </w:style>
  <w:style w:type="paragraph" w:styleId="BodyTextFirstIndent2">
    <w:name w:val="Body Text First Indent 2"/>
    <w:basedOn w:val="BodyTextIndent"/>
    <w:link w:val="BodyTextFirstIndent2Char"/>
    <w:semiHidden/>
    <w:rsid w:val="00ED3C64"/>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D3C64"/>
    <w:rPr>
      <w:rFonts w:ascii="Tahoma" w:eastAsia="Times New Roman" w:hAnsi="Tahoma" w:cs="Times New Roman"/>
      <w:lang w:val="de-AT" w:eastAsia="de-DE"/>
    </w:rPr>
  </w:style>
  <w:style w:type="numbering" w:styleId="111111">
    <w:name w:val="Outline List 2"/>
    <w:basedOn w:val="NoList"/>
    <w:semiHidden/>
    <w:rsid w:val="00ED3C64"/>
    <w:pPr>
      <w:numPr>
        <w:numId w:val="14"/>
      </w:numPr>
    </w:pPr>
  </w:style>
  <w:style w:type="paragraph" w:customStyle="1" w:styleId="Zusatz2">
    <w:name w:val="Zusatz 2"/>
    <w:basedOn w:val="Normal"/>
    <w:next w:val="Normal"/>
    <w:semiHidden/>
    <w:rsid w:val="00ED3C64"/>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D3C64"/>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D3C64"/>
    <w:pPr>
      <w:numPr>
        <w:numId w:val="15"/>
      </w:numPr>
    </w:pPr>
  </w:style>
  <w:style w:type="paragraph" w:styleId="Salutation">
    <w:name w:val="Salutation"/>
    <w:basedOn w:val="Normal"/>
    <w:next w:val="Normal"/>
    <w:link w:val="SalutationChar"/>
    <w:semiHidden/>
    <w:rsid w:val="00ED3C64"/>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D3C64"/>
    <w:rPr>
      <w:rFonts w:ascii="Tahoma" w:eastAsia="Times New Roman" w:hAnsi="Tahoma" w:cs="Times New Roman"/>
      <w:lang w:val="de-AT" w:eastAsia="de-DE"/>
    </w:rPr>
  </w:style>
  <w:style w:type="numbering" w:styleId="ArticleSection">
    <w:name w:val="Outline List 3"/>
    <w:basedOn w:val="NoList"/>
    <w:semiHidden/>
    <w:rsid w:val="00ED3C64"/>
    <w:pPr>
      <w:numPr>
        <w:numId w:val="16"/>
      </w:numPr>
    </w:pPr>
  </w:style>
  <w:style w:type="paragraph" w:styleId="Closing">
    <w:name w:val="Closing"/>
    <w:basedOn w:val="Normal"/>
    <w:link w:val="ClosingChar"/>
    <w:semiHidden/>
    <w:rsid w:val="00ED3C64"/>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D3C64"/>
    <w:rPr>
      <w:rFonts w:ascii="Tahoma" w:eastAsia="Times New Roman" w:hAnsi="Tahoma" w:cs="Times New Roman"/>
      <w:lang w:val="de-AT" w:eastAsia="de-DE"/>
    </w:rPr>
  </w:style>
  <w:style w:type="character" w:styleId="Emphasis">
    <w:name w:val="Emphasis"/>
    <w:uiPriority w:val="20"/>
    <w:qFormat/>
    <w:rsid w:val="00ED3C64"/>
    <w:rPr>
      <w:i/>
      <w:iCs/>
    </w:rPr>
  </w:style>
  <w:style w:type="paragraph" w:styleId="HTMLAddress">
    <w:name w:val="HTML Address"/>
    <w:basedOn w:val="Normal"/>
    <w:link w:val="HTMLAddressChar"/>
    <w:semiHidden/>
    <w:rsid w:val="00ED3C64"/>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D3C64"/>
    <w:rPr>
      <w:rFonts w:ascii="Tahoma" w:eastAsia="Times New Roman" w:hAnsi="Tahoma" w:cs="Times New Roman"/>
      <w:i/>
      <w:iCs/>
      <w:lang w:val="de-AT" w:eastAsia="de-DE"/>
    </w:rPr>
  </w:style>
  <w:style w:type="character" w:styleId="HTMLAcronym">
    <w:name w:val="HTML Acronym"/>
    <w:semiHidden/>
    <w:rsid w:val="00ED3C64"/>
  </w:style>
  <w:style w:type="character" w:styleId="HTMLSample">
    <w:name w:val="HTML Sample"/>
    <w:semiHidden/>
    <w:rsid w:val="00ED3C64"/>
    <w:rPr>
      <w:rFonts w:ascii="Courier New" w:hAnsi="Courier New" w:cs="Courier New"/>
    </w:rPr>
  </w:style>
  <w:style w:type="character" w:styleId="HTMLCode">
    <w:name w:val="HTML Code"/>
    <w:semiHidden/>
    <w:rsid w:val="00ED3C64"/>
    <w:rPr>
      <w:rFonts w:ascii="Courier New" w:hAnsi="Courier New" w:cs="Courier New"/>
      <w:sz w:val="20"/>
      <w:szCs w:val="20"/>
    </w:rPr>
  </w:style>
  <w:style w:type="character" w:styleId="HTMLDefinition">
    <w:name w:val="HTML Definition"/>
    <w:semiHidden/>
    <w:rsid w:val="00ED3C64"/>
    <w:rPr>
      <w:i/>
      <w:iCs/>
    </w:rPr>
  </w:style>
  <w:style w:type="character" w:styleId="HTMLTypewriter">
    <w:name w:val="HTML Typewriter"/>
    <w:semiHidden/>
    <w:rsid w:val="00ED3C64"/>
    <w:rPr>
      <w:rFonts w:ascii="Courier New" w:hAnsi="Courier New" w:cs="Courier New"/>
      <w:sz w:val="20"/>
      <w:szCs w:val="20"/>
    </w:rPr>
  </w:style>
  <w:style w:type="character" w:styleId="HTMLKeyboard">
    <w:name w:val="HTML Keyboard"/>
    <w:semiHidden/>
    <w:rsid w:val="00ED3C64"/>
    <w:rPr>
      <w:rFonts w:ascii="Courier New" w:hAnsi="Courier New" w:cs="Courier New"/>
      <w:sz w:val="20"/>
      <w:szCs w:val="20"/>
    </w:rPr>
  </w:style>
  <w:style w:type="character" w:styleId="HTMLVariable">
    <w:name w:val="HTML Variable"/>
    <w:semiHidden/>
    <w:rsid w:val="00ED3C64"/>
    <w:rPr>
      <w:i/>
      <w:iCs/>
    </w:rPr>
  </w:style>
  <w:style w:type="paragraph" w:styleId="HTMLPreformatted">
    <w:name w:val="HTML Preformatted"/>
    <w:basedOn w:val="Normal"/>
    <w:link w:val="HTMLPreformattedChar"/>
    <w:uiPriority w:val="99"/>
    <w:semiHidden/>
    <w:rsid w:val="00ED3C64"/>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ED3C64"/>
    <w:rPr>
      <w:rFonts w:ascii="Courier New" w:eastAsia="Times New Roman" w:hAnsi="Courier New" w:cs="Times New Roman"/>
      <w:sz w:val="20"/>
      <w:lang w:val="de-AT" w:eastAsia="de-DE"/>
    </w:rPr>
  </w:style>
  <w:style w:type="character" w:styleId="HTMLCite">
    <w:name w:val="HTML Cite"/>
    <w:semiHidden/>
    <w:rsid w:val="00ED3C64"/>
    <w:rPr>
      <w:i/>
      <w:iCs/>
    </w:rPr>
  </w:style>
  <w:style w:type="table" w:styleId="Table3Deffects1">
    <w:name w:val="Table 3D effects 1"/>
    <w:basedOn w:val="TableNormal"/>
    <w:semiHidden/>
    <w:rsid w:val="00ED3C64"/>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D3C64"/>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D3C64"/>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D3C64"/>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D3C64"/>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D3C64"/>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D3C64"/>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D3C64"/>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D3C64"/>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D3C64"/>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D3C64"/>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D3C64"/>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D3C64"/>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D3C64"/>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D3C64"/>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D3C64"/>
    <w:pPr>
      <w:ind w:firstLine="284"/>
    </w:pPr>
    <w:rPr>
      <w:rFonts w:ascii="Calibri" w:eastAsia="Calibri" w:hAnsi="Calibri" w:cs="Times New Roman"/>
    </w:rPr>
  </w:style>
  <w:style w:type="table" w:styleId="TableList1">
    <w:name w:val="Table List 1"/>
    <w:basedOn w:val="TableNormal"/>
    <w:semiHidden/>
    <w:rsid w:val="00ED3C64"/>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D3C64"/>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D3C64"/>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D3C64"/>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D3C64"/>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D3C64"/>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D3C64"/>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D3C64"/>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D3C64"/>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D3C64"/>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D3C64"/>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D3C64"/>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D3C64"/>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D3C64"/>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D3C64"/>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D3C64"/>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D3C64"/>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D3C64"/>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D3C64"/>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D3C64"/>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D3C64"/>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D3C64"/>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D3C64"/>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D3C64"/>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D3C64"/>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D3C64"/>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D3C64"/>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D3C64"/>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D3C64"/>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D3C64"/>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D3C64"/>
    <w:rPr>
      <w:rFonts w:ascii="Tahoma" w:eastAsia="Times New Roman" w:hAnsi="Tahoma" w:cs="Times New Roman"/>
      <w:lang w:val="de-AT" w:eastAsia="de-DE"/>
    </w:rPr>
  </w:style>
  <w:style w:type="paragraph" w:styleId="E-mailSignature">
    <w:name w:val="E-mail Signature"/>
    <w:basedOn w:val="Normal"/>
    <w:link w:val="E-mailSignatureChar"/>
    <w:rsid w:val="00ED3C64"/>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D3C64"/>
    <w:rPr>
      <w:rFonts w:ascii="Tahoma" w:eastAsia="Times New Roman" w:hAnsi="Tahoma" w:cs="Times New Roman"/>
      <w:lang w:val="de-AT" w:eastAsia="de-DE"/>
    </w:rPr>
  </w:style>
  <w:style w:type="paragraph" w:styleId="BodyText2">
    <w:name w:val="Body Text 2"/>
    <w:basedOn w:val="Normal"/>
    <w:link w:val="BodyText2Char"/>
    <w:rsid w:val="00ED3C64"/>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D3C64"/>
    <w:rPr>
      <w:rFonts w:ascii="Tahoma" w:eastAsia="Times New Roman" w:hAnsi="Tahoma" w:cs="Times New Roman"/>
      <w:lang w:val="de-AT" w:eastAsia="de-DE"/>
    </w:rPr>
  </w:style>
  <w:style w:type="paragraph" w:styleId="BodyTextIndent2">
    <w:name w:val="Body Text Indent 2"/>
    <w:basedOn w:val="Normal"/>
    <w:link w:val="BodyTextIndent2Char"/>
    <w:rsid w:val="00ED3C64"/>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D3C64"/>
    <w:rPr>
      <w:rFonts w:ascii="Tahoma" w:eastAsia="Times New Roman" w:hAnsi="Tahoma" w:cs="Times New Roman"/>
      <w:lang w:val="de-AT" w:eastAsia="de-DE"/>
    </w:rPr>
  </w:style>
  <w:style w:type="paragraph" w:styleId="BodyTextIndent3">
    <w:name w:val="Body Text Indent 3"/>
    <w:basedOn w:val="Normal"/>
    <w:link w:val="BodyTextIndent3Char"/>
    <w:rsid w:val="00ED3C64"/>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D3C6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D3C64"/>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D3C64"/>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D3C64"/>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D3C64"/>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ED3C64"/>
    <w:rPr>
      <w:rFonts w:ascii="CG Times" w:eastAsia="Times New Roman" w:hAnsi="CG Times" w:cs="Times New Roman"/>
      <w:b/>
      <w:szCs w:val="24"/>
    </w:rPr>
  </w:style>
  <w:style w:type="character" w:customStyle="1" w:styleId="SubtitleChar1">
    <w:name w:val="Subtitle Char1"/>
    <w:locked/>
    <w:rsid w:val="00ED3C64"/>
    <w:rPr>
      <w:rFonts w:ascii="Cambria" w:hAnsi="Cambria"/>
      <w:sz w:val="24"/>
      <w:szCs w:val="24"/>
    </w:rPr>
  </w:style>
  <w:style w:type="paragraph" w:customStyle="1" w:styleId="Char1">
    <w:name w:val="Char1"/>
    <w:basedOn w:val="Normal"/>
    <w:rsid w:val="00ED3C64"/>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D3C64"/>
    <w:rPr>
      <w:rFonts w:ascii="Tahoma" w:hAnsi="Tahoma" w:cs="Tahoma"/>
      <w:i/>
      <w:iCs/>
      <w:sz w:val="22"/>
      <w:szCs w:val="22"/>
      <w:lang w:val="de-AT" w:eastAsia="de-DE" w:bidi="ar-SA"/>
    </w:rPr>
  </w:style>
  <w:style w:type="character" w:customStyle="1" w:styleId="CharChar36">
    <w:name w:val="Char Char36"/>
    <w:locked/>
    <w:rsid w:val="00ED3C64"/>
    <w:rPr>
      <w:rFonts w:ascii="Arial" w:hAnsi="Arial" w:cs="Arial"/>
      <w:b/>
      <w:bCs/>
      <w:kern w:val="32"/>
      <w:sz w:val="32"/>
      <w:szCs w:val="32"/>
      <w:lang w:val="sq-AL" w:eastAsia="en-US" w:bidi="ar-SA"/>
    </w:rPr>
  </w:style>
  <w:style w:type="character" w:customStyle="1" w:styleId="CharChar35">
    <w:name w:val="Char Char35"/>
    <w:locked/>
    <w:rsid w:val="00ED3C64"/>
    <w:rPr>
      <w:rFonts w:ascii="Arial" w:hAnsi="Arial" w:cs="Arial"/>
      <w:b/>
      <w:bCs/>
      <w:i/>
      <w:iCs/>
      <w:sz w:val="28"/>
      <w:szCs w:val="28"/>
      <w:lang w:val="sq-AL" w:eastAsia="en-US" w:bidi="ar-SA"/>
    </w:rPr>
  </w:style>
  <w:style w:type="character" w:customStyle="1" w:styleId="CharChar34">
    <w:name w:val="Char Char34"/>
    <w:locked/>
    <w:rsid w:val="00ED3C64"/>
    <w:rPr>
      <w:rFonts w:ascii="Tahoma" w:hAnsi="Tahoma"/>
      <w:b/>
      <w:kern w:val="28"/>
      <w:sz w:val="24"/>
      <w:szCs w:val="28"/>
      <w:lang w:val="de-AT" w:eastAsia="de-DE" w:bidi="ar-SA"/>
    </w:rPr>
  </w:style>
  <w:style w:type="character" w:customStyle="1" w:styleId="CharChar33">
    <w:name w:val="Char Char33"/>
    <w:locked/>
    <w:rsid w:val="00ED3C64"/>
    <w:rPr>
      <w:rFonts w:ascii="Tahoma" w:hAnsi="Tahoma"/>
      <w:b/>
      <w:i/>
      <w:kern w:val="28"/>
      <w:sz w:val="22"/>
      <w:szCs w:val="22"/>
      <w:lang w:val="de-AT" w:eastAsia="de-DE" w:bidi="ar-SA"/>
    </w:rPr>
  </w:style>
  <w:style w:type="character" w:customStyle="1" w:styleId="CharChar32">
    <w:name w:val="Char Char32"/>
    <w:locked/>
    <w:rsid w:val="00ED3C64"/>
    <w:rPr>
      <w:rFonts w:ascii="Tahoma" w:hAnsi="Tahoma"/>
      <w:b/>
      <w:i/>
      <w:kern w:val="28"/>
      <w:sz w:val="22"/>
      <w:szCs w:val="22"/>
      <w:lang w:val="de-AT" w:eastAsia="de-DE" w:bidi="ar-SA"/>
    </w:rPr>
  </w:style>
  <w:style w:type="character" w:customStyle="1" w:styleId="CharChar31">
    <w:name w:val="Char Char31"/>
    <w:locked/>
    <w:rsid w:val="00ED3C64"/>
    <w:rPr>
      <w:rFonts w:ascii="Tahoma" w:hAnsi="Tahoma"/>
      <w:b/>
      <w:i/>
      <w:kern w:val="28"/>
      <w:sz w:val="22"/>
      <w:szCs w:val="22"/>
      <w:lang w:val="de-AT" w:eastAsia="de-DE" w:bidi="ar-SA"/>
    </w:rPr>
  </w:style>
  <w:style w:type="character" w:customStyle="1" w:styleId="CharChar10">
    <w:name w:val="Char Char10"/>
    <w:semiHidden/>
    <w:locked/>
    <w:rsid w:val="00ED3C64"/>
    <w:rPr>
      <w:rFonts w:ascii="Courier New" w:hAnsi="Courier New" w:cs="Courier New"/>
      <w:szCs w:val="22"/>
      <w:lang w:val="de-AT" w:eastAsia="de-DE" w:bidi="ar-SA"/>
    </w:rPr>
  </w:style>
  <w:style w:type="character" w:customStyle="1" w:styleId="CharChar30">
    <w:name w:val="Char Char30"/>
    <w:locked/>
    <w:rsid w:val="00ED3C64"/>
    <w:rPr>
      <w:rFonts w:ascii="Tahoma" w:hAnsi="Tahoma"/>
      <w:b/>
      <w:i/>
      <w:kern w:val="28"/>
      <w:sz w:val="22"/>
      <w:szCs w:val="22"/>
      <w:lang w:val="de-AT" w:eastAsia="de-DE" w:bidi="ar-SA"/>
    </w:rPr>
  </w:style>
  <w:style w:type="character" w:customStyle="1" w:styleId="CharChar29">
    <w:name w:val="Char Char29"/>
    <w:locked/>
    <w:rsid w:val="00ED3C64"/>
    <w:rPr>
      <w:rFonts w:ascii="Tahoma" w:hAnsi="Tahoma"/>
      <w:b/>
      <w:i/>
      <w:kern w:val="28"/>
      <w:sz w:val="22"/>
      <w:szCs w:val="22"/>
      <w:lang w:val="de-AT" w:eastAsia="de-DE" w:bidi="ar-SA"/>
    </w:rPr>
  </w:style>
  <w:style w:type="character" w:customStyle="1" w:styleId="CharChar28">
    <w:name w:val="Char Char28"/>
    <w:locked/>
    <w:rsid w:val="00ED3C64"/>
    <w:rPr>
      <w:rFonts w:ascii="Tahoma" w:hAnsi="Tahoma"/>
      <w:b/>
      <w:i/>
      <w:kern w:val="28"/>
      <w:sz w:val="22"/>
      <w:szCs w:val="22"/>
      <w:lang w:val="de-AT" w:eastAsia="de-DE" w:bidi="ar-SA"/>
    </w:rPr>
  </w:style>
  <w:style w:type="character" w:customStyle="1" w:styleId="CharChar27">
    <w:name w:val="Char Char27"/>
    <w:locked/>
    <w:rsid w:val="00ED3C64"/>
    <w:rPr>
      <w:rFonts w:ascii="Calibri" w:eastAsia="Calibri" w:hAnsi="Calibri"/>
      <w:lang w:val="sq-AL" w:eastAsia="en-US" w:bidi="ar-SA"/>
    </w:rPr>
  </w:style>
  <w:style w:type="character" w:customStyle="1" w:styleId="CharChar24">
    <w:name w:val="Char Char24"/>
    <w:locked/>
    <w:rsid w:val="00ED3C64"/>
    <w:rPr>
      <w:rFonts w:ascii="Tahoma" w:hAnsi="Tahoma" w:cs="Tahoma"/>
      <w:sz w:val="22"/>
      <w:szCs w:val="22"/>
      <w:lang w:val="de-AT" w:eastAsia="de-DE" w:bidi="ar-SA"/>
    </w:rPr>
  </w:style>
  <w:style w:type="character" w:customStyle="1" w:styleId="CharChar23">
    <w:name w:val="Char Char23"/>
    <w:locked/>
    <w:rsid w:val="00ED3C64"/>
    <w:rPr>
      <w:rFonts w:ascii="Tahoma" w:hAnsi="Tahoma" w:cs="Tahoma"/>
      <w:sz w:val="22"/>
      <w:szCs w:val="22"/>
      <w:lang w:val="de-AT" w:eastAsia="de-DE" w:bidi="ar-SA"/>
    </w:rPr>
  </w:style>
  <w:style w:type="character" w:customStyle="1" w:styleId="CharChar22">
    <w:name w:val="Char Char22"/>
    <w:semiHidden/>
    <w:locked/>
    <w:rsid w:val="00ED3C64"/>
    <w:rPr>
      <w:rFonts w:ascii="Courier New" w:hAnsi="Courier New" w:cs="Courier New"/>
      <w:sz w:val="22"/>
      <w:szCs w:val="22"/>
      <w:lang w:val="de-DE" w:eastAsia="de-DE" w:bidi="ar-SA"/>
    </w:rPr>
  </w:style>
  <w:style w:type="character" w:customStyle="1" w:styleId="CharChar21">
    <w:name w:val="Char Char21"/>
    <w:locked/>
    <w:rsid w:val="00ED3C64"/>
    <w:rPr>
      <w:rFonts w:ascii="Tahoma" w:hAnsi="Tahoma" w:cs="Tahoma"/>
      <w:b/>
      <w:kern w:val="28"/>
      <w:sz w:val="36"/>
      <w:szCs w:val="36"/>
      <w:lang w:val="de-AT" w:eastAsia="de-DE" w:bidi="ar-SA"/>
    </w:rPr>
  </w:style>
  <w:style w:type="character" w:customStyle="1" w:styleId="CharChar12">
    <w:name w:val="Char Char12"/>
    <w:semiHidden/>
    <w:locked/>
    <w:rsid w:val="00ED3C64"/>
    <w:rPr>
      <w:rFonts w:ascii="Tahoma" w:hAnsi="Tahoma" w:cs="Tahoma"/>
      <w:sz w:val="22"/>
      <w:szCs w:val="22"/>
      <w:lang w:val="de-AT" w:eastAsia="de-DE" w:bidi="ar-SA"/>
    </w:rPr>
  </w:style>
  <w:style w:type="character" w:customStyle="1" w:styleId="CharChar9">
    <w:name w:val="Char Char9"/>
    <w:semiHidden/>
    <w:locked/>
    <w:rsid w:val="00ED3C64"/>
    <w:rPr>
      <w:rFonts w:ascii="Tahoma" w:hAnsi="Tahoma" w:cs="Tahoma"/>
      <w:sz w:val="22"/>
      <w:szCs w:val="22"/>
      <w:lang w:val="de-AT" w:eastAsia="de-DE" w:bidi="ar-SA"/>
    </w:rPr>
  </w:style>
  <w:style w:type="character" w:customStyle="1" w:styleId="CharChar25">
    <w:name w:val="Char Char25"/>
    <w:semiHidden/>
    <w:locked/>
    <w:rsid w:val="00ED3C64"/>
    <w:rPr>
      <w:rFonts w:ascii="Tahoma" w:hAnsi="Tahoma" w:cs="Tahoma"/>
      <w:sz w:val="22"/>
      <w:szCs w:val="22"/>
      <w:lang w:val="de-AT" w:eastAsia="de-DE" w:bidi="ar-SA"/>
    </w:rPr>
  </w:style>
  <w:style w:type="character" w:customStyle="1" w:styleId="CharChar15">
    <w:name w:val="Char Char15"/>
    <w:semiHidden/>
    <w:locked/>
    <w:rsid w:val="00ED3C64"/>
    <w:rPr>
      <w:rFonts w:ascii="Tahoma" w:hAnsi="Tahoma" w:cs="Tahoma"/>
      <w:sz w:val="22"/>
      <w:szCs w:val="22"/>
      <w:lang w:val="de-AT" w:eastAsia="de-DE" w:bidi="ar-SA"/>
    </w:rPr>
  </w:style>
  <w:style w:type="character" w:customStyle="1" w:styleId="CharChar16">
    <w:name w:val="Char Char16"/>
    <w:semiHidden/>
    <w:locked/>
    <w:rsid w:val="00ED3C64"/>
    <w:rPr>
      <w:rFonts w:ascii="Tahoma" w:hAnsi="Tahoma" w:cs="Arial"/>
      <w:sz w:val="24"/>
      <w:szCs w:val="24"/>
      <w:lang w:val="de-AT" w:eastAsia="de-DE" w:bidi="ar-SA"/>
    </w:rPr>
  </w:style>
  <w:style w:type="character" w:customStyle="1" w:styleId="CharChar20">
    <w:name w:val="Char Char20"/>
    <w:locked/>
    <w:rsid w:val="00ED3C64"/>
    <w:rPr>
      <w:rFonts w:ascii="Tahoma" w:hAnsi="Tahoma" w:cs="Tahoma"/>
      <w:b/>
      <w:kern w:val="28"/>
      <w:sz w:val="32"/>
      <w:szCs w:val="36"/>
      <w:lang w:val="de-AT" w:eastAsia="de-DE" w:bidi="ar-SA"/>
    </w:rPr>
  </w:style>
  <w:style w:type="character" w:customStyle="1" w:styleId="CharChar13">
    <w:name w:val="Char Char13"/>
    <w:semiHidden/>
    <w:locked/>
    <w:rsid w:val="00ED3C64"/>
    <w:rPr>
      <w:rFonts w:ascii="Tahoma" w:hAnsi="Tahoma" w:cs="Tahoma"/>
      <w:sz w:val="22"/>
      <w:szCs w:val="22"/>
      <w:lang w:val="de-AT" w:eastAsia="de-DE" w:bidi="ar-SA"/>
    </w:rPr>
  </w:style>
  <w:style w:type="character" w:customStyle="1" w:styleId="CharChar19">
    <w:name w:val="Char Char19"/>
    <w:semiHidden/>
    <w:locked/>
    <w:rsid w:val="00ED3C64"/>
    <w:rPr>
      <w:rFonts w:ascii="Tahoma" w:hAnsi="Tahoma" w:cs="Tahoma"/>
      <w:sz w:val="22"/>
      <w:szCs w:val="22"/>
      <w:lang w:val="de-AT" w:eastAsia="de-DE" w:bidi="ar-SA"/>
    </w:rPr>
  </w:style>
  <w:style w:type="character" w:customStyle="1" w:styleId="CharChar3">
    <w:name w:val="Char Char3"/>
    <w:semiHidden/>
    <w:locked/>
    <w:rsid w:val="00ED3C64"/>
  </w:style>
  <w:style w:type="character" w:customStyle="1" w:styleId="CharChar14">
    <w:name w:val="Char Char14"/>
    <w:semiHidden/>
    <w:locked/>
    <w:rsid w:val="00ED3C64"/>
  </w:style>
  <w:style w:type="character" w:customStyle="1" w:styleId="CharChar17">
    <w:name w:val="Char Char17"/>
    <w:locked/>
    <w:rsid w:val="00ED3C64"/>
    <w:rPr>
      <w:rFonts w:ascii="Tahoma" w:hAnsi="Tahoma" w:cs="Tahoma"/>
      <w:sz w:val="22"/>
      <w:szCs w:val="22"/>
      <w:lang w:val="de-AT" w:eastAsia="de-DE" w:bidi="ar-SA"/>
    </w:rPr>
  </w:style>
  <w:style w:type="character" w:customStyle="1" w:styleId="CharChar7">
    <w:name w:val="Char Char7"/>
    <w:semiHidden/>
    <w:locked/>
    <w:rsid w:val="00ED3C64"/>
    <w:rPr>
      <w:rFonts w:ascii="Tahoma" w:hAnsi="Tahoma" w:cs="Tahoma"/>
      <w:sz w:val="22"/>
      <w:szCs w:val="22"/>
      <w:lang w:val="de-AT" w:eastAsia="de-DE" w:bidi="ar-SA"/>
    </w:rPr>
  </w:style>
  <w:style w:type="character" w:customStyle="1" w:styleId="CharChar6">
    <w:name w:val="Char Char6"/>
    <w:semiHidden/>
    <w:locked/>
    <w:rsid w:val="00ED3C64"/>
    <w:rPr>
      <w:rFonts w:ascii="Tahoma" w:hAnsi="Tahoma" w:cs="Tahoma"/>
      <w:sz w:val="16"/>
      <w:szCs w:val="16"/>
      <w:lang w:val="de-AT" w:eastAsia="de-DE" w:bidi="ar-SA"/>
    </w:rPr>
  </w:style>
  <w:style w:type="character" w:customStyle="1" w:styleId="CharChar5">
    <w:name w:val="Char Char5"/>
    <w:semiHidden/>
    <w:locked/>
    <w:rsid w:val="00ED3C64"/>
    <w:rPr>
      <w:rFonts w:ascii="Tahoma" w:hAnsi="Tahoma" w:cs="Tahoma"/>
      <w:sz w:val="22"/>
      <w:szCs w:val="22"/>
      <w:lang w:val="de-AT" w:eastAsia="de-DE" w:bidi="ar-SA"/>
    </w:rPr>
  </w:style>
  <w:style w:type="character" w:customStyle="1" w:styleId="CharChar4">
    <w:name w:val="Char Char4"/>
    <w:semiHidden/>
    <w:locked/>
    <w:rsid w:val="00ED3C64"/>
    <w:rPr>
      <w:rFonts w:ascii="Tahoma" w:hAnsi="Tahoma" w:cs="Tahoma"/>
      <w:sz w:val="16"/>
      <w:szCs w:val="16"/>
      <w:lang w:val="de-AT" w:eastAsia="de-DE" w:bidi="ar-SA"/>
    </w:rPr>
  </w:style>
  <w:style w:type="character" w:customStyle="1" w:styleId="CharChar18">
    <w:name w:val="Char Char18"/>
    <w:semiHidden/>
    <w:locked/>
    <w:rsid w:val="00ED3C64"/>
    <w:rPr>
      <w:rFonts w:ascii="Tahoma" w:hAnsi="Tahoma" w:cs="Tahoma"/>
      <w:sz w:val="22"/>
      <w:szCs w:val="22"/>
      <w:lang w:val="de-AT" w:eastAsia="de-DE" w:bidi="ar-SA"/>
    </w:rPr>
  </w:style>
  <w:style w:type="character" w:customStyle="1" w:styleId="CharChar8">
    <w:name w:val="Char Char8"/>
    <w:locked/>
    <w:rsid w:val="00ED3C64"/>
    <w:rPr>
      <w:rFonts w:ascii="Tahoma" w:hAnsi="Tahoma" w:cs="Tahoma"/>
      <w:sz w:val="22"/>
      <w:szCs w:val="22"/>
      <w:lang w:val="de-AT" w:eastAsia="de-DE" w:bidi="ar-SA"/>
    </w:rPr>
  </w:style>
  <w:style w:type="character" w:customStyle="1" w:styleId="CharChar2">
    <w:name w:val="Char Char2"/>
    <w:locked/>
    <w:rsid w:val="00ED3C64"/>
    <w:rPr>
      <w:rFonts w:ascii="Calibri" w:eastAsia="Calibri" w:hAnsi="Calibri" w:cs="Times New Roman"/>
      <w:b/>
      <w:bCs/>
      <w:sz w:val="20"/>
      <w:szCs w:val="20"/>
      <w:lang w:val="sq-AL" w:eastAsia="en-US" w:bidi="ar-SA"/>
    </w:rPr>
  </w:style>
  <w:style w:type="character" w:customStyle="1" w:styleId="CharChar26">
    <w:name w:val="Char Char26"/>
    <w:semiHidden/>
    <w:locked/>
    <w:rsid w:val="00ED3C64"/>
    <w:rPr>
      <w:rFonts w:ascii="Tahoma" w:hAnsi="Tahoma" w:cs="Tahoma"/>
      <w:sz w:val="16"/>
      <w:szCs w:val="16"/>
      <w:lang w:val="sq-AL" w:eastAsia="en-US" w:bidi="ar-SA"/>
    </w:rPr>
  </w:style>
  <w:style w:type="character" w:customStyle="1" w:styleId="CommentTextChar11">
    <w:name w:val="Comment Text Char11"/>
    <w:aliases w:val="Char Char37"/>
    <w:semiHidden/>
    <w:rsid w:val="00ED3C64"/>
    <w:rPr>
      <w:rFonts w:ascii="Calibri" w:hAnsi="Calibri" w:hint="default"/>
      <w:lang w:val="sq-AL"/>
    </w:rPr>
  </w:style>
  <w:style w:type="character" w:customStyle="1" w:styleId="NormalIndentChar">
    <w:name w:val="Normal Indent Char"/>
    <w:link w:val="NormalIndent"/>
    <w:rsid w:val="00ED3C64"/>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D3C64"/>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D3C64"/>
    <w:pPr>
      <w:tabs>
        <w:tab w:val="num" w:pos="360"/>
        <w:tab w:val="num" w:pos="1935"/>
        <w:tab w:val="num" w:pos="2563"/>
        <w:tab w:val="num" w:pos="3474"/>
      </w:tabs>
      <w:ind w:left="1935" w:hanging="360"/>
      <w:outlineLvl w:val="6"/>
    </w:pPr>
  </w:style>
  <w:style w:type="character" w:customStyle="1" w:styleId="AODefHeadChar">
    <w:name w:val="AODefHead Char"/>
    <w:link w:val="AODefHead"/>
    <w:rsid w:val="00ED3C64"/>
    <w:rPr>
      <w:rFonts w:ascii="Times New Roman" w:eastAsia="Times New Roman" w:hAnsi="Times New Roman" w:cs="Times New Roman"/>
      <w:szCs w:val="20"/>
      <w:lang w:val="sq-AL" w:eastAsia="sq-AL" w:bidi="sq-AL"/>
    </w:rPr>
  </w:style>
  <w:style w:type="paragraph" w:customStyle="1" w:styleId="PARA">
    <w:name w:val="PARA"/>
    <w:basedOn w:val="Normal"/>
    <w:locked/>
    <w:rsid w:val="00ED3C64"/>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D3C64"/>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D3C64"/>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D3C64"/>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D3C64"/>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D3C64"/>
    <w:rPr>
      <w:color w:val="0000FF"/>
      <w:spacing w:val="0"/>
      <w:u w:val="double"/>
    </w:rPr>
  </w:style>
  <w:style w:type="paragraph" w:customStyle="1" w:styleId="dia">
    <w:name w:val="di(a)"/>
    <w:basedOn w:val="Normal"/>
    <w:rsid w:val="00ED3C64"/>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D3C64"/>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D3C64"/>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D3C64"/>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D3C64"/>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D3C6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D3C64"/>
    <w:rPr>
      <w:rFonts w:cs="Times New Roman"/>
      <w:color w:val="808080"/>
    </w:rPr>
  </w:style>
  <w:style w:type="character" w:customStyle="1" w:styleId="az12">
    <w:name w:val="az12"/>
    <w:uiPriority w:val="99"/>
    <w:rsid w:val="00ED3C64"/>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D3C64"/>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3C64"/>
    <w:rPr>
      <w:rFonts w:ascii="Calibri" w:eastAsia="Times New Roman" w:hAnsi="Calibri" w:cs="Times New Roman"/>
      <w:sz w:val="24"/>
      <w:szCs w:val="24"/>
      <w:lang w:val="en-GB" w:eastAsia="en-GB"/>
    </w:rPr>
  </w:style>
  <w:style w:type="paragraph" w:customStyle="1" w:styleId="Paragraf02">
    <w:name w:val="Paragraf 0.2"/>
    <w:basedOn w:val="Paragrafi"/>
    <w:qFormat/>
    <w:rsid w:val="00ED3C64"/>
    <w:pPr>
      <w:tabs>
        <w:tab w:val="left" w:pos="6575"/>
      </w:tabs>
    </w:pPr>
    <w:rPr>
      <w:spacing w:val="-4"/>
    </w:rPr>
  </w:style>
  <w:style w:type="table" w:customStyle="1" w:styleId="TableGrid30">
    <w:name w:val="Table Grid3"/>
    <w:basedOn w:val="TableNormal"/>
    <w:next w:val="TableGrid"/>
    <w:uiPriority w:val="59"/>
    <w:rsid w:val="00ED3C64"/>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D3C64"/>
  </w:style>
  <w:style w:type="character" w:styleId="BookTitle">
    <w:name w:val="Book Title"/>
    <w:uiPriority w:val="33"/>
    <w:qFormat/>
    <w:rsid w:val="00ED3C64"/>
    <w:rPr>
      <w:b/>
      <w:bCs/>
      <w:smallCaps/>
      <w:spacing w:val="5"/>
    </w:rPr>
  </w:style>
  <w:style w:type="paragraph" w:customStyle="1" w:styleId="Cover1">
    <w:name w:val="Cover1"/>
    <w:basedOn w:val="Normal"/>
    <w:next w:val="Normal"/>
    <w:rsid w:val="00ED3C64"/>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D3C64"/>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D3C64"/>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D3C64"/>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D3C64"/>
    <w:rPr>
      <w:rFonts w:ascii="Times New Roman" w:eastAsia="Times New Roman" w:hAnsi="Times New Roman" w:cs="Times New Roman"/>
      <w:szCs w:val="20"/>
      <w:lang w:val="sq-AL"/>
    </w:rPr>
  </w:style>
  <w:style w:type="character" w:customStyle="1" w:styleId="Bodytext0">
    <w:name w:val="Body text_"/>
    <w:link w:val="BodyText1"/>
    <w:rsid w:val="00ED3C64"/>
    <w:rPr>
      <w:rFonts w:ascii="Times New Roman" w:hAnsi="Times New Roman"/>
      <w:sz w:val="21"/>
      <w:szCs w:val="21"/>
      <w:shd w:val="clear" w:color="auto" w:fill="FFFFFF"/>
    </w:rPr>
  </w:style>
  <w:style w:type="paragraph" w:customStyle="1" w:styleId="BodyText1">
    <w:name w:val="Body Text1"/>
    <w:basedOn w:val="Normal"/>
    <w:link w:val="Bodytext0"/>
    <w:rsid w:val="00ED3C64"/>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ED3C6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D3C64"/>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ED3C64"/>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ED3C64"/>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D3C64"/>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D3C64"/>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D3C6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D3C64"/>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ED3C64"/>
  </w:style>
  <w:style w:type="paragraph" w:customStyle="1" w:styleId="Section1">
    <w:name w:val="Section 1"/>
    <w:basedOn w:val="Normal"/>
    <w:rsid w:val="00ED3C64"/>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ED3C64"/>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xl64">
    <w:name w:val="xl64"/>
    <w:basedOn w:val="Normal"/>
    <w:rsid w:val="00ED3C64"/>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60">
    <w:name w:val="xl160"/>
    <w:basedOn w:val="Normal"/>
    <w:rsid w:val="00ED3C64"/>
    <w:pPr>
      <w:pBdr>
        <w:top w:val="double" w:sz="6" w:space="0" w:color="auto"/>
        <w:bottom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1">
    <w:name w:val="xl161"/>
    <w:basedOn w:val="Normal"/>
    <w:rsid w:val="00ED3C64"/>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2">
    <w:name w:val="xl162"/>
    <w:basedOn w:val="Normal"/>
    <w:rsid w:val="00ED3C64"/>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3">
    <w:name w:val="xl163"/>
    <w:basedOn w:val="Normal"/>
    <w:rsid w:val="00ED3C64"/>
    <w:pPr>
      <w:pBdr>
        <w:top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164">
    <w:name w:val="xl164"/>
    <w:basedOn w:val="Normal"/>
    <w:rsid w:val="00ED3C64"/>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5">
    <w:name w:val="xl165"/>
    <w:basedOn w:val="Normal"/>
    <w:rsid w:val="00ED3C64"/>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b/>
      <w:bCs/>
      <w:sz w:val="18"/>
      <w:szCs w:val="18"/>
    </w:rPr>
  </w:style>
  <w:style w:type="numbering" w:customStyle="1" w:styleId="NoList7">
    <w:name w:val="No List7"/>
    <w:next w:val="NoList"/>
    <w:uiPriority w:val="99"/>
    <w:semiHidden/>
    <w:unhideWhenUsed/>
    <w:rsid w:val="00ED3C64"/>
  </w:style>
  <w:style w:type="numbering" w:customStyle="1" w:styleId="NoList8">
    <w:name w:val="No List8"/>
    <w:next w:val="NoList"/>
    <w:uiPriority w:val="99"/>
    <w:semiHidden/>
    <w:unhideWhenUsed/>
    <w:rsid w:val="00ED3C64"/>
  </w:style>
  <w:style w:type="numbering" w:customStyle="1" w:styleId="NoList9">
    <w:name w:val="No List9"/>
    <w:next w:val="NoList"/>
    <w:uiPriority w:val="99"/>
    <w:semiHidden/>
    <w:unhideWhenUsed/>
    <w:rsid w:val="00ED3C64"/>
  </w:style>
  <w:style w:type="numbering" w:customStyle="1" w:styleId="NoList10">
    <w:name w:val="No List10"/>
    <w:next w:val="NoList"/>
    <w:uiPriority w:val="99"/>
    <w:semiHidden/>
    <w:unhideWhenUsed/>
    <w:rsid w:val="00ED3C64"/>
  </w:style>
  <w:style w:type="numbering" w:customStyle="1" w:styleId="NoList11">
    <w:name w:val="No List11"/>
    <w:next w:val="NoList"/>
    <w:uiPriority w:val="99"/>
    <w:semiHidden/>
    <w:unhideWhenUsed/>
    <w:rsid w:val="00ED3C64"/>
  </w:style>
  <w:style w:type="numbering" w:customStyle="1" w:styleId="NoList12">
    <w:name w:val="No List12"/>
    <w:next w:val="NoList"/>
    <w:uiPriority w:val="99"/>
    <w:semiHidden/>
    <w:unhideWhenUsed/>
    <w:rsid w:val="00ED3C64"/>
  </w:style>
  <w:style w:type="numbering" w:customStyle="1" w:styleId="NoList21">
    <w:name w:val="No List21"/>
    <w:next w:val="NoList"/>
    <w:uiPriority w:val="99"/>
    <w:semiHidden/>
    <w:unhideWhenUsed/>
    <w:rsid w:val="00ED3C64"/>
  </w:style>
  <w:style w:type="numbering" w:customStyle="1" w:styleId="NoList31">
    <w:name w:val="No List31"/>
    <w:next w:val="NoList"/>
    <w:uiPriority w:val="99"/>
    <w:semiHidden/>
    <w:unhideWhenUsed/>
    <w:rsid w:val="00ED3C64"/>
  </w:style>
  <w:style w:type="numbering" w:customStyle="1" w:styleId="NoList41">
    <w:name w:val="No List41"/>
    <w:next w:val="NoList"/>
    <w:uiPriority w:val="99"/>
    <w:semiHidden/>
    <w:unhideWhenUsed/>
    <w:rsid w:val="00ED3C64"/>
  </w:style>
  <w:style w:type="numbering" w:customStyle="1" w:styleId="NoList51">
    <w:name w:val="No List51"/>
    <w:next w:val="NoList"/>
    <w:uiPriority w:val="99"/>
    <w:semiHidden/>
    <w:unhideWhenUsed/>
    <w:rsid w:val="00ED3C64"/>
  </w:style>
  <w:style w:type="numbering" w:customStyle="1" w:styleId="NoList61">
    <w:name w:val="No List61"/>
    <w:next w:val="NoList"/>
    <w:uiPriority w:val="99"/>
    <w:semiHidden/>
    <w:unhideWhenUsed/>
    <w:rsid w:val="00ED3C64"/>
  </w:style>
  <w:style w:type="numbering" w:customStyle="1" w:styleId="NoList71">
    <w:name w:val="No List71"/>
    <w:next w:val="NoList"/>
    <w:uiPriority w:val="99"/>
    <w:semiHidden/>
    <w:unhideWhenUsed/>
    <w:rsid w:val="00ED3C64"/>
  </w:style>
  <w:style w:type="numbering" w:customStyle="1" w:styleId="NoList81">
    <w:name w:val="No List81"/>
    <w:next w:val="NoList"/>
    <w:uiPriority w:val="99"/>
    <w:semiHidden/>
    <w:unhideWhenUsed/>
    <w:rsid w:val="00ED3C64"/>
  </w:style>
  <w:style w:type="numbering" w:customStyle="1" w:styleId="NoList91">
    <w:name w:val="No List91"/>
    <w:next w:val="NoList"/>
    <w:uiPriority w:val="99"/>
    <w:semiHidden/>
    <w:unhideWhenUsed/>
    <w:rsid w:val="00ED3C64"/>
  </w:style>
  <w:style w:type="numbering" w:customStyle="1" w:styleId="NoList101">
    <w:name w:val="No List101"/>
    <w:next w:val="NoList"/>
    <w:uiPriority w:val="99"/>
    <w:semiHidden/>
    <w:unhideWhenUsed/>
    <w:rsid w:val="00ED3C64"/>
  </w:style>
  <w:style w:type="numbering" w:customStyle="1" w:styleId="NoList13">
    <w:name w:val="No List13"/>
    <w:next w:val="NoList"/>
    <w:uiPriority w:val="99"/>
    <w:semiHidden/>
    <w:unhideWhenUsed/>
    <w:rsid w:val="00ED3C64"/>
  </w:style>
  <w:style w:type="numbering" w:customStyle="1" w:styleId="NoList14">
    <w:name w:val="No List14"/>
    <w:next w:val="NoList"/>
    <w:uiPriority w:val="99"/>
    <w:semiHidden/>
    <w:unhideWhenUsed/>
    <w:rsid w:val="00ED3C64"/>
  </w:style>
  <w:style w:type="numbering" w:customStyle="1" w:styleId="NoList22">
    <w:name w:val="No List22"/>
    <w:next w:val="NoList"/>
    <w:uiPriority w:val="99"/>
    <w:semiHidden/>
    <w:unhideWhenUsed/>
    <w:rsid w:val="00ED3C64"/>
  </w:style>
  <w:style w:type="numbering" w:customStyle="1" w:styleId="NoList32">
    <w:name w:val="No List32"/>
    <w:next w:val="NoList"/>
    <w:uiPriority w:val="99"/>
    <w:semiHidden/>
    <w:unhideWhenUsed/>
    <w:rsid w:val="00ED3C64"/>
  </w:style>
  <w:style w:type="numbering" w:customStyle="1" w:styleId="NoList42">
    <w:name w:val="No List42"/>
    <w:next w:val="NoList"/>
    <w:uiPriority w:val="99"/>
    <w:semiHidden/>
    <w:unhideWhenUsed/>
    <w:rsid w:val="00ED3C64"/>
  </w:style>
  <w:style w:type="numbering" w:customStyle="1" w:styleId="NoList52">
    <w:name w:val="No List52"/>
    <w:next w:val="NoList"/>
    <w:uiPriority w:val="99"/>
    <w:semiHidden/>
    <w:unhideWhenUsed/>
    <w:rsid w:val="00ED3C64"/>
  </w:style>
  <w:style w:type="numbering" w:customStyle="1" w:styleId="NoList62">
    <w:name w:val="No List62"/>
    <w:next w:val="NoList"/>
    <w:uiPriority w:val="99"/>
    <w:semiHidden/>
    <w:unhideWhenUsed/>
    <w:rsid w:val="00ED3C64"/>
  </w:style>
  <w:style w:type="numbering" w:customStyle="1" w:styleId="NoList72">
    <w:name w:val="No List72"/>
    <w:next w:val="NoList"/>
    <w:uiPriority w:val="99"/>
    <w:semiHidden/>
    <w:unhideWhenUsed/>
    <w:rsid w:val="00ED3C64"/>
  </w:style>
  <w:style w:type="numbering" w:customStyle="1" w:styleId="NoList82">
    <w:name w:val="No List82"/>
    <w:next w:val="NoList"/>
    <w:uiPriority w:val="99"/>
    <w:semiHidden/>
    <w:unhideWhenUsed/>
    <w:rsid w:val="00ED3C64"/>
  </w:style>
  <w:style w:type="numbering" w:customStyle="1" w:styleId="NoList92">
    <w:name w:val="No List92"/>
    <w:next w:val="NoList"/>
    <w:uiPriority w:val="99"/>
    <w:semiHidden/>
    <w:unhideWhenUsed/>
    <w:rsid w:val="00ED3C64"/>
  </w:style>
  <w:style w:type="numbering" w:customStyle="1" w:styleId="NoList102">
    <w:name w:val="No List102"/>
    <w:next w:val="NoList"/>
    <w:uiPriority w:val="99"/>
    <w:semiHidden/>
    <w:unhideWhenUsed/>
    <w:rsid w:val="00ED3C64"/>
  </w:style>
  <w:style w:type="numbering" w:customStyle="1" w:styleId="NoList15">
    <w:name w:val="No List15"/>
    <w:next w:val="NoList"/>
    <w:uiPriority w:val="99"/>
    <w:semiHidden/>
    <w:unhideWhenUsed/>
    <w:rsid w:val="00ED3C64"/>
  </w:style>
  <w:style w:type="numbering" w:customStyle="1" w:styleId="NoList16">
    <w:name w:val="No List16"/>
    <w:next w:val="NoList"/>
    <w:uiPriority w:val="99"/>
    <w:semiHidden/>
    <w:unhideWhenUsed/>
    <w:rsid w:val="00ED3C64"/>
  </w:style>
  <w:style w:type="numbering" w:customStyle="1" w:styleId="NoList23">
    <w:name w:val="No List23"/>
    <w:next w:val="NoList"/>
    <w:uiPriority w:val="99"/>
    <w:semiHidden/>
    <w:unhideWhenUsed/>
    <w:rsid w:val="00ED3C64"/>
  </w:style>
  <w:style w:type="numbering" w:customStyle="1" w:styleId="NoList33">
    <w:name w:val="No List33"/>
    <w:next w:val="NoList"/>
    <w:uiPriority w:val="99"/>
    <w:semiHidden/>
    <w:unhideWhenUsed/>
    <w:rsid w:val="00ED3C64"/>
  </w:style>
  <w:style w:type="numbering" w:customStyle="1" w:styleId="NoList43">
    <w:name w:val="No List43"/>
    <w:next w:val="NoList"/>
    <w:uiPriority w:val="99"/>
    <w:semiHidden/>
    <w:unhideWhenUsed/>
    <w:rsid w:val="00ED3C64"/>
  </w:style>
  <w:style w:type="numbering" w:customStyle="1" w:styleId="NoList53">
    <w:name w:val="No List53"/>
    <w:next w:val="NoList"/>
    <w:uiPriority w:val="99"/>
    <w:semiHidden/>
    <w:unhideWhenUsed/>
    <w:rsid w:val="00ED3C64"/>
  </w:style>
  <w:style w:type="numbering" w:customStyle="1" w:styleId="NoList63">
    <w:name w:val="No List63"/>
    <w:next w:val="NoList"/>
    <w:uiPriority w:val="99"/>
    <w:semiHidden/>
    <w:unhideWhenUsed/>
    <w:rsid w:val="00ED3C64"/>
  </w:style>
  <w:style w:type="numbering" w:customStyle="1" w:styleId="NoList73">
    <w:name w:val="No List73"/>
    <w:next w:val="NoList"/>
    <w:uiPriority w:val="99"/>
    <w:semiHidden/>
    <w:unhideWhenUsed/>
    <w:rsid w:val="00ED3C64"/>
  </w:style>
  <w:style w:type="numbering" w:customStyle="1" w:styleId="NoList83">
    <w:name w:val="No List83"/>
    <w:next w:val="NoList"/>
    <w:uiPriority w:val="99"/>
    <w:semiHidden/>
    <w:unhideWhenUsed/>
    <w:rsid w:val="00ED3C64"/>
  </w:style>
  <w:style w:type="numbering" w:customStyle="1" w:styleId="NoList93">
    <w:name w:val="No List93"/>
    <w:next w:val="NoList"/>
    <w:uiPriority w:val="99"/>
    <w:semiHidden/>
    <w:unhideWhenUsed/>
    <w:rsid w:val="00ED3C64"/>
  </w:style>
  <w:style w:type="numbering" w:customStyle="1" w:styleId="NoList103">
    <w:name w:val="No List103"/>
    <w:next w:val="NoList"/>
    <w:uiPriority w:val="99"/>
    <w:semiHidden/>
    <w:unhideWhenUsed/>
    <w:rsid w:val="00ED3C64"/>
  </w:style>
  <w:style w:type="paragraph" w:customStyle="1" w:styleId="Einrckung1">
    <w:name w:val="Einrückung 1"/>
    <w:basedOn w:val="Normal"/>
    <w:rsid w:val="00ED3C64"/>
    <w:pPr>
      <w:spacing w:after="0" w:line="360" w:lineRule="atLeast"/>
      <w:ind w:left="851" w:hanging="851"/>
      <w:jc w:val="left"/>
    </w:pPr>
    <w:rPr>
      <w:rFonts w:ascii="Arial" w:eastAsia="Times New Roman" w:hAnsi="Arial"/>
      <w:sz w:val="24"/>
      <w:szCs w:val="20"/>
      <w:lang w:val="sq-AL" w:eastAsia="de-DE"/>
    </w:rPr>
  </w:style>
  <w:style w:type="paragraph" w:customStyle="1" w:styleId="ALB-Lawparagraph">
    <w:name w:val="ALB-Law paragraph"/>
    <w:rsid w:val="00ED3C64"/>
    <w:pPr>
      <w:tabs>
        <w:tab w:val="left" w:pos="397"/>
      </w:tabs>
      <w:spacing w:after="240" w:line="280" w:lineRule="exact"/>
    </w:pPr>
    <w:rPr>
      <w:rFonts w:ascii="Times New Roman" w:eastAsia="ヒラギノ角ゴ Pro W3" w:hAnsi="Times New Roman" w:cs="Times New Roman"/>
      <w:color w:val="000000"/>
      <w:sz w:val="24"/>
      <w:szCs w:val="20"/>
    </w:rPr>
  </w:style>
  <w:style w:type="paragraph" w:customStyle="1" w:styleId="ALB-Regparagraph">
    <w:name w:val="ALB-Reg paragraph"/>
    <w:basedOn w:val="Normal"/>
    <w:rsid w:val="00ED3C64"/>
    <w:pPr>
      <w:numPr>
        <w:numId w:val="17"/>
      </w:numPr>
      <w:spacing w:before="120" w:after="240" w:line="360" w:lineRule="auto"/>
    </w:pPr>
    <w:rPr>
      <w:rFonts w:ascii="Times New Roman" w:eastAsia="Times New Roman" w:hAnsi="Times New Roman"/>
      <w:noProof/>
      <w:szCs w:val="24"/>
      <w:lang w:val="en-GB"/>
    </w:rPr>
  </w:style>
  <w:style w:type="character" w:customStyle="1" w:styleId="FooterChar1">
    <w:name w:val="Footer Char1"/>
    <w:basedOn w:val="DefaultParagraphFont"/>
    <w:uiPriority w:val="99"/>
    <w:semiHidden/>
    <w:locked/>
    <w:rsid w:val="00ED3C64"/>
    <w:rPr>
      <w:rFonts w:ascii="Cambria" w:eastAsia="Times New Roman" w:hAnsi="Cambria" w:cs="Times New Roman"/>
      <w:sz w:val="24"/>
      <w:szCs w:val="24"/>
      <w:lang w:val="en-GB" w:eastAsia="en-US" w:bidi="ar-SA"/>
    </w:rPr>
  </w:style>
  <w:style w:type="paragraph" w:customStyle="1" w:styleId="CharCharChar">
    <w:name w:val="Char Char Char"/>
    <w:basedOn w:val="Normal"/>
    <w:rsid w:val="00ED3C64"/>
    <w:pPr>
      <w:spacing w:after="160" w:line="240" w:lineRule="exact"/>
      <w:ind w:firstLine="0"/>
      <w:jc w:val="left"/>
    </w:pPr>
    <w:rPr>
      <w:rFonts w:ascii="Tahoma" w:eastAsia="MS Mincho" w:hAnsi="Tahoma" w:cs="Tahoma"/>
      <w:sz w:val="20"/>
      <w:szCs w:val="20"/>
    </w:rPr>
  </w:style>
  <w:style w:type="character" w:customStyle="1" w:styleId="Heading10">
    <w:name w:val="Heading #1_"/>
    <w:basedOn w:val="DefaultParagraphFont"/>
    <w:link w:val="Heading11"/>
    <w:rsid w:val="00ED3C64"/>
    <w:rPr>
      <w:rFonts w:ascii="Bookman Old Style" w:eastAsia="Bookman Old Style" w:hAnsi="Bookman Old Style" w:cs="Bookman Old Style"/>
      <w:sz w:val="37"/>
      <w:szCs w:val="37"/>
      <w:shd w:val="clear" w:color="auto" w:fill="FFFFFF"/>
    </w:rPr>
  </w:style>
  <w:style w:type="character" w:customStyle="1" w:styleId="Heading30">
    <w:name w:val="Heading #3_"/>
    <w:basedOn w:val="DefaultParagraphFont"/>
    <w:link w:val="Heading31"/>
    <w:rsid w:val="00ED3C64"/>
    <w:rPr>
      <w:rFonts w:ascii="Bookman Old Style" w:eastAsia="Bookman Old Style" w:hAnsi="Bookman Old Style" w:cs="Bookman Old Style"/>
      <w:sz w:val="29"/>
      <w:szCs w:val="29"/>
      <w:shd w:val="clear" w:color="auto" w:fill="FFFFFF"/>
    </w:rPr>
  </w:style>
  <w:style w:type="character" w:customStyle="1" w:styleId="Bodytext20">
    <w:name w:val="Body text (2)_"/>
    <w:basedOn w:val="DefaultParagraphFont"/>
    <w:link w:val="Bodytext24"/>
    <w:rsid w:val="00ED3C64"/>
    <w:rPr>
      <w:rFonts w:ascii="Bookman Old Style" w:eastAsia="Bookman Old Style" w:hAnsi="Bookman Old Style" w:cs="Bookman Old Style"/>
      <w:sz w:val="23"/>
      <w:szCs w:val="23"/>
      <w:shd w:val="clear" w:color="auto" w:fill="FFFFFF"/>
    </w:rPr>
  </w:style>
  <w:style w:type="character" w:customStyle="1" w:styleId="BodytextBold">
    <w:name w:val="Body text + Bold"/>
    <w:aliases w:val="Italic,Spacing -1 pt,Table caption + Bold,Body text (5) + 9 pt,Body text (5) + 7 pt"/>
    <w:basedOn w:val="Bodytext0"/>
    <w:rsid w:val="00ED3C64"/>
    <w:rPr>
      <w:rFonts w:ascii="Bookman Old Style" w:eastAsia="Bookman Old Style" w:hAnsi="Bookman Old Style" w:cs="Bookman Old Style"/>
      <w:b/>
      <w:bCs/>
      <w:i/>
      <w:iCs/>
      <w:sz w:val="23"/>
      <w:szCs w:val="23"/>
      <w:shd w:val="clear" w:color="auto" w:fill="FFFFFF"/>
    </w:rPr>
  </w:style>
  <w:style w:type="character" w:customStyle="1" w:styleId="Headerorfooter">
    <w:name w:val="Header or footer_"/>
    <w:basedOn w:val="DefaultParagraphFont"/>
    <w:link w:val="Headerorfooter0"/>
    <w:rsid w:val="00ED3C64"/>
    <w:rPr>
      <w:rFonts w:ascii="Times New Roman" w:eastAsia="Times New Roman" w:hAnsi="Times New Roman" w:cs="Times New Roman"/>
      <w:sz w:val="20"/>
      <w:szCs w:val="20"/>
      <w:shd w:val="clear" w:color="auto" w:fill="FFFFFF"/>
    </w:rPr>
  </w:style>
  <w:style w:type="character" w:customStyle="1" w:styleId="HeaderorfooterBookmanOldStyle">
    <w:name w:val="Header or footer + Bookman Old Style"/>
    <w:aliases w:val="11 pt"/>
    <w:basedOn w:val="Headerorfooter"/>
    <w:rsid w:val="00ED3C64"/>
    <w:rPr>
      <w:rFonts w:ascii="Bookman Old Style" w:eastAsia="Bookman Old Style" w:hAnsi="Bookman Old Style" w:cs="Bookman Old Style"/>
      <w:spacing w:val="0"/>
      <w:sz w:val="22"/>
      <w:szCs w:val="22"/>
      <w:shd w:val="clear" w:color="auto" w:fill="FFFFFF"/>
    </w:rPr>
  </w:style>
  <w:style w:type="character" w:customStyle="1" w:styleId="BodytextItalic">
    <w:name w:val="Body text + Italic"/>
    <w:basedOn w:val="Bodytext0"/>
    <w:rsid w:val="00ED3C64"/>
    <w:rPr>
      <w:rFonts w:ascii="Bookman Old Style" w:eastAsia="Bookman Old Style" w:hAnsi="Bookman Old Style" w:cs="Bookman Old Style"/>
      <w:i/>
      <w:iCs/>
      <w:sz w:val="23"/>
      <w:szCs w:val="23"/>
      <w:shd w:val="clear" w:color="auto" w:fill="FFFFFF"/>
    </w:rPr>
  </w:style>
  <w:style w:type="character" w:customStyle="1" w:styleId="Bodytext30">
    <w:name w:val="Body text (3)_"/>
    <w:basedOn w:val="DefaultParagraphFont"/>
    <w:link w:val="Bodytext31"/>
    <w:rsid w:val="00ED3C64"/>
    <w:rPr>
      <w:rFonts w:ascii="Bookman Old Style" w:eastAsia="Bookman Old Style" w:hAnsi="Bookman Old Style" w:cs="Bookman Old Style"/>
      <w:sz w:val="23"/>
      <w:szCs w:val="23"/>
      <w:shd w:val="clear" w:color="auto" w:fill="FFFFFF"/>
    </w:rPr>
  </w:style>
  <w:style w:type="character" w:customStyle="1" w:styleId="Tablecaption">
    <w:name w:val="Table caption_"/>
    <w:basedOn w:val="DefaultParagraphFont"/>
    <w:link w:val="Tablecaption0"/>
    <w:rsid w:val="00ED3C64"/>
    <w:rPr>
      <w:rFonts w:ascii="Bookman Old Style" w:eastAsia="Bookman Old Style" w:hAnsi="Bookman Old Style" w:cs="Bookman Old Style"/>
      <w:sz w:val="23"/>
      <w:szCs w:val="23"/>
      <w:shd w:val="clear" w:color="auto" w:fill="FFFFFF"/>
    </w:rPr>
  </w:style>
  <w:style w:type="character" w:customStyle="1" w:styleId="Bodytext4">
    <w:name w:val="Body text (4)_"/>
    <w:basedOn w:val="DefaultParagraphFont"/>
    <w:link w:val="Bodytext40"/>
    <w:rsid w:val="00ED3C64"/>
    <w:rPr>
      <w:rFonts w:ascii="Times New Roman" w:eastAsia="Times New Roman" w:hAnsi="Times New Roman" w:cs="Times New Roman"/>
      <w:sz w:val="20"/>
      <w:szCs w:val="20"/>
      <w:shd w:val="clear" w:color="auto" w:fill="FFFFFF"/>
    </w:rPr>
  </w:style>
  <w:style w:type="character" w:customStyle="1" w:styleId="Bodytext6">
    <w:name w:val="Body text (6)_"/>
    <w:basedOn w:val="DefaultParagraphFont"/>
    <w:link w:val="Bodytext60"/>
    <w:rsid w:val="00ED3C64"/>
    <w:rPr>
      <w:rFonts w:ascii="Arial Narrow" w:eastAsia="Arial Narrow" w:hAnsi="Arial Narrow" w:cs="Arial Narrow"/>
      <w:sz w:val="19"/>
      <w:szCs w:val="19"/>
      <w:shd w:val="clear" w:color="auto" w:fill="FFFFFF"/>
    </w:rPr>
  </w:style>
  <w:style w:type="character" w:customStyle="1" w:styleId="Bodytext7">
    <w:name w:val="Body text (7)_"/>
    <w:basedOn w:val="DefaultParagraphFont"/>
    <w:link w:val="Bodytext70"/>
    <w:rsid w:val="00ED3C64"/>
    <w:rPr>
      <w:rFonts w:ascii="Arial Narrow" w:eastAsia="Arial Narrow" w:hAnsi="Arial Narrow" w:cs="Arial Narrow"/>
      <w:sz w:val="14"/>
      <w:szCs w:val="14"/>
      <w:shd w:val="clear" w:color="auto" w:fill="FFFFFF"/>
    </w:rPr>
  </w:style>
  <w:style w:type="character" w:customStyle="1" w:styleId="Heading20">
    <w:name w:val="Heading #2_"/>
    <w:basedOn w:val="DefaultParagraphFont"/>
    <w:link w:val="Heading21"/>
    <w:rsid w:val="00ED3C64"/>
    <w:rPr>
      <w:rFonts w:ascii="Bookman Old Style" w:eastAsia="Bookman Old Style" w:hAnsi="Bookman Old Style" w:cs="Bookman Old Style"/>
      <w:sz w:val="33"/>
      <w:szCs w:val="33"/>
      <w:shd w:val="clear" w:color="auto" w:fill="FFFFFF"/>
    </w:rPr>
  </w:style>
  <w:style w:type="character" w:customStyle="1" w:styleId="Bodytext5">
    <w:name w:val="Body text (5)_"/>
    <w:basedOn w:val="DefaultParagraphFont"/>
    <w:link w:val="Bodytext50"/>
    <w:rsid w:val="00ED3C64"/>
    <w:rPr>
      <w:rFonts w:ascii="Arial Narrow" w:eastAsia="Arial Narrow" w:hAnsi="Arial Narrow" w:cs="Arial Narrow"/>
      <w:sz w:val="19"/>
      <w:szCs w:val="19"/>
      <w:shd w:val="clear" w:color="auto" w:fill="FFFFFF"/>
    </w:rPr>
  </w:style>
  <w:style w:type="character" w:customStyle="1" w:styleId="Bodytext8">
    <w:name w:val="Body text (8)_"/>
    <w:basedOn w:val="DefaultParagraphFont"/>
    <w:link w:val="Bodytext80"/>
    <w:rsid w:val="00ED3C64"/>
    <w:rPr>
      <w:rFonts w:ascii="Arial Narrow" w:eastAsia="Arial Narrow" w:hAnsi="Arial Narrow" w:cs="Arial Narrow"/>
      <w:sz w:val="19"/>
      <w:szCs w:val="19"/>
      <w:shd w:val="clear" w:color="auto" w:fill="FFFFFF"/>
    </w:rPr>
  </w:style>
  <w:style w:type="character" w:customStyle="1" w:styleId="Bodytext8NotItalic">
    <w:name w:val="Body text (8) + Not Italic"/>
    <w:basedOn w:val="Bodytext8"/>
    <w:rsid w:val="00ED3C64"/>
    <w:rPr>
      <w:rFonts w:ascii="Arial Narrow" w:eastAsia="Arial Narrow" w:hAnsi="Arial Narrow" w:cs="Arial Narrow"/>
      <w:i/>
      <w:iCs/>
      <w:spacing w:val="0"/>
      <w:sz w:val="19"/>
      <w:szCs w:val="19"/>
      <w:shd w:val="clear" w:color="auto" w:fill="FFFFFF"/>
    </w:rPr>
  </w:style>
  <w:style w:type="character" w:customStyle="1" w:styleId="Bodytext5Bold">
    <w:name w:val="Body text (5) + Bold"/>
    <w:basedOn w:val="Bodytext5"/>
    <w:rsid w:val="00ED3C64"/>
    <w:rPr>
      <w:rFonts w:ascii="Arial Narrow" w:eastAsia="Arial Narrow" w:hAnsi="Arial Narrow" w:cs="Arial Narrow"/>
      <w:b/>
      <w:bCs/>
      <w:sz w:val="19"/>
      <w:szCs w:val="19"/>
      <w:shd w:val="clear" w:color="auto" w:fill="FFFFFF"/>
    </w:rPr>
  </w:style>
  <w:style w:type="character" w:customStyle="1" w:styleId="Bodytext9">
    <w:name w:val="Body text (9)_"/>
    <w:basedOn w:val="DefaultParagraphFont"/>
    <w:link w:val="Bodytext90"/>
    <w:rsid w:val="00ED3C64"/>
    <w:rPr>
      <w:rFonts w:ascii="Arial Narrow" w:eastAsia="Arial Narrow" w:hAnsi="Arial Narrow" w:cs="Arial Narrow"/>
      <w:sz w:val="18"/>
      <w:szCs w:val="18"/>
      <w:shd w:val="clear" w:color="auto" w:fill="FFFFFF"/>
    </w:rPr>
  </w:style>
  <w:style w:type="character" w:customStyle="1" w:styleId="Bodytext565pt">
    <w:name w:val="Body text (5) + 6.5 pt"/>
    <w:aliases w:val="Small Caps"/>
    <w:basedOn w:val="Bodytext5"/>
    <w:rsid w:val="00ED3C64"/>
    <w:rPr>
      <w:rFonts w:ascii="Arial Narrow" w:eastAsia="Arial Narrow" w:hAnsi="Arial Narrow" w:cs="Arial Narrow"/>
      <w:smallCaps/>
      <w:sz w:val="13"/>
      <w:szCs w:val="13"/>
      <w:shd w:val="clear" w:color="auto" w:fill="FFFFFF"/>
    </w:rPr>
  </w:style>
  <w:style w:type="character" w:customStyle="1" w:styleId="Bodytext10">
    <w:name w:val="Body text (10)_"/>
    <w:basedOn w:val="DefaultParagraphFont"/>
    <w:link w:val="Bodytext100"/>
    <w:rsid w:val="00ED3C64"/>
    <w:rPr>
      <w:rFonts w:ascii="Arial Narrow" w:eastAsia="Arial Narrow" w:hAnsi="Arial Narrow" w:cs="Arial Narrow"/>
      <w:sz w:val="14"/>
      <w:szCs w:val="14"/>
      <w:shd w:val="clear" w:color="auto" w:fill="FFFFFF"/>
    </w:rPr>
  </w:style>
  <w:style w:type="character" w:customStyle="1" w:styleId="Bodytext11">
    <w:name w:val="Body text (11)_"/>
    <w:basedOn w:val="DefaultParagraphFont"/>
    <w:link w:val="Bodytext110"/>
    <w:rsid w:val="00ED3C64"/>
    <w:rPr>
      <w:rFonts w:ascii="Arial Narrow" w:eastAsia="Arial Narrow" w:hAnsi="Arial Narrow" w:cs="Arial Narrow"/>
      <w:sz w:val="12"/>
      <w:szCs w:val="12"/>
      <w:shd w:val="clear" w:color="auto" w:fill="FFFFFF"/>
    </w:rPr>
  </w:style>
  <w:style w:type="paragraph" w:customStyle="1" w:styleId="Heading11">
    <w:name w:val="Heading #1"/>
    <w:basedOn w:val="Normal"/>
    <w:link w:val="Heading10"/>
    <w:rsid w:val="00ED3C64"/>
    <w:pPr>
      <w:shd w:val="clear" w:color="auto" w:fill="FFFFFF"/>
      <w:spacing w:after="120" w:line="0" w:lineRule="atLeast"/>
      <w:ind w:firstLine="0"/>
      <w:jc w:val="center"/>
      <w:outlineLvl w:val="0"/>
    </w:pPr>
    <w:rPr>
      <w:rFonts w:ascii="Bookman Old Style" w:eastAsia="Bookman Old Style" w:hAnsi="Bookman Old Style" w:cs="Bookman Old Style"/>
      <w:sz w:val="37"/>
      <w:szCs w:val="37"/>
    </w:rPr>
  </w:style>
  <w:style w:type="paragraph" w:customStyle="1" w:styleId="Heading31">
    <w:name w:val="Heading #3"/>
    <w:basedOn w:val="Normal"/>
    <w:link w:val="Heading30"/>
    <w:rsid w:val="00ED3C64"/>
    <w:pPr>
      <w:shd w:val="clear" w:color="auto" w:fill="FFFFFF"/>
      <w:spacing w:before="120" w:after="120" w:line="355" w:lineRule="exact"/>
      <w:ind w:firstLine="0"/>
      <w:outlineLvl w:val="2"/>
    </w:pPr>
    <w:rPr>
      <w:rFonts w:ascii="Bookman Old Style" w:eastAsia="Bookman Old Style" w:hAnsi="Bookman Old Style" w:cs="Bookman Old Style"/>
      <w:sz w:val="29"/>
      <w:szCs w:val="29"/>
    </w:rPr>
  </w:style>
  <w:style w:type="paragraph" w:customStyle="1" w:styleId="Bodytext24">
    <w:name w:val="Body text (2)"/>
    <w:basedOn w:val="Normal"/>
    <w:link w:val="Bodytext20"/>
    <w:rsid w:val="00ED3C64"/>
    <w:pPr>
      <w:shd w:val="clear" w:color="auto" w:fill="FFFFFF"/>
      <w:spacing w:before="120" w:after="240" w:line="283" w:lineRule="exact"/>
      <w:ind w:hanging="520"/>
      <w:jc w:val="center"/>
    </w:pPr>
    <w:rPr>
      <w:rFonts w:ascii="Bookman Old Style" w:eastAsia="Bookman Old Style" w:hAnsi="Bookman Old Style" w:cs="Bookman Old Style"/>
      <w:sz w:val="23"/>
      <w:szCs w:val="23"/>
    </w:rPr>
  </w:style>
  <w:style w:type="paragraph" w:customStyle="1" w:styleId="Headerorfooter0">
    <w:name w:val="Header or footer"/>
    <w:basedOn w:val="Normal"/>
    <w:link w:val="Headerorfooter"/>
    <w:rsid w:val="00ED3C64"/>
    <w:pPr>
      <w:shd w:val="clear" w:color="auto" w:fill="FFFFFF"/>
      <w:spacing w:after="0" w:line="240" w:lineRule="auto"/>
      <w:ind w:firstLine="0"/>
      <w:jc w:val="left"/>
    </w:pPr>
    <w:rPr>
      <w:rFonts w:ascii="Times New Roman" w:eastAsia="Times New Roman" w:hAnsi="Times New Roman"/>
      <w:sz w:val="20"/>
      <w:szCs w:val="20"/>
    </w:rPr>
  </w:style>
  <w:style w:type="paragraph" w:customStyle="1" w:styleId="Bodytext31">
    <w:name w:val="Body text (3)"/>
    <w:basedOn w:val="Normal"/>
    <w:link w:val="Bodytext30"/>
    <w:rsid w:val="00ED3C64"/>
    <w:pPr>
      <w:shd w:val="clear" w:color="auto" w:fill="FFFFFF"/>
      <w:spacing w:after="0" w:line="0" w:lineRule="atLeast"/>
      <w:ind w:firstLine="0"/>
      <w:jc w:val="left"/>
    </w:pPr>
    <w:rPr>
      <w:rFonts w:ascii="Bookman Old Style" w:eastAsia="Bookman Old Style" w:hAnsi="Bookman Old Style" w:cs="Bookman Old Style"/>
      <w:sz w:val="23"/>
      <w:szCs w:val="23"/>
    </w:rPr>
  </w:style>
  <w:style w:type="paragraph" w:customStyle="1" w:styleId="Tablecaption0">
    <w:name w:val="Table caption"/>
    <w:basedOn w:val="Normal"/>
    <w:link w:val="Tablecaption"/>
    <w:rsid w:val="00ED3C64"/>
    <w:pPr>
      <w:shd w:val="clear" w:color="auto" w:fill="FFFFFF"/>
      <w:spacing w:after="0" w:line="278" w:lineRule="exact"/>
      <w:ind w:firstLine="0"/>
    </w:pPr>
    <w:rPr>
      <w:rFonts w:ascii="Bookman Old Style" w:eastAsia="Bookman Old Style" w:hAnsi="Bookman Old Style" w:cs="Bookman Old Style"/>
      <w:sz w:val="23"/>
      <w:szCs w:val="23"/>
    </w:rPr>
  </w:style>
  <w:style w:type="paragraph" w:customStyle="1" w:styleId="Bodytext40">
    <w:name w:val="Body text (4)"/>
    <w:basedOn w:val="Normal"/>
    <w:link w:val="Bodytext4"/>
    <w:rsid w:val="00ED3C64"/>
    <w:pPr>
      <w:shd w:val="clear" w:color="auto" w:fill="FFFFFF"/>
      <w:spacing w:after="0" w:line="0" w:lineRule="atLeast"/>
      <w:ind w:firstLine="0"/>
      <w:jc w:val="left"/>
    </w:pPr>
    <w:rPr>
      <w:rFonts w:ascii="Times New Roman" w:eastAsia="Times New Roman" w:hAnsi="Times New Roman"/>
      <w:sz w:val="20"/>
      <w:szCs w:val="20"/>
    </w:rPr>
  </w:style>
  <w:style w:type="paragraph" w:customStyle="1" w:styleId="Bodytext60">
    <w:name w:val="Body text (6)"/>
    <w:basedOn w:val="Normal"/>
    <w:link w:val="Bodytext6"/>
    <w:rsid w:val="00ED3C64"/>
    <w:pPr>
      <w:shd w:val="clear" w:color="auto" w:fill="FFFFFF"/>
      <w:spacing w:after="60" w:line="0" w:lineRule="atLeast"/>
      <w:ind w:firstLine="0"/>
      <w:jc w:val="left"/>
    </w:pPr>
    <w:rPr>
      <w:rFonts w:ascii="Arial Narrow" w:eastAsia="Arial Narrow" w:hAnsi="Arial Narrow" w:cs="Arial Narrow"/>
      <w:sz w:val="19"/>
      <w:szCs w:val="19"/>
    </w:rPr>
  </w:style>
  <w:style w:type="paragraph" w:customStyle="1" w:styleId="Bodytext70">
    <w:name w:val="Body text (7)"/>
    <w:basedOn w:val="Normal"/>
    <w:link w:val="Bodytext7"/>
    <w:rsid w:val="00ED3C64"/>
    <w:pPr>
      <w:shd w:val="clear" w:color="auto" w:fill="FFFFFF"/>
      <w:spacing w:before="60" w:after="0" w:line="0" w:lineRule="atLeast"/>
      <w:ind w:firstLine="0"/>
      <w:jc w:val="left"/>
    </w:pPr>
    <w:rPr>
      <w:rFonts w:ascii="Arial Narrow" w:eastAsia="Arial Narrow" w:hAnsi="Arial Narrow" w:cs="Arial Narrow"/>
      <w:sz w:val="14"/>
      <w:szCs w:val="14"/>
    </w:rPr>
  </w:style>
  <w:style w:type="paragraph" w:customStyle="1" w:styleId="Heading21">
    <w:name w:val="Heading #2"/>
    <w:basedOn w:val="Normal"/>
    <w:link w:val="Heading20"/>
    <w:rsid w:val="00ED3C64"/>
    <w:pPr>
      <w:shd w:val="clear" w:color="auto" w:fill="FFFFFF"/>
      <w:spacing w:after="720" w:line="0" w:lineRule="atLeast"/>
      <w:ind w:firstLine="0"/>
      <w:jc w:val="left"/>
      <w:outlineLvl w:val="1"/>
    </w:pPr>
    <w:rPr>
      <w:rFonts w:ascii="Bookman Old Style" w:eastAsia="Bookman Old Style" w:hAnsi="Bookman Old Style" w:cs="Bookman Old Style"/>
      <w:sz w:val="33"/>
      <w:szCs w:val="33"/>
    </w:rPr>
  </w:style>
  <w:style w:type="paragraph" w:customStyle="1" w:styleId="Bodytext50">
    <w:name w:val="Body text (5)"/>
    <w:basedOn w:val="Normal"/>
    <w:link w:val="Bodytext5"/>
    <w:rsid w:val="00ED3C64"/>
    <w:pPr>
      <w:shd w:val="clear" w:color="auto" w:fill="FFFFFF"/>
      <w:spacing w:before="720" w:after="60" w:line="274" w:lineRule="exact"/>
      <w:ind w:hanging="360"/>
    </w:pPr>
    <w:rPr>
      <w:rFonts w:ascii="Arial Narrow" w:eastAsia="Arial Narrow" w:hAnsi="Arial Narrow" w:cs="Arial Narrow"/>
      <w:sz w:val="19"/>
      <w:szCs w:val="19"/>
    </w:rPr>
  </w:style>
  <w:style w:type="paragraph" w:customStyle="1" w:styleId="Bodytext80">
    <w:name w:val="Body text (8)"/>
    <w:basedOn w:val="Normal"/>
    <w:link w:val="Bodytext8"/>
    <w:rsid w:val="00ED3C64"/>
    <w:pPr>
      <w:shd w:val="clear" w:color="auto" w:fill="FFFFFF"/>
      <w:spacing w:after="0" w:line="0" w:lineRule="atLeast"/>
      <w:ind w:firstLine="0"/>
      <w:jc w:val="left"/>
    </w:pPr>
    <w:rPr>
      <w:rFonts w:ascii="Arial Narrow" w:eastAsia="Arial Narrow" w:hAnsi="Arial Narrow" w:cs="Arial Narrow"/>
      <w:sz w:val="19"/>
      <w:szCs w:val="19"/>
    </w:rPr>
  </w:style>
  <w:style w:type="paragraph" w:customStyle="1" w:styleId="Bodytext90">
    <w:name w:val="Body text (9)"/>
    <w:basedOn w:val="Normal"/>
    <w:link w:val="Bodytext9"/>
    <w:rsid w:val="00ED3C64"/>
    <w:pPr>
      <w:shd w:val="clear" w:color="auto" w:fill="FFFFFF"/>
      <w:spacing w:before="60" w:after="240" w:line="0" w:lineRule="atLeast"/>
      <w:ind w:firstLine="0"/>
      <w:jc w:val="left"/>
    </w:pPr>
    <w:rPr>
      <w:rFonts w:ascii="Arial Narrow" w:eastAsia="Arial Narrow" w:hAnsi="Arial Narrow" w:cs="Arial Narrow"/>
      <w:sz w:val="18"/>
      <w:szCs w:val="18"/>
    </w:rPr>
  </w:style>
  <w:style w:type="paragraph" w:customStyle="1" w:styleId="Bodytext100">
    <w:name w:val="Body text (10)"/>
    <w:basedOn w:val="Normal"/>
    <w:link w:val="Bodytext10"/>
    <w:rsid w:val="00ED3C64"/>
    <w:pPr>
      <w:shd w:val="clear" w:color="auto" w:fill="FFFFFF"/>
      <w:spacing w:before="60" w:after="780" w:line="0" w:lineRule="atLeast"/>
      <w:ind w:firstLine="0"/>
      <w:jc w:val="left"/>
    </w:pPr>
    <w:rPr>
      <w:rFonts w:ascii="Arial Narrow" w:eastAsia="Arial Narrow" w:hAnsi="Arial Narrow" w:cs="Arial Narrow"/>
      <w:sz w:val="14"/>
      <w:szCs w:val="14"/>
    </w:rPr>
  </w:style>
  <w:style w:type="paragraph" w:customStyle="1" w:styleId="Bodytext110">
    <w:name w:val="Body text (11)"/>
    <w:basedOn w:val="Normal"/>
    <w:link w:val="Bodytext11"/>
    <w:rsid w:val="00ED3C64"/>
    <w:pPr>
      <w:shd w:val="clear" w:color="auto" w:fill="FFFFFF"/>
      <w:spacing w:before="60" w:after="0" w:line="0" w:lineRule="atLeast"/>
      <w:ind w:firstLine="0"/>
      <w:jc w:val="left"/>
    </w:pPr>
    <w:rPr>
      <w:rFonts w:ascii="Arial Narrow" w:eastAsia="Arial Narrow" w:hAnsi="Arial Narrow" w:cs="Arial Narrow"/>
      <w:sz w:val="12"/>
      <w:szCs w:val="12"/>
    </w:rPr>
  </w:style>
  <w:style w:type="character" w:customStyle="1" w:styleId="MessageHeaderLabel">
    <w:name w:val="Message Header Label"/>
    <w:rsid w:val="00ED3C64"/>
    <w:rPr>
      <w:b/>
      <w:sz w:val="18"/>
    </w:rPr>
  </w:style>
  <w:style w:type="character" w:styleId="IntenseEmphasis">
    <w:name w:val="Intense Emphasis"/>
    <w:basedOn w:val="DefaultParagraphFont"/>
    <w:uiPriority w:val="21"/>
    <w:qFormat/>
    <w:rsid w:val="00ED3C64"/>
    <w:rPr>
      <w:b/>
      <w:bCs/>
      <w:i/>
      <w:iCs/>
      <w:color w:val="4F81B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192.168.1.146/members/natstd_info.php?national_standard_id=198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192.168.1.146/members/natstd_info.php?national_standard_id=19830"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14864</Words>
  <Characters>84725</Characters>
  <Application>Microsoft Office Word</Application>
  <DocSecurity>0</DocSecurity>
  <Lines>706</Lines>
  <Paragraphs>198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99391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2019-01-29T14:36:00Z</cp:lastPrinted>
  <dcterms:created xsi:type="dcterms:W3CDTF">2015-05-28T13:12:00Z</dcterms:created>
  <dcterms:modified xsi:type="dcterms:W3CDTF">2019-01-29T14:36:00Z</dcterms:modified>
</cp:coreProperties>
</file>