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93C" w:rsidRPr="00F10913" w:rsidRDefault="00F1693C" w:rsidP="00F1693C">
      <w:pPr>
        <w:pStyle w:val="NeniTitull"/>
        <w:rPr>
          <w:lang w:val="sq-AL"/>
        </w:rPr>
      </w:pPr>
      <w:r w:rsidRPr="00F10913">
        <w:rPr>
          <w:lang w:val="sq-AL"/>
        </w:rPr>
        <w:t>VENDIM</w:t>
      </w:r>
    </w:p>
    <w:p w:rsidR="00F1693C" w:rsidRPr="00F10913" w:rsidRDefault="00F1693C" w:rsidP="00F1693C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Pr="00F10913">
        <w:rPr>
          <w:lang w:val="sq-AL"/>
        </w:rPr>
        <w:t>387, datë 6.5.2015</w:t>
      </w:r>
    </w:p>
    <w:p w:rsidR="00F1693C" w:rsidRPr="00F10913" w:rsidRDefault="00F1693C" w:rsidP="00F1693C">
      <w:pPr>
        <w:pStyle w:val="Hapesira7"/>
        <w:rPr>
          <w:lang w:val="sq-AL"/>
        </w:rPr>
      </w:pPr>
    </w:p>
    <w:p w:rsidR="00F1693C" w:rsidRPr="00F10913" w:rsidRDefault="00F1693C" w:rsidP="00F1693C">
      <w:pPr>
        <w:pStyle w:val="NeniTitull"/>
        <w:rPr>
          <w:vertAlign w:val="superscript"/>
          <w:lang w:val="sq-AL"/>
        </w:rPr>
      </w:pPr>
      <w:r w:rsidRPr="00F10913">
        <w:rPr>
          <w:lang w:val="sq-AL"/>
        </w:rPr>
        <w:t xml:space="preserve">PËR MIRATIMIN E RREGULLAVE PËR KONTROLLIN E ASGJËSIMIT TË PCB-ve, </w:t>
      </w:r>
      <w:r w:rsidRPr="008B47F8">
        <w:rPr>
          <w:lang w:val="sq-AL"/>
        </w:rPr>
        <w:t>ÇNDOTJEN</w:t>
      </w:r>
      <w:r w:rsidRPr="00F10913">
        <w:rPr>
          <w:lang w:val="sq-AL"/>
        </w:rPr>
        <w:t xml:space="preserve"> APO ASGJËSIMIN E PAJISJEVE QË PËRMBAJNË PCB DHE/OSE ASGJËSIMIN E MBETJEVE TË PCB-ve TË PËRDORURA</w:t>
      </w:r>
      <w:r w:rsidRPr="00F10913">
        <w:rPr>
          <w:vertAlign w:val="superscript"/>
          <w:lang w:val="sq-AL"/>
        </w:rPr>
        <w:footnoteReference w:id="1"/>
      </w:r>
    </w:p>
    <w:p w:rsidR="00F1693C" w:rsidRPr="00F10913" w:rsidRDefault="00F1693C" w:rsidP="00F1693C">
      <w:pPr>
        <w:pStyle w:val="Hapesira7"/>
        <w:rPr>
          <w:lang w:val="sq-AL"/>
        </w:rPr>
      </w:pP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 xml:space="preserve">Në mbështetje të nenit 100 të Kushtetutës dhe të pikës 2, të nenit 30, të ligjit </w:t>
      </w:r>
      <w:r>
        <w:rPr>
          <w:lang w:val="sq-AL"/>
        </w:rPr>
        <w:t xml:space="preserve">nr. </w:t>
      </w:r>
      <w:r w:rsidRPr="00F10913">
        <w:rPr>
          <w:lang w:val="sq-AL"/>
        </w:rPr>
        <w:t xml:space="preserve">10463, datë 22.9.2011, </w:t>
      </w:r>
      <w:r>
        <w:rPr>
          <w:lang w:val="sq-AL"/>
        </w:rPr>
        <w:t>“</w:t>
      </w:r>
      <w:r w:rsidRPr="00F10913">
        <w:rPr>
          <w:lang w:val="sq-AL"/>
        </w:rPr>
        <w:t>Për menaxhimin e integruar të mbetjeve</w:t>
      </w:r>
      <w:r>
        <w:rPr>
          <w:lang w:val="sq-AL"/>
        </w:rPr>
        <w:t>”</w:t>
      </w:r>
      <w:r w:rsidRPr="00F10913">
        <w:rPr>
          <w:lang w:val="sq-AL"/>
        </w:rPr>
        <w:t>, të ndryshuar, me propozimin e ministrit të Mjedisit, Këshilli i Ministrave</w:t>
      </w:r>
    </w:p>
    <w:p w:rsidR="00F1693C" w:rsidRPr="00F10913" w:rsidRDefault="00F1693C" w:rsidP="00F1693C">
      <w:pPr>
        <w:pStyle w:val="Hapesira7"/>
        <w:rPr>
          <w:lang w:val="sq-AL"/>
        </w:rPr>
      </w:pPr>
    </w:p>
    <w:p w:rsidR="00F1693C" w:rsidRPr="00F10913" w:rsidRDefault="00F1693C" w:rsidP="00F1693C">
      <w:pPr>
        <w:pStyle w:val="NeniNr"/>
        <w:rPr>
          <w:lang w:val="sq-AL"/>
        </w:rPr>
      </w:pPr>
      <w:r w:rsidRPr="00F10913">
        <w:rPr>
          <w:lang w:val="sq-AL"/>
        </w:rPr>
        <w:t>VENDOSI:</w:t>
      </w:r>
    </w:p>
    <w:p w:rsidR="00F1693C" w:rsidRPr="00F10913" w:rsidRDefault="00F1693C" w:rsidP="00F1693C">
      <w:pPr>
        <w:pStyle w:val="Hapesira7"/>
        <w:rPr>
          <w:lang w:val="sq-AL"/>
        </w:rPr>
      </w:pPr>
    </w:p>
    <w:p w:rsidR="00F1693C" w:rsidRPr="00F10913" w:rsidRDefault="00F1693C" w:rsidP="00F1693C">
      <w:pPr>
        <w:pStyle w:val="NeniNr"/>
        <w:rPr>
          <w:lang w:val="sq-AL"/>
        </w:rPr>
      </w:pPr>
      <w:r w:rsidRPr="00F10913">
        <w:rPr>
          <w:lang w:val="sq-AL"/>
        </w:rPr>
        <w:t>KREU I</w:t>
      </w:r>
    </w:p>
    <w:p w:rsidR="00F1693C" w:rsidRPr="00F10913" w:rsidRDefault="00F1693C" w:rsidP="00F1693C">
      <w:pPr>
        <w:pStyle w:val="NeniNr"/>
        <w:rPr>
          <w:lang w:val="sq-AL"/>
        </w:rPr>
      </w:pPr>
      <w:r w:rsidRPr="00F10913">
        <w:rPr>
          <w:lang w:val="sq-AL"/>
        </w:rPr>
        <w:t>DISPOZITA TË PËRGJITHSHME</w:t>
      </w:r>
    </w:p>
    <w:p w:rsidR="00F1693C" w:rsidRPr="00F10913" w:rsidRDefault="00F1693C" w:rsidP="00F1693C">
      <w:pPr>
        <w:pStyle w:val="Hapesira7"/>
        <w:rPr>
          <w:lang w:val="sq-AL"/>
        </w:rPr>
      </w:pP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 xml:space="preserve">1. Ky vendim ka për qëllim të rregullojë asgjësimin e kontrolluar të PCB-ve, çndotjen ose asgjësimin e pajisjeve që përmbajnë PCB dhe/ose asgjësimin e PCB-ve të përdorura, në mënyrë që ato të eliminohen plotësisht. 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2. Për qëllime të këtij vendimi</w:t>
      </w:r>
      <w:r>
        <w:rPr>
          <w:lang w:val="sq-AL"/>
        </w:rPr>
        <w:t>, të gjithë termat e përcaktuar</w:t>
      </w:r>
      <w:r w:rsidRPr="00F10913">
        <w:rPr>
          <w:lang w:val="sq-AL"/>
        </w:rPr>
        <w:t xml:space="preserve"> në nenin 3, të ligjit </w:t>
      </w:r>
      <w:r>
        <w:rPr>
          <w:lang w:val="sq-AL"/>
        </w:rPr>
        <w:t xml:space="preserve">nr. </w:t>
      </w:r>
      <w:r w:rsidRPr="00F10913">
        <w:rPr>
          <w:lang w:val="sq-AL"/>
        </w:rPr>
        <w:t>10463, datë 22.9.2011,</w:t>
      </w:r>
      <w:r>
        <w:rPr>
          <w:lang w:val="sq-AL"/>
        </w:rPr>
        <w:t xml:space="preserve"> “</w:t>
      </w:r>
      <w:r w:rsidRPr="00F10913">
        <w:rPr>
          <w:lang w:val="sq-AL"/>
        </w:rPr>
        <w:t>Për menaxhimin e integruar të mbetjeve</w:t>
      </w:r>
      <w:r>
        <w:rPr>
          <w:lang w:val="sq-AL"/>
        </w:rPr>
        <w:t>”</w:t>
      </w:r>
      <w:r w:rsidRPr="00F10913">
        <w:rPr>
          <w:lang w:val="sq-AL"/>
        </w:rPr>
        <w:t xml:space="preserve">, të ndryshuar, kanë të njëjtin kuptim, ndërsa termat e </w:t>
      </w:r>
      <w:r>
        <w:rPr>
          <w:lang w:val="sq-AL"/>
        </w:rPr>
        <w:t>mposhtëm</w:t>
      </w:r>
      <w:r w:rsidRPr="00F10913">
        <w:rPr>
          <w:lang w:val="sq-AL"/>
        </w:rPr>
        <w:t xml:space="preserve"> nënkuptojnë:</w:t>
      </w:r>
    </w:p>
    <w:p w:rsidR="00F1693C" w:rsidRPr="00F10913" w:rsidRDefault="00F1693C" w:rsidP="00F1693C">
      <w:pPr>
        <w:pStyle w:val="Paragrafi"/>
        <w:rPr>
          <w:lang w:val="sq-AL"/>
        </w:rPr>
      </w:pPr>
      <w:r>
        <w:rPr>
          <w:lang w:val="sq-AL"/>
        </w:rPr>
        <w:t>“</w:t>
      </w:r>
      <w:r w:rsidRPr="00F10913">
        <w:rPr>
          <w:lang w:val="sq-AL"/>
        </w:rPr>
        <w:t>Asgjësim i PCB-ve</w:t>
      </w:r>
      <w:r>
        <w:rPr>
          <w:lang w:val="sq-AL"/>
        </w:rPr>
        <w:t>”</w:t>
      </w:r>
      <w:r w:rsidRPr="00F10913">
        <w:rPr>
          <w:lang w:val="sq-AL"/>
        </w:rPr>
        <w:t>,</w:t>
      </w:r>
      <w:r>
        <w:rPr>
          <w:lang w:val="sq-AL"/>
        </w:rPr>
        <w:t xml:space="preserve"> </w:t>
      </w:r>
      <w:r w:rsidRPr="00F10913">
        <w:rPr>
          <w:lang w:val="sq-AL"/>
        </w:rPr>
        <w:t>një prej operacioneve D 8, D 9, D 10,</w:t>
      </w:r>
      <w:r>
        <w:rPr>
          <w:lang w:val="sq-AL"/>
        </w:rPr>
        <w:t xml:space="preserve"> </w:t>
      </w:r>
      <w:r w:rsidRPr="00F10913">
        <w:rPr>
          <w:lang w:val="sq-AL"/>
        </w:rPr>
        <w:t>D 12 e D 15, të asgjësimit,</w:t>
      </w:r>
      <w:r>
        <w:rPr>
          <w:lang w:val="sq-AL"/>
        </w:rPr>
        <w:t xml:space="preserve"> </w:t>
      </w:r>
      <w:r w:rsidRPr="00F10913">
        <w:rPr>
          <w:lang w:val="sq-AL"/>
        </w:rPr>
        <w:t xml:space="preserve">të cilit </w:t>
      </w:r>
      <w:r>
        <w:rPr>
          <w:lang w:val="sq-AL"/>
        </w:rPr>
        <w:t>u</w:t>
      </w:r>
      <w:r w:rsidRPr="00F10913">
        <w:rPr>
          <w:lang w:val="sq-AL"/>
        </w:rPr>
        <w:t xml:space="preserve"> nënshtrohen pajisjet, objektet, materialet dhe lëngjet që përmbajnë PCB dhe PCB të përdorura, që nuk mund të çndoten</w:t>
      </w:r>
      <w:r>
        <w:rPr>
          <w:lang w:val="sq-AL"/>
        </w:rPr>
        <w:t xml:space="preserve"> </w:t>
      </w:r>
      <w:r w:rsidRPr="00F10913">
        <w:rPr>
          <w:lang w:val="sq-AL"/>
        </w:rPr>
        <w:t>(vetëm në m</w:t>
      </w:r>
      <w:r>
        <w:rPr>
          <w:lang w:val="sq-AL"/>
        </w:rPr>
        <w:t>agazinimin nëntokësor të sigurt</w:t>
      </w:r>
      <w:r w:rsidRPr="00F10913">
        <w:rPr>
          <w:lang w:val="sq-AL"/>
        </w:rPr>
        <w:t xml:space="preserve"> dhe të thellë, në formacione shkëmbore të thata).</w:t>
      </w:r>
    </w:p>
    <w:p w:rsidR="00F1693C" w:rsidRPr="00F10913" w:rsidRDefault="00F1693C" w:rsidP="00F1693C">
      <w:pPr>
        <w:pStyle w:val="Paragrafi"/>
        <w:rPr>
          <w:lang w:val="sq-AL"/>
        </w:rPr>
      </w:pPr>
      <w:r>
        <w:rPr>
          <w:lang w:val="sq-AL"/>
        </w:rPr>
        <w:t>“</w:t>
      </w:r>
      <w:r w:rsidRPr="00F10913">
        <w:rPr>
          <w:lang w:val="sq-AL"/>
        </w:rPr>
        <w:t>Çndotje/rikthim në gjendjen para ndotjes</w:t>
      </w:r>
      <w:r>
        <w:rPr>
          <w:lang w:val="sq-AL"/>
        </w:rPr>
        <w:t>”</w:t>
      </w:r>
      <w:r w:rsidRPr="00F10913">
        <w:rPr>
          <w:lang w:val="sq-AL"/>
        </w:rPr>
        <w:t>, çdo veprim, përfshirë zëvendësimin me lëngje të përshtatshme, që nuk përmbajnë PCB, i cili mundëson, më pas, ripërdorimin ose riciklimin e pajisjeve.</w:t>
      </w:r>
    </w:p>
    <w:p w:rsidR="00F1693C" w:rsidRPr="00F10913" w:rsidRDefault="00F1693C" w:rsidP="00F1693C">
      <w:pPr>
        <w:pStyle w:val="Paragrafi"/>
        <w:rPr>
          <w:lang w:val="sq-AL"/>
        </w:rPr>
      </w:pPr>
      <w:r>
        <w:rPr>
          <w:lang w:val="sq-AL"/>
        </w:rPr>
        <w:t>“</w:t>
      </w:r>
      <w:r w:rsidRPr="00F10913">
        <w:rPr>
          <w:lang w:val="sq-AL"/>
        </w:rPr>
        <w:t>Pajisje që përmbajnë PCB</w:t>
      </w:r>
      <w:r>
        <w:rPr>
          <w:lang w:val="sq-AL"/>
        </w:rPr>
        <w:t>”</w:t>
      </w:r>
      <w:r w:rsidRPr="00F10913">
        <w:rPr>
          <w:lang w:val="sq-AL"/>
        </w:rPr>
        <w:t>, çdo pajisje që përmban PCB ose që ka</w:t>
      </w:r>
      <w:r>
        <w:rPr>
          <w:lang w:val="sq-AL"/>
        </w:rPr>
        <w:t xml:space="preserve"> </w:t>
      </w:r>
      <w:r w:rsidRPr="00F10913">
        <w:rPr>
          <w:lang w:val="sq-AL"/>
        </w:rPr>
        <w:t>pa</w:t>
      </w:r>
      <w:r>
        <w:rPr>
          <w:lang w:val="sq-AL"/>
        </w:rPr>
        <w:t>s</w:t>
      </w:r>
      <w:r w:rsidRPr="00F10913">
        <w:rPr>
          <w:lang w:val="sq-AL"/>
        </w:rPr>
        <w:t>ur përmbajtje të PCB-ve (p.sh.</w:t>
      </w:r>
      <w:r>
        <w:rPr>
          <w:lang w:val="sq-AL"/>
        </w:rPr>
        <w:t xml:space="preserve">: </w:t>
      </w:r>
      <w:r w:rsidRPr="00F10913">
        <w:rPr>
          <w:lang w:val="sq-AL"/>
        </w:rPr>
        <w:t>transformator, kondensator, kontejner të mbeturinave stoqe, të cil</w:t>
      </w:r>
      <w:r>
        <w:rPr>
          <w:lang w:val="sq-AL"/>
        </w:rPr>
        <w:t>ë</w:t>
      </w:r>
      <w:r w:rsidRPr="00F10913">
        <w:rPr>
          <w:lang w:val="sq-AL"/>
        </w:rPr>
        <w:t>t nuk janë çndotur).</w:t>
      </w:r>
    </w:p>
    <w:p w:rsidR="00F1693C" w:rsidRPr="00F10913" w:rsidRDefault="00F1693C" w:rsidP="00F1693C">
      <w:pPr>
        <w:pStyle w:val="Paragrafi"/>
        <w:rPr>
          <w:lang w:val="sq-AL"/>
        </w:rPr>
      </w:pPr>
      <w:r>
        <w:rPr>
          <w:lang w:val="sq-AL"/>
        </w:rPr>
        <w:t>“</w:t>
      </w:r>
      <w:r w:rsidRPr="00F10913">
        <w:rPr>
          <w:lang w:val="sq-AL"/>
        </w:rPr>
        <w:t>Zotërues</w:t>
      </w:r>
      <w:r>
        <w:rPr>
          <w:lang w:val="sq-AL"/>
        </w:rPr>
        <w:t>”</w:t>
      </w:r>
      <w:r w:rsidRPr="00F10913">
        <w:rPr>
          <w:lang w:val="sq-AL"/>
        </w:rPr>
        <w:t>,</w:t>
      </w:r>
      <w:r>
        <w:rPr>
          <w:lang w:val="sq-AL"/>
        </w:rPr>
        <w:t xml:space="preserve"> </w:t>
      </w:r>
      <w:r w:rsidRPr="00F10913">
        <w:rPr>
          <w:lang w:val="sq-AL"/>
        </w:rPr>
        <w:t>personi fizik/juridik, publik ose privat, që zotëron pajisjet, objektet, materialet dhe lëngjet që përmbajnë PCB dhe/ose PCB të përdorura brenda territorit të Republikës së Shqipërisë.</w:t>
      </w:r>
    </w:p>
    <w:p w:rsidR="00F1693C" w:rsidRPr="00F10913" w:rsidRDefault="00F1693C" w:rsidP="00F1693C">
      <w:pPr>
        <w:pStyle w:val="Hapesira7"/>
        <w:rPr>
          <w:lang w:val="sq-AL"/>
        </w:rPr>
      </w:pPr>
    </w:p>
    <w:p w:rsidR="00F1693C" w:rsidRPr="00F10913" w:rsidRDefault="00F1693C" w:rsidP="00F1693C">
      <w:pPr>
        <w:pStyle w:val="NeniNr"/>
        <w:rPr>
          <w:lang w:val="sq-AL"/>
        </w:rPr>
      </w:pPr>
      <w:r w:rsidRPr="00F10913">
        <w:rPr>
          <w:lang w:val="sq-AL"/>
        </w:rPr>
        <w:t xml:space="preserve">KREU II </w:t>
      </w:r>
    </w:p>
    <w:p w:rsidR="00F1693C" w:rsidRPr="00F10913" w:rsidRDefault="00F1693C" w:rsidP="00F1693C">
      <w:pPr>
        <w:pStyle w:val="NeniNr"/>
        <w:rPr>
          <w:lang w:val="sq-AL"/>
        </w:rPr>
      </w:pPr>
      <w:r w:rsidRPr="00F10913">
        <w:rPr>
          <w:lang w:val="sq-AL"/>
        </w:rPr>
        <w:t>DETYRAT E ZOTËRUESVE TË PAJISJEVE, OBJEKTEVE, MATERIALEVE DHE LËNGJEVE QË PËRMBAJNË PCB DHE PCB TË PËRDORURA</w:t>
      </w:r>
    </w:p>
    <w:p w:rsidR="00F1693C" w:rsidRPr="00F10913" w:rsidRDefault="00F1693C" w:rsidP="00F1693C">
      <w:pPr>
        <w:pStyle w:val="Hapesira7"/>
        <w:rPr>
          <w:lang w:val="sq-AL"/>
        </w:rPr>
      </w:pP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1. Pajisjet, objektet, materialet dhe lëngjet që përmbajnë PCB dhe PCB të përdorura, që gjenden në territorin e Republikës së Shqipërisë, duhet të eliminohen brenda vitit 2018.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2. Për përmbushjen e afatit të përcaktuar në pikën 1, më lart, zotëruesit e pajisjeve, objekteve, materialeve dhe lëngjeve që përmbajnë PCB</w:t>
      </w:r>
      <w:r>
        <w:rPr>
          <w:lang w:val="sq-AL"/>
        </w:rPr>
        <w:t>,</w:t>
      </w:r>
      <w:r w:rsidRPr="00F10913">
        <w:rPr>
          <w:lang w:val="sq-AL"/>
        </w:rPr>
        <w:t xml:space="preserve"> duhet të</w:t>
      </w:r>
      <w:r>
        <w:rPr>
          <w:lang w:val="sq-AL"/>
        </w:rPr>
        <w:t xml:space="preserve"> </w:t>
      </w:r>
      <w:r w:rsidRPr="00F10913">
        <w:rPr>
          <w:lang w:val="sq-AL"/>
        </w:rPr>
        <w:t>marrin masa: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 xml:space="preserve">a) të çndotin këto pajisje nga PCB-të, në mënyrë që të mund të ripërdoren apo riciklohen; 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 xml:space="preserve">b) të asgjësojnë, me një prej operacioneve të asgjësimit, të përcaktuara në shkronjën </w:t>
      </w:r>
      <w:r>
        <w:rPr>
          <w:lang w:val="sq-AL"/>
        </w:rPr>
        <w:t>“</w:t>
      </w:r>
      <w:r w:rsidRPr="00F10913">
        <w:rPr>
          <w:lang w:val="sq-AL"/>
        </w:rPr>
        <w:t>c</w:t>
      </w:r>
      <w:r>
        <w:rPr>
          <w:lang w:val="sq-AL"/>
        </w:rPr>
        <w:t>”</w:t>
      </w:r>
      <w:r w:rsidRPr="00F10913">
        <w:rPr>
          <w:lang w:val="sq-AL"/>
        </w:rPr>
        <w:t>, të pikës 2, të kreut I, të këtij vendimi, pajisjet, objektet, materialet dhe lëngjet që përmbajnë PCB që nuk mund të çndoten dhe PCB-të e përdorura.</w:t>
      </w:r>
      <w:r>
        <w:rPr>
          <w:lang w:val="sq-AL"/>
        </w:rPr>
        <w:t xml:space="preserve"> 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3. Operacionet D 8, D 9, D 10, D 12 e D 15, të asgjësimit,</w:t>
      </w:r>
      <w:r>
        <w:rPr>
          <w:lang w:val="sq-AL"/>
        </w:rPr>
        <w:t xml:space="preserve"> </w:t>
      </w:r>
      <w:r w:rsidRPr="00F10913">
        <w:rPr>
          <w:lang w:val="sq-AL"/>
        </w:rPr>
        <w:t xml:space="preserve">përcaktohen në shtojcën 1 të ligjit </w:t>
      </w:r>
      <w:r>
        <w:rPr>
          <w:lang w:val="sq-AL"/>
        </w:rPr>
        <w:t xml:space="preserve">nr. </w:t>
      </w:r>
      <w:r w:rsidRPr="00F10913">
        <w:rPr>
          <w:lang w:val="sq-AL"/>
        </w:rPr>
        <w:t xml:space="preserve">10463, datë 22.9.2011, </w:t>
      </w:r>
      <w:r>
        <w:rPr>
          <w:lang w:val="sq-AL"/>
        </w:rPr>
        <w:t>“</w:t>
      </w:r>
      <w:r w:rsidRPr="00F10913">
        <w:rPr>
          <w:lang w:val="sq-AL"/>
        </w:rPr>
        <w:t>Për menaxhimin e integruar të mbetjeve</w:t>
      </w:r>
      <w:r>
        <w:rPr>
          <w:lang w:val="sq-AL"/>
        </w:rPr>
        <w:t>”</w:t>
      </w:r>
      <w:r w:rsidRPr="00F10913">
        <w:rPr>
          <w:lang w:val="sq-AL"/>
        </w:rPr>
        <w:t>, të ndryshuar.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4. Çndotja apo asgjësimi kryhet nga persona fizikë/juridikë, të pajisur me leje mjedisi,</w:t>
      </w:r>
      <w:r>
        <w:rPr>
          <w:lang w:val="sq-AL"/>
        </w:rPr>
        <w:t xml:space="preserve"> </w:t>
      </w:r>
      <w:r w:rsidRPr="00F10913">
        <w:rPr>
          <w:lang w:val="sq-AL"/>
        </w:rPr>
        <w:t>sipas përcaktimit</w:t>
      </w:r>
      <w:r>
        <w:rPr>
          <w:lang w:val="sq-AL"/>
        </w:rPr>
        <w:t xml:space="preserve"> </w:t>
      </w:r>
      <w:r w:rsidRPr="00F10913">
        <w:rPr>
          <w:lang w:val="sq-AL"/>
        </w:rPr>
        <w:t xml:space="preserve">në ligjin </w:t>
      </w:r>
      <w:r>
        <w:rPr>
          <w:lang w:val="sq-AL"/>
        </w:rPr>
        <w:t xml:space="preserve">nr. </w:t>
      </w:r>
      <w:r w:rsidRPr="00F10913">
        <w:rPr>
          <w:lang w:val="sq-AL"/>
        </w:rPr>
        <w:t>10448, datë 14.7.2011,</w:t>
      </w:r>
      <w:r>
        <w:rPr>
          <w:lang w:val="sq-AL"/>
        </w:rPr>
        <w:t xml:space="preserve"> “</w:t>
      </w:r>
      <w:r w:rsidRPr="00F10913">
        <w:rPr>
          <w:lang w:val="sq-AL"/>
        </w:rPr>
        <w:t>Për lejet e mjedisit</w:t>
      </w:r>
      <w:r>
        <w:rPr>
          <w:lang w:val="sq-AL"/>
        </w:rPr>
        <w:t>”</w:t>
      </w:r>
      <w:r w:rsidRPr="00F10913">
        <w:rPr>
          <w:lang w:val="sq-AL"/>
        </w:rPr>
        <w:t xml:space="preserve">, të ndryshuar, dhe me licencën III.2.B, sipas vendimit </w:t>
      </w:r>
      <w:r>
        <w:rPr>
          <w:lang w:val="sq-AL"/>
        </w:rPr>
        <w:t xml:space="preserve">nr. </w:t>
      </w:r>
      <w:r w:rsidRPr="00F10913">
        <w:rPr>
          <w:lang w:val="sq-AL"/>
        </w:rPr>
        <w:t xml:space="preserve">538, datë 26.5.2009, të Këshillit të Ministrave, </w:t>
      </w:r>
      <w:r>
        <w:rPr>
          <w:lang w:val="sq-AL"/>
        </w:rPr>
        <w:t>“</w:t>
      </w:r>
      <w:r w:rsidRPr="00F10913">
        <w:rPr>
          <w:lang w:val="sq-AL"/>
        </w:rPr>
        <w:t>Për licencat dhe lejet që trajtohen nga apo nëpërmjet QKL-së dhe disa rregullime të tjera nënligjore të përbashkëta</w:t>
      </w:r>
      <w:r>
        <w:rPr>
          <w:lang w:val="sq-AL"/>
        </w:rPr>
        <w:t>”</w:t>
      </w:r>
      <w:r w:rsidRPr="00F10913">
        <w:rPr>
          <w:lang w:val="sq-AL"/>
        </w:rPr>
        <w:t xml:space="preserve">, të ndryshuar. 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5. Çndotja apo asgjësimi është përgjegjësi e zotëruesit, i cili kontrakton</w:t>
      </w:r>
      <w:r>
        <w:rPr>
          <w:lang w:val="sq-AL"/>
        </w:rPr>
        <w:t xml:space="preserve"> </w:t>
      </w:r>
      <w:r w:rsidRPr="00F10913">
        <w:rPr>
          <w:lang w:val="sq-AL"/>
        </w:rPr>
        <w:t>person fizik/juri</w:t>
      </w:r>
      <w:r>
        <w:rPr>
          <w:lang w:val="sq-AL"/>
        </w:rPr>
        <w:t>dik të licencuar, sipas pikës 4</w:t>
      </w:r>
      <w:r w:rsidRPr="00F10913">
        <w:rPr>
          <w:lang w:val="sq-AL"/>
        </w:rPr>
        <w:t xml:space="preserve"> më lart, ose i eksporton, sipas legjislacionit në fuqi për mbetjet.</w:t>
      </w:r>
      <w:r>
        <w:rPr>
          <w:lang w:val="sq-AL"/>
        </w:rPr>
        <w:t xml:space="preserve"> </w:t>
      </w:r>
      <w:r w:rsidRPr="00F10913">
        <w:rPr>
          <w:lang w:val="sq-AL"/>
        </w:rPr>
        <w:t xml:space="preserve">Kur për asgjësim përdoret metoda e incinerimit, atëherë zbatohen kriteret e përcaktuara në vendimin </w:t>
      </w:r>
      <w:r>
        <w:rPr>
          <w:lang w:val="sq-AL"/>
        </w:rPr>
        <w:t xml:space="preserve">nr. </w:t>
      </w:r>
      <w:r w:rsidRPr="00F10913">
        <w:rPr>
          <w:lang w:val="sq-AL"/>
        </w:rPr>
        <w:t>178, datë 6.3.2012, të Këshillit të Ministrave,</w:t>
      </w:r>
      <w:r>
        <w:rPr>
          <w:lang w:val="sq-AL"/>
        </w:rPr>
        <w:t xml:space="preserve"> “</w:t>
      </w:r>
      <w:r w:rsidRPr="00F10913">
        <w:rPr>
          <w:lang w:val="sq-AL"/>
        </w:rPr>
        <w:t>Për incinerimin e mbetjeve</w:t>
      </w:r>
      <w:r>
        <w:rPr>
          <w:lang w:val="sq-AL"/>
        </w:rPr>
        <w:t>”</w:t>
      </w:r>
      <w:r w:rsidRPr="00F10913">
        <w:rPr>
          <w:lang w:val="sq-AL"/>
        </w:rPr>
        <w:t>.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lastRenderedPageBreak/>
        <w:t>6. PCB-të e përdorura dhe pajisjet, objektet, materialet dhe lëngjet që përmbajnë PCB, përpara se të dorëzohen për t</w:t>
      </w:r>
      <w:r>
        <w:rPr>
          <w:lang w:val="sq-AL"/>
        </w:rPr>
        <w:t>’</w:t>
      </w:r>
      <w:r w:rsidRPr="00F10913">
        <w:rPr>
          <w:lang w:val="sq-AL"/>
        </w:rPr>
        <w:t>u çndotur apo për t</w:t>
      </w:r>
      <w:r>
        <w:rPr>
          <w:lang w:val="sq-AL"/>
        </w:rPr>
        <w:t>’</w:t>
      </w:r>
      <w:r w:rsidRPr="00F10913">
        <w:rPr>
          <w:lang w:val="sq-AL"/>
        </w:rPr>
        <w:t>u asgjësuar, mbahen larg çdo produkti të djegshëm/</w:t>
      </w:r>
      <w:r>
        <w:rPr>
          <w:lang w:val="sq-AL"/>
        </w:rPr>
        <w:t xml:space="preserve">të </w:t>
      </w:r>
      <w:r w:rsidRPr="00F10913">
        <w:rPr>
          <w:lang w:val="sq-AL"/>
        </w:rPr>
        <w:t>ndezshëm, për të shmangur çdo rrezik zjarri.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7. Nga hyrja në fuqi e këtij vendimi deri në fund të vitit 2018, zotëruesit e transformatorëve që përmbajnë PCB mund t</w:t>
      </w:r>
      <w:r>
        <w:rPr>
          <w:lang w:val="sq-AL"/>
        </w:rPr>
        <w:t>’</w:t>
      </w:r>
      <w:r w:rsidRPr="00F10913">
        <w:rPr>
          <w:lang w:val="sq-AL"/>
        </w:rPr>
        <w:t xml:space="preserve">i përdorin ata: 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 xml:space="preserve">a) vetëm nëse PCB-të që përmbajnë përputhen me standardet teknike ose specifikimet që lidhen me cilësinë dielektrike/jopërçuese; 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b) nëse</w:t>
      </w:r>
      <w:r>
        <w:rPr>
          <w:lang w:val="sq-AL"/>
        </w:rPr>
        <w:t xml:space="preserve"> </w:t>
      </w:r>
      <w:r w:rsidRPr="00F10913">
        <w:rPr>
          <w:lang w:val="sq-AL"/>
        </w:rPr>
        <w:t xml:space="preserve">janë në gjendje të mirë pune dhe nuk kanë rrjedhje. 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8. Transformatorët që përmbajnë më shumë se 0,05%, në peshë, të PCB-ve, çndoten sipas kushteve të mëposhtme: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a) duke reduktuar nivelin e PCB-ve nga 0,05% deri 0,005%, të peshës;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b) duke bërë zëvendësimin me një lëng që nuk përmban PCB, i cili sjell, në mënyrë të</w:t>
      </w:r>
      <w:r>
        <w:rPr>
          <w:lang w:val="sq-AL"/>
        </w:rPr>
        <w:t xml:space="preserve"> </w:t>
      </w:r>
      <w:r w:rsidRPr="00F10913">
        <w:rPr>
          <w:lang w:val="sq-AL"/>
        </w:rPr>
        <w:t xml:space="preserve">dukshme, më </w:t>
      </w:r>
      <w:bookmarkStart w:id="0" w:name="_GoBack"/>
      <w:bookmarkEnd w:id="0"/>
      <w:r w:rsidRPr="00F10913">
        <w:rPr>
          <w:lang w:val="sq-AL"/>
        </w:rPr>
        <w:t>pak rreziqe;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c) zëvendësimi i lëngut nuk përjashton detyrimin e zotëruesit për asgjësimin, më pas, të PCB-ve;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ç) etiketimi i transformatorit pas çndotjes zëvendësohet me etiketimin e specifikuar në shtojcën 1, bashkëlidhur këtij vendimi.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9. Transformatorët, lëngjet e të cilëve përmbajnë nivelin e PCB-ve midis vlerave</w:t>
      </w:r>
      <w:r>
        <w:rPr>
          <w:lang w:val="sq-AL"/>
        </w:rPr>
        <w:t xml:space="preserve"> </w:t>
      </w:r>
      <w:r w:rsidRPr="00F10913">
        <w:rPr>
          <w:lang w:val="sq-AL"/>
        </w:rPr>
        <w:t xml:space="preserve">0,05% dhe 0,005%, të peshës, çndoten sipas kushteve të përcaktuara në shkronjat </w:t>
      </w:r>
      <w:r>
        <w:rPr>
          <w:lang w:val="sq-AL"/>
        </w:rPr>
        <w:t>“</w:t>
      </w:r>
      <w:r w:rsidRPr="00F10913">
        <w:rPr>
          <w:lang w:val="sq-AL"/>
        </w:rPr>
        <w:t>b</w:t>
      </w:r>
      <w:r>
        <w:rPr>
          <w:lang w:val="sq-AL"/>
        </w:rPr>
        <w:t>”</w:t>
      </w:r>
      <w:r w:rsidRPr="00F10913">
        <w:rPr>
          <w:lang w:val="sq-AL"/>
        </w:rPr>
        <w:t xml:space="preserve"> deri në </w:t>
      </w:r>
      <w:r>
        <w:rPr>
          <w:lang w:val="sq-AL"/>
        </w:rPr>
        <w:t>“</w:t>
      </w:r>
      <w:r w:rsidRPr="00F10913">
        <w:rPr>
          <w:lang w:val="sq-AL"/>
        </w:rPr>
        <w:t>ç</w:t>
      </w:r>
      <w:r>
        <w:rPr>
          <w:lang w:val="sq-AL"/>
        </w:rPr>
        <w:t>”</w:t>
      </w:r>
      <w:r w:rsidRPr="00F10913">
        <w:rPr>
          <w:lang w:val="sq-AL"/>
        </w:rPr>
        <w:t>,</w:t>
      </w:r>
      <w:r>
        <w:rPr>
          <w:lang w:val="sq-AL"/>
        </w:rPr>
        <w:t xml:space="preserve"> </w:t>
      </w:r>
      <w:r w:rsidRPr="00F10913">
        <w:rPr>
          <w:lang w:val="sq-AL"/>
        </w:rPr>
        <w:t xml:space="preserve">të pikës 8, ose asgjësohen në fund të jetës së tyre. 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10. Ndalohet: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a) ndarja e PCB-ve nga substanca të tjera, me qëllim ripërdorimin e tyre;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b) mbushja e transformatorëve me PCB mbi nivelin 0.05%, të peshës;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c) incinerimi i PCB-ve dhe/ose PCB-ve të përdorura në anije.</w:t>
      </w:r>
    </w:p>
    <w:p w:rsidR="00F1693C" w:rsidRPr="00F10913" w:rsidRDefault="00F1693C" w:rsidP="00F1693C">
      <w:pPr>
        <w:pStyle w:val="Hapesira7"/>
        <w:rPr>
          <w:lang w:val="sq-AL"/>
        </w:rPr>
      </w:pPr>
    </w:p>
    <w:p w:rsidR="00F1693C" w:rsidRPr="00F10913" w:rsidRDefault="00F1693C" w:rsidP="00F1693C">
      <w:pPr>
        <w:pStyle w:val="NeniNr"/>
        <w:rPr>
          <w:lang w:val="sq-AL"/>
        </w:rPr>
      </w:pPr>
      <w:r w:rsidRPr="00F10913">
        <w:rPr>
          <w:lang w:val="sq-AL"/>
        </w:rPr>
        <w:t>KREU III</w:t>
      </w:r>
    </w:p>
    <w:p w:rsidR="00F1693C" w:rsidRPr="00F10913" w:rsidRDefault="00F1693C" w:rsidP="00F1693C">
      <w:pPr>
        <w:pStyle w:val="NeniNr"/>
        <w:rPr>
          <w:lang w:val="sq-AL"/>
        </w:rPr>
      </w:pPr>
      <w:r w:rsidRPr="00F10913">
        <w:rPr>
          <w:lang w:val="sq-AL"/>
        </w:rPr>
        <w:t>INVENTARIZIMI, RAPORTIMI DHE INSPEKTIMI</w:t>
      </w:r>
    </w:p>
    <w:p w:rsidR="00F1693C" w:rsidRPr="00F10913" w:rsidRDefault="00F1693C" w:rsidP="00F1693C">
      <w:pPr>
        <w:pStyle w:val="Hapesira7"/>
        <w:rPr>
          <w:lang w:val="sq-AL"/>
        </w:rPr>
      </w:pPr>
    </w:p>
    <w:p w:rsidR="00F1693C" w:rsidRPr="00AB2934" w:rsidRDefault="00F1693C" w:rsidP="00F1693C">
      <w:pPr>
        <w:pStyle w:val="Paragrafi"/>
        <w:rPr>
          <w:spacing w:val="-4"/>
          <w:lang w:val="sq-AL"/>
        </w:rPr>
      </w:pPr>
      <w:r w:rsidRPr="00AB2934">
        <w:rPr>
          <w:spacing w:val="-4"/>
          <w:lang w:val="sq-AL"/>
        </w:rPr>
        <w:t>1. Raportimi bëhet për pajisjet, objektet, materialet dhe lëngjet me vëllim PCB-je mbi 5 dm</w:t>
      </w:r>
      <w:r w:rsidRPr="00AB2934">
        <w:rPr>
          <w:spacing w:val="-4"/>
          <w:vertAlign w:val="superscript"/>
          <w:lang w:val="sq-AL"/>
        </w:rPr>
        <w:t>3</w:t>
      </w:r>
      <w:r w:rsidRPr="00AB2934">
        <w:rPr>
          <w:spacing w:val="-4"/>
          <w:lang w:val="sq-AL"/>
        </w:rPr>
        <w:t>. Në rastin e kondensatorëve të energjisë, të ndërtuar me elemente të veçanta, si një set i kombinuar, pragu prej 5 dm</w:t>
      </w:r>
      <w:r w:rsidRPr="00AB2934">
        <w:rPr>
          <w:spacing w:val="-4"/>
          <w:vertAlign w:val="superscript"/>
          <w:lang w:val="sq-AL"/>
        </w:rPr>
        <w:t>3</w:t>
      </w:r>
      <w:r w:rsidRPr="00AB2934">
        <w:rPr>
          <w:spacing w:val="-4"/>
          <w:lang w:val="sq-AL"/>
        </w:rPr>
        <w:t xml:space="preserve"> përllogaritet në total.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2. Zotëruesit e pajisjeve, objekteve, materialeve dhe lëngjeve që përmbajnë</w:t>
      </w:r>
      <w:r>
        <w:rPr>
          <w:lang w:val="sq-AL"/>
        </w:rPr>
        <w:t xml:space="preserve"> </w:t>
      </w:r>
      <w:r w:rsidRPr="00F10913">
        <w:rPr>
          <w:lang w:val="sq-AL"/>
        </w:rPr>
        <w:t>PCB</w:t>
      </w:r>
      <w:r>
        <w:rPr>
          <w:lang w:val="sq-AL"/>
        </w:rPr>
        <w:t xml:space="preserve"> </w:t>
      </w:r>
      <w:r w:rsidRPr="00F10913">
        <w:rPr>
          <w:lang w:val="sq-AL"/>
        </w:rPr>
        <w:t>në vëllim</w:t>
      </w:r>
      <w:r>
        <w:rPr>
          <w:lang w:val="sq-AL"/>
        </w:rPr>
        <w:t>,</w:t>
      </w:r>
      <w:r w:rsidRPr="00F10913">
        <w:rPr>
          <w:lang w:val="sq-AL"/>
        </w:rPr>
        <w:t xml:space="preserve"> sipas përcaktimit në pikën 1 më lart, dërgojnë pranë Agjencisë Kombëtare të Mjedisit (AKM) vetëdeklarimin paraprak,</w:t>
      </w:r>
      <w:r>
        <w:rPr>
          <w:lang w:val="sq-AL"/>
        </w:rPr>
        <w:t xml:space="preserve"> </w:t>
      </w:r>
      <w:r w:rsidRPr="00F10913">
        <w:rPr>
          <w:lang w:val="sq-AL"/>
        </w:rPr>
        <w:t>i cili</w:t>
      </w:r>
      <w:r>
        <w:rPr>
          <w:lang w:val="sq-AL"/>
        </w:rPr>
        <w:t xml:space="preserve"> </w:t>
      </w:r>
      <w:r w:rsidRPr="00F10913">
        <w:rPr>
          <w:lang w:val="sq-AL"/>
        </w:rPr>
        <w:t>duhet të</w:t>
      </w:r>
      <w:r>
        <w:rPr>
          <w:lang w:val="sq-AL"/>
        </w:rPr>
        <w:t xml:space="preserve"> </w:t>
      </w:r>
      <w:r w:rsidRPr="00F10913">
        <w:rPr>
          <w:lang w:val="sq-AL"/>
        </w:rPr>
        <w:t>përmbajë informacionin,</w:t>
      </w:r>
      <w:r>
        <w:rPr>
          <w:lang w:val="sq-AL"/>
        </w:rPr>
        <w:t xml:space="preserve"> </w:t>
      </w:r>
      <w:r w:rsidRPr="00F10913">
        <w:rPr>
          <w:lang w:val="sq-AL"/>
        </w:rPr>
        <w:t>si më poshtë vijon: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a) emrin dhe adresën e zotëruesit;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b) vendndodhjen dhe përshkrimin e pajisjes;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c) sasinë e PCB-ve që përmban pajisja;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ç) datat dhe llojet e trajtimeve ose zëvendësimet e kryera dhe/ose të parashikuara për t</w:t>
      </w:r>
      <w:r>
        <w:rPr>
          <w:lang w:val="sq-AL"/>
        </w:rPr>
        <w:t>’</w:t>
      </w:r>
      <w:r w:rsidRPr="00F10913">
        <w:rPr>
          <w:lang w:val="sq-AL"/>
        </w:rPr>
        <w:t>u kryer;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d) PCB-të e përdorura, nëse i zotëron;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dh)</w:t>
      </w:r>
      <w:r>
        <w:rPr>
          <w:lang w:val="sq-AL"/>
        </w:rPr>
        <w:t xml:space="preserve"> </w:t>
      </w:r>
      <w:r w:rsidRPr="00F10913">
        <w:rPr>
          <w:lang w:val="sq-AL"/>
        </w:rPr>
        <w:t>datën e vetëdeklarimit dhe nënshkrimin e zotëruesit.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3. Zotëruesit duhet të</w:t>
      </w:r>
      <w:r>
        <w:rPr>
          <w:lang w:val="sq-AL"/>
        </w:rPr>
        <w:t xml:space="preserve"> </w:t>
      </w:r>
      <w:r w:rsidRPr="00F10913">
        <w:rPr>
          <w:lang w:val="sq-AL"/>
        </w:rPr>
        <w:t>dorëzojnë vetë</w:t>
      </w:r>
      <w:r>
        <w:rPr>
          <w:lang w:val="sq-AL"/>
        </w:rPr>
        <w:t>-</w:t>
      </w:r>
      <w:r w:rsidRPr="00F10913">
        <w:rPr>
          <w:lang w:val="sq-AL"/>
        </w:rPr>
        <w:t>deklarimin</w:t>
      </w:r>
      <w:r>
        <w:rPr>
          <w:lang w:val="sq-AL"/>
        </w:rPr>
        <w:t xml:space="preserve"> </w:t>
      </w:r>
      <w:r w:rsidRPr="00F10913">
        <w:rPr>
          <w:lang w:val="sq-AL"/>
        </w:rPr>
        <w:t>paraprak</w:t>
      </w:r>
      <w:r>
        <w:rPr>
          <w:lang w:val="sq-AL"/>
        </w:rPr>
        <w:t xml:space="preserve"> </w:t>
      </w:r>
      <w:r w:rsidRPr="00F10913">
        <w:rPr>
          <w:lang w:val="sq-AL"/>
        </w:rPr>
        <w:t>brenda</w:t>
      </w:r>
      <w:r>
        <w:rPr>
          <w:lang w:val="sq-AL"/>
        </w:rPr>
        <w:t xml:space="preserve"> </w:t>
      </w:r>
      <w:r w:rsidRPr="00F10913">
        <w:rPr>
          <w:lang w:val="sq-AL"/>
        </w:rPr>
        <w:t>datës 30 qershor 2016.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4. Agjencia Kombëtare e Mjedisit harton inventarin paraprak për pasqyrimin e situatës aktuale të pajisjeve që përmbajnë PCB dhe PCB</w:t>
      </w:r>
      <w:r>
        <w:rPr>
          <w:lang w:val="sq-AL"/>
        </w:rPr>
        <w:t xml:space="preserve"> </w:t>
      </w:r>
      <w:r w:rsidRPr="00F10913">
        <w:rPr>
          <w:lang w:val="sq-AL"/>
        </w:rPr>
        <w:t>të përdorura, bazuar në vetëdeklarimet e zotëruesve të tyre,</w:t>
      </w:r>
      <w:r>
        <w:rPr>
          <w:lang w:val="sq-AL"/>
        </w:rPr>
        <w:t xml:space="preserve"> </w:t>
      </w:r>
      <w:r w:rsidRPr="00F10913">
        <w:rPr>
          <w:lang w:val="sq-AL"/>
        </w:rPr>
        <w:t>brenda vitit 2016. Inventari përmban</w:t>
      </w:r>
      <w:r>
        <w:rPr>
          <w:lang w:val="sq-AL"/>
        </w:rPr>
        <w:t xml:space="preserve"> </w:t>
      </w:r>
      <w:r w:rsidRPr="00F10913">
        <w:rPr>
          <w:lang w:val="sq-AL"/>
        </w:rPr>
        <w:t xml:space="preserve">informacionin e përcaktuar në shkronjat </w:t>
      </w:r>
      <w:r>
        <w:rPr>
          <w:lang w:val="sq-AL"/>
        </w:rPr>
        <w:t>“</w:t>
      </w:r>
      <w:r w:rsidRPr="00F10913">
        <w:rPr>
          <w:lang w:val="sq-AL"/>
        </w:rPr>
        <w:t>a</w:t>
      </w:r>
      <w:r>
        <w:rPr>
          <w:lang w:val="sq-AL"/>
        </w:rPr>
        <w:t>”</w:t>
      </w:r>
      <w:r w:rsidRPr="00F10913">
        <w:rPr>
          <w:lang w:val="sq-AL"/>
        </w:rPr>
        <w:t xml:space="preserve"> deri në </w:t>
      </w:r>
      <w:r>
        <w:rPr>
          <w:lang w:val="sq-AL"/>
        </w:rPr>
        <w:t>“</w:t>
      </w:r>
      <w:r w:rsidRPr="00F10913">
        <w:rPr>
          <w:lang w:val="sq-AL"/>
        </w:rPr>
        <w:t>dh</w:t>
      </w:r>
      <w:r>
        <w:rPr>
          <w:lang w:val="sq-AL"/>
        </w:rPr>
        <w:t xml:space="preserve">”, të pikës 2 </w:t>
      </w:r>
      <w:r w:rsidRPr="00F10913">
        <w:rPr>
          <w:lang w:val="sq-AL"/>
        </w:rPr>
        <w:t>më lart.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 xml:space="preserve">5. Pas </w:t>
      </w:r>
      <w:r>
        <w:rPr>
          <w:lang w:val="sq-AL"/>
        </w:rPr>
        <w:t>afatit të përcaktuar në pikën 3</w:t>
      </w:r>
      <w:r w:rsidRPr="00F10913">
        <w:rPr>
          <w:lang w:val="sq-AL"/>
        </w:rPr>
        <w:t xml:space="preserve"> më lart, deri në vitin 2018, pas përfundimit të afatit për çndotjen apo asgjësimin e pajisjeve që përmbajnë PCB apo PCB</w:t>
      </w:r>
      <w:r>
        <w:rPr>
          <w:lang w:val="sq-AL"/>
        </w:rPr>
        <w:t xml:space="preserve"> </w:t>
      </w:r>
      <w:r w:rsidRPr="00F10913">
        <w:rPr>
          <w:lang w:val="sq-AL"/>
        </w:rPr>
        <w:t>të përdorura, sipas kushteve dhe kritereve të kreut II, të këtij vendimi, zotëruesit duhet të</w:t>
      </w:r>
      <w:r>
        <w:rPr>
          <w:lang w:val="sq-AL"/>
        </w:rPr>
        <w:t xml:space="preserve"> </w:t>
      </w:r>
      <w:r w:rsidRPr="00F10913">
        <w:rPr>
          <w:lang w:val="sq-AL"/>
        </w:rPr>
        <w:t>dorëzojnë vetëdeklarimin përfundimtar brenda muajit mars 2019,</w:t>
      </w:r>
      <w:r>
        <w:rPr>
          <w:lang w:val="sq-AL"/>
        </w:rPr>
        <w:t xml:space="preserve"> </w:t>
      </w:r>
      <w:r w:rsidRPr="00F10913">
        <w:rPr>
          <w:lang w:val="sq-AL"/>
        </w:rPr>
        <w:t>me këtë</w:t>
      </w:r>
      <w:r>
        <w:rPr>
          <w:lang w:val="sq-AL"/>
        </w:rPr>
        <w:t xml:space="preserve"> </w:t>
      </w:r>
      <w:r w:rsidRPr="00F10913">
        <w:rPr>
          <w:lang w:val="sq-AL"/>
        </w:rPr>
        <w:t xml:space="preserve">informacion: 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a) emrin dhe adresën e zotëruesit;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b) vendndodhjen dhe përshkrimin e pajisjes;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c) sasinë e PCB-ve që përmban pajisja;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ç) datat dhe llojet e trajtimeve ose zëvendësimet e kryera;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d) kopje të dokumentacionit që provon se trajtimi apo zëvendësimi është kryer në përputhje me kri</w:t>
      </w:r>
      <w:r>
        <w:rPr>
          <w:lang w:val="sq-AL"/>
        </w:rPr>
        <w:t>teret e përcaktuara në kreun II</w:t>
      </w:r>
      <w:r w:rsidRPr="00F10913">
        <w:rPr>
          <w:lang w:val="sq-AL"/>
        </w:rPr>
        <w:t xml:space="preserve"> të këtij vendimi;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dh) PCB-të e përdorura, nëse i zotëron;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e) datën e vetëdeklarimit dhe nënshkrimin e zotëruesit.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 xml:space="preserve"> Inventari përditësohet brenda datës 15 janar të çdo viti.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lastRenderedPageBreak/>
        <w:t>6. Agjencia Kombëtare e Mjedisit harton inventarin përfundimtar për pajisjet, objektet, materialet dhe lëngjet që përmbajnë PCB dhe PCB</w:t>
      </w:r>
      <w:r>
        <w:rPr>
          <w:lang w:val="sq-AL"/>
        </w:rPr>
        <w:t xml:space="preserve"> </w:t>
      </w:r>
      <w:r w:rsidRPr="00F10913">
        <w:rPr>
          <w:lang w:val="sq-AL"/>
        </w:rPr>
        <w:t>të përdorura, bazuar në vetëdeklarimet përfundimtare të zotëruesve të tyre, brenda vitit 2019. Inventari përmban: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a) emrin dhe adresën e zotëruesit;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b) vendndodhjen dhe përshkrimin e pajisjes;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c) sasinë e PCB-ve që përmbahet në pajisje;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ç)</w:t>
      </w:r>
      <w:r>
        <w:rPr>
          <w:lang w:val="sq-AL"/>
        </w:rPr>
        <w:t xml:space="preserve"> </w:t>
      </w:r>
      <w:r w:rsidRPr="00F10913">
        <w:rPr>
          <w:lang w:val="sq-AL"/>
        </w:rPr>
        <w:t>datat dhe llojet e trajtimeve ose zëvendësimet e kryera;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d) PCB-të e përdorura;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dh)</w:t>
      </w:r>
      <w:r>
        <w:rPr>
          <w:lang w:val="sq-AL"/>
        </w:rPr>
        <w:t xml:space="preserve"> </w:t>
      </w:r>
      <w:r w:rsidRPr="00F10913">
        <w:rPr>
          <w:lang w:val="sq-AL"/>
        </w:rPr>
        <w:t>datën e vetëdeklarimeve dhe nënshkrimin e zotëruesit.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7. Agjencia Kombëtare e Mjedisit i dërgon: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a) kopje të vetëdeklarimeve paraprake, ISHMP-së, brenda datës 31 mars 2017</w:t>
      </w:r>
      <w:r>
        <w:rPr>
          <w:lang w:val="sq-AL"/>
        </w:rPr>
        <w:t>;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 xml:space="preserve">b) kopje të vetëdeklarimeve përfundimtare, ISHMP-së, brenda datës 30 qershor 2019. 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8. Për monitorimin e procesit, ISHMP-ja: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a) në bazë të vetëdeklarimeve paraprake,</w:t>
      </w:r>
      <w:r>
        <w:rPr>
          <w:lang w:val="sq-AL"/>
        </w:rPr>
        <w:t xml:space="preserve"> </w:t>
      </w:r>
      <w:r w:rsidRPr="00F10913">
        <w:rPr>
          <w:lang w:val="sq-AL"/>
        </w:rPr>
        <w:t>inspekton subjektet deklaruese në lidhje me emrin, adresën</w:t>
      </w:r>
      <w:r>
        <w:rPr>
          <w:lang w:val="sq-AL"/>
        </w:rPr>
        <w:t xml:space="preserve"> </w:t>
      </w:r>
      <w:r w:rsidRPr="00F10913">
        <w:rPr>
          <w:lang w:val="sq-AL"/>
        </w:rPr>
        <w:t xml:space="preserve">e zotëruesit, vendndodhjen dhe përshkrimin e pajisjeve, sasinë e PCB-ve që përmbajnë pajisjet dhe/ose PCB-të e përdorura; 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b) në bazë të vetëdeklarimeve përfundimtare dhe rezultateve të monitorimit, të kr</w:t>
      </w:r>
      <w:r>
        <w:rPr>
          <w:lang w:val="sq-AL"/>
        </w:rPr>
        <w:t xml:space="preserve">yera nga AKM-ja, sipas pikës 9 </w:t>
      </w:r>
      <w:r w:rsidRPr="00F10913">
        <w:rPr>
          <w:lang w:val="sq-AL"/>
        </w:rPr>
        <w:t>të këtij kreu, inspekton subjektet deklaruese në lidhje me emrin dhe adresën e zotëruesit, vendndodhjen dhe përshkrimin e pajisjeve, sasinë e PCB-ve që përmbajnë pajisjet, dhe/ose PCB-të e përdorura</w:t>
      </w:r>
      <w:r>
        <w:rPr>
          <w:lang w:val="sq-AL"/>
        </w:rPr>
        <w:t>,</w:t>
      </w:r>
      <w:r w:rsidRPr="00F10913">
        <w:rPr>
          <w:lang w:val="sq-AL"/>
        </w:rPr>
        <w:t xml:space="preserve"> si dhe llojet e trajtimeve ose zëvendësimet e kryera.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9. Për monitorimin e ecurisë së procesit të asgjësimit dhe/ose çndotjes së pajisjeve që përmbajnë PCB e PCB të përdorura, sipas procedurave dhe detyrimeve të këtij vendimi, AKM-ja merr mostrat dhe kryen analizat laboratorike përkatëse.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10. Çdo pajisje, objekt, material dhe lëng që përmban PCB</w:t>
      </w:r>
      <w:r>
        <w:rPr>
          <w:lang w:val="sq-AL"/>
        </w:rPr>
        <w:t>,</w:t>
      </w:r>
      <w:r w:rsidRPr="00F10913">
        <w:rPr>
          <w:lang w:val="sq-AL"/>
        </w:rPr>
        <w:t xml:space="preserve"> etiketohet sipas etiketës së vendosur në shtojcën 2, bashkëlidhur këtij vendimi. Etiketa vendoset, gjithashtu, në dyert e godinës ku ndodhen pajisjet, objektet, materialet dhe lëngjet që përmbajnë PCB apo ku ndodhen PCB-të e përdorura.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11. Personi fizik/juridik, që është i licencuar sipas pikës 4</w:t>
      </w:r>
      <w:r>
        <w:rPr>
          <w:lang w:val="sq-AL"/>
        </w:rPr>
        <w:t>,</w:t>
      </w:r>
      <w:r w:rsidRPr="00F10913">
        <w:rPr>
          <w:lang w:val="sq-AL"/>
        </w:rPr>
        <w:t xml:space="preserve"> të kreut II, të këtij vendimi, dhe që asgjëson/çndot pajisjet, objektet, materialet dhe lëngjet që përmbajnë PCB apo PCB</w:t>
      </w:r>
      <w:r>
        <w:rPr>
          <w:lang w:val="sq-AL"/>
        </w:rPr>
        <w:t xml:space="preserve"> </w:t>
      </w:r>
      <w:r w:rsidRPr="00F10913">
        <w:rPr>
          <w:lang w:val="sq-AL"/>
        </w:rPr>
        <w:t>të përdorura, mban</w:t>
      </w:r>
      <w:r>
        <w:rPr>
          <w:lang w:val="sq-AL"/>
        </w:rPr>
        <w:t xml:space="preserve"> </w:t>
      </w:r>
      <w:r w:rsidRPr="00F10913">
        <w:rPr>
          <w:lang w:val="sq-AL"/>
        </w:rPr>
        <w:t>regjistër ku pasqyron të dhëna për sasinë, origjinën, natyrën dhe përmbajtjen e PCB-v</w:t>
      </w:r>
      <w:r>
        <w:rPr>
          <w:lang w:val="sq-AL"/>
        </w:rPr>
        <w:t>e</w:t>
      </w:r>
      <w:r w:rsidRPr="00F10913">
        <w:rPr>
          <w:lang w:val="sq-AL"/>
        </w:rPr>
        <w:t xml:space="preserve"> që i janë dorëzuar</w:t>
      </w:r>
      <w:r>
        <w:rPr>
          <w:lang w:val="sq-AL"/>
        </w:rPr>
        <w:t xml:space="preserve"> </w:t>
      </w:r>
      <w:r w:rsidRPr="00F10913">
        <w:rPr>
          <w:lang w:val="sq-AL"/>
        </w:rPr>
        <w:t>dhe procesin e asgjësimit/çndotjes</w:t>
      </w:r>
      <w:r>
        <w:rPr>
          <w:lang w:val="sq-AL"/>
        </w:rPr>
        <w:t>,</w:t>
      </w:r>
      <w:r w:rsidRPr="00F10913">
        <w:rPr>
          <w:lang w:val="sq-AL"/>
        </w:rPr>
        <w:t xml:space="preserve"> të cilit ato i janë nënshtruar. Personi fizik/juridik i dërgon informacion AKM-së,</w:t>
      </w:r>
      <w:r>
        <w:rPr>
          <w:lang w:val="sq-AL"/>
        </w:rPr>
        <w:t xml:space="preserve"> </w:t>
      </w:r>
      <w:r w:rsidRPr="00F10913">
        <w:rPr>
          <w:lang w:val="sq-AL"/>
        </w:rPr>
        <w:t>brenda 30 ditëve nga data e marrjes në dorëzim të pajisjeve, objekteve, materialeve dhe lëngjeve që përmbajnë PCB apo PCB</w:t>
      </w:r>
      <w:r>
        <w:rPr>
          <w:lang w:val="sq-AL"/>
        </w:rPr>
        <w:t xml:space="preserve"> </w:t>
      </w:r>
      <w:r w:rsidRPr="00F10913">
        <w:rPr>
          <w:lang w:val="sq-AL"/>
        </w:rPr>
        <w:t>të përdorura. Formati i regjistrit dhe të dhënat që do të përmbajë ai miratohen me urdhër të</w:t>
      </w:r>
      <w:r>
        <w:rPr>
          <w:lang w:val="sq-AL"/>
        </w:rPr>
        <w:t xml:space="preserve"> </w:t>
      </w:r>
      <w:r w:rsidRPr="00F10913">
        <w:rPr>
          <w:lang w:val="sq-AL"/>
        </w:rPr>
        <w:t xml:space="preserve">ministrit. 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12. Lista e emrave të</w:t>
      </w:r>
      <w:r>
        <w:rPr>
          <w:lang w:val="sq-AL"/>
        </w:rPr>
        <w:t xml:space="preserve"> </w:t>
      </w:r>
      <w:r w:rsidRPr="00F10913">
        <w:rPr>
          <w:lang w:val="sq-AL"/>
        </w:rPr>
        <w:t>prodhuesve</w:t>
      </w:r>
      <w:r>
        <w:rPr>
          <w:lang w:val="sq-AL"/>
        </w:rPr>
        <w:t xml:space="preserve"> </w:t>
      </w:r>
      <w:r w:rsidRPr="00F10913">
        <w:rPr>
          <w:lang w:val="sq-AL"/>
        </w:rPr>
        <w:t>të kondensatorëve, rezistencave dhe bobinave me induktim/përcjellshmëri, që përmbajnë PCB, miratohet me urdhër të përbashkët të ministrit të Mjedisit dhe ministrit përgjegjës për energjinë.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13. Mospërmbushja e kërkesave të këtij vendimi përbën kundërvajtje administrative,</w:t>
      </w:r>
      <w:r>
        <w:rPr>
          <w:lang w:val="sq-AL"/>
        </w:rPr>
        <w:t xml:space="preserve"> </w:t>
      </w:r>
      <w:r w:rsidRPr="00F10913">
        <w:rPr>
          <w:lang w:val="sq-AL"/>
        </w:rPr>
        <w:t>sipas pikës 26,</w:t>
      </w:r>
      <w:r>
        <w:rPr>
          <w:lang w:val="sq-AL"/>
        </w:rPr>
        <w:t xml:space="preserve"> </w:t>
      </w:r>
      <w:r w:rsidRPr="00F10913">
        <w:rPr>
          <w:lang w:val="sq-AL"/>
        </w:rPr>
        <w:t xml:space="preserve">të nenit 62, të ligjit </w:t>
      </w:r>
      <w:r>
        <w:rPr>
          <w:lang w:val="sq-AL"/>
        </w:rPr>
        <w:t xml:space="preserve">nr. </w:t>
      </w:r>
      <w:r w:rsidRPr="00F10913">
        <w:rPr>
          <w:lang w:val="sq-AL"/>
        </w:rPr>
        <w:t xml:space="preserve">10463, datë 22.9.2011, </w:t>
      </w:r>
      <w:r>
        <w:rPr>
          <w:lang w:val="sq-AL"/>
        </w:rPr>
        <w:t>“</w:t>
      </w:r>
      <w:r w:rsidRPr="00F10913">
        <w:rPr>
          <w:lang w:val="sq-AL"/>
        </w:rPr>
        <w:t>Për menaxhimin e integruar të</w:t>
      </w:r>
      <w:r>
        <w:rPr>
          <w:lang w:val="sq-AL"/>
        </w:rPr>
        <w:t xml:space="preserve"> </w:t>
      </w:r>
      <w:r w:rsidRPr="00F10913">
        <w:rPr>
          <w:lang w:val="sq-AL"/>
        </w:rPr>
        <w:t>mbetjeve</w:t>
      </w:r>
      <w:r>
        <w:rPr>
          <w:lang w:val="sq-AL"/>
        </w:rPr>
        <w:t>”</w:t>
      </w:r>
      <w:r w:rsidRPr="00F10913">
        <w:rPr>
          <w:lang w:val="sq-AL"/>
        </w:rPr>
        <w:t>, të ndryshuar.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>14. Ngarkohen Ministria</w:t>
      </w:r>
      <w:r>
        <w:rPr>
          <w:lang w:val="sq-AL"/>
        </w:rPr>
        <w:t xml:space="preserve"> </w:t>
      </w:r>
      <w:r w:rsidRPr="00F10913">
        <w:rPr>
          <w:lang w:val="sq-AL"/>
        </w:rPr>
        <w:t xml:space="preserve">e Mjedisit, Agjencia Kombëtare e Mjedisit dhe Inspektorati Shtetëror i Mjedisit dhe Pyjeve për zbatimin e këtij vendimi. </w:t>
      </w: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 xml:space="preserve">Ky vendim hyn në fuqi pas botimit në Fletoren Zyrtare. </w:t>
      </w:r>
    </w:p>
    <w:p w:rsidR="00F1693C" w:rsidRPr="00F10913" w:rsidRDefault="00F1693C" w:rsidP="00F1693C">
      <w:pPr>
        <w:pStyle w:val="Paragrafi"/>
        <w:jc w:val="right"/>
        <w:rPr>
          <w:lang w:val="sq-AL"/>
        </w:rPr>
      </w:pPr>
      <w:r w:rsidRPr="00F10913">
        <w:rPr>
          <w:lang w:val="sq-AL"/>
        </w:rPr>
        <w:t>KRYEMINISTRI</w:t>
      </w:r>
    </w:p>
    <w:p w:rsidR="00F1693C" w:rsidRPr="00F10913" w:rsidRDefault="00F1693C" w:rsidP="00F1693C">
      <w:pPr>
        <w:pStyle w:val="Paragrafi"/>
        <w:jc w:val="right"/>
        <w:rPr>
          <w:rFonts w:eastAsia="Times New Roman" w:cs="Calibri"/>
          <w:lang w:val="sq-AL"/>
        </w:rPr>
      </w:pPr>
      <w:r w:rsidRPr="00F10913">
        <w:rPr>
          <w:b/>
          <w:lang w:val="sq-AL"/>
        </w:rPr>
        <w:t>Edi Rama</w:t>
      </w:r>
      <w:r>
        <w:rPr>
          <w:b/>
          <w:lang w:val="sq-AL"/>
        </w:rPr>
        <w:t xml:space="preserve"> </w:t>
      </w:r>
    </w:p>
    <w:p w:rsidR="00F1693C" w:rsidRPr="00F10913" w:rsidRDefault="00F1693C" w:rsidP="00F1693C">
      <w:pPr>
        <w:pStyle w:val="Paragrafi"/>
        <w:rPr>
          <w:lang w:val="sq-AL"/>
        </w:rPr>
      </w:pPr>
    </w:p>
    <w:p w:rsidR="00F1693C" w:rsidRPr="00F10913" w:rsidRDefault="00F1693C" w:rsidP="00F1693C">
      <w:pPr>
        <w:pStyle w:val="NeniNr"/>
        <w:rPr>
          <w:lang w:val="sq-AL"/>
        </w:rPr>
      </w:pPr>
      <w:r w:rsidRPr="00F10913">
        <w:rPr>
          <w:lang w:val="sq-AL"/>
        </w:rPr>
        <w:t>SHTOJCË 1</w:t>
      </w:r>
    </w:p>
    <w:p w:rsidR="00F1693C" w:rsidRPr="00F10913" w:rsidRDefault="00F1693C" w:rsidP="00F1693C">
      <w:pPr>
        <w:pStyle w:val="NeniNr"/>
        <w:rPr>
          <w:lang w:val="sq-AL"/>
        </w:rPr>
      </w:pPr>
      <w:r w:rsidRPr="00F10913">
        <w:rPr>
          <w:lang w:val="sq-AL"/>
        </w:rPr>
        <w:t>ETIKETIMI I PAJISJEVE PCB TË DEZINFEKTUARA</w:t>
      </w:r>
    </w:p>
    <w:p w:rsidR="00F1693C" w:rsidRPr="00F10913" w:rsidRDefault="00F1693C" w:rsidP="00F1693C">
      <w:pPr>
        <w:pStyle w:val="Hapesira7"/>
        <w:rPr>
          <w:lang w:val="sq-AL"/>
        </w:rPr>
      </w:pPr>
    </w:p>
    <w:p w:rsidR="00F1693C" w:rsidRPr="00F10913" w:rsidRDefault="00F1693C" w:rsidP="00F1693C">
      <w:pPr>
        <w:pStyle w:val="Paragrafi"/>
        <w:rPr>
          <w:lang w:val="sq-AL"/>
        </w:rPr>
      </w:pPr>
      <w:r w:rsidRPr="00F10913">
        <w:rPr>
          <w:lang w:val="sq-AL"/>
        </w:rPr>
        <w:t xml:space="preserve">Çdo njësi e pajisjes së dezinfektuar duhet të shënohet qartë me një shenjë të përhershme (që nuk hiqet) dhe e gdhendur ose </w:t>
      </w:r>
      <w:r>
        <w:rPr>
          <w:lang w:val="sq-AL"/>
        </w:rPr>
        <w:t xml:space="preserve">e </w:t>
      </w:r>
      <w:r w:rsidRPr="00F10913">
        <w:rPr>
          <w:lang w:val="sq-AL"/>
        </w:rPr>
        <w:t>stampuar</w:t>
      </w:r>
      <w:r>
        <w:rPr>
          <w:lang w:val="sq-AL"/>
        </w:rPr>
        <w:t xml:space="preserve">, </w:t>
      </w:r>
      <w:r w:rsidRPr="00F10913">
        <w:rPr>
          <w:lang w:val="sq-AL"/>
        </w:rPr>
        <w:t>e cila duhet të përfshijë informacionin e mëposhtëm dhe të shkruhet në gjuhën e vendit në të cilin përdoret pajisja:</w:t>
      </w:r>
    </w:p>
    <w:p w:rsidR="00F1693C" w:rsidRPr="00F10913" w:rsidRDefault="00F1693C" w:rsidP="00F1693C">
      <w:pPr>
        <w:pStyle w:val="Paragrafi"/>
        <w:rPr>
          <w:lang w:val="sq-AL"/>
        </w:rPr>
      </w:pPr>
    </w:p>
    <w:p w:rsidR="00F1693C" w:rsidRDefault="00F1693C" w:rsidP="00F1693C">
      <w:pPr>
        <w:pStyle w:val="Paragrafi"/>
        <w:rPr>
          <w:lang w:val="sq-AL"/>
        </w:rPr>
        <w:sectPr w:rsidR="00F1693C" w:rsidSect="00377B14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F1693C" w:rsidRPr="00F10913" w:rsidRDefault="00F1693C" w:rsidP="00F1693C">
      <w:pPr>
        <w:pStyle w:val="Paragrafi"/>
        <w:jc w:val="center"/>
        <w:rPr>
          <w:lang w:val="sq-AL"/>
        </w:rPr>
      </w:pPr>
      <w:r w:rsidRPr="00F10913">
        <w:rPr>
          <w:noProof/>
        </w:rPr>
        <w:lastRenderedPageBreak/>
        <w:drawing>
          <wp:inline distT="0" distB="0" distL="0" distR="0" wp14:anchorId="611212F6" wp14:editId="0D6E446E">
            <wp:extent cx="5331125" cy="3519577"/>
            <wp:effectExtent l="0" t="0" r="0" b="0"/>
            <wp:docPr id="1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9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125" cy="3519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93C" w:rsidRPr="00F10913" w:rsidRDefault="00F1693C" w:rsidP="00F1693C">
      <w:pPr>
        <w:pStyle w:val="NeniNr"/>
        <w:rPr>
          <w:lang w:val="sq-AL"/>
        </w:rPr>
      </w:pPr>
      <w:r w:rsidRPr="00F10913">
        <w:rPr>
          <w:lang w:val="sq-AL"/>
        </w:rPr>
        <w:t>SHTOJCË 2</w:t>
      </w:r>
    </w:p>
    <w:p w:rsidR="00F1693C" w:rsidRPr="00F10913" w:rsidRDefault="00F1693C" w:rsidP="00F1693C">
      <w:pPr>
        <w:jc w:val="center"/>
        <w:rPr>
          <w:lang w:val="sq-AL"/>
        </w:rPr>
      </w:pPr>
      <w:r w:rsidRPr="00F10913">
        <w:rPr>
          <w:noProof/>
        </w:rPr>
        <w:drawing>
          <wp:inline distT="0" distB="0" distL="0" distR="0" wp14:anchorId="5A43FA5D" wp14:editId="7CE8A9C8">
            <wp:extent cx="4428591" cy="4428591"/>
            <wp:effectExtent l="19050" t="0" r="0" b="0"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327" cy="4428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57DC" w:rsidRDefault="00377B14"/>
    <w:sectPr w:rsidR="00FD57DC" w:rsidSect="00377B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93C" w:rsidRDefault="00F1693C" w:rsidP="00F1693C">
      <w:pPr>
        <w:spacing w:after="0" w:line="240" w:lineRule="auto"/>
      </w:pPr>
      <w:r>
        <w:separator/>
      </w:r>
    </w:p>
  </w:endnote>
  <w:endnote w:type="continuationSeparator" w:id="0">
    <w:p w:rsidR="00F1693C" w:rsidRDefault="00F1693C" w:rsidP="00F16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93C" w:rsidRDefault="00F1693C" w:rsidP="00F1693C">
      <w:pPr>
        <w:spacing w:after="0" w:line="240" w:lineRule="auto"/>
      </w:pPr>
      <w:r>
        <w:separator/>
      </w:r>
    </w:p>
  </w:footnote>
  <w:footnote w:type="continuationSeparator" w:id="0">
    <w:p w:rsidR="00F1693C" w:rsidRDefault="00F1693C" w:rsidP="00F1693C">
      <w:pPr>
        <w:spacing w:after="0" w:line="240" w:lineRule="auto"/>
      </w:pPr>
      <w:r>
        <w:continuationSeparator/>
      </w:r>
    </w:p>
  </w:footnote>
  <w:footnote w:id="1">
    <w:p w:rsidR="00F1693C" w:rsidRPr="00C75663" w:rsidRDefault="00F1693C" w:rsidP="00F1693C">
      <w:pPr>
        <w:pStyle w:val="FootnoteText"/>
        <w:rPr>
          <w:rFonts w:ascii="Garamond" w:hAnsi="Garamond"/>
          <w:sz w:val="16"/>
          <w:szCs w:val="16"/>
        </w:rPr>
      </w:pPr>
      <w:r w:rsidRPr="00C75663">
        <w:rPr>
          <w:rFonts w:ascii="Garamond" w:hAnsi="Garamond"/>
          <w:sz w:val="16"/>
          <w:szCs w:val="16"/>
          <w:vertAlign w:val="superscript"/>
        </w:rPr>
        <w:t>2.</w:t>
      </w:r>
      <w:r w:rsidRPr="00C75663">
        <w:rPr>
          <w:rFonts w:ascii="Garamond" w:hAnsi="Garamond"/>
          <w:sz w:val="16"/>
          <w:szCs w:val="16"/>
        </w:rPr>
        <w:t xml:space="preserve"> Ky vendim transpozon plotësisht direktivën 96/59/EC e Parlamentit Evropian dhe e Këshillit, të datës 16 shtator 1996, në lidhje me asgjësimin e bifenileve të poliklorinuara dhe trifenileve të poliklorinuara (PCB/PCT) (GZ L 243, 24.9.1996, f. 0031-0035), e amenduar nga rregullorja 596/2009/EC e Parlamentit Evropian dhe e Këshillit, e datës 18 qershor 2009 (GZ 188, f. 14, datë 18.7.2009) EUR-Lex – 31996L0059.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693C"/>
    <w:rsid w:val="00013606"/>
    <w:rsid w:val="00032E53"/>
    <w:rsid w:val="001D125B"/>
    <w:rsid w:val="002C0AA4"/>
    <w:rsid w:val="002E7553"/>
    <w:rsid w:val="00332E0F"/>
    <w:rsid w:val="00377B14"/>
    <w:rsid w:val="00455FC5"/>
    <w:rsid w:val="004A4709"/>
    <w:rsid w:val="00627136"/>
    <w:rsid w:val="006815F0"/>
    <w:rsid w:val="007A33AA"/>
    <w:rsid w:val="00912120"/>
    <w:rsid w:val="00A3508F"/>
    <w:rsid w:val="00B441A3"/>
    <w:rsid w:val="00C74877"/>
    <w:rsid w:val="00D27DAF"/>
    <w:rsid w:val="00E12DC7"/>
    <w:rsid w:val="00F1693C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93C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F1693C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1693C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F1693C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1693C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1693C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F1693C"/>
    <w:rPr>
      <w:sz w:val="14"/>
      <w:szCs w:val="24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F1693C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F1693C"/>
    <w:rPr>
      <w:rFonts w:ascii="Times New Roman" w:eastAsia="MS Mincho" w:hAnsi="Times New Roman" w:cs="Times New Roman"/>
      <w:sz w:val="20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93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1593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2019-01-29T15:05:00Z</cp:lastPrinted>
  <dcterms:created xsi:type="dcterms:W3CDTF">2015-06-10T10:25:00Z</dcterms:created>
  <dcterms:modified xsi:type="dcterms:W3CDTF">2019-01-29T15:05:00Z</dcterms:modified>
</cp:coreProperties>
</file>