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B0" w:rsidRPr="00C16654" w:rsidRDefault="00D832B0" w:rsidP="00D832B0">
      <w:pPr>
        <w:pStyle w:val="NeniNr"/>
        <w:rPr>
          <w:b/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VENDIM</w:t>
      </w:r>
    </w:p>
    <w:p w:rsidR="00D832B0" w:rsidRPr="00C16654" w:rsidRDefault="00D832B0" w:rsidP="00D832B0">
      <w:pPr>
        <w:pStyle w:val="NeniNr"/>
        <w:rPr>
          <w:b/>
          <w:color w:val="000000" w:themeColor="text1"/>
          <w:lang w:val="sq-AL"/>
        </w:rPr>
      </w:pPr>
      <w:r>
        <w:rPr>
          <w:b/>
          <w:color w:val="000000" w:themeColor="text1"/>
          <w:lang w:val="sq-AL"/>
        </w:rPr>
        <w:t xml:space="preserve">Nr. </w:t>
      </w:r>
      <w:r w:rsidRPr="00C16654">
        <w:rPr>
          <w:b/>
          <w:color w:val="000000" w:themeColor="text1"/>
          <w:lang w:val="sq-AL"/>
        </w:rPr>
        <w:t>397, datë 11.5.2015</w:t>
      </w:r>
    </w:p>
    <w:p w:rsidR="00D832B0" w:rsidRPr="00C16654" w:rsidRDefault="00D832B0" w:rsidP="00D832B0">
      <w:pPr>
        <w:pStyle w:val="Hapesira7"/>
      </w:pPr>
    </w:p>
    <w:p w:rsidR="00D832B0" w:rsidRDefault="00D832B0" w:rsidP="00D832B0">
      <w:pPr>
        <w:pStyle w:val="NeniNr"/>
        <w:rPr>
          <w:b/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 xml:space="preserve">PËR KRIJIMIN E NDËRMARRJES SHTETËRORE “KANTIERI I NDËRTIMIT DHE RIPARIMIT </w:t>
      </w:r>
    </w:p>
    <w:p w:rsidR="00D832B0" w:rsidRPr="00C16654" w:rsidRDefault="00D832B0" w:rsidP="00D832B0">
      <w:pPr>
        <w:pStyle w:val="NeniNr"/>
        <w:rPr>
          <w:b/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TË ANIJEVE”</w:t>
      </w:r>
    </w:p>
    <w:p w:rsidR="00D832B0" w:rsidRPr="00C16654" w:rsidRDefault="00D832B0" w:rsidP="00D832B0">
      <w:pPr>
        <w:pStyle w:val="Hapesira7"/>
      </w:pP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mbështetje të nenit 100 të Kushtetutës, të nenit 3,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7582,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datë 13.7.1992, “Për ndërmarrjet shtetërore”, dhe të nenit 4,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10405, datë 24.3.2011, “Për kompetencat për caktimin e pagave dhe shpërblimeve”, me propozimin e ministrit të Mbrojtjes, Këshilli i Ministrave</w:t>
      </w:r>
    </w:p>
    <w:p w:rsidR="00D832B0" w:rsidRPr="00C16654" w:rsidRDefault="00D832B0" w:rsidP="00D832B0">
      <w:pPr>
        <w:pStyle w:val="Hapesira7"/>
      </w:pPr>
    </w:p>
    <w:p w:rsidR="00D832B0" w:rsidRPr="00C16654" w:rsidRDefault="00D832B0" w:rsidP="00D832B0">
      <w:pPr>
        <w:pStyle w:val="NeniNr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VENDOSI:</w:t>
      </w:r>
    </w:p>
    <w:p w:rsidR="00D832B0" w:rsidRPr="00C16654" w:rsidRDefault="00D832B0" w:rsidP="00D832B0">
      <w:pPr>
        <w:pStyle w:val="Hapesira7"/>
      </w:pP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1. Krijimin e ndërmarrjes shtetërore “Kantieri i ndërtimit dhe riparimit të anijeve”, në vijim KNRA, në varësi të Ministrisë së Mbrojtjes.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2. KNRA-ja e ka qendrën (selinë) në Pashaliman, Vlorë.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3. Objekti i veprimtarisë së KNRA-së është ndërtimi dhe riparimi i mjeteve lundruese ushtarake dhe pajisjeve të Forcave të Armatosura, të mjeteve lundruese civile, të tilla si anije, skafe, motovedeta, gomone etj., si dhe kryerja e punimeve dhe shërbimeve për të tretë, në përputhje me kapacitetet teknike të ndërmarrjes.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4. Territori, inventari dhe çështje të tjera të pronësisë janë përcaktuar sipas planvendosjes bashkëlidhur vendimit, raportit të ekspertit kontabël dhe vlerësimit të pasurive të paluajtshme.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5. Tarifat e shërbimit të mjeteve lundruese dhe pajisjeve të Forcave të Armatosura përcaktohen me urdhër të ministrit të Mbrojtjes.</w:t>
      </w:r>
      <w:r>
        <w:rPr>
          <w:color w:val="000000" w:themeColor="text1"/>
          <w:lang w:val="sq-AL"/>
        </w:rPr>
        <w:t xml:space="preserve"> 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6. Riparimi i mjeteve lundruese të Forcave të Armatosura do të kryhet bazuar në kontratat e lidhura midis palëve dhe sipas një grafiku vjetor. Riparimi i mjeteve të Forcave të Armatosura ka prioritet mbi të gjitha subjektet e interesuara.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7. Përjashtimisht për vitin 2015, KNRA-ja do të kryejë riparimin e mjeteve lundruese të Forcës Detare, pa shpërblim.</w:t>
      </w:r>
      <w:r>
        <w:rPr>
          <w:color w:val="000000" w:themeColor="text1"/>
          <w:lang w:val="sq-AL"/>
        </w:rPr>
        <w:t xml:space="preserve"> 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8. Shuma e kapitalit themeltar është 2 446 392 291 (dy miliardë e katërqind e dyzet e gjashtë milionë e treqind e nëntëdhjetë e dy mijë e dyqind e nëntëdhjetë e një) lekë. 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9. Shuma prej 97 874 561 (nëntëdhjetë e shtatë milionë e tetëqind e shtatëdhjetë e katër mijë e pesëqind e gjashtëdhjetë e një) lekësh transferohet nga Komanda e Forcës Detare Durrës në favor të ndërmarrjes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shtetërore “Kantieri i ndërtimit dhe riparimit të anijeve”, si shtesë në kapitalin themeltar, sipas aneksit bashkëlidhur këtij vendimi.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10. Paga e drejtorit të KNRA-së është në nivelin 108 780 (njëqind e tetë mijë e shtatëqind e tetëdhjetë) lekë, e cila në vijim indeksohet dhe ndryshohet me urdhër të ministrit Mbrojtjes dhe me propozim të Këshillit Drejtues të KNRA-së.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11. Pagat e punonjësve të KNRA-së miratohen në përputhje me legjislacionin në fuqi. 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12. Statuti i ndërmarrjes shtetërore “Kantieri i ndërtimit dhe riparimit të anijeve”,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miratohet nga ministri i Mbrojtjes. 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13. Ngarkohet ministri i Mbrojtjes për zbatimin e këtij vendimi.</w:t>
      </w:r>
    </w:p>
    <w:p w:rsidR="00D832B0" w:rsidRPr="00C16654" w:rsidRDefault="00D832B0" w:rsidP="00D832B0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pas botimit në Fletoren Zyrtare.</w:t>
      </w:r>
    </w:p>
    <w:p w:rsidR="00D832B0" w:rsidRPr="00C16654" w:rsidRDefault="00D832B0" w:rsidP="00D832B0">
      <w:pPr>
        <w:pStyle w:val="Hapesira7"/>
      </w:pPr>
    </w:p>
    <w:p w:rsidR="00D832B0" w:rsidRPr="00C16654" w:rsidRDefault="00D832B0" w:rsidP="00D832B0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D832B0" w:rsidRDefault="00D832B0" w:rsidP="00D832B0">
      <w:pPr>
        <w:pStyle w:val="Paragrafi"/>
        <w:jc w:val="right"/>
        <w:rPr>
          <w:b/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A81068" w:rsidRDefault="00A81068" w:rsidP="00D832B0">
      <w:pPr>
        <w:pStyle w:val="Paragrafi"/>
        <w:jc w:val="right"/>
        <w:rPr>
          <w:b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jc w:val="right"/>
        <w:rPr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 w:cs="Calibri"/>
          <w:color w:val="000000" w:themeColor="text1"/>
          <w:lang w:val="sq-AL"/>
        </w:rPr>
      </w:pPr>
    </w:p>
    <w:p w:rsidR="00D832B0" w:rsidRPr="00C16654" w:rsidRDefault="00D832B0" w:rsidP="00A81068">
      <w:pPr>
        <w:pStyle w:val="Paragrafi"/>
        <w:ind w:firstLine="0"/>
        <w:rPr>
          <w:rFonts w:eastAsia="Times New Roman" w:cs="Calibri"/>
          <w:color w:val="000000" w:themeColor="text1"/>
          <w:lang w:val="sq-AL"/>
        </w:rPr>
      </w:pPr>
      <w:bookmarkStart w:id="0" w:name="_GoBack"/>
      <w:bookmarkEnd w:id="0"/>
    </w:p>
    <w:p w:rsidR="00D832B0" w:rsidRPr="00C16654" w:rsidRDefault="00D832B0" w:rsidP="00D832B0">
      <w:pPr>
        <w:pStyle w:val="Paragrafi"/>
        <w:ind w:firstLine="0"/>
        <w:jc w:val="center"/>
        <w:rPr>
          <w:rFonts w:eastAsia="Times New Roman" w:cs="Calibri"/>
          <w:color w:val="000000" w:themeColor="text1"/>
          <w:lang w:val="sq-AL"/>
        </w:rPr>
      </w:pPr>
      <w:r w:rsidRPr="00C16654">
        <w:rPr>
          <w:noProof/>
          <w:color w:val="000000" w:themeColor="text1"/>
        </w:rPr>
        <w:lastRenderedPageBreak/>
        <w:drawing>
          <wp:inline distT="0" distB="0" distL="0" distR="0" wp14:anchorId="473BC726" wp14:editId="5B53C928">
            <wp:extent cx="5986102" cy="75298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79" cy="753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2B0" w:rsidRPr="00C16654" w:rsidRDefault="00D832B0" w:rsidP="00D832B0">
      <w:pPr>
        <w:pStyle w:val="Paragrafi"/>
        <w:rPr>
          <w:rFonts w:eastAsia="Times New Roman" w:cs="Calibri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/>
          <w:color w:val="000000" w:themeColor="text1"/>
          <w:lang w:val="sq-AL"/>
        </w:rPr>
      </w:pPr>
    </w:p>
    <w:p w:rsidR="00D832B0" w:rsidRPr="00C16654" w:rsidRDefault="00D832B0" w:rsidP="00D832B0">
      <w:pPr>
        <w:pStyle w:val="Paragrafi"/>
        <w:rPr>
          <w:rFonts w:eastAsia="Times New Roman" w:cs="Arial"/>
          <w:b/>
          <w:bCs/>
          <w:color w:val="000000" w:themeColor="text1"/>
          <w:sz w:val="20"/>
          <w:szCs w:val="20"/>
          <w:lang w:val="sq-AL"/>
        </w:rPr>
      </w:pPr>
      <w:r w:rsidRPr="00C16654">
        <w:rPr>
          <w:rFonts w:eastAsia="Times New Roman"/>
          <w:color w:val="000000" w:themeColor="text1"/>
          <w:sz w:val="20"/>
          <w:szCs w:val="20"/>
          <w:lang w:val="sq-AL"/>
        </w:rPr>
        <w:t>MINISTRIA E MBROJTJES</w:t>
      </w:r>
      <w:r w:rsidRPr="00C16654">
        <w:rPr>
          <w:rFonts w:eastAsia="Times New Roman" w:cs="Arial"/>
          <w:b/>
          <w:bCs/>
          <w:color w:val="000000" w:themeColor="text1"/>
          <w:sz w:val="20"/>
          <w:szCs w:val="20"/>
          <w:lang w:val="sq-AL"/>
        </w:rPr>
        <w:t xml:space="preserve"> </w:t>
      </w:r>
    </w:p>
    <w:p w:rsidR="00D832B0" w:rsidRPr="00C16654" w:rsidRDefault="00D832B0" w:rsidP="00D832B0">
      <w:pPr>
        <w:pStyle w:val="Paragrafi"/>
        <w:rPr>
          <w:rFonts w:eastAsia="Times New Roman" w:cs="Arial"/>
          <w:b/>
          <w:bCs/>
          <w:color w:val="000000" w:themeColor="text1"/>
          <w:sz w:val="20"/>
          <w:szCs w:val="20"/>
          <w:lang w:val="sq-AL"/>
        </w:rPr>
      </w:pPr>
    </w:p>
    <w:p w:rsidR="00D832B0" w:rsidRPr="00C16654" w:rsidRDefault="00D832B0" w:rsidP="00D832B0">
      <w:pPr>
        <w:pStyle w:val="Paragrafi"/>
        <w:jc w:val="center"/>
        <w:rPr>
          <w:rFonts w:eastAsia="Times New Roman" w:cs="Calibri"/>
          <w:color w:val="000000" w:themeColor="text1"/>
          <w:sz w:val="20"/>
          <w:szCs w:val="20"/>
          <w:lang w:val="sq-AL"/>
        </w:rPr>
      </w:pPr>
      <w:r w:rsidRPr="00C16654">
        <w:rPr>
          <w:rFonts w:eastAsia="Times New Roman" w:cs="Arial"/>
          <w:b/>
          <w:bCs/>
          <w:color w:val="000000" w:themeColor="text1"/>
          <w:sz w:val="20"/>
          <w:szCs w:val="20"/>
          <w:lang w:val="sq-AL"/>
        </w:rPr>
        <w:t>TABELA E RISHPËRNDARJES SË FONDEVE NE PROGRAMIN FORCAT E LUFTIMIT PËR KNA PËR VITIN 2015</w:t>
      </w:r>
    </w:p>
    <w:p w:rsidR="00D832B0" w:rsidRPr="00C16654" w:rsidRDefault="00D832B0" w:rsidP="00D832B0">
      <w:pPr>
        <w:pStyle w:val="Paragrafi"/>
        <w:rPr>
          <w:rFonts w:eastAsia="Times New Roman" w:cs="Calibri"/>
          <w:color w:val="000000" w:themeColor="text1"/>
          <w:lang w:val="sq-AL"/>
        </w:rPr>
      </w:pPr>
    </w:p>
    <w:tbl>
      <w:tblPr>
        <w:tblW w:w="5305" w:type="pct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828"/>
        <w:gridCol w:w="1108"/>
        <w:gridCol w:w="830"/>
        <w:gridCol w:w="2310"/>
        <w:gridCol w:w="860"/>
        <w:gridCol w:w="923"/>
        <w:gridCol w:w="829"/>
        <w:gridCol w:w="963"/>
        <w:gridCol w:w="1010"/>
      </w:tblGrid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Ministria e linjës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Kodi i institucionit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Kapitulli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Emërtimi </w:t>
            </w: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i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institucionit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Programi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Llogaria 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4"/>
                <w:szCs w:val="14"/>
                <w:lang w:val="sq-AL"/>
              </w:rPr>
              <w:t>ekonomike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Kodi i</w:t>
            </w: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degës së t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hesarit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Pakësohet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jc w:val="center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Shtohet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Forcat e Luftimit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02120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97,874,561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001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1017009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01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Reparti ushtarak 2001-Durrës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  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97,874,561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1017031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01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Rep.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Usht. 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nr.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2001-KF Detare, Durrës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02120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600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0707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  <w:t xml:space="preserve">   </w:t>
            </w:r>
            <w:r w:rsidRPr="00C16654"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  <w:t xml:space="preserve">38,200,000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1017031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01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Rep.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Usht. 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nr.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2001-KF Detare, Durrës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02120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601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0707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  <w:t xml:space="preserve">    </w:t>
            </w:r>
            <w:r w:rsidRPr="00C16654">
              <w:rPr>
                <w:rFonts w:eastAsia="Times New Roman"/>
                <w:color w:val="000000" w:themeColor="text1"/>
                <w:sz w:val="16"/>
                <w:szCs w:val="16"/>
                <w:lang w:val="sq-AL"/>
              </w:rPr>
              <w:t xml:space="preserve">6,303,000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1017031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01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Rep.Usht. 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nr.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2001-KF Detare, Durrës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02120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602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0707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 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53,371,561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Kantieri i Ndërtimit t</w:t>
            </w: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ë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Anijeve, Pashaliman, Vlor</w:t>
            </w: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>ë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 </w:t>
            </w:r>
            <w:r w:rsidRPr="00C16654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97,874,561 </w:t>
            </w:r>
          </w:p>
        </w:tc>
      </w:tr>
      <w:tr w:rsidR="00D832B0" w:rsidRPr="00C16654" w:rsidTr="00D6659B">
        <w:trPr>
          <w:trHeight w:val="139"/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Kantieri i Ndërtimit t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ë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Anijeve, Pashaliman, Vlor</w:t>
            </w: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ë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604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2B0" w:rsidRPr="00C16654" w:rsidRDefault="00D832B0" w:rsidP="00D6659B">
            <w:pPr>
              <w:pStyle w:val="Paragrafi"/>
              <w:ind w:firstLine="0"/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 </w:t>
            </w:r>
            <w:r w:rsidRPr="00C16654">
              <w:rPr>
                <w:rFonts w:eastAsia="Times New Roman" w:cs="Arial"/>
                <w:color w:val="000000" w:themeColor="text1"/>
                <w:sz w:val="16"/>
                <w:szCs w:val="16"/>
                <w:lang w:val="sq-AL"/>
              </w:rPr>
              <w:t xml:space="preserve"> 97,874,561 </w:t>
            </w:r>
          </w:p>
        </w:tc>
      </w:tr>
    </w:tbl>
    <w:p w:rsidR="00FD57DC" w:rsidRDefault="00A81068"/>
    <w:sectPr w:rsidR="00FD57DC" w:rsidSect="00A81068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1068">
      <w:pPr>
        <w:spacing w:after="0" w:line="240" w:lineRule="auto"/>
      </w:pPr>
      <w:r>
        <w:separator/>
      </w:r>
    </w:p>
  </w:endnote>
  <w:endnote w:type="continuationSeparator" w:id="0">
    <w:p w:rsidR="00000000" w:rsidRDefault="00A8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02603"/>
      <w:docPartObj>
        <w:docPartGallery w:val="Page Numbers (Bottom of Page)"/>
        <w:docPartUnique/>
      </w:docPartObj>
    </w:sdtPr>
    <w:sdtEndPr>
      <w:rPr>
        <w:rFonts w:ascii="Garamond" w:hAnsi="Garamond"/>
        <w:sz w:val="24"/>
        <w:szCs w:val="24"/>
      </w:rPr>
    </w:sdtEndPr>
    <w:sdtContent>
      <w:p w:rsidR="00FF181F" w:rsidRPr="00B4283E" w:rsidRDefault="00D832B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noProof w:val="0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noProof w:val="0"/>
            <w:sz w:val="24"/>
            <w:szCs w:val="24"/>
          </w:rPr>
          <w:fldChar w:fldCharType="separate"/>
        </w:r>
        <w:r>
          <w:rPr>
            <w:rFonts w:ascii="Garamond" w:hAnsi="Garamond"/>
            <w:sz w:val="24"/>
            <w:szCs w:val="24"/>
          </w:rPr>
          <w:t>4514</w:t>
        </w:r>
        <w:r w:rsidRPr="00B4283E">
          <w:rPr>
            <w:rFonts w:ascii="Garamond" w:hAnsi="Garamond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1F" w:rsidRPr="005B4361" w:rsidRDefault="00A81068" w:rsidP="00A81068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970260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F181F" w:rsidRPr="00833610" w:rsidRDefault="00D832B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noProof w:val="0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noProof w:val="0"/>
            <w:sz w:val="24"/>
            <w:szCs w:val="24"/>
          </w:rPr>
          <w:fldChar w:fldCharType="separate"/>
        </w:r>
        <w:r>
          <w:rPr>
            <w:rFonts w:ascii="Garamond" w:hAnsi="Garamond"/>
            <w:sz w:val="24"/>
            <w:szCs w:val="24"/>
          </w:rPr>
          <w:t>1</w:t>
        </w:r>
        <w:r w:rsidRPr="00833610">
          <w:rPr>
            <w:rFonts w:ascii="Garamond" w:hAnsi="Garamond"/>
            <w:sz w:val="24"/>
            <w:szCs w:val="24"/>
          </w:rPr>
          <w:fldChar w:fldCharType="end"/>
        </w:r>
      </w:p>
    </w:sdtContent>
  </w:sdt>
  <w:p w:rsidR="00FF181F" w:rsidRDefault="00A810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1068">
      <w:pPr>
        <w:spacing w:after="0" w:line="240" w:lineRule="auto"/>
      </w:pPr>
      <w:r>
        <w:separator/>
      </w:r>
    </w:p>
  </w:footnote>
  <w:footnote w:type="continuationSeparator" w:id="0">
    <w:p w:rsidR="00000000" w:rsidRDefault="00A8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F181F" w:rsidRPr="00EB260B" w:rsidTr="002028B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F181F" w:rsidRPr="00EB260B" w:rsidRDefault="00D832B0" w:rsidP="002028B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F181F" w:rsidRPr="00EB260B" w:rsidRDefault="00D832B0" w:rsidP="002028B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911D654" wp14:editId="2C580E7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F181F" w:rsidRPr="00EB260B" w:rsidRDefault="00D832B0" w:rsidP="002028B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86</w:t>
          </w:r>
        </w:p>
      </w:tc>
    </w:tr>
  </w:tbl>
  <w:p w:rsidR="00FF181F" w:rsidRPr="00385E2C" w:rsidRDefault="00A8106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1F" w:rsidRDefault="00A8106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32B0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81068"/>
    <w:rsid w:val="00B441A3"/>
    <w:rsid w:val="00D27DAF"/>
    <w:rsid w:val="00D832B0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B0"/>
    <w:pPr>
      <w:spacing w:after="200" w:line="276" w:lineRule="auto"/>
      <w:ind w:firstLine="284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832B0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832B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83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2B0"/>
    <w:rPr>
      <w:rFonts w:ascii="Calibri" w:eastAsia="Calibri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83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2B0"/>
    <w:rPr>
      <w:rFonts w:ascii="Calibri" w:eastAsia="Calibri" w:hAnsi="Calibri" w:cs="Times New Roman"/>
      <w:noProof/>
      <w:lang w:val="sq-AL"/>
    </w:rPr>
  </w:style>
  <w:style w:type="paragraph" w:customStyle="1" w:styleId="Paragrafi">
    <w:name w:val="Paragrafi"/>
    <w:link w:val="ParagrafiChar"/>
    <w:rsid w:val="00D832B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32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832B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32B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32B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2B0"/>
    <w:rPr>
      <w:rFonts w:ascii="Tahoma" w:eastAsia="Calibri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2019-01-30T08:25:00Z</cp:lastPrinted>
  <dcterms:created xsi:type="dcterms:W3CDTF">2015-06-10T11:36:00Z</dcterms:created>
  <dcterms:modified xsi:type="dcterms:W3CDTF">2019-01-30T08:25:00Z</dcterms:modified>
</cp:coreProperties>
</file>