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18B" w:rsidRPr="00140D8C" w:rsidRDefault="0041518B" w:rsidP="0041518B">
      <w:pPr>
        <w:pStyle w:val="Paragrafi"/>
        <w:jc w:val="center"/>
        <w:rPr>
          <w:b/>
          <w:szCs w:val="24"/>
          <w:lang w:val="sq-AL"/>
        </w:rPr>
      </w:pPr>
      <w:r w:rsidRPr="00140D8C">
        <w:rPr>
          <w:b/>
          <w:szCs w:val="24"/>
          <w:lang w:val="sq-AL"/>
        </w:rPr>
        <w:t>VENDIM</w:t>
      </w:r>
    </w:p>
    <w:p w:rsidR="0041518B" w:rsidRPr="00140D8C" w:rsidRDefault="0041518B" w:rsidP="0041518B">
      <w:pPr>
        <w:pStyle w:val="Paragrafi"/>
        <w:jc w:val="center"/>
        <w:rPr>
          <w:b/>
          <w:szCs w:val="24"/>
          <w:lang w:val="sq-AL"/>
        </w:rPr>
      </w:pPr>
      <w:r w:rsidRPr="00140D8C">
        <w:rPr>
          <w:b/>
          <w:szCs w:val="24"/>
          <w:lang w:val="sq-AL"/>
        </w:rPr>
        <w:t>Nr. 505, datë 10.6.2015</w:t>
      </w:r>
    </w:p>
    <w:p w:rsidR="0041518B" w:rsidRPr="00140D8C" w:rsidRDefault="0041518B" w:rsidP="0041518B">
      <w:pPr>
        <w:pStyle w:val="Hapesira7"/>
        <w:rPr>
          <w:sz w:val="24"/>
          <w:lang w:val="sq-AL"/>
        </w:rPr>
      </w:pPr>
    </w:p>
    <w:p w:rsidR="0041518B" w:rsidRPr="00140D8C" w:rsidRDefault="0041518B" w:rsidP="0041518B">
      <w:pPr>
        <w:pStyle w:val="Paragrafi"/>
        <w:jc w:val="center"/>
        <w:rPr>
          <w:b/>
          <w:szCs w:val="24"/>
          <w:lang w:val="sq-AL"/>
        </w:rPr>
      </w:pPr>
      <w:r w:rsidRPr="00140D8C">
        <w:rPr>
          <w:b/>
          <w:szCs w:val="24"/>
          <w:lang w:val="sq-AL"/>
        </w:rPr>
        <w:t>PËR ORGANIZIMIN, FUNKSIONIMIN DHE SHPËRBLIMIN E KOMISIONEVE EPRORE TË CAKTIMIT TË AFTËSISË PËR PUNË</w:t>
      </w:r>
    </w:p>
    <w:p w:rsidR="00140D8C" w:rsidRPr="00140D8C" w:rsidRDefault="00140D8C" w:rsidP="00140D8C">
      <w:pPr>
        <w:tabs>
          <w:tab w:val="left" w:pos="3680"/>
        </w:tabs>
        <w:ind w:firstLine="284"/>
        <w:jc w:val="center"/>
        <w:rPr>
          <w:rFonts w:ascii="Garamond" w:hAnsi="Garamond"/>
          <w:bCs/>
          <w:i/>
          <w:sz w:val="24"/>
          <w:szCs w:val="24"/>
        </w:rPr>
      </w:pPr>
      <w:r w:rsidRPr="00140D8C">
        <w:rPr>
          <w:rFonts w:ascii="Garamond" w:hAnsi="Garamond"/>
          <w:bCs/>
          <w:i/>
          <w:sz w:val="24"/>
          <w:szCs w:val="24"/>
        </w:rPr>
        <w:t>(Ndryshuar me vendimin n</w:t>
      </w:r>
      <w:r w:rsidRPr="00140D8C">
        <w:rPr>
          <w:rFonts w:ascii="Garamond" w:hAnsi="Garamond"/>
          <w:bCs/>
          <w:i/>
          <w:sz w:val="24"/>
          <w:szCs w:val="24"/>
        </w:rPr>
        <w:t>r. 271 , datë 29.4.2022</w:t>
      </w:r>
      <w:r w:rsidRPr="00140D8C">
        <w:rPr>
          <w:rFonts w:ascii="Garamond" w:hAnsi="Garamond"/>
          <w:bCs/>
          <w:i/>
          <w:sz w:val="24"/>
          <w:szCs w:val="24"/>
        </w:rPr>
        <w:t>)</w:t>
      </w:r>
    </w:p>
    <w:p w:rsidR="00140D8C" w:rsidRPr="00140D8C" w:rsidRDefault="00140D8C" w:rsidP="00140D8C">
      <w:pPr>
        <w:tabs>
          <w:tab w:val="left" w:pos="3680"/>
        </w:tabs>
        <w:ind w:firstLine="284"/>
        <w:jc w:val="right"/>
        <w:rPr>
          <w:rFonts w:ascii="Garamond" w:hAnsi="Garamond"/>
          <w:bCs/>
          <w:i/>
          <w:sz w:val="24"/>
          <w:szCs w:val="24"/>
        </w:rPr>
      </w:pPr>
      <w:r w:rsidRPr="00140D8C">
        <w:rPr>
          <w:rFonts w:ascii="Garamond" w:hAnsi="Garamond"/>
          <w:bCs/>
          <w:i/>
          <w:sz w:val="24"/>
          <w:szCs w:val="24"/>
        </w:rPr>
        <w:t>(I përditësuar)</w:t>
      </w:r>
    </w:p>
    <w:p w:rsidR="0041518B" w:rsidRPr="00140D8C" w:rsidRDefault="0041518B" w:rsidP="0041518B">
      <w:pPr>
        <w:pStyle w:val="Hapesira7"/>
        <w:rPr>
          <w:sz w:val="24"/>
          <w:lang w:val="sq-AL"/>
        </w:rPr>
      </w:pPr>
    </w:p>
    <w:p w:rsidR="0041518B" w:rsidRPr="00140D8C" w:rsidRDefault="0041518B" w:rsidP="0041518B">
      <w:pPr>
        <w:pStyle w:val="Paragrafi"/>
        <w:rPr>
          <w:spacing w:val="-4"/>
          <w:szCs w:val="24"/>
          <w:lang w:val="sq-AL"/>
        </w:rPr>
      </w:pPr>
      <w:r w:rsidRPr="00140D8C">
        <w:rPr>
          <w:spacing w:val="-4"/>
          <w:szCs w:val="24"/>
          <w:lang w:val="sq-AL"/>
        </w:rPr>
        <w:t xml:space="preserve">Në mbështetje të nenit 100 të Kushtetutës dhe të neneve 39/2, pika 4, e 39/3, pika 5, të ligjit nr. 7703, datë 11.5.1993, “Për sigurimet shoqërore në Republikën e Shqipërisë”, të ndryshuar, me propozimin e ministrit të Mirëqenies Sociale dhe Rinisë, Këshilli i Ministrave </w:t>
      </w:r>
    </w:p>
    <w:p w:rsidR="0041518B" w:rsidRPr="00140D8C" w:rsidRDefault="0041518B" w:rsidP="0041518B">
      <w:pPr>
        <w:pStyle w:val="Hapesira7"/>
        <w:rPr>
          <w:sz w:val="24"/>
          <w:lang w:val="sq-AL"/>
        </w:rPr>
      </w:pPr>
    </w:p>
    <w:p w:rsidR="0041518B" w:rsidRPr="00140D8C" w:rsidRDefault="0041518B" w:rsidP="0041518B">
      <w:pPr>
        <w:pStyle w:val="Paragrafi"/>
        <w:ind w:firstLine="0"/>
        <w:jc w:val="center"/>
        <w:rPr>
          <w:szCs w:val="24"/>
          <w:lang w:val="sq-AL"/>
        </w:rPr>
      </w:pPr>
      <w:r w:rsidRPr="00140D8C">
        <w:rPr>
          <w:szCs w:val="24"/>
          <w:lang w:val="sq-AL"/>
        </w:rPr>
        <w:t>VENDOSI:</w:t>
      </w:r>
    </w:p>
    <w:p w:rsidR="0041518B" w:rsidRPr="00140D8C" w:rsidRDefault="0041518B" w:rsidP="0041518B">
      <w:pPr>
        <w:pStyle w:val="Hapesira7"/>
        <w:rPr>
          <w:sz w:val="24"/>
          <w:lang w:val="sq-AL"/>
        </w:rPr>
      </w:pPr>
    </w:p>
    <w:p w:rsidR="0041518B" w:rsidRPr="00140D8C" w:rsidRDefault="0041518B" w:rsidP="0041518B">
      <w:pPr>
        <w:pStyle w:val="Paragrafi"/>
        <w:rPr>
          <w:spacing w:val="-4"/>
          <w:szCs w:val="24"/>
          <w:lang w:val="sq-AL"/>
        </w:rPr>
      </w:pPr>
      <w:r w:rsidRPr="00140D8C">
        <w:rPr>
          <w:spacing w:val="-4"/>
          <w:szCs w:val="24"/>
          <w:lang w:val="sq-AL"/>
        </w:rPr>
        <w:t>1. Ngritjen e komisioneve eprore mjekësore të caktimit të aftësisë për punë (më poshtë Komisioni Epror), si struktura kolegjiale mjekësore dhe ligjore, të cilat funksionojnë për shqyrtimin e ankesave të personave të interesuar lidhur me vendimet e marra nga komisionet e nivelit të parë për vlerësimin e gjendjes shëndetësore dhe të aftësive për punë, në zbatim të dispozitave të ligjit nr. 7703, datë 11.5.1993, “Për sigurimet shoqërore në Republikën e Shqipërisë”, të ndryshuar.</w:t>
      </w:r>
    </w:p>
    <w:p w:rsidR="0041518B" w:rsidRPr="00140D8C" w:rsidRDefault="0041518B" w:rsidP="0041518B">
      <w:pPr>
        <w:pStyle w:val="Paragrafi"/>
        <w:rPr>
          <w:szCs w:val="24"/>
          <w:lang w:val="sq-AL"/>
        </w:rPr>
      </w:pPr>
      <w:r w:rsidRPr="00140D8C">
        <w:rPr>
          <w:spacing w:val="-4"/>
          <w:szCs w:val="24"/>
          <w:lang w:val="sq-AL"/>
        </w:rPr>
        <w:t>2. Për shqyrtimin në afat të ankesave</w:t>
      </w:r>
      <w:r w:rsidRPr="00140D8C">
        <w:rPr>
          <w:szCs w:val="24"/>
          <w:lang w:val="sq-AL"/>
        </w:rPr>
        <w:t>, të ngrihen 10 komisione eprore, nga të cilat 6 komisione ushtrojnë aktivitetin dhe funksionin e tyre pranë Institutit të Sigurimeve Shoqërore dhe 4 komisione ushtrojnë aktivitetin dhe funksionin e tyre pranë Shërbimit Social Shtetëror, sipas aneksit 1 bashkëlidhur këtij vendimi.</w:t>
      </w:r>
    </w:p>
    <w:p w:rsidR="0041518B" w:rsidRPr="00140D8C" w:rsidRDefault="0041518B" w:rsidP="0041518B">
      <w:pPr>
        <w:pStyle w:val="Paragrafi"/>
        <w:rPr>
          <w:spacing w:val="-4"/>
          <w:szCs w:val="24"/>
          <w:lang w:val="sq-AL"/>
        </w:rPr>
      </w:pPr>
      <w:r w:rsidRPr="00140D8C">
        <w:rPr>
          <w:spacing w:val="-4"/>
          <w:szCs w:val="24"/>
          <w:lang w:val="sq-AL"/>
        </w:rPr>
        <w:t>3. Anëtari i Komisionit Epror, pas zgjedhjes në detyrë dhe përpara fillimit të ushtrimit të detyrës, betohet në një ceremoni publike, të organizuar nga ministri i Mirëqenies Sociale dhe Rinisë, ministri i Shëndetësisë, ministri i Financave dhe ministri i Drejtësisë, sipas tekstit të dhënë në aneksin 2, bashkëlidhur këtij vendimi.</w:t>
      </w:r>
    </w:p>
    <w:p w:rsidR="0041518B" w:rsidRPr="00140D8C" w:rsidRDefault="0041518B" w:rsidP="0041518B">
      <w:pPr>
        <w:pStyle w:val="Paragrafi"/>
        <w:rPr>
          <w:szCs w:val="24"/>
          <w:lang w:val="sq-AL"/>
        </w:rPr>
      </w:pPr>
      <w:r w:rsidRPr="00140D8C">
        <w:rPr>
          <w:szCs w:val="24"/>
          <w:lang w:val="sq-AL"/>
        </w:rPr>
        <w:t xml:space="preserve">Anëtarët e komisioneve eprore, gjatë ushtrimit të mandatit të tyre në komision, nuk mund të jenë pjesë e vendimmarrjes së drejtimit të të sëmurëve, invalidëve dhe personave me aftësi të kufizuara në KMCAP-të e të dyja niveleve. </w:t>
      </w:r>
    </w:p>
    <w:p w:rsidR="0041518B" w:rsidRPr="00140D8C" w:rsidRDefault="0041518B" w:rsidP="0041518B">
      <w:pPr>
        <w:pStyle w:val="Paragrafi"/>
        <w:rPr>
          <w:szCs w:val="24"/>
          <w:lang w:val="sq-AL"/>
        </w:rPr>
      </w:pPr>
      <w:r w:rsidRPr="00140D8C">
        <w:rPr>
          <w:szCs w:val="24"/>
          <w:lang w:val="sq-AL"/>
        </w:rPr>
        <w:t>4. Kryetari i KMCAP-së epror ka për detyrë të organizojë dhe të drejtojë mbledhjen e këtij komisioni, krahas detyrave dhe përgjegjësive të tjera të ngjashme me ato të anëtarëve të KMCAP-së Epror, të cilët:</w:t>
      </w:r>
    </w:p>
    <w:p w:rsidR="0041518B" w:rsidRPr="00140D8C" w:rsidRDefault="0041518B" w:rsidP="0041518B">
      <w:pPr>
        <w:pStyle w:val="Paragrafi"/>
        <w:rPr>
          <w:szCs w:val="24"/>
          <w:lang w:val="sq-AL"/>
        </w:rPr>
      </w:pPr>
    </w:p>
    <w:p w:rsidR="0041518B" w:rsidRPr="00140D8C" w:rsidRDefault="0041518B" w:rsidP="0041518B">
      <w:pPr>
        <w:pStyle w:val="Paragrafi"/>
        <w:rPr>
          <w:szCs w:val="24"/>
          <w:lang w:val="sq-AL"/>
        </w:rPr>
      </w:pPr>
      <w:r w:rsidRPr="00140D8C">
        <w:rPr>
          <w:szCs w:val="24"/>
          <w:lang w:val="sq-AL"/>
        </w:rPr>
        <w:t>a) nuk angazhohen në detyrat e përditshme të ushtrimit të profesionit të tyre, si dhe punojnë me kohë të plotë gjatë ditëve që janë të mbledhur në Komision, pranë Institutit të Sigurimeve Shoqërore/Shërbimit Social Shtetëror;</w:t>
      </w:r>
    </w:p>
    <w:p w:rsidR="0041518B" w:rsidRPr="00140D8C" w:rsidRDefault="0041518B" w:rsidP="0041518B">
      <w:pPr>
        <w:pStyle w:val="Paragrafi"/>
        <w:rPr>
          <w:szCs w:val="24"/>
          <w:lang w:val="sq-AL"/>
        </w:rPr>
      </w:pPr>
      <w:r w:rsidRPr="00140D8C">
        <w:rPr>
          <w:szCs w:val="24"/>
          <w:lang w:val="sq-AL"/>
        </w:rPr>
        <w:t xml:space="preserve">b) mbajnë përgjegjësi për ruajtjen e konfidencialitetit mbi të dhënat personale të ankimuesve, për të cilat ata kanë marrë dijeni gjatë ushtrimit të funksionit të tyre, mbi procesin e vlerësimit paraprak dhe të marrjes së vendimit, si dhe për votën pro ose kundër gjatë marrjes së vendimit për përcaktimin e aftësisë për punë/aftësisë së kufizuar; </w:t>
      </w:r>
    </w:p>
    <w:p w:rsidR="0041518B" w:rsidRPr="00140D8C" w:rsidRDefault="0041518B" w:rsidP="0041518B">
      <w:pPr>
        <w:pStyle w:val="Paragrafi"/>
        <w:rPr>
          <w:spacing w:val="-4"/>
          <w:szCs w:val="24"/>
          <w:lang w:val="sq-AL"/>
        </w:rPr>
      </w:pPr>
      <w:r w:rsidRPr="00140D8C">
        <w:rPr>
          <w:szCs w:val="24"/>
          <w:lang w:val="sq-AL"/>
        </w:rPr>
        <w:t>c</w:t>
      </w:r>
      <w:r w:rsidRPr="00140D8C">
        <w:rPr>
          <w:spacing w:val="-4"/>
          <w:szCs w:val="24"/>
          <w:lang w:val="sq-AL"/>
        </w:rPr>
        <w:t xml:space="preserve">) shpërblehen sipas parashikimeve të vendimit nr.  418, datë 27.6.2012, të Këshillit të Ministrave, “Për përcaktimin e masës së shpërblimit të anëtarëve të këshillave, bordeve ose komisioneve të njësive të qeverisjes qendrore”. </w:t>
      </w:r>
    </w:p>
    <w:p w:rsidR="0041518B" w:rsidRPr="00140D8C" w:rsidRDefault="0041518B" w:rsidP="0041518B">
      <w:pPr>
        <w:pStyle w:val="Paragrafi"/>
        <w:rPr>
          <w:spacing w:val="-4"/>
          <w:szCs w:val="24"/>
          <w:lang w:val="sq-AL"/>
        </w:rPr>
      </w:pPr>
      <w:r w:rsidRPr="00140D8C">
        <w:rPr>
          <w:spacing w:val="-4"/>
          <w:szCs w:val="24"/>
          <w:lang w:val="sq-AL"/>
        </w:rPr>
        <w:t>5. Anëtarët e komisioneve eprore ushtrojnë funksionet e tyre për:</w:t>
      </w:r>
    </w:p>
    <w:p w:rsidR="0041518B" w:rsidRPr="00140D8C" w:rsidRDefault="0041518B" w:rsidP="0041518B">
      <w:pPr>
        <w:pStyle w:val="Paragrafi"/>
        <w:rPr>
          <w:spacing w:val="-4"/>
          <w:szCs w:val="24"/>
          <w:lang w:val="sq-AL"/>
        </w:rPr>
      </w:pPr>
      <w:r w:rsidRPr="00140D8C">
        <w:rPr>
          <w:spacing w:val="-4"/>
          <w:szCs w:val="24"/>
          <w:lang w:val="sq-AL"/>
        </w:rPr>
        <w:t>a) shqyrtimin dhe zgjidhjen e kërkesave të të sëmurëve, invalidëve apo personave me aftësi të kufizuara, që ankimojnë vendimet e KMCAP-ve të nivelit të parë;</w:t>
      </w:r>
    </w:p>
    <w:p w:rsidR="0041518B" w:rsidRPr="00140D8C" w:rsidRDefault="0041518B" w:rsidP="0041518B">
      <w:pPr>
        <w:pStyle w:val="Paragrafi"/>
        <w:rPr>
          <w:spacing w:val="-4"/>
          <w:szCs w:val="24"/>
          <w:lang w:val="sq-AL"/>
        </w:rPr>
      </w:pPr>
      <w:r w:rsidRPr="00140D8C">
        <w:rPr>
          <w:spacing w:val="-4"/>
          <w:szCs w:val="24"/>
          <w:lang w:val="sq-AL"/>
        </w:rPr>
        <w:t>b) studimin dhe vlerësimin para dhe gjatë zhvillimit të seancës të relacionit të hartuar nga relatori, mjek i ekspertizës së Institutit të Sigurimeve Shoqërore/Shërbimit Social Shtetëror, duke shqyrtuar dokumentacionin mjekësor dhe ligjor të dosjes, duke kryer vizita të drejtpërdrejta të ankimuesit dhe, në raste të caktuara, edhe duke kërkuar ekzaminime të specializuara, përveç atyre të përmendura në dosje;</w:t>
      </w:r>
    </w:p>
    <w:p w:rsidR="0041518B" w:rsidRPr="00140D8C" w:rsidRDefault="0041518B" w:rsidP="0041518B">
      <w:pPr>
        <w:pStyle w:val="Paragrafi"/>
        <w:rPr>
          <w:spacing w:val="-4"/>
          <w:szCs w:val="24"/>
          <w:lang w:val="sq-AL"/>
        </w:rPr>
      </w:pPr>
      <w:r w:rsidRPr="00140D8C">
        <w:rPr>
          <w:spacing w:val="-4"/>
          <w:szCs w:val="24"/>
          <w:lang w:val="sq-AL"/>
        </w:rPr>
        <w:t>c) caktimin e aftësisë për punë dhe të shkallës së invaliditetit, në bazë të gjendjes shëndetësore të ankuesit dhe të kritereve mjekësore, të përcaktuara e të miratuara për nivelin e aftësisë për punë apo të aftësive shëndetësore të kufizuara, dhe marrjen e vendimit;</w:t>
      </w:r>
    </w:p>
    <w:p w:rsidR="0041518B" w:rsidRPr="00140D8C" w:rsidRDefault="0041518B" w:rsidP="0041518B">
      <w:pPr>
        <w:pStyle w:val="Paragrafi"/>
        <w:rPr>
          <w:spacing w:val="-4"/>
          <w:szCs w:val="24"/>
          <w:lang w:val="sq-AL"/>
        </w:rPr>
      </w:pPr>
      <w:r w:rsidRPr="00140D8C">
        <w:rPr>
          <w:spacing w:val="-4"/>
          <w:szCs w:val="24"/>
          <w:lang w:val="sq-AL"/>
        </w:rPr>
        <w:t>ç) kryerjen e studimeve mbi gjendjen dhe ecurinë e invaliditetit/aftësisë së kufizuar, drejtimet dhe zgjidhjet për përmirësimin e treguesve.</w:t>
      </w:r>
    </w:p>
    <w:p w:rsidR="0041518B" w:rsidRPr="00140D8C" w:rsidRDefault="0041518B" w:rsidP="0041518B">
      <w:pPr>
        <w:pStyle w:val="Paragrafi"/>
        <w:rPr>
          <w:spacing w:val="-4"/>
          <w:szCs w:val="24"/>
          <w:lang w:val="sq-AL"/>
        </w:rPr>
      </w:pPr>
      <w:r w:rsidRPr="00140D8C">
        <w:rPr>
          <w:spacing w:val="-4"/>
          <w:szCs w:val="24"/>
          <w:lang w:val="sq-AL"/>
        </w:rPr>
        <w:t>6. Procedura e ankimit kryhet, si më poshtë vijon:</w:t>
      </w:r>
      <w:bookmarkStart w:id="0" w:name="_GoBack"/>
      <w:bookmarkEnd w:id="0"/>
    </w:p>
    <w:p w:rsidR="0041518B" w:rsidRPr="00140D8C" w:rsidRDefault="0041518B" w:rsidP="00140D8C">
      <w:pPr>
        <w:pStyle w:val="Default"/>
        <w:ind w:firstLine="284"/>
        <w:jc w:val="both"/>
        <w:rPr>
          <w:i/>
          <w:color w:val="auto"/>
        </w:rPr>
      </w:pPr>
      <w:r w:rsidRPr="00140D8C">
        <w:rPr>
          <w:i/>
          <w:spacing w:val="-4"/>
          <w:lang w:val="sq-AL"/>
        </w:rPr>
        <w:lastRenderedPageBreak/>
        <w:t xml:space="preserve">a) </w:t>
      </w:r>
      <w:r w:rsidR="00140D8C" w:rsidRPr="00140D8C">
        <w:rPr>
          <w:i/>
          <w:color w:val="auto"/>
        </w:rPr>
        <w:t>Ankimi në komisionin epror bëhet nëpërmjet portalit qeveritar “</w:t>
      </w:r>
      <w:r w:rsidR="00140D8C" w:rsidRPr="00140D8C">
        <w:rPr>
          <w:i/>
          <w:iCs/>
          <w:color w:val="auto"/>
        </w:rPr>
        <w:t>e-Albania</w:t>
      </w:r>
      <w:r w:rsidR="00140D8C" w:rsidRPr="00140D8C">
        <w:rPr>
          <w:i/>
          <w:color w:val="auto"/>
        </w:rPr>
        <w:t>”, sipas formularit tip të dhënë në aneksin 3, bashkëlidhur këtij vendimi</w:t>
      </w:r>
      <w:r w:rsidR="00140D8C" w:rsidRPr="00140D8C">
        <w:rPr>
          <w:i/>
          <w:color w:val="auto"/>
        </w:rPr>
        <w:t>.</w:t>
      </w:r>
      <w:r w:rsidRPr="00140D8C">
        <w:rPr>
          <w:i/>
          <w:spacing w:val="-4"/>
          <w:lang w:val="sq-AL"/>
        </w:rPr>
        <w:t>;</w:t>
      </w:r>
    </w:p>
    <w:p w:rsidR="0041518B" w:rsidRPr="00140D8C" w:rsidRDefault="0041518B" w:rsidP="0041518B">
      <w:pPr>
        <w:pStyle w:val="Paragrafi"/>
        <w:rPr>
          <w:spacing w:val="-4"/>
          <w:szCs w:val="24"/>
          <w:lang w:val="sq-AL"/>
        </w:rPr>
      </w:pPr>
      <w:r w:rsidRPr="00140D8C">
        <w:rPr>
          <w:spacing w:val="-4"/>
          <w:szCs w:val="24"/>
          <w:lang w:val="sq-AL"/>
        </w:rPr>
        <w:t>b) Brenda 10 (dhjetë) ditëve nga data e marrjes së kërkesës, Drejtoria Rajonale e Sigurimeve Shoqërore /Drejtoria Rajonale e Shërbimit Social Shtetëror dërgon në Institutin e Sigurimeve Shoqërore/Shërbimin Social Shtetëror dosjen e të sëmurit, të invalidit ose personit me aftësi të kufizuar, së bashku me një relacion të hollësishëm, ku argumentohet vendimi i marrë nga KMCAP-ja e nivelit të parë;</w:t>
      </w:r>
    </w:p>
    <w:p w:rsidR="0041518B" w:rsidRPr="00140D8C" w:rsidRDefault="0041518B" w:rsidP="0041518B">
      <w:pPr>
        <w:pStyle w:val="Paragrafi"/>
        <w:rPr>
          <w:spacing w:val="-4"/>
          <w:szCs w:val="24"/>
          <w:lang w:val="sq-AL"/>
        </w:rPr>
      </w:pPr>
      <w:r w:rsidRPr="00140D8C">
        <w:rPr>
          <w:spacing w:val="-4"/>
          <w:szCs w:val="24"/>
          <w:lang w:val="sq-AL"/>
        </w:rPr>
        <w:t>c) Administrata e Institutit të Sigurimeve Shoqërore/Shërbimit Social Shtetëror njofton anëtarët e KMCAP-së Epror dhe ankimuesit, 7 (shtatë) ditë përpara zhvillimit të seancës së Komisionit Epror.</w:t>
      </w:r>
    </w:p>
    <w:p w:rsidR="0041518B" w:rsidRPr="00140D8C" w:rsidRDefault="0041518B" w:rsidP="0041518B">
      <w:pPr>
        <w:pStyle w:val="Paragrafi"/>
        <w:rPr>
          <w:spacing w:val="-4"/>
          <w:szCs w:val="24"/>
          <w:lang w:val="sq-AL"/>
        </w:rPr>
      </w:pPr>
      <w:r w:rsidRPr="00140D8C">
        <w:rPr>
          <w:spacing w:val="-4"/>
          <w:szCs w:val="24"/>
          <w:lang w:val="sq-AL"/>
        </w:rPr>
        <w:t>7. Mjeku i ekspertizës mjekësore/punonjësi social pranë Institutit të Sigurimeve Shoqërore / Shërbimit Social Shtetëror, në rolin e relatorit, studion dokumentacionin e dosjes, procedurat e zbatuara në KMCAP-në e nivelit të parë, dokumentacionin e vlerësuar nga ky Komision, pretendimet e parashtruara nga ankimuesi dhe përgatit një relacion, ku, ndër të tjera, shprehet edhe për referencën e gjendjes shëndetësore të ankimuesit, sipas kritereve mjekësore orientuese për përcaktimin e aftësisë për punë/aftësisë së kufizuar.</w:t>
      </w:r>
    </w:p>
    <w:p w:rsidR="0041518B" w:rsidRPr="00140D8C" w:rsidRDefault="0041518B" w:rsidP="0041518B">
      <w:pPr>
        <w:pStyle w:val="Paragrafi"/>
        <w:rPr>
          <w:spacing w:val="-4"/>
          <w:szCs w:val="24"/>
          <w:lang w:val="sq-AL"/>
        </w:rPr>
      </w:pPr>
      <w:r w:rsidRPr="00140D8C">
        <w:rPr>
          <w:spacing w:val="-4"/>
          <w:szCs w:val="24"/>
          <w:lang w:val="sq-AL"/>
        </w:rPr>
        <w:t>8. Seanca mujore e mbledhjes së Komisionit zhvillohet, si më poshtë vijon:</w:t>
      </w:r>
    </w:p>
    <w:p w:rsidR="0041518B" w:rsidRPr="00140D8C" w:rsidRDefault="0041518B" w:rsidP="0041518B">
      <w:pPr>
        <w:pStyle w:val="Paragrafi"/>
        <w:rPr>
          <w:szCs w:val="24"/>
          <w:lang w:val="sq-AL"/>
        </w:rPr>
      </w:pPr>
      <w:r w:rsidRPr="00140D8C">
        <w:rPr>
          <w:szCs w:val="24"/>
          <w:lang w:val="sq-AL"/>
        </w:rPr>
        <w:t>a) Vetëm në rastet kur janë mbledhur jo më pak se 20 dosje ankimuesish. Në çdo rast, komi-sionimi i ankimuesve duhet të bëhet brenda 2 (dy) muajve nga data e paraqitjes së doku-menteve në Institutin e Sigurimeve Shoqërore / Shërbimin Social Shtetëror;</w:t>
      </w:r>
    </w:p>
    <w:p w:rsidR="0041518B" w:rsidRPr="00140D8C" w:rsidRDefault="0041518B" w:rsidP="0041518B">
      <w:pPr>
        <w:pStyle w:val="Paragrafi"/>
        <w:rPr>
          <w:spacing w:val="-4"/>
          <w:szCs w:val="24"/>
          <w:lang w:val="sq-AL"/>
        </w:rPr>
      </w:pPr>
      <w:r w:rsidRPr="00140D8C">
        <w:rPr>
          <w:spacing w:val="-4"/>
          <w:szCs w:val="24"/>
          <w:lang w:val="sq-AL"/>
        </w:rPr>
        <w:t>b) Zhvillohet edhe me 4 anëtarë, por, në asnjë rast, nuk mund të zhvillohet në mungesë të kryetarit. Kur ka barazi në votim, në përfundim vendos vota e kryetarit;</w:t>
      </w:r>
    </w:p>
    <w:p w:rsidR="0041518B" w:rsidRPr="00140D8C" w:rsidRDefault="0041518B" w:rsidP="0041518B">
      <w:pPr>
        <w:pStyle w:val="Paragrafi"/>
        <w:rPr>
          <w:spacing w:val="-4"/>
          <w:szCs w:val="24"/>
          <w:lang w:val="sq-AL"/>
        </w:rPr>
      </w:pPr>
      <w:r w:rsidRPr="00140D8C">
        <w:rPr>
          <w:spacing w:val="-4"/>
          <w:szCs w:val="24"/>
          <w:lang w:val="sq-AL"/>
        </w:rPr>
        <w:t>c) Në rast se provohet mungesa me arsye e më shumë se një anëtari, atëherë njoftohet për pjesëmarrje në mbledhje zëvendësuesi respektiv, i përcaktuar për çdo Komision Epror. Kriteret dhe procedura e miratimit të anëtarëve zëvendësues është e njëjtë me kriteret dhe procedurën e anëtarëve të miratuar;</w:t>
      </w:r>
    </w:p>
    <w:p w:rsidR="0041518B" w:rsidRPr="00140D8C" w:rsidRDefault="0041518B" w:rsidP="0041518B">
      <w:pPr>
        <w:pStyle w:val="Paragrafi"/>
        <w:rPr>
          <w:spacing w:val="-4"/>
          <w:szCs w:val="24"/>
          <w:lang w:val="sq-AL"/>
        </w:rPr>
      </w:pPr>
      <w:r w:rsidRPr="00140D8C">
        <w:rPr>
          <w:spacing w:val="-4"/>
          <w:szCs w:val="24"/>
          <w:lang w:val="sq-AL"/>
        </w:rPr>
        <w:t>ç) Zhvillohet në ditën e caktuar nga Komisioni Epror i cili tërhiqet për të marrë vendim, pa praninë e personit.</w:t>
      </w:r>
    </w:p>
    <w:p w:rsidR="0041518B" w:rsidRPr="00140D8C" w:rsidRDefault="0041518B" w:rsidP="0041518B">
      <w:pPr>
        <w:pStyle w:val="Paragrafi"/>
        <w:rPr>
          <w:spacing w:val="-4"/>
          <w:szCs w:val="24"/>
          <w:lang w:val="sq-AL"/>
        </w:rPr>
      </w:pPr>
      <w:r w:rsidRPr="00140D8C">
        <w:rPr>
          <w:spacing w:val="-4"/>
          <w:szCs w:val="24"/>
          <w:lang w:val="sq-AL"/>
        </w:rPr>
        <w:t>9. Vendimet e Komisionit Epror merren me shumicë të thjeshtë votash. Anëtarët e Komisionit kanë të drejtë të argumentojnë votën e tyre pro ose kundër.</w:t>
      </w:r>
    </w:p>
    <w:p w:rsidR="0041518B" w:rsidRPr="00140D8C" w:rsidRDefault="0041518B" w:rsidP="0041518B">
      <w:pPr>
        <w:pStyle w:val="Paragrafi"/>
        <w:rPr>
          <w:spacing w:val="-4"/>
          <w:szCs w:val="24"/>
          <w:lang w:val="sq-AL"/>
        </w:rPr>
      </w:pPr>
      <w:r w:rsidRPr="00140D8C">
        <w:rPr>
          <w:spacing w:val="-4"/>
          <w:szCs w:val="24"/>
          <w:lang w:val="sq-AL"/>
        </w:rPr>
        <w:t>10.  Në vendimin e Komisionit Epror, që plotësohet sipas formularit të caktuar, të dhënë në aneksin 3, bashkëlidhur këtij vendimi, përcaktohen:</w:t>
      </w:r>
    </w:p>
    <w:p w:rsidR="0041518B" w:rsidRPr="00140D8C" w:rsidRDefault="0041518B" w:rsidP="0041518B">
      <w:pPr>
        <w:pStyle w:val="Paragrafi"/>
        <w:rPr>
          <w:spacing w:val="-4"/>
          <w:szCs w:val="24"/>
          <w:lang w:val="sq-AL"/>
        </w:rPr>
      </w:pPr>
      <w:r w:rsidRPr="00140D8C">
        <w:rPr>
          <w:spacing w:val="-4"/>
          <w:szCs w:val="24"/>
          <w:lang w:val="sq-AL"/>
        </w:rPr>
        <w:t>a) diagnoza me kodin përkatës të sëmundjes;</w:t>
      </w:r>
    </w:p>
    <w:p w:rsidR="0041518B" w:rsidRPr="00140D8C" w:rsidRDefault="0041518B" w:rsidP="0041518B">
      <w:pPr>
        <w:pStyle w:val="Paragrafi"/>
        <w:rPr>
          <w:spacing w:val="-4"/>
          <w:szCs w:val="24"/>
          <w:lang w:val="sq-AL"/>
        </w:rPr>
      </w:pPr>
      <w:r w:rsidRPr="00140D8C">
        <w:rPr>
          <w:spacing w:val="-4"/>
          <w:szCs w:val="24"/>
          <w:lang w:val="sq-AL"/>
        </w:rPr>
        <w:t>b) shkalla e humbjes së aftësisë për punë /  aftësisë së kufizuar;</w:t>
      </w:r>
    </w:p>
    <w:p w:rsidR="0041518B" w:rsidRPr="00140D8C" w:rsidRDefault="0041518B" w:rsidP="0041518B">
      <w:pPr>
        <w:pStyle w:val="Paragrafi"/>
        <w:rPr>
          <w:spacing w:val="-4"/>
          <w:szCs w:val="24"/>
          <w:lang w:val="sq-AL"/>
        </w:rPr>
      </w:pPr>
      <w:r w:rsidRPr="00140D8C">
        <w:rPr>
          <w:spacing w:val="-4"/>
          <w:szCs w:val="24"/>
          <w:lang w:val="sq-AL"/>
        </w:rPr>
        <w:t>c) shkaku i invaliditetit, si: sëmundje e përgjithshme, aksident në punë ose sëmundje profesionale;</w:t>
      </w:r>
    </w:p>
    <w:p w:rsidR="0041518B" w:rsidRPr="00140D8C" w:rsidRDefault="0041518B" w:rsidP="0041518B">
      <w:pPr>
        <w:pStyle w:val="Paragrafi"/>
        <w:rPr>
          <w:spacing w:val="-4"/>
          <w:szCs w:val="24"/>
          <w:lang w:val="sq-AL"/>
        </w:rPr>
      </w:pPr>
      <w:r w:rsidRPr="00140D8C">
        <w:rPr>
          <w:spacing w:val="-4"/>
          <w:szCs w:val="24"/>
          <w:lang w:val="sq-AL"/>
        </w:rPr>
        <w:t>ç) koha e fillimit të invaliditetit/aftësisë së kufizuar;</w:t>
      </w:r>
    </w:p>
    <w:p w:rsidR="0041518B" w:rsidRPr="00140D8C" w:rsidRDefault="0041518B" w:rsidP="0041518B">
      <w:pPr>
        <w:pStyle w:val="Paragrafi"/>
        <w:rPr>
          <w:spacing w:val="-4"/>
          <w:szCs w:val="24"/>
          <w:lang w:val="sq-AL"/>
        </w:rPr>
      </w:pPr>
      <w:r w:rsidRPr="00140D8C">
        <w:rPr>
          <w:spacing w:val="-4"/>
          <w:szCs w:val="24"/>
          <w:lang w:val="sq-AL"/>
        </w:rPr>
        <w:t>d) periudha e përfitimit dhe afati i rikontrollit;</w:t>
      </w:r>
    </w:p>
    <w:p w:rsidR="0041518B" w:rsidRPr="00140D8C" w:rsidRDefault="0041518B" w:rsidP="0041518B">
      <w:pPr>
        <w:pStyle w:val="Paragrafi"/>
        <w:rPr>
          <w:spacing w:val="-4"/>
          <w:szCs w:val="24"/>
          <w:lang w:val="sq-AL"/>
        </w:rPr>
      </w:pPr>
      <w:r w:rsidRPr="00140D8C">
        <w:rPr>
          <w:spacing w:val="-4"/>
          <w:szCs w:val="24"/>
          <w:lang w:val="sq-AL"/>
        </w:rPr>
        <w:t>dh) kushtet dhe karakteri i punës që duhet të kryejë invalidi/personi me aftësi të kufizuara;</w:t>
      </w:r>
    </w:p>
    <w:p w:rsidR="0041518B" w:rsidRPr="00140D8C" w:rsidRDefault="0041518B" w:rsidP="0041518B">
      <w:pPr>
        <w:pStyle w:val="Paragrafi"/>
        <w:rPr>
          <w:spacing w:val="-4"/>
          <w:szCs w:val="24"/>
          <w:lang w:val="sq-AL"/>
        </w:rPr>
      </w:pPr>
      <w:r w:rsidRPr="00140D8C">
        <w:rPr>
          <w:spacing w:val="-4"/>
          <w:szCs w:val="24"/>
          <w:lang w:val="sq-AL"/>
        </w:rPr>
        <w:t>e) masat që duhen marrë për riaftësimin e plotë fizik, si dhe drejtimet për riaftësimin profesional të invalidit/personit me aftësi të kufizuara.</w:t>
      </w:r>
    </w:p>
    <w:p w:rsidR="0041518B" w:rsidRPr="00140D8C" w:rsidRDefault="0041518B" w:rsidP="0041518B">
      <w:pPr>
        <w:pStyle w:val="Paragrafi"/>
        <w:rPr>
          <w:spacing w:val="-4"/>
          <w:szCs w:val="24"/>
          <w:lang w:val="sq-AL"/>
        </w:rPr>
      </w:pPr>
      <w:r w:rsidRPr="00140D8C">
        <w:rPr>
          <w:spacing w:val="-4"/>
          <w:szCs w:val="24"/>
          <w:lang w:val="sq-AL"/>
        </w:rPr>
        <w:t>11. Vendimi i Komisionit Epror arkivohet në dosjen përkatëse dhe i njoftohet me shkrim edhe ankimuesit, brenda një afati 8-ditor.</w:t>
      </w:r>
    </w:p>
    <w:p w:rsidR="0041518B" w:rsidRPr="00140D8C" w:rsidRDefault="0041518B" w:rsidP="0041518B">
      <w:pPr>
        <w:pStyle w:val="Paragrafi"/>
        <w:rPr>
          <w:spacing w:val="-4"/>
          <w:szCs w:val="24"/>
          <w:lang w:val="sq-AL"/>
        </w:rPr>
      </w:pPr>
      <w:r w:rsidRPr="00140D8C">
        <w:rPr>
          <w:spacing w:val="-4"/>
          <w:szCs w:val="24"/>
          <w:lang w:val="sq-AL"/>
        </w:rPr>
        <w:t>12. Nëse ankimuesit nuk paraqiten për komisionim 2 herë radhazi dhe refuzojnë të kryejnë ekzaminimet e kërkuara apo mjekimin e rekomanduar, Komisioni Epror merr vendim “pa invaliditet/pa aftësi të kufizuar”, dhe dosja i kthehet Drejtorisë Rajonale të Sigurimeve Shoqërore/Drejtorisë Rajonale të Shërbimit Social Shtetëror. Në këtë rast dosja konsiderohet e mbyllur  dhe  për  rihapjen e saj  do të ndiqet  procedura  si  për  rastet  që  paraqiten për komisionim për herë të parë.</w:t>
      </w:r>
    </w:p>
    <w:p w:rsidR="0041518B" w:rsidRPr="00140D8C" w:rsidRDefault="0041518B" w:rsidP="0041518B">
      <w:pPr>
        <w:pStyle w:val="Paragrafi"/>
        <w:rPr>
          <w:spacing w:val="-4"/>
          <w:szCs w:val="24"/>
          <w:lang w:val="sq-AL"/>
        </w:rPr>
      </w:pPr>
      <w:r w:rsidRPr="00140D8C">
        <w:rPr>
          <w:spacing w:val="-4"/>
          <w:szCs w:val="24"/>
          <w:lang w:val="sq-AL"/>
        </w:rPr>
        <w:t>13. Komisioni Epror nuk mund të marrë në rishqyrtim rastet për të cilat ai është shprehur një herë, në rastet kur ankimuesi ka të njëjtën gjendje shëndetësore apo aftësi të kufizuar.</w:t>
      </w:r>
    </w:p>
    <w:p w:rsidR="0041518B" w:rsidRPr="00140D8C" w:rsidRDefault="0041518B" w:rsidP="0041518B">
      <w:pPr>
        <w:pStyle w:val="Paragrafi"/>
        <w:rPr>
          <w:spacing w:val="-4"/>
          <w:szCs w:val="24"/>
          <w:lang w:val="sq-AL"/>
        </w:rPr>
      </w:pPr>
      <w:r w:rsidRPr="00140D8C">
        <w:rPr>
          <w:spacing w:val="-4"/>
          <w:szCs w:val="24"/>
          <w:lang w:val="sq-AL"/>
        </w:rPr>
        <w:t xml:space="preserve">14. Efektet financiare të këtij vendimi të përballohen nga buxheti vjetor i miratuar për Institutin e Sigurimeve Shoqërore dhe për Shërbimin Social Shtetëror.  </w:t>
      </w:r>
    </w:p>
    <w:p w:rsidR="0041518B" w:rsidRPr="00140D8C" w:rsidRDefault="0041518B" w:rsidP="0041518B">
      <w:pPr>
        <w:pStyle w:val="Paragrafi"/>
        <w:rPr>
          <w:spacing w:val="-4"/>
          <w:szCs w:val="24"/>
          <w:lang w:val="sq-AL"/>
        </w:rPr>
      </w:pPr>
      <w:r w:rsidRPr="00140D8C">
        <w:rPr>
          <w:spacing w:val="-4"/>
          <w:szCs w:val="24"/>
          <w:lang w:val="sq-AL"/>
        </w:rPr>
        <w:t>15. Ngarkohen Ministria e Mirëqenies Sociale dhe Rinisë, Ministria e Financave, Ministria e Shëndetësisë, Ministria e Drejtësisë, Instituti i Sigurimeve Shoqërore dhe Shërbimi Social Shtetëror për zbatimin këtij vendimi.</w:t>
      </w:r>
    </w:p>
    <w:p w:rsidR="0041518B" w:rsidRPr="00140D8C" w:rsidRDefault="0041518B" w:rsidP="0041518B">
      <w:pPr>
        <w:pStyle w:val="Paragrafi"/>
        <w:rPr>
          <w:spacing w:val="-4"/>
          <w:szCs w:val="24"/>
          <w:lang w:val="sq-AL"/>
        </w:rPr>
      </w:pPr>
      <w:r w:rsidRPr="00140D8C">
        <w:rPr>
          <w:spacing w:val="-4"/>
          <w:szCs w:val="24"/>
          <w:lang w:val="sq-AL"/>
        </w:rPr>
        <w:t>Ky vendim hyn në fuqi pas botimit në Fletoren Zyrtare.</w:t>
      </w:r>
    </w:p>
    <w:p w:rsidR="0041518B" w:rsidRPr="00140D8C" w:rsidRDefault="0041518B" w:rsidP="0041518B">
      <w:pPr>
        <w:pStyle w:val="Paragrafi"/>
        <w:jc w:val="right"/>
        <w:rPr>
          <w:spacing w:val="-4"/>
          <w:szCs w:val="24"/>
          <w:lang w:val="sq-AL"/>
        </w:rPr>
      </w:pPr>
      <w:r w:rsidRPr="00140D8C">
        <w:rPr>
          <w:spacing w:val="-4"/>
          <w:szCs w:val="24"/>
          <w:lang w:val="sq-AL"/>
        </w:rPr>
        <w:t>KRYEMINISTRI</w:t>
      </w:r>
    </w:p>
    <w:p w:rsidR="0041518B" w:rsidRPr="00140D8C" w:rsidRDefault="0041518B" w:rsidP="0041518B">
      <w:pPr>
        <w:pStyle w:val="Paragrafi"/>
        <w:jc w:val="right"/>
        <w:rPr>
          <w:b/>
          <w:spacing w:val="-4"/>
          <w:szCs w:val="24"/>
          <w:lang w:val="sq-AL"/>
        </w:rPr>
      </w:pPr>
      <w:r w:rsidRPr="00140D8C">
        <w:rPr>
          <w:b/>
          <w:spacing w:val="-4"/>
          <w:szCs w:val="24"/>
          <w:lang w:val="sq-AL"/>
        </w:rPr>
        <w:t>Edi Rama</w:t>
      </w:r>
    </w:p>
    <w:p w:rsidR="0041518B" w:rsidRPr="00140D8C" w:rsidRDefault="0041518B" w:rsidP="0041518B">
      <w:pPr>
        <w:pStyle w:val="Paragrafi"/>
        <w:rPr>
          <w:b/>
          <w:spacing w:val="-4"/>
          <w:szCs w:val="24"/>
          <w:lang w:val="sq-AL"/>
        </w:rPr>
        <w:sectPr w:rsidR="0041518B" w:rsidRPr="00140D8C" w:rsidSect="00B921D7">
          <w:pgSz w:w="11907" w:h="16840" w:code="9"/>
          <w:pgMar w:top="720" w:right="1134" w:bottom="720" w:left="1134" w:header="851" w:footer="851" w:gutter="0"/>
          <w:cols w:space="454"/>
          <w:docGrid w:linePitch="360"/>
        </w:sectPr>
      </w:pPr>
    </w:p>
    <w:p w:rsidR="0041518B" w:rsidRPr="00140D8C" w:rsidRDefault="0041518B" w:rsidP="0041518B">
      <w:pPr>
        <w:pStyle w:val="Paragrafi"/>
        <w:ind w:firstLine="0"/>
        <w:jc w:val="center"/>
        <w:rPr>
          <w:szCs w:val="24"/>
          <w:lang w:val="sq-AL"/>
        </w:rPr>
      </w:pPr>
      <w:r w:rsidRPr="00140D8C">
        <w:rPr>
          <w:noProof/>
          <w:szCs w:val="24"/>
        </w:rPr>
        <w:lastRenderedPageBreak/>
        <w:drawing>
          <wp:inline distT="0" distB="0" distL="0" distR="0" wp14:anchorId="1F4F669F" wp14:editId="4420953D">
            <wp:extent cx="5207000" cy="7859004"/>
            <wp:effectExtent l="19050" t="19050" r="12700" b="27696"/>
            <wp:docPr id="148" name="Picture 147" descr="Aneks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jpg"/>
                    <pic:cNvPicPr/>
                  </pic:nvPicPr>
                  <pic:blipFill>
                    <a:blip r:embed="rId5" cstate="print"/>
                    <a:srcRect l="3590" t="5720" r="14005" b="4045"/>
                    <a:stretch>
                      <a:fillRect/>
                    </a:stretch>
                  </pic:blipFill>
                  <pic:spPr>
                    <a:xfrm>
                      <a:off x="0" y="0"/>
                      <a:ext cx="5207000" cy="7859004"/>
                    </a:xfrm>
                    <a:prstGeom prst="rect">
                      <a:avLst/>
                    </a:prstGeom>
                    <a:ln>
                      <a:solidFill>
                        <a:schemeClr val="tx1"/>
                      </a:solidFill>
                    </a:ln>
                  </pic:spPr>
                </pic:pic>
              </a:graphicData>
            </a:graphic>
          </wp:inline>
        </w:drawing>
      </w:r>
    </w:p>
    <w:p w:rsidR="0041518B" w:rsidRPr="00140D8C" w:rsidRDefault="0041518B" w:rsidP="0041518B">
      <w:pPr>
        <w:pStyle w:val="Paragrafi"/>
        <w:rPr>
          <w:szCs w:val="24"/>
          <w:lang w:val="sq-AL"/>
        </w:rPr>
      </w:pPr>
    </w:p>
    <w:p w:rsidR="0041518B" w:rsidRPr="00140D8C" w:rsidRDefault="00140D8C" w:rsidP="0041518B">
      <w:pPr>
        <w:pStyle w:val="Paragrafi"/>
        <w:rPr>
          <w:szCs w:val="24"/>
          <w:lang w:val="sq-AL"/>
        </w:rPr>
      </w:pPr>
      <w:r>
        <w:rPr>
          <w:noProof/>
          <w:szCs w:val="24"/>
        </w:rPr>
        <w:lastRenderedPageBreak/>
        <mc:AlternateContent>
          <mc:Choice Requires="wps">
            <w:drawing>
              <wp:anchor distT="0" distB="0" distL="114300" distR="114300" simplePos="0" relativeHeight="251660288" behindDoc="0" locked="0" layoutInCell="1" allowOverlap="1">
                <wp:simplePos x="0" y="0"/>
                <wp:positionH relativeFrom="column">
                  <wp:posOffset>238125</wp:posOffset>
                </wp:positionH>
                <wp:positionV relativeFrom="paragraph">
                  <wp:posOffset>580390</wp:posOffset>
                </wp:positionV>
                <wp:extent cx="5742305" cy="177800"/>
                <wp:effectExtent l="9525" t="8890" r="10795" b="1333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2305" cy="17780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8.75pt;margin-top:45.7pt;width:452.15pt;height: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" strokecolor="white [3212]"/>
            </w:pict>
          </mc:Fallback>
        </mc:AlternateContent>
      </w:r>
      <w:r w:rsidR="0041518B" w:rsidRPr="00140D8C">
        <w:rPr>
          <w:noProof/>
          <w:szCs w:val="24"/>
        </w:rPr>
        <w:drawing>
          <wp:inline distT="0" distB="0" distL="0" distR="0" wp14:anchorId="310A16D5" wp14:editId="6B1AC2C4">
            <wp:extent cx="5811164" cy="3404819"/>
            <wp:effectExtent l="19050" t="19050" r="18136" b="24181"/>
            <wp:docPr id="150" name="Picture 149" descr="Anek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jpg"/>
                    <pic:cNvPicPr/>
                  </pic:nvPicPr>
                  <pic:blipFill>
                    <a:blip r:embed="rId6" cstate="print"/>
                    <a:srcRect l="4481" t="7449" r="14351" b="47449"/>
                    <a:stretch>
                      <a:fillRect/>
                    </a:stretch>
                  </pic:blipFill>
                  <pic:spPr>
                    <a:xfrm>
                      <a:off x="0" y="0"/>
                      <a:ext cx="5819744" cy="3409846"/>
                    </a:xfrm>
                    <a:prstGeom prst="rect">
                      <a:avLst/>
                    </a:prstGeom>
                    <a:ln>
                      <a:solidFill>
                        <a:schemeClr val="tx1"/>
                      </a:solidFill>
                    </a:ln>
                  </pic:spPr>
                </pic:pic>
              </a:graphicData>
            </a:graphic>
          </wp:inline>
        </w:drawing>
      </w:r>
    </w:p>
    <w:p w:rsidR="0041518B" w:rsidRPr="00140D8C" w:rsidRDefault="0041518B" w:rsidP="0041518B">
      <w:pPr>
        <w:pStyle w:val="Paragrafi"/>
        <w:rPr>
          <w:szCs w:val="24"/>
          <w:lang w:val="sq-AL"/>
        </w:rPr>
      </w:pPr>
    </w:p>
    <w:p w:rsidR="0041518B" w:rsidRPr="00140D8C" w:rsidRDefault="0041518B" w:rsidP="0041518B">
      <w:pPr>
        <w:pStyle w:val="Paragrafi"/>
        <w:rPr>
          <w:szCs w:val="24"/>
          <w:lang w:val="sq-AL"/>
        </w:rPr>
      </w:pPr>
    </w:p>
    <w:p w:rsidR="0041518B" w:rsidRPr="00140D8C" w:rsidRDefault="0041518B" w:rsidP="0041518B">
      <w:pPr>
        <w:pStyle w:val="Paragrafi"/>
        <w:jc w:val="center"/>
        <w:rPr>
          <w:szCs w:val="24"/>
          <w:lang w:val="sq-AL"/>
        </w:rPr>
      </w:pPr>
      <w:r w:rsidRPr="00140D8C">
        <w:rPr>
          <w:noProof/>
          <w:szCs w:val="24"/>
        </w:rPr>
        <w:lastRenderedPageBreak/>
        <w:drawing>
          <wp:inline distT="0" distB="0" distL="0" distR="0" wp14:anchorId="7CAECDCA" wp14:editId="5919B07F">
            <wp:extent cx="5848350" cy="7957201"/>
            <wp:effectExtent l="38100" t="19050" r="19050" b="24749"/>
            <wp:docPr id="151" name="Picture 150" descr="Aneksi 3 Formulari 1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Formulari 1_Page_1.jpg"/>
                    <pic:cNvPicPr/>
                  </pic:nvPicPr>
                  <pic:blipFill>
                    <a:blip r:embed="rId7" cstate="print"/>
                    <a:srcRect t="6559" r="9808" b="4291"/>
                    <a:stretch>
                      <a:fillRect/>
                    </a:stretch>
                  </pic:blipFill>
                  <pic:spPr>
                    <a:xfrm>
                      <a:off x="0" y="0"/>
                      <a:ext cx="5849162" cy="7958306"/>
                    </a:xfrm>
                    <a:prstGeom prst="rect">
                      <a:avLst/>
                    </a:prstGeom>
                    <a:ln>
                      <a:solidFill>
                        <a:schemeClr val="tx1"/>
                      </a:solidFill>
                    </a:ln>
                  </pic:spPr>
                </pic:pic>
              </a:graphicData>
            </a:graphic>
          </wp:inline>
        </w:drawing>
      </w:r>
      <w:r w:rsidRPr="00140D8C">
        <w:rPr>
          <w:noProof/>
          <w:szCs w:val="24"/>
        </w:rPr>
        <w:lastRenderedPageBreak/>
        <w:drawing>
          <wp:inline distT="0" distB="0" distL="0" distR="0" wp14:anchorId="4994EA8D" wp14:editId="70F70B12">
            <wp:extent cx="5884498" cy="6927850"/>
            <wp:effectExtent l="38100" t="19050" r="21002" b="25400"/>
            <wp:docPr id="152" name="Picture 151" descr="Aneksi 3 Formulari 1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Formulari 1_Page_2.jpg"/>
                    <pic:cNvPicPr/>
                  </pic:nvPicPr>
                  <pic:blipFill>
                    <a:blip r:embed="rId8" cstate="print"/>
                    <a:srcRect t="7773" r="9474" b="19271"/>
                    <a:stretch>
                      <a:fillRect/>
                    </a:stretch>
                  </pic:blipFill>
                  <pic:spPr>
                    <a:xfrm>
                      <a:off x="0" y="0"/>
                      <a:ext cx="5885950" cy="6929560"/>
                    </a:xfrm>
                    <a:prstGeom prst="rect">
                      <a:avLst/>
                    </a:prstGeom>
                    <a:ln>
                      <a:solidFill>
                        <a:schemeClr val="tx1"/>
                      </a:solidFill>
                    </a:ln>
                  </pic:spPr>
                </pic:pic>
              </a:graphicData>
            </a:graphic>
          </wp:inline>
        </w:drawing>
      </w:r>
      <w:r w:rsidRPr="00140D8C">
        <w:rPr>
          <w:noProof/>
          <w:szCs w:val="24"/>
        </w:rPr>
        <w:lastRenderedPageBreak/>
        <w:drawing>
          <wp:inline distT="0" distB="0" distL="0" distR="0" wp14:anchorId="5070A84D" wp14:editId="0CF56812">
            <wp:extent cx="5829300" cy="7747000"/>
            <wp:effectExtent l="38100" t="19050" r="19050" b="25400"/>
            <wp:docPr id="153" name="Picture 152" descr="Aneksi 3 Formulari 1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Formulari 1_Page_3.jpg"/>
                    <pic:cNvPicPr/>
                  </pic:nvPicPr>
                  <pic:blipFill>
                    <a:blip r:embed="rId9" cstate="print"/>
                    <a:srcRect t="7045" r="10254" b="5344"/>
                    <a:stretch>
                      <a:fillRect/>
                    </a:stretch>
                  </pic:blipFill>
                  <pic:spPr>
                    <a:xfrm>
                      <a:off x="0" y="0"/>
                      <a:ext cx="5831312" cy="7749674"/>
                    </a:xfrm>
                    <a:prstGeom prst="rect">
                      <a:avLst/>
                    </a:prstGeom>
                    <a:ln>
                      <a:solidFill>
                        <a:schemeClr val="tx1"/>
                      </a:solidFill>
                    </a:ln>
                  </pic:spPr>
                </pic:pic>
              </a:graphicData>
            </a:graphic>
          </wp:inline>
        </w:drawing>
      </w:r>
    </w:p>
    <w:p w:rsidR="0041518B" w:rsidRPr="00140D8C" w:rsidRDefault="0041518B" w:rsidP="0041518B">
      <w:pPr>
        <w:pStyle w:val="Paragrafi"/>
        <w:rPr>
          <w:szCs w:val="24"/>
          <w:lang w:val="sq-AL"/>
        </w:rPr>
      </w:pPr>
    </w:p>
    <w:p w:rsidR="0041518B" w:rsidRPr="00140D8C" w:rsidRDefault="0041518B" w:rsidP="0041518B">
      <w:pPr>
        <w:pStyle w:val="Paragrafi"/>
        <w:rPr>
          <w:szCs w:val="24"/>
          <w:lang w:val="sq-AL"/>
        </w:rPr>
      </w:pPr>
      <w:r w:rsidRPr="00140D8C">
        <w:rPr>
          <w:noProof/>
          <w:szCs w:val="24"/>
        </w:rPr>
        <w:lastRenderedPageBreak/>
        <w:drawing>
          <wp:inline distT="0" distB="0" distL="0" distR="0" wp14:anchorId="3DA622B3" wp14:editId="298E14A8">
            <wp:extent cx="5453702" cy="7829125"/>
            <wp:effectExtent l="38100" t="19050" r="13648" b="19475"/>
            <wp:docPr id="154" name="Picture 153" descr="Aneks_3_Formula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_3_Formular_2.jpg"/>
                    <pic:cNvPicPr/>
                  </pic:nvPicPr>
                  <pic:blipFill>
                    <a:blip r:embed="rId10" cstate="print"/>
                    <a:srcRect l="4704" t="5516" r="6217" b="4073"/>
                    <a:stretch>
                      <a:fillRect/>
                    </a:stretch>
                  </pic:blipFill>
                  <pic:spPr>
                    <a:xfrm>
                      <a:off x="0" y="0"/>
                      <a:ext cx="5453702" cy="7829125"/>
                    </a:xfrm>
                    <a:prstGeom prst="rect">
                      <a:avLst/>
                    </a:prstGeom>
                    <a:ln>
                      <a:solidFill>
                        <a:schemeClr val="tx1"/>
                      </a:solidFill>
                    </a:ln>
                  </pic:spPr>
                </pic:pic>
              </a:graphicData>
            </a:graphic>
          </wp:inline>
        </w:drawing>
      </w:r>
      <w:r w:rsidRPr="00140D8C">
        <w:rPr>
          <w:szCs w:val="24"/>
          <w:lang w:val="sq-AL"/>
        </w:rPr>
        <w:t xml:space="preserve"> </w:t>
      </w:r>
    </w:p>
    <w:p w:rsidR="0041518B" w:rsidRPr="00140D8C" w:rsidRDefault="0041518B" w:rsidP="0041518B">
      <w:pPr>
        <w:pStyle w:val="Paragrafi"/>
        <w:rPr>
          <w:szCs w:val="24"/>
          <w:lang w:val="sq-AL"/>
        </w:rPr>
      </w:pPr>
    </w:p>
    <w:p w:rsidR="00FD57DC" w:rsidRPr="00140D8C" w:rsidRDefault="00140D8C">
      <w:pPr>
        <w:rPr>
          <w:rFonts w:ascii="Garamond" w:hAnsi="Garamond"/>
          <w:sz w:val="24"/>
          <w:szCs w:val="24"/>
        </w:rPr>
      </w:pPr>
    </w:p>
    <w:sectPr w:rsidR="00FD57DC" w:rsidRPr="00140D8C" w:rsidSect="00B92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18B"/>
    <w:rsid w:val="00013606"/>
    <w:rsid w:val="00032E53"/>
    <w:rsid w:val="00140D8C"/>
    <w:rsid w:val="001D125B"/>
    <w:rsid w:val="002135CF"/>
    <w:rsid w:val="002C0AA4"/>
    <w:rsid w:val="002E7553"/>
    <w:rsid w:val="00332E0F"/>
    <w:rsid w:val="0041518B"/>
    <w:rsid w:val="00455FC5"/>
    <w:rsid w:val="004A4709"/>
    <w:rsid w:val="005F579C"/>
    <w:rsid w:val="00627136"/>
    <w:rsid w:val="006815F0"/>
    <w:rsid w:val="007A33AA"/>
    <w:rsid w:val="00912120"/>
    <w:rsid w:val="009D67BE"/>
    <w:rsid w:val="00A3508F"/>
    <w:rsid w:val="00B441A3"/>
    <w:rsid w:val="00B921D7"/>
    <w:rsid w:val="00D27DAF"/>
    <w:rsid w:val="00D969A9"/>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1518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1518B"/>
    <w:rPr>
      <w:rFonts w:ascii="Garamond" w:eastAsia="MS Mincho" w:hAnsi="Garamond" w:cs="CG Times"/>
      <w:sz w:val="24"/>
    </w:rPr>
  </w:style>
  <w:style w:type="paragraph" w:customStyle="1" w:styleId="Hapesira7">
    <w:name w:val="Hapesira 7"/>
    <w:basedOn w:val="Paragrafi"/>
    <w:qFormat/>
    <w:rsid w:val="0041518B"/>
    <w:rPr>
      <w:sz w:val="14"/>
      <w:szCs w:val="24"/>
    </w:rPr>
  </w:style>
  <w:style w:type="paragraph" w:styleId="BalloonText">
    <w:name w:val="Balloon Text"/>
    <w:basedOn w:val="Normal"/>
    <w:link w:val="BalloonTextChar"/>
    <w:uiPriority w:val="99"/>
    <w:semiHidden/>
    <w:unhideWhenUsed/>
    <w:rsid w:val="0041518B"/>
    <w:rPr>
      <w:rFonts w:ascii="Tahoma" w:hAnsi="Tahoma" w:cs="Tahoma"/>
      <w:sz w:val="16"/>
      <w:szCs w:val="16"/>
    </w:rPr>
  </w:style>
  <w:style w:type="character" w:customStyle="1" w:styleId="BalloonTextChar">
    <w:name w:val="Balloon Text Char"/>
    <w:basedOn w:val="DefaultParagraphFont"/>
    <w:link w:val="BalloonText"/>
    <w:uiPriority w:val="99"/>
    <w:semiHidden/>
    <w:rsid w:val="0041518B"/>
    <w:rPr>
      <w:rFonts w:ascii="Tahoma" w:hAnsi="Tahoma" w:cs="Tahoma"/>
      <w:sz w:val="16"/>
      <w:szCs w:val="16"/>
    </w:rPr>
  </w:style>
  <w:style w:type="paragraph" w:customStyle="1" w:styleId="Default">
    <w:name w:val="Default"/>
    <w:rsid w:val="00140D8C"/>
    <w:pPr>
      <w:autoSpaceDE w:val="0"/>
      <w:autoSpaceDN w:val="0"/>
      <w:adjustRightInd w:val="0"/>
      <w:jc w:val="left"/>
    </w:pPr>
    <w:rPr>
      <w:rFonts w:ascii="Garamond" w:eastAsia="Times New Roman" w:hAnsi="Garamond" w:cs="Garamon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1518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1518B"/>
    <w:rPr>
      <w:rFonts w:ascii="Garamond" w:eastAsia="MS Mincho" w:hAnsi="Garamond" w:cs="CG Times"/>
      <w:sz w:val="24"/>
    </w:rPr>
  </w:style>
  <w:style w:type="paragraph" w:customStyle="1" w:styleId="Hapesira7">
    <w:name w:val="Hapesira 7"/>
    <w:basedOn w:val="Paragrafi"/>
    <w:qFormat/>
    <w:rsid w:val="0041518B"/>
    <w:rPr>
      <w:sz w:val="14"/>
      <w:szCs w:val="24"/>
    </w:rPr>
  </w:style>
  <w:style w:type="paragraph" w:styleId="BalloonText">
    <w:name w:val="Balloon Text"/>
    <w:basedOn w:val="Normal"/>
    <w:link w:val="BalloonTextChar"/>
    <w:uiPriority w:val="99"/>
    <w:semiHidden/>
    <w:unhideWhenUsed/>
    <w:rsid w:val="0041518B"/>
    <w:rPr>
      <w:rFonts w:ascii="Tahoma" w:hAnsi="Tahoma" w:cs="Tahoma"/>
      <w:sz w:val="16"/>
      <w:szCs w:val="16"/>
    </w:rPr>
  </w:style>
  <w:style w:type="character" w:customStyle="1" w:styleId="BalloonTextChar">
    <w:name w:val="Balloon Text Char"/>
    <w:basedOn w:val="DefaultParagraphFont"/>
    <w:link w:val="BalloonText"/>
    <w:uiPriority w:val="99"/>
    <w:semiHidden/>
    <w:rsid w:val="0041518B"/>
    <w:rPr>
      <w:rFonts w:ascii="Tahoma" w:hAnsi="Tahoma" w:cs="Tahoma"/>
      <w:sz w:val="16"/>
      <w:szCs w:val="16"/>
    </w:rPr>
  </w:style>
  <w:style w:type="paragraph" w:customStyle="1" w:styleId="Default">
    <w:name w:val="Default"/>
    <w:rsid w:val="00140D8C"/>
    <w:pPr>
      <w:autoSpaceDE w:val="0"/>
      <w:autoSpaceDN w:val="0"/>
      <w:adjustRightInd w:val="0"/>
      <w:jc w:val="left"/>
    </w:pPr>
    <w:rPr>
      <w:rFonts w:ascii="Garamond" w:eastAsia="Times New Roman"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cp:lastPrinted>2019-01-30T09:30:00Z</cp:lastPrinted>
  <dcterms:created xsi:type="dcterms:W3CDTF">2022-05-05T09:56:00Z</dcterms:created>
  <dcterms:modified xsi:type="dcterms:W3CDTF">2022-05-05T09:56:00Z</dcterms:modified>
</cp:coreProperties>
</file>