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18E5" w:rsidRPr="008575ED" w:rsidRDefault="004A18E5" w:rsidP="004A18E5">
      <w:pPr>
        <w:pStyle w:val="Paragrafi"/>
        <w:jc w:val="center"/>
        <w:rPr>
          <w:b/>
          <w:spacing w:val="-4"/>
          <w:lang w:val="sq-AL"/>
        </w:rPr>
      </w:pPr>
      <w:r w:rsidRPr="008575ED">
        <w:rPr>
          <w:b/>
          <w:spacing w:val="-4"/>
          <w:lang w:val="sq-AL"/>
        </w:rPr>
        <w:t>VENDIM</w:t>
      </w:r>
    </w:p>
    <w:p w:rsidR="004A18E5" w:rsidRPr="008575ED" w:rsidRDefault="004A18E5" w:rsidP="004A18E5">
      <w:pPr>
        <w:pStyle w:val="Paragrafi"/>
        <w:jc w:val="center"/>
        <w:rPr>
          <w:b/>
          <w:spacing w:val="-4"/>
          <w:lang w:val="sq-AL"/>
        </w:rPr>
      </w:pPr>
      <w:r w:rsidRPr="008575ED">
        <w:rPr>
          <w:b/>
          <w:spacing w:val="-4"/>
          <w:lang w:val="sq-AL"/>
        </w:rPr>
        <w:t>Nr. 687, datë 29.7.2015</w:t>
      </w:r>
    </w:p>
    <w:p w:rsidR="004A18E5" w:rsidRPr="008575ED" w:rsidRDefault="004A18E5" w:rsidP="004A18E5">
      <w:pPr>
        <w:pStyle w:val="Hapesira7"/>
        <w:rPr>
          <w:spacing w:val="-4"/>
          <w:lang w:val="sq-AL"/>
        </w:rPr>
      </w:pPr>
    </w:p>
    <w:p w:rsidR="004A18E5" w:rsidRPr="008575ED" w:rsidRDefault="004A18E5" w:rsidP="004A18E5">
      <w:pPr>
        <w:pStyle w:val="Paragrafi"/>
        <w:jc w:val="center"/>
        <w:rPr>
          <w:b/>
          <w:spacing w:val="-4"/>
          <w:lang w:val="sq-AL"/>
        </w:rPr>
      </w:pPr>
      <w:r w:rsidRPr="008575ED">
        <w:rPr>
          <w:b/>
          <w:spacing w:val="-4"/>
          <w:lang w:val="sq-AL"/>
        </w:rPr>
        <w:t>PËR MIRATIMIN E RREGULLAVE PËR MBAJTJEN, PËRDITËSIMIN DHE PUBLIKIMIN E STATISTIKAVE TË MBETJEVE</w:t>
      </w:r>
      <w:r w:rsidRPr="008575ED">
        <w:rPr>
          <w:b/>
          <w:spacing w:val="-4"/>
          <w:vertAlign w:val="superscript"/>
          <w:lang w:val="sq-AL"/>
        </w:rPr>
        <w:footnoteReference w:id="1"/>
      </w:r>
    </w:p>
    <w:p w:rsidR="004A18E5" w:rsidRPr="008575ED" w:rsidRDefault="004A18E5" w:rsidP="004A18E5">
      <w:pPr>
        <w:pStyle w:val="Hapesira7"/>
        <w:rPr>
          <w:spacing w:val="-4"/>
          <w:lang w:val="sq-AL"/>
        </w:rPr>
      </w:pPr>
    </w:p>
    <w:p w:rsidR="004A18E5" w:rsidRPr="008575ED" w:rsidRDefault="004A18E5" w:rsidP="004A18E5">
      <w:pPr>
        <w:pStyle w:val="Paragrafi"/>
        <w:rPr>
          <w:spacing w:val="-4"/>
          <w:lang w:val="sq-AL"/>
        </w:rPr>
      </w:pPr>
      <w:r w:rsidRPr="008575ED">
        <w:rPr>
          <w:spacing w:val="-4"/>
          <w:lang w:val="sq-AL"/>
        </w:rPr>
        <w:t>Në mbështetje të nenit 100 të Kushtetutës dhe të nenit 60, të ligjit nr. 10463, datë 22.9.2011, “Për menaxhimin e integruar të mbetjeve”, të ndryshuar, me propozimin e ministrit të Mjedisit, Këshilli i Ministrave,</w:t>
      </w:r>
    </w:p>
    <w:p w:rsidR="004A18E5" w:rsidRPr="008575ED" w:rsidRDefault="004A18E5" w:rsidP="004A18E5">
      <w:pPr>
        <w:pStyle w:val="Hapesira7"/>
        <w:rPr>
          <w:spacing w:val="-4"/>
          <w:sz w:val="6"/>
          <w:lang w:val="sq-AL"/>
        </w:rPr>
      </w:pPr>
    </w:p>
    <w:p w:rsidR="004A18E5" w:rsidRPr="008575ED" w:rsidRDefault="004A18E5" w:rsidP="004A18E5">
      <w:pPr>
        <w:pStyle w:val="Paragrafi"/>
        <w:jc w:val="center"/>
        <w:rPr>
          <w:spacing w:val="-4"/>
          <w:lang w:val="sq-AL"/>
        </w:rPr>
      </w:pPr>
      <w:r w:rsidRPr="008575ED">
        <w:rPr>
          <w:spacing w:val="-4"/>
          <w:lang w:val="sq-AL"/>
        </w:rPr>
        <w:t>VENDOSI:</w:t>
      </w:r>
    </w:p>
    <w:p w:rsidR="004A18E5" w:rsidRPr="008575ED" w:rsidRDefault="004A18E5" w:rsidP="004A18E5">
      <w:pPr>
        <w:pStyle w:val="Hapesira7"/>
        <w:rPr>
          <w:spacing w:val="-4"/>
          <w:lang w:val="sq-AL"/>
        </w:rPr>
      </w:pPr>
    </w:p>
    <w:p w:rsidR="004A18E5" w:rsidRPr="008575ED" w:rsidRDefault="004A18E5" w:rsidP="004A18E5">
      <w:pPr>
        <w:pStyle w:val="Paragrafi"/>
        <w:rPr>
          <w:spacing w:val="-4"/>
          <w:lang w:val="sq-AL"/>
        </w:rPr>
      </w:pPr>
      <w:r w:rsidRPr="008575ED">
        <w:rPr>
          <w:spacing w:val="-4"/>
          <w:lang w:val="sq-AL"/>
        </w:rPr>
        <w:t>1. Miratimin e rregullave për mbajtjen, përditësimin dhe publikimin e statistikave të mbetjeve që lidhen me krijimin, riciklimin, rikuperimin, eksportin dhe asgjësimin e tyre në territorin e Republikës së Shqipërisë.</w:t>
      </w:r>
    </w:p>
    <w:p w:rsidR="004A18E5" w:rsidRPr="008575ED" w:rsidRDefault="004A18E5" w:rsidP="004A18E5">
      <w:pPr>
        <w:pStyle w:val="Paragrafi"/>
        <w:rPr>
          <w:spacing w:val="-4"/>
          <w:lang w:val="sq-AL"/>
        </w:rPr>
      </w:pPr>
      <w:r w:rsidRPr="008575ED">
        <w:rPr>
          <w:spacing w:val="-4"/>
          <w:lang w:val="sq-AL"/>
        </w:rPr>
        <w:t>2. Njësitë e qeverisjes vendore janë përgjegjëse për grumbullimin e diferencuar të mbetjeve në burim, sipas llojit, sasisë dhe përbërjes së tyre, të krijuara në territorin e njësisë së qeverisjes vendore që ato administrojnë.</w:t>
      </w:r>
    </w:p>
    <w:p w:rsidR="004A18E5" w:rsidRPr="008575ED" w:rsidRDefault="004A18E5" w:rsidP="004A18E5">
      <w:pPr>
        <w:pStyle w:val="Paragrafi"/>
        <w:rPr>
          <w:spacing w:val="-4"/>
          <w:lang w:val="sq-AL"/>
        </w:rPr>
      </w:pPr>
      <w:r w:rsidRPr="008575ED">
        <w:rPr>
          <w:spacing w:val="-4"/>
          <w:lang w:val="sq-AL"/>
        </w:rPr>
        <w:t>3. Mbetjet e grumbulluara në mënyrë të diferencuar duhet të trajtohen referuar ligjit nr. 10463, datë 22.9.2011, “Për menaxhimin e integruar të mbetjeve”, të ndryshuar, me qëllim mbledhjen e përpunimin e të dhënave prej tyre.</w:t>
      </w:r>
    </w:p>
    <w:p w:rsidR="004A18E5" w:rsidRPr="008575ED" w:rsidRDefault="004A18E5" w:rsidP="004A18E5">
      <w:pPr>
        <w:pStyle w:val="Paragrafi"/>
        <w:rPr>
          <w:spacing w:val="-4"/>
          <w:lang w:val="sq-AL"/>
        </w:rPr>
      </w:pPr>
      <w:r w:rsidRPr="008575ED">
        <w:rPr>
          <w:spacing w:val="-4"/>
          <w:lang w:val="sq-AL"/>
        </w:rPr>
        <w:t>4. Njësitë e qeverisjes vendore janë të detyruara të plotësojnë formatin e raportimit të statistikave vjetore të mbetjeve për mbetjet e krijuara në territorin e tyre, sipas shtojcës nr. 3, bashkëlidhur këtij vendimi, dhe këto të dhëna ia dërgojnë këshillit të qarkut përkatës, Agjencisë Kombëtare të Mjedisit dhe ministrisë përgjegjëse për infrastruk</w:t>
      </w:r>
      <w:r>
        <w:rPr>
          <w:spacing w:val="-4"/>
          <w:lang w:val="sq-AL"/>
        </w:rPr>
        <w:t>-</w:t>
      </w:r>
      <w:r w:rsidRPr="008575ED">
        <w:rPr>
          <w:spacing w:val="-4"/>
          <w:lang w:val="sq-AL"/>
        </w:rPr>
        <w:t>turën/transportin brenda datës 31 janar, të çdo viti.</w:t>
      </w:r>
    </w:p>
    <w:p w:rsidR="004A18E5" w:rsidRPr="008575ED" w:rsidRDefault="004A18E5" w:rsidP="004A18E5">
      <w:pPr>
        <w:pStyle w:val="Paragrafi"/>
        <w:rPr>
          <w:spacing w:val="-4"/>
          <w:lang w:val="sq-AL"/>
        </w:rPr>
      </w:pPr>
      <w:bookmarkStart w:id="0" w:name="_GoBack"/>
      <w:bookmarkEnd w:id="0"/>
      <w:r w:rsidRPr="008575ED">
        <w:rPr>
          <w:spacing w:val="-4"/>
          <w:lang w:val="sq-AL"/>
        </w:rPr>
        <w:t>5. Mbështetur në vendimin nr. 1189, datë 18.11.2009, të Këshillit të Ministrave, “Për rregullat dhe procedurat për hartimin dhe zbatimin e programit kombëtar të monitorimit të mjedisit”, ministria përgjegjëse për bujqësinë, ministria përgjegjëse për infrastrukturën/transportin, minis</w:t>
      </w:r>
      <w:r>
        <w:rPr>
          <w:spacing w:val="-4"/>
          <w:lang w:val="sq-AL"/>
        </w:rPr>
        <w:t>-</w:t>
      </w:r>
      <w:r w:rsidRPr="008575ED">
        <w:rPr>
          <w:spacing w:val="-4"/>
          <w:lang w:val="sq-AL"/>
        </w:rPr>
        <w:t>tria përgjegjëse për shëndetësinë dhe ministria përgjegjëse për industrinë janë të detyruara të plotësojnë formatin e raportimit të statistikave vjetore të mbetjeve, sipas shtojcës nr. 2, bashkë</w:t>
      </w:r>
      <w:r>
        <w:rPr>
          <w:spacing w:val="-4"/>
          <w:lang w:val="sq-AL"/>
        </w:rPr>
        <w:t>-</w:t>
      </w:r>
      <w:r w:rsidRPr="008575ED">
        <w:rPr>
          <w:spacing w:val="-4"/>
          <w:lang w:val="sq-AL"/>
        </w:rPr>
        <w:t>lidhur këtij vendimi, dhe t’ia dorëzojnë Agjencisë Kombëtare të Mjedisit brenda datës 10 shkurt të çdo viti.</w:t>
      </w:r>
    </w:p>
    <w:p w:rsidR="004A18E5" w:rsidRPr="008575ED" w:rsidRDefault="004A18E5" w:rsidP="004A18E5">
      <w:pPr>
        <w:pStyle w:val="Paragrafi"/>
        <w:rPr>
          <w:spacing w:val="-4"/>
          <w:lang w:val="sq-AL"/>
        </w:rPr>
      </w:pPr>
      <w:r w:rsidRPr="008575ED">
        <w:rPr>
          <w:spacing w:val="-4"/>
          <w:lang w:val="sq-AL"/>
        </w:rPr>
        <w:t>6. Agjencia Kombëtare e Mjedisit mbledh, mban dhe përditëson statistikat për mbetjet sipas shtojcës nr. 1, bashkëlidhur këtij vendimi, në bazë të të dhënave të grumbulluara referuar pikave 4 e 5, të këtij vendimi, të cilat ia raporton ministrisë, brenda datës 28 shkurt të çdo viti.</w:t>
      </w:r>
    </w:p>
    <w:p w:rsidR="004A18E5" w:rsidRPr="008575ED" w:rsidRDefault="004A18E5" w:rsidP="004A18E5">
      <w:pPr>
        <w:pStyle w:val="Paragrafi"/>
        <w:rPr>
          <w:spacing w:val="-4"/>
          <w:lang w:val="sq-AL"/>
        </w:rPr>
      </w:pPr>
      <w:r w:rsidRPr="008575ED">
        <w:rPr>
          <w:spacing w:val="-4"/>
          <w:lang w:val="sq-AL"/>
        </w:rPr>
        <w:t xml:space="preserve">7. Ministria përgjegjëse për mjedisin, në bazë të të dhënave të ardhura nga Agjencia Kombëtare e Mjedisit, përgatit dhe publikon në variantin elektronik dhe në </w:t>
      </w:r>
      <w:r w:rsidRPr="008575ED">
        <w:rPr>
          <w:i/>
          <w:spacing w:val="-4"/>
          <w:lang w:val="sq-AL"/>
        </w:rPr>
        <w:t>website</w:t>
      </w:r>
      <w:r w:rsidRPr="008575ED">
        <w:rPr>
          <w:spacing w:val="-4"/>
          <w:lang w:val="sq-AL"/>
        </w:rPr>
        <w:t>-in e ministrisë raportin 3-vjeçar për statistikat e mbetjeve në territorin e Republikës së Shqipërisë, të cilin ia vë në dispozicion publikut.</w:t>
      </w:r>
    </w:p>
    <w:p w:rsidR="004A18E5" w:rsidRPr="008575ED" w:rsidRDefault="004A18E5" w:rsidP="004A18E5">
      <w:pPr>
        <w:pStyle w:val="Paragrafi"/>
        <w:rPr>
          <w:spacing w:val="-4"/>
          <w:lang w:val="sq-AL"/>
        </w:rPr>
      </w:pPr>
      <w:r w:rsidRPr="008575ED">
        <w:rPr>
          <w:spacing w:val="-4"/>
          <w:lang w:val="sq-AL"/>
        </w:rPr>
        <w:t>8. Ngarkohen ministria përgjegjëse për mjedisin, ministria përgjegjëse për infrastrukturën /</w:t>
      </w:r>
      <w:r>
        <w:rPr>
          <w:spacing w:val="-4"/>
          <w:lang w:val="sq-AL"/>
        </w:rPr>
        <w:t xml:space="preserve"> </w:t>
      </w:r>
      <w:r w:rsidRPr="008575ED">
        <w:rPr>
          <w:spacing w:val="-4"/>
          <w:lang w:val="sq-AL"/>
        </w:rPr>
        <w:t>trans</w:t>
      </w:r>
      <w:r>
        <w:rPr>
          <w:spacing w:val="-4"/>
          <w:lang w:val="sq-AL"/>
        </w:rPr>
        <w:t>-</w:t>
      </w:r>
      <w:r w:rsidRPr="008575ED">
        <w:rPr>
          <w:spacing w:val="-4"/>
          <w:lang w:val="sq-AL"/>
        </w:rPr>
        <w:t>portin, ministria përgjegjëse për shëndetësinë, ministria përgjegjëse për industrinë, ministria përgjegjëse për bujqësinë, Agjencia Kombëtare e Mjedisit, këshillat e qarqeve dhe njësitë e qeverisjes vendore për zbatimin e këtij vendimi.</w:t>
      </w:r>
    </w:p>
    <w:p w:rsidR="004A18E5" w:rsidRPr="008575ED" w:rsidRDefault="004A18E5" w:rsidP="004A18E5">
      <w:pPr>
        <w:pStyle w:val="Paragrafi"/>
        <w:rPr>
          <w:spacing w:val="-4"/>
          <w:lang w:val="sq-AL"/>
        </w:rPr>
      </w:pPr>
      <w:r w:rsidRPr="008575ED">
        <w:rPr>
          <w:spacing w:val="-4"/>
          <w:lang w:val="sq-AL"/>
        </w:rPr>
        <w:t>Ky vendim hyn në fuqi pas botimit në Fletoren Zyrtare dhe i fillon efektet juridike nga data 1 janar 2019.</w:t>
      </w:r>
    </w:p>
    <w:p w:rsidR="004A18E5" w:rsidRPr="008575ED" w:rsidRDefault="004A18E5" w:rsidP="004A18E5">
      <w:pPr>
        <w:pStyle w:val="Paragrafi"/>
        <w:jc w:val="right"/>
        <w:rPr>
          <w:spacing w:val="-4"/>
          <w:lang w:val="sq-AL"/>
        </w:rPr>
      </w:pPr>
      <w:r w:rsidRPr="008575ED">
        <w:rPr>
          <w:spacing w:val="-4"/>
          <w:lang w:val="sq-AL"/>
        </w:rPr>
        <w:t>KRYEMINISTRI</w:t>
      </w:r>
    </w:p>
    <w:p w:rsidR="004A18E5" w:rsidRPr="008575ED" w:rsidRDefault="004A18E5" w:rsidP="004A18E5">
      <w:pPr>
        <w:pStyle w:val="Paragrafi"/>
        <w:jc w:val="right"/>
        <w:rPr>
          <w:b/>
          <w:spacing w:val="-4"/>
          <w:lang w:val="sq-AL"/>
        </w:rPr>
      </w:pPr>
      <w:r w:rsidRPr="008575ED">
        <w:rPr>
          <w:b/>
          <w:spacing w:val="-4"/>
          <w:lang w:val="sq-AL"/>
        </w:rPr>
        <w:t>Edi Rama</w:t>
      </w:r>
    </w:p>
    <w:p w:rsidR="004A18E5" w:rsidRDefault="004A18E5" w:rsidP="004A18E5">
      <w:pPr>
        <w:pStyle w:val="Paragrafi"/>
        <w:ind w:firstLine="0"/>
        <w:jc w:val="center"/>
        <w:rPr>
          <w:szCs w:val="24"/>
          <w:lang w:val="sq-AL"/>
        </w:rPr>
        <w:sectPr w:rsidR="004A18E5" w:rsidSect="00112F7E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4A18E5" w:rsidRPr="00BE64EA" w:rsidRDefault="004A18E5" w:rsidP="004A18E5">
      <w:pPr>
        <w:pStyle w:val="Paragrafi"/>
        <w:ind w:firstLine="0"/>
        <w:jc w:val="center"/>
        <w:rPr>
          <w:szCs w:val="24"/>
          <w:lang w:val="sq-AL"/>
        </w:rPr>
      </w:pPr>
      <w:r w:rsidRPr="00BE64EA">
        <w:rPr>
          <w:noProof/>
          <w:szCs w:val="24"/>
        </w:rPr>
        <w:lastRenderedPageBreak/>
        <w:drawing>
          <wp:inline distT="0" distB="0" distL="0" distR="0" wp14:anchorId="71B9BEC0" wp14:editId="7DD7B88B">
            <wp:extent cx="5588120" cy="7573992"/>
            <wp:effectExtent l="19050" t="0" r="0" b="0"/>
            <wp:docPr id="42" name="Picture 41" descr="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7"/>
                    <a:srcRect l="4905" t="3486" r="3744" b="3970"/>
                    <a:stretch>
                      <a:fillRect/>
                    </a:stretch>
                  </pic:blipFill>
                  <pic:spPr>
                    <a:xfrm>
                      <a:off x="0" y="0"/>
                      <a:ext cx="5589917" cy="7576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64EA">
        <w:rPr>
          <w:noProof/>
          <w:szCs w:val="24"/>
        </w:rPr>
        <w:lastRenderedPageBreak/>
        <w:drawing>
          <wp:inline distT="0" distB="0" distL="0" distR="0" wp14:anchorId="57CFA2CF" wp14:editId="53A5B1D8">
            <wp:extent cx="3881887" cy="8143336"/>
            <wp:effectExtent l="19050" t="0" r="4313" b="0"/>
            <wp:docPr id="43" name="Picture 42" descr="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8"/>
                    <a:srcRect t="3268" r="46492" b="3362"/>
                    <a:stretch>
                      <a:fillRect/>
                    </a:stretch>
                  </pic:blipFill>
                  <pic:spPr>
                    <a:xfrm>
                      <a:off x="0" y="0"/>
                      <a:ext cx="3881887" cy="8143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64EA">
        <w:rPr>
          <w:noProof/>
          <w:szCs w:val="24"/>
        </w:rPr>
        <w:lastRenderedPageBreak/>
        <w:drawing>
          <wp:inline distT="0" distB="0" distL="0" distR="0" wp14:anchorId="16A492B9" wp14:editId="429D8239">
            <wp:extent cx="4423554" cy="8300589"/>
            <wp:effectExtent l="19050" t="0" r="0" b="0"/>
            <wp:docPr id="44" name="Picture 43" descr="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9"/>
                    <a:srcRect l="1522" t="2505" r="38744" b="2783"/>
                    <a:stretch>
                      <a:fillRect/>
                    </a:stretch>
                  </pic:blipFill>
                  <pic:spPr>
                    <a:xfrm>
                      <a:off x="0" y="0"/>
                      <a:ext cx="4429275" cy="831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64EA">
        <w:rPr>
          <w:noProof/>
          <w:szCs w:val="24"/>
        </w:rPr>
        <w:lastRenderedPageBreak/>
        <w:drawing>
          <wp:inline distT="0" distB="0" distL="0" distR="0" wp14:anchorId="2F999555" wp14:editId="3202A271">
            <wp:extent cx="5036029" cy="8298611"/>
            <wp:effectExtent l="19050" t="0" r="0" b="0"/>
            <wp:docPr id="45" name="Picture 44" descr="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10"/>
                    <a:srcRect t="7516" r="26487" b="6863"/>
                    <a:stretch>
                      <a:fillRect/>
                    </a:stretch>
                  </pic:blipFill>
                  <pic:spPr>
                    <a:xfrm>
                      <a:off x="0" y="0"/>
                      <a:ext cx="5036030" cy="8298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64EA">
        <w:rPr>
          <w:noProof/>
          <w:szCs w:val="24"/>
        </w:rPr>
        <w:lastRenderedPageBreak/>
        <w:drawing>
          <wp:inline distT="0" distB="0" distL="0" distR="0" wp14:anchorId="2A1E843F" wp14:editId="6FC42B64">
            <wp:extent cx="5657131" cy="8391036"/>
            <wp:effectExtent l="19050" t="0" r="719" b="0"/>
            <wp:docPr id="46" name="Picture 45" descr="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jpg"/>
                    <pic:cNvPicPr/>
                  </pic:nvPicPr>
                  <pic:blipFill>
                    <a:blip r:embed="rId11"/>
                    <a:srcRect l="2225" t="2614" r="8159" b="2614"/>
                    <a:stretch>
                      <a:fillRect/>
                    </a:stretch>
                  </pic:blipFill>
                  <pic:spPr>
                    <a:xfrm>
                      <a:off x="0" y="0"/>
                      <a:ext cx="5658794" cy="8393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64EA">
        <w:rPr>
          <w:noProof/>
          <w:szCs w:val="24"/>
        </w:rPr>
        <w:lastRenderedPageBreak/>
        <w:drawing>
          <wp:inline distT="0" distB="0" distL="0" distR="0" wp14:anchorId="53C1989B" wp14:editId="4508671F">
            <wp:extent cx="5579494" cy="8246853"/>
            <wp:effectExtent l="19050" t="0" r="2156" b="0"/>
            <wp:docPr id="47" name="Picture 46" descr="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jpg"/>
                    <pic:cNvPicPr/>
                  </pic:nvPicPr>
                  <pic:blipFill>
                    <a:blip r:embed="rId12"/>
                    <a:srcRect l="2084" t="3159" r="12448" b="3159"/>
                    <a:stretch>
                      <a:fillRect/>
                    </a:stretch>
                  </pic:blipFill>
                  <pic:spPr>
                    <a:xfrm>
                      <a:off x="0" y="0"/>
                      <a:ext cx="5579494" cy="8246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64EA">
        <w:rPr>
          <w:noProof/>
          <w:szCs w:val="24"/>
        </w:rPr>
        <w:lastRenderedPageBreak/>
        <w:drawing>
          <wp:inline distT="0" distB="0" distL="0" distR="0" wp14:anchorId="6E68F0EB" wp14:editId="4AEF4D59">
            <wp:extent cx="5441471" cy="8036883"/>
            <wp:effectExtent l="19050" t="0" r="6829" b="0"/>
            <wp:docPr id="48" name="Picture 47" descr="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.jpg"/>
                    <pic:cNvPicPr/>
                  </pic:nvPicPr>
                  <pic:blipFill>
                    <a:blip r:embed="rId13"/>
                    <a:srcRect l="2225" t="8061" r="19730" b="7952"/>
                    <a:stretch>
                      <a:fillRect/>
                    </a:stretch>
                  </pic:blipFill>
                  <pic:spPr>
                    <a:xfrm>
                      <a:off x="0" y="0"/>
                      <a:ext cx="5443459" cy="8039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18E5" w:rsidRPr="00BE64EA" w:rsidRDefault="004A18E5" w:rsidP="004A18E5">
      <w:pPr>
        <w:pStyle w:val="Paragrafi"/>
        <w:rPr>
          <w:szCs w:val="24"/>
          <w:lang w:val="sq-AL"/>
        </w:rPr>
      </w:pPr>
    </w:p>
    <w:p w:rsidR="00FD57DC" w:rsidRDefault="00112F7E"/>
    <w:sectPr w:rsidR="00FD57DC" w:rsidSect="00112F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18E5" w:rsidRDefault="004A18E5" w:rsidP="004A18E5">
      <w:pPr>
        <w:spacing w:after="0" w:line="240" w:lineRule="auto"/>
      </w:pPr>
      <w:r>
        <w:separator/>
      </w:r>
    </w:p>
  </w:endnote>
  <w:endnote w:type="continuationSeparator" w:id="0">
    <w:p w:rsidR="004A18E5" w:rsidRDefault="004A18E5" w:rsidP="004A18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18E5" w:rsidRDefault="004A18E5" w:rsidP="004A18E5">
      <w:pPr>
        <w:spacing w:after="0" w:line="240" w:lineRule="auto"/>
      </w:pPr>
      <w:r>
        <w:separator/>
      </w:r>
    </w:p>
  </w:footnote>
  <w:footnote w:type="continuationSeparator" w:id="0">
    <w:p w:rsidR="004A18E5" w:rsidRDefault="004A18E5" w:rsidP="004A18E5">
      <w:pPr>
        <w:spacing w:after="0" w:line="240" w:lineRule="auto"/>
      </w:pPr>
      <w:r>
        <w:continuationSeparator/>
      </w:r>
    </w:p>
  </w:footnote>
  <w:footnote w:id="1">
    <w:p w:rsidR="004A18E5" w:rsidRPr="008575ED" w:rsidRDefault="004A18E5" w:rsidP="004A18E5">
      <w:pPr>
        <w:tabs>
          <w:tab w:val="left" w:pos="3240"/>
        </w:tabs>
        <w:spacing w:after="0" w:line="240" w:lineRule="auto"/>
        <w:ind w:firstLine="0"/>
        <w:rPr>
          <w:rFonts w:ascii="Garamond" w:hAnsi="Garamond"/>
          <w:sz w:val="18"/>
          <w:szCs w:val="18"/>
          <w:lang w:val="da-DK"/>
        </w:rPr>
      </w:pPr>
      <w:r w:rsidRPr="008575ED">
        <w:rPr>
          <w:rStyle w:val="FootnoteReference"/>
          <w:rFonts w:ascii="Garamond" w:hAnsi="Garamond"/>
          <w:sz w:val="18"/>
          <w:szCs w:val="18"/>
        </w:rPr>
        <w:footnoteRef/>
      </w:r>
      <w:r w:rsidRPr="008575ED">
        <w:rPr>
          <w:rFonts w:ascii="Garamond" w:hAnsi="Garamond"/>
          <w:sz w:val="18"/>
          <w:szCs w:val="18"/>
          <w:lang w:val="da-DK"/>
        </w:rPr>
        <w:t xml:space="preserve">Ky vendim, është përafruar në mënyrë të pjesshme me rregulloren (KE) nr. 2150/2002 të Parlamentit Evropian dhe Këshillit, të datës 25 nëntor 2002, </w:t>
      </w:r>
      <w:r w:rsidRPr="008575ED">
        <w:rPr>
          <w:sz w:val="18"/>
          <w:szCs w:val="18"/>
          <w:lang w:val="sq-AL"/>
        </w:rPr>
        <w:t>“</w:t>
      </w:r>
      <w:r w:rsidRPr="008575ED">
        <w:rPr>
          <w:rFonts w:ascii="Garamond" w:hAnsi="Garamond"/>
          <w:sz w:val="18"/>
          <w:szCs w:val="18"/>
          <w:lang w:val="da-DK"/>
        </w:rPr>
        <w:t>Për statistikat e mbetjeve</w:t>
      </w:r>
      <w:r w:rsidRPr="008575ED">
        <w:rPr>
          <w:sz w:val="18"/>
          <w:szCs w:val="18"/>
          <w:lang w:val="sq-AL"/>
        </w:rPr>
        <w:t>“</w:t>
      </w:r>
      <w:r w:rsidRPr="008575ED">
        <w:rPr>
          <w:rFonts w:ascii="Garamond" w:hAnsi="Garamond"/>
          <w:sz w:val="18"/>
          <w:szCs w:val="18"/>
          <w:lang w:val="da-DK"/>
        </w:rPr>
        <w:t>; Nr. CELEX 32002R2150; Gazeta Zyrtare L 332, 09/12/2002, P.0001-0036.</w:t>
      </w:r>
    </w:p>
    <w:p w:rsidR="004A18E5" w:rsidRDefault="004A18E5" w:rsidP="004A18E5">
      <w:pPr>
        <w:pStyle w:val="FootnoteText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A18E5"/>
    <w:rsid w:val="00013606"/>
    <w:rsid w:val="0002128B"/>
    <w:rsid w:val="00032E53"/>
    <w:rsid w:val="00112F7E"/>
    <w:rsid w:val="001D125B"/>
    <w:rsid w:val="002135CF"/>
    <w:rsid w:val="00224E4D"/>
    <w:rsid w:val="002C0AA4"/>
    <w:rsid w:val="002E7553"/>
    <w:rsid w:val="00332E0F"/>
    <w:rsid w:val="00455FC5"/>
    <w:rsid w:val="004A18E5"/>
    <w:rsid w:val="004A4709"/>
    <w:rsid w:val="00501B27"/>
    <w:rsid w:val="005F579C"/>
    <w:rsid w:val="00627136"/>
    <w:rsid w:val="006815F0"/>
    <w:rsid w:val="006B699A"/>
    <w:rsid w:val="007A33AA"/>
    <w:rsid w:val="008D5304"/>
    <w:rsid w:val="00912120"/>
    <w:rsid w:val="00955251"/>
    <w:rsid w:val="0095581F"/>
    <w:rsid w:val="009D67BE"/>
    <w:rsid w:val="00A3508F"/>
    <w:rsid w:val="00B441A3"/>
    <w:rsid w:val="00C672C9"/>
    <w:rsid w:val="00D27DAF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18E5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A18E5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A18E5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4A18E5"/>
    <w:rPr>
      <w:sz w:val="14"/>
      <w:szCs w:val="24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uiPriority w:val="99"/>
    <w:rsid w:val="004A18E5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uiPriority w:val="99"/>
    <w:rsid w:val="004A18E5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uiPriority w:val="99"/>
    <w:rsid w:val="004A18E5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18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18E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460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2019-01-30T13:51:00Z</cp:lastPrinted>
  <dcterms:created xsi:type="dcterms:W3CDTF">2015-08-11T09:58:00Z</dcterms:created>
  <dcterms:modified xsi:type="dcterms:W3CDTF">2019-01-30T13:51:00Z</dcterms:modified>
</cp:coreProperties>
</file>