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76D" w:rsidRPr="00BE64EA" w:rsidRDefault="0075576D" w:rsidP="0075576D">
      <w:pPr>
        <w:pStyle w:val="Paragrafi"/>
        <w:jc w:val="center"/>
        <w:rPr>
          <w:b/>
          <w:lang w:val="sq-AL"/>
        </w:rPr>
      </w:pPr>
      <w:r w:rsidRPr="00BE64EA">
        <w:rPr>
          <w:b/>
          <w:lang w:val="sq-AL"/>
        </w:rPr>
        <w:t>VENDIM</w:t>
      </w:r>
    </w:p>
    <w:p w:rsidR="0075576D" w:rsidRPr="00BE64EA" w:rsidRDefault="0075576D" w:rsidP="0075576D">
      <w:pPr>
        <w:pStyle w:val="Paragrafi"/>
        <w:jc w:val="center"/>
        <w:rPr>
          <w:b/>
          <w:lang w:val="sq-AL"/>
        </w:rPr>
      </w:pPr>
      <w:r w:rsidRPr="00BE64EA">
        <w:rPr>
          <w:b/>
          <w:lang w:val="sq-AL"/>
        </w:rPr>
        <w:t>Nr. 692, datë 29.7.2015</w:t>
      </w:r>
    </w:p>
    <w:p w:rsidR="0075576D" w:rsidRPr="00BE64EA" w:rsidRDefault="0075576D" w:rsidP="0075576D">
      <w:pPr>
        <w:pStyle w:val="Hapesira7"/>
        <w:rPr>
          <w:lang w:val="sq-AL"/>
        </w:rPr>
      </w:pPr>
    </w:p>
    <w:p w:rsidR="0075576D" w:rsidRPr="00BE64EA" w:rsidRDefault="0075576D" w:rsidP="0075576D">
      <w:pPr>
        <w:pStyle w:val="Paragrafi"/>
        <w:jc w:val="center"/>
        <w:rPr>
          <w:b/>
          <w:lang w:val="sq-AL"/>
        </w:rPr>
      </w:pPr>
      <w:r w:rsidRPr="00BE64EA">
        <w:rPr>
          <w:b/>
          <w:lang w:val="sq-AL"/>
        </w:rPr>
        <w:t>PËR SHPRONËSIMIN DHE MARRJEN NË PËRDORIM TË PËRKOHSHËM, PËR INTERES PUBLIK, TË PASURIVE TË PALUAJTSHME, PRONË PRIVATE, QË PREKEN NGA NDËRTIMI I URAVE DHE RRUGËVE HYRËSE TË PROJEKTIT TË GAZSJELLËSIT TRANS ADRIATIK (PROJEKTI TAP)</w:t>
      </w:r>
    </w:p>
    <w:p w:rsidR="0075576D" w:rsidRPr="00BE64EA" w:rsidRDefault="0075576D" w:rsidP="0075576D">
      <w:pPr>
        <w:pStyle w:val="Hapesira7"/>
        <w:rPr>
          <w:lang w:val="sq-AL"/>
        </w:rPr>
      </w:pPr>
    </w:p>
    <w:p w:rsidR="0075576D" w:rsidRPr="00BE64EA" w:rsidRDefault="0075576D" w:rsidP="0075576D">
      <w:pPr>
        <w:pStyle w:val="Paragrafi"/>
        <w:rPr>
          <w:lang w:val="sq-AL"/>
        </w:rPr>
      </w:pPr>
      <w:r w:rsidRPr="00BE64EA">
        <w:rPr>
          <w:lang w:val="sq-AL"/>
        </w:rPr>
        <w:t>Në mbështetje të nenit 100 të Kushtetutës, të pikave 7 e 8, të pjesës së parë dhe të pjesës së dytë, të shtojc</w:t>
      </w:r>
      <w:r w:rsidRPr="00BE64EA">
        <w:rPr>
          <w:rFonts w:eastAsia="MS Gothic" w:cs="MS Gothic"/>
          <w:lang w:val="sq-AL"/>
        </w:rPr>
        <w:t>ë</w:t>
      </w:r>
      <w:r w:rsidRPr="00BE64EA">
        <w:rPr>
          <w:lang w:val="sq-AL"/>
        </w:rPr>
        <w:t xml:space="preserve">s 1, të marrëveshjes me qeverinë e vendit pritës, ndërmjet Republikës së Shqipërisë, duke vepruar nëpërmjet Këshillit të Ministrave dhe Trans Adriatic Pipeline AG, lidhur me projektin e Gazsjellësit Trans Adriatik (Projekti TAP), ratifikuar me ligjin nr. 116/2013, “Për ratifikimin e marrëveshjes me qeverinë e vendit pritës, ndërmjet Republikës së Shqipërisë, duke vepruar nëpërmjet Këshillit të Ministrave, dhe Trans Adriatic Pipeline AG”, dhe të neneve 5, pika 1, 20 e 21, të ligjit nr. 8561, datë 22.12.1999, “Për shpronësimet dhe marrjen në përdorim të përkohshëm të pasurisë, pronë private, për interes publik”, me propozimin e ministrit të Energjisë dhe Industrisë, Këshilli i Ministrave </w:t>
      </w:r>
    </w:p>
    <w:p w:rsidR="0075576D" w:rsidRPr="00BE64EA" w:rsidRDefault="0075576D" w:rsidP="0075576D">
      <w:pPr>
        <w:pStyle w:val="Hapesira7"/>
        <w:rPr>
          <w:lang w:val="sq-AL"/>
        </w:rPr>
      </w:pPr>
    </w:p>
    <w:p w:rsidR="0075576D" w:rsidRPr="00BE64EA" w:rsidRDefault="0075576D" w:rsidP="0075576D">
      <w:pPr>
        <w:pStyle w:val="Paragrafi"/>
        <w:jc w:val="center"/>
        <w:rPr>
          <w:lang w:val="sq-AL"/>
        </w:rPr>
      </w:pPr>
      <w:r w:rsidRPr="00BE64EA">
        <w:rPr>
          <w:lang w:val="sq-AL"/>
        </w:rPr>
        <w:t>VENDOSI:</w:t>
      </w:r>
    </w:p>
    <w:p w:rsidR="0075576D" w:rsidRPr="00BE64EA" w:rsidRDefault="0075576D" w:rsidP="0075576D">
      <w:pPr>
        <w:pStyle w:val="Hapesira7"/>
        <w:rPr>
          <w:lang w:val="sq-AL"/>
        </w:rPr>
      </w:pPr>
    </w:p>
    <w:p w:rsidR="0075576D" w:rsidRPr="004E577B" w:rsidRDefault="0075576D" w:rsidP="0075576D">
      <w:pPr>
        <w:pStyle w:val="Paragrafi"/>
        <w:rPr>
          <w:spacing w:val="-4"/>
          <w:lang w:val="sq-AL"/>
        </w:rPr>
      </w:pPr>
      <w:r w:rsidRPr="004E577B">
        <w:rPr>
          <w:spacing w:val="-4"/>
          <w:lang w:val="sq-AL"/>
        </w:rPr>
        <w:t xml:space="preserve">1. Shpronësimin dhe marrjen në përdorim të përkohshëm, për interes publik, të pasurive të paluajtshme, pronë private, që preken nga ndërtimi i urave dhe rrugëve hyrëse, në zonat Korçë, Devoll dhe Skrapar, të projektit për ndërtimin e Gazsjellësit Trans Adriatik (Projekti TAP), sipas tabelave 1, 2 dhe 3, bashkëlidhur këtij vendimi. </w:t>
      </w:r>
    </w:p>
    <w:p w:rsidR="0075576D" w:rsidRPr="004E577B" w:rsidRDefault="0075576D" w:rsidP="0075576D">
      <w:pPr>
        <w:pStyle w:val="Paragrafi"/>
        <w:rPr>
          <w:spacing w:val="-4"/>
          <w:lang w:val="sq-AL"/>
        </w:rPr>
      </w:pPr>
      <w:r w:rsidRPr="004E577B">
        <w:rPr>
          <w:spacing w:val="-4"/>
          <w:lang w:val="sq-AL"/>
        </w:rPr>
        <w:t xml:space="preserve">2. Shpronësimi të bëhet në favor të Ministrisë së Energjisë dhe Industrisë, me kërkesë të subjektit kërkues, shoqëria Trans Adriatic Pipeline (TAP AG). </w:t>
      </w:r>
    </w:p>
    <w:p w:rsidR="0075576D" w:rsidRPr="004E577B" w:rsidRDefault="0075576D" w:rsidP="0075576D">
      <w:pPr>
        <w:pStyle w:val="Paragrafi"/>
        <w:rPr>
          <w:spacing w:val="-4"/>
          <w:lang w:val="sq-AL"/>
        </w:rPr>
      </w:pPr>
      <w:r w:rsidRPr="004E577B">
        <w:rPr>
          <w:spacing w:val="-4"/>
          <w:lang w:val="sq-AL"/>
        </w:rPr>
        <w:t>3. Pronarët e pasurive të paluajtshme, që shpronësohen dhe merren në përdorim të përkohshëm, të kompensohen në vlerë të plotë për sipërfaqen 30 057.8 (tridhjetë mijë e pesëdhjetë e shtatë pikë tetë) m</w:t>
      </w:r>
      <w:r w:rsidRPr="004E577B">
        <w:rPr>
          <w:spacing w:val="-4"/>
          <w:vertAlign w:val="superscript"/>
          <w:lang w:val="sq-AL"/>
        </w:rPr>
        <w:t>2</w:t>
      </w:r>
      <w:r w:rsidRPr="004E577B">
        <w:rPr>
          <w:spacing w:val="-4"/>
          <w:lang w:val="sq-AL"/>
        </w:rPr>
        <w:t>, e cila shpronësohet, dhe për sipërfaqen 42 084.37 (dyzet e dy mijë e tetëdhjetë e katër pikë tridhjetë e shtatë) m</w:t>
      </w:r>
      <w:r w:rsidRPr="004E577B">
        <w:rPr>
          <w:spacing w:val="-4"/>
          <w:vertAlign w:val="superscript"/>
          <w:lang w:val="sq-AL"/>
        </w:rPr>
        <w:t>2</w:t>
      </w:r>
      <w:r w:rsidRPr="004E577B">
        <w:rPr>
          <w:spacing w:val="-4"/>
          <w:lang w:val="sq-AL"/>
        </w:rPr>
        <w:t xml:space="preserve">, e cila merret në përdorim të përkohshëm, me një vlerë totale kompensimi prej 23 452 508.44 (njëzet e tre milionë e katërqind e pesëdhjetë e dy mijë e pesëqind e tetë pikë dyzet e katër) lekësh, e cila përfshin vlerën e shpronësimit, vlerën e marrjes në përdorim të përkohshëm, vlerën e kulturave bujqësore dhe vlerën e objekteve, sipas të dhënave të përcaktuara në tabelat 1, 2 dhe 3, bashkëlidhur këtij vendimi. </w:t>
      </w:r>
    </w:p>
    <w:p w:rsidR="0075576D" w:rsidRPr="004E577B" w:rsidRDefault="0075576D" w:rsidP="0075576D">
      <w:pPr>
        <w:pStyle w:val="Paragrafi"/>
        <w:rPr>
          <w:spacing w:val="-4"/>
          <w:lang w:val="sq-AL"/>
        </w:rPr>
      </w:pPr>
      <w:r w:rsidRPr="004E577B">
        <w:rPr>
          <w:spacing w:val="-4"/>
          <w:lang w:val="sq-AL"/>
        </w:rPr>
        <w:t xml:space="preserve">4. Vlera totale e kompensimit dhe vlera e shpenzimeve procedurale të përballohen nga shoqëria TAP AG, si subjekti kërkues i këtij shpronësimi. </w:t>
      </w:r>
    </w:p>
    <w:p w:rsidR="0075576D" w:rsidRPr="004E577B" w:rsidRDefault="0075576D" w:rsidP="0075576D">
      <w:pPr>
        <w:pStyle w:val="Paragrafi"/>
        <w:rPr>
          <w:spacing w:val="-4"/>
          <w:lang w:val="sq-AL"/>
        </w:rPr>
      </w:pPr>
      <w:r w:rsidRPr="004E577B">
        <w:rPr>
          <w:spacing w:val="-4"/>
          <w:lang w:val="sq-AL"/>
        </w:rPr>
        <w:t xml:space="preserve">5. Për likuidimin, për efekt shpronësimi, dhe të marrjes në përdorim të përkohshëm të pasurive, të përcaktuara në tabelat 1, 2 dhe 3, të procedohet, si më poshtë vijon: </w:t>
      </w:r>
    </w:p>
    <w:p w:rsidR="0075576D" w:rsidRPr="004E577B" w:rsidRDefault="0075576D" w:rsidP="0075576D">
      <w:pPr>
        <w:pStyle w:val="Paragrafi"/>
        <w:rPr>
          <w:spacing w:val="-4"/>
          <w:lang w:val="sq-AL"/>
        </w:rPr>
      </w:pPr>
      <w:r w:rsidRPr="004E577B">
        <w:rPr>
          <w:spacing w:val="-4"/>
          <w:lang w:val="sq-AL"/>
        </w:rPr>
        <w:t xml:space="preserve">a) Për të gjitha pasuritë, për të cilat në tabelat bashkëlidhur është bërë shënimi “ZVRPP-ja konfirmon ndryshim midis sipërfaqes së dokumentit nga ajo fakt”, pronarët do të likuidohen pas saktësimit, pranë zyrës vendore të regjistrimit të pasurive të paluajtshme, të sipërfaqes që kanë në pronësi, në bazë të dokumentacionit të plotë të pronësisë që lëshohet nga kjo zyrë; </w:t>
      </w:r>
    </w:p>
    <w:p w:rsidR="0075576D" w:rsidRPr="004E577B" w:rsidRDefault="0075576D" w:rsidP="0075576D">
      <w:pPr>
        <w:pStyle w:val="Paragrafi"/>
        <w:rPr>
          <w:spacing w:val="-4"/>
          <w:lang w:val="sq-AL"/>
        </w:rPr>
      </w:pPr>
      <w:r w:rsidRPr="004E577B">
        <w:rPr>
          <w:spacing w:val="-4"/>
          <w:lang w:val="sq-AL"/>
        </w:rPr>
        <w:t>b) Për të gjitha pasuritë, për të cilat në tabelat bashkëlidhur është bërë shënimi “ZVRPP-ja konfirmon se për këtë pronë ka kufizim pasi mungon AMTP-ja”, pronarët do të likuidohen pas plotësimit të dokumentacionit të kërkuar nga zyra vendore e regjistrimit të pasurive të paluajtshme, në bazë të dokumentacionit të plotë të pronësisë që lëshohet nga kjo zyrë;</w:t>
      </w:r>
    </w:p>
    <w:p w:rsidR="0075576D" w:rsidRPr="004E577B" w:rsidRDefault="0075576D" w:rsidP="0075576D">
      <w:pPr>
        <w:pStyle w:val="Paragrafi"/>
        <w:rPr>
          <w:spacing w:val="-4"/>
          <w:lang w:val="sq-AL"/>
        </w:rPr>
      </w:pPr>
      <w:r w:rsidRPr="004E577B">
        <w:rPr>
          <w:spacing w:val="-4"/>
          <w:lang w:val="sq-AL"/>
        </w:rPr>
        <w:t>c) Për të gjitha pasuritë, për të cilat në tabelat bashkëlidhur është bërë shënimi “ZVRPP-ja konfirmon se për këtë pronë ka kufizim”, pronarët do të likuidohen pas heqjes së kufizimit të vendosur mbi pronën, në bazë të dokumentacionit të plotë të pronësisë që lëshohet nga zyra vendore e regjistrimit të pasurive të paluajtshme;</w:t>
      </w:r>
    </w:p>
    <w:p w:rsidR="0075576D" w:rsidRPr="004E577B" w:rsidRDefault="0075576D" w:rsidP="0075576D">
      <w:pPr>
        <w:pStyle w:val="Paragrafi"/>
        <w:rPr>
          <w:spacing w:val="-4"/>
          <w:lang w:val="sq-AL"/>
        </w:rPr>
      </w:pPr>
      <w:r w:rsidRPr="004E577B">
        <w:rPr>
          <w:spacing w:val="-4"/>
          <w:lang w:val="sq-AL"/>
        </w:rPr>
        <w:t>ç) Për të gjitha pasuritë, për të cilat në tabelat bashkëlidhur është bërë shënimi “ZVRPP-ja konfirmon se mbi pronën është vendosur garanci kredie”, pronarët do të likuidohen pas heqjes së garancisë së vendosur, në bazë të dokumentacionit të plotë të pronësisë që lëshohet nga zyra vendore e regjistrimit të pasurive të paluajtshme;</w:t>
      </w:r>
    </w:p>
    <w:p w:rsidR="0075576D" w:rsidRPr="004E577B" w:rsidRDefault="0075576D" w:rsidP="0075576D">
      <w:pPr>
        <w:pStyle w:val="Paragrafi"/>
        <w:rPr>
          <w:spacing w:val="-4"/>
          <w:lang w:val="sq-AL"/>
        </w:rPr>
      </w:pPr>
      <w:r w:rsidRPr="004E577B">
        <w:rPr>
          <w:spacing w:val="-4"/>
          <w:lang w:val="sq-AL"/>
        </w:rPr>
        <w:t>d) Për të gjitha pasuritë, për të cilat në tabelat bashkëlidhur është bërë shënimi “ZVRPP-ja konfirmon se për këtë pronë ka kufizim pasi ka vendim sekuestro”, pronarët do të likuidohen pas heqjes së vendimit të sekuestros, në bazë të dokumentacionit të plotë të pronësisë që lëshohet nga zyra vendore e regjistrimit të pasurive të paluajtshme;</w:t>
      </w:r>
    </w:p>
    <w:p w:rsidR="0075576D" w:rsidRPr="004E577B" w:rsidRDefault="0075576D" w:rsidP="0075576D">
      <w:pPr>
        <w:pStyle w:val="Paragrafi"/>
        <w:rPr>
          <w:spacing w:val="-4"/>
          <w:lang w:val="sq-AL"/>
        </w:rPr>
      </w:pPr>
      <w:r w:rsidRPr="004E577B">
        <w:rPr>
          <w:spacing w:val="-4"/>
          <w:lang w:val="sq-AL"/>
        </w:rPr>
        <w:t xml:space="preserve">dh) Për të gjitha pasuritë, për të cilat në tabelat bashkëlidhur është bërë shënimi “ZVRPP-ja konfirmon se mbi pronën ka vendim të ndërmjetëm për sigurim padie”, pronarët do të likuidohen pas regjistrimit të </w:t>
      </w:r>
      <w:r w:rsidRPr="004E577B">
        <w:rPr>
          <w:spacing w:val="-4"/>
          <w:lang w:val="sq-AL"/>
        </w:rPr>
        <w:lastRenderedPageBreak/>
        <w:t>vendimit të formës së prerë të gjykatës;</w:t>
      </w:r>
    </w:p>
    <w:p w:rsidR="0075576D" w:rsidRPr="004E577B" w:rsidRDefault="0075576D" w:rsidP="0075576D">
      <w:pPr>
        <w:pStyle w:val="Paragrafi"/>
        <w:rPr>
          <w:spacing w:val="-4"/>
          <w:lang w:val="sq-AL"/>
        </w:rPr>
      </w:pPr>
      <w:r w:rsidRPr="004E577B">
        <w:rPr>
          <w:spacing w:val="-4"/>
          <w:lang w:val="sq-AL"/>
        </w:rPr>
        <w:t>e) Për pasuritë, për të cilat në tabelat bashkëlidhur është bërë shënimi “Konfirmuar nga ZVRPP-ja se parcela është e pandarë”, pronarët do të likuidohen pas ndarjes dhe regjistrimit të secilës pasuri, në bazë të dokumentacionit të plotë të pronësisë që lëshohet nga zyra vendore e regjistrimit të pasurive të paluajtshme;</w:t>
      </w:r>
    </w:p>
    <w:p w:rsidR="0075576D" w:rsidRPr="004E577B" w:rsidRDefault="0075576D" w:rsidP="0075576D">
      <w:pPr>
        <w:pStyle w:val="Paragrafi"/>
        <w:rPr>
          <w:spacing w:val="-4"/>
          <w:lang w:val="sq-AL"/>
        </w:rPr>
      </w:pPr>
      <w:r w:rsidRPr="004E577B">
        <w:rPr>
          <w:spacing w:val="-4"/>
          <w:lang w:val="sq-AL"/>
        </w:rPr>
        <w:t>ë) Për të gjitha pasuritë, për të cilat në tabelat bashkëlidhur është bërë shënimi “Konfirmuar nga ZVRPP-ja”, pronarët do të likuidohen në bazë të dokumentacionit të plotë të pronësisë;</w:t>
      </w:r>
    </w:p>
    <w:p w:rsidR="0075576D" w:rsidRPr="004E577B" w:rsidRDefault="0075576D" w:rsidP="0075576D">
      <w:pPr>
        <w:pStyle w:val="Paragrafi"/>
        <w:rPr>
          <w:spacing w:val="-4"/>
          <w:lang w:val="sq-AL"/>
        </w:rPr>
      </w:pPr>
      <w:r w:rsidRPr="004E577B">
        <w:rPr>
          <w:spacing w:val="-4"/>
          <w:lang w:val="sq-AL"/>
        </w:rPr>
        <w:t>f) Për pasuritë, për të cilat vlera e përllogaritur e kompensimit rezulton më pak se 56 000 (pesëdhjetë e gjashtë mijë) lekë, TAP AG-ja kompenson pronarët me minimumin e kompen</w:t>
      </w:r>
      <w:r>
        <w:rPr>
          <w:spacing w:val="-4"/>
          <w:lang w:val="sq-AL"/>
        </w:rPr>
        <w:t>-</w:t>
      </w:r>
      <w:r w:rsidRPr="004E577B">
        <w:rPr>
          <w:spacing w:val="-4"/>
          <w:lang w:val="sq-AL"/>
        </w:rPr>
        <w:t xml:space="preserve">simit, prej 56 000 (pesëdhjetë e gjashtë mijë) lekësh, sipas tabelës 2, bashkëlidhur këtij vendimi dhe pjesë përbërëse e tij; </w:t>
      </w:r>
    </w:p>
    <w:p w:rsidR="0075576D" w:rsidRPr="004E577B" w:rsidRDefault="0075576D" w:rsidP="0075576D">
      <w:pPr>
        <w:pStyle w:val="Paragrafi"/>
        <w:rPr>
          <w:spacing w:val="-4"/>
          <w:lang w:val="sq-AL"/>
        </w:rPr>
      </w:pPr>
      <w:r w:rsidRPr="004E577B">
        <w:rPr>
          <w:spacing w:val="-4"/>
          <w:lang w:val="sq-AL"/>
        </w:rPr>
        <w:t xml:space="preserve">g) Për pasuritë me pronar shtet, të cilat rezultojnë me përdorues privat, TAP AG-ja kompenson përdoruesit privatë, sipas të dhënave të përcaktuara në tabelën 3, bashkëlidhur këtij vendimi dhe pjesë përbërëse e tij. </w:t>
      </w:r>
    </w:p>
    <w:p w:rsidR="0075576D" w:rsidRPr="004E577B" w:rsidRDefault="0075576D" w:rsidP="0075576D">
      <w:pPr>
        <w:pStyle w:val="Paragrafi"/>
        <w:rPr>
          <w:spacing w:val="-4"/>
          <w:lang w:val="sq-AL"/>
        </w:rPr>
      </w:pPr>
      <w:r w:rsidRPr="004E577B">
        <w:rPr>
          <w:spacing w:val="-4"/>
          <w:lang w:val="sq-AL"/>
        </w:rPr>
        <w:t xml:space="preserve">6. Çdo pronar, për t’u likuiduar për efekt shpronësimi dhe të marrjes në përdorim të përkohshëm, të dorëzojë pranë shoqërisë TAP AG dokumentacionin e plotë të pronësisë, vërtetimin bankar, lidhur me numrin e llogarisë dhe IBAN-in, si dhe kopjen e kartës së identitetit, të shoqëruar me një kërkesë. </w:t>
      </w:r>
    </w:p>
    <w:p w:rsidR="0075576D" w:rsidRPr="004E577B" w:rsidRDefault="0075576D" w:rsidP="0075576D">
      <w:pPr>
        <w:pStyle w:val="Paragrafi"/>
        <w:rPr>
          <w:spacing w:val="-4"/>
          <w:lang w:val="sq-AL"/>
        </w:rPr>
      </w:pPr>
      <w:r w:rsidRPr="004E577B">
        <w:rPr>
          <w:spacing w:val="-4"/>
          <w:lang w:val="sq-AL"/>
        </w:rPr>
        <w:t>7. Çdo përdorues të likuidohet, për efekt shpronësimi dhe të marrjes në përdorim të përkohshëm, në bazë të kopjes së dokumentit të identifikimit, vërtetimit bankar, lidhur me numrin e llogarisë dhe IBAN-in, si dhe certifikatës familjare, që dorëzon pranë shoqërisë TAP AG.</w:t>
      </w:r>
    </w:p>
    <w:p w:rsidR="0075576D" w:rsidRPr="004E577B" w:rsidRDefault="0075576D" w:rsidP="0075576D">
      <w:pPr>
        <w:pStyle w:val="Paragrafi"/>
        <w:rPr>
          <w:spacing w:val="-4"/>
          <w:lang w:val="sq-AL"/>
        </w:rPr>
      </w:pPr>
      <w:r w:rsidRPr="004E577B">
        <w:rPr>
          <w:spacing w:val="-4"/>
          <w:lang w:val="sq-AL"/>
        </w:rPr>
        <w:t>8. Procesi i shpronësimit të fillojë brenda muajit gusht 2015.</w:t>
      </w:r>
    </w:p>
    <w:p w:rsidR="0075576D" w:rsidRPr="004E577B" w:rsidRDefault="0075576D" w:rsidP="0075576D">
      <w:pPr>
        <w:pStyle w:val="Paragrafi"/>
        <w:rPr>
          <w:spacing w:val="-4"/>
          <w:lang w:val="sq-AL"/>
        </w:rPr>
      </w:pPr>
      <w:r w:rsidRPr="004E577B">
        <w:rPr>
          <w:spacing w:val="-4"/>
          <w:lang w:val="sq-AL"/>
        </w:rPr>
        <w:t>9. Me hyrjen në fuqi të këtij vendimi, Zyra Qendrore e Regjistrimit të Pasurive të Paluajtshme dhe zyrat vendore të regjistrimit të pasurive të paluajtshme Korçë, Devoll dhe Skrapar të pezullojnë të gjitha transaksionet për pasuritë, sipas listave bashkëlidhur këtij vendimi, deri në momentin kur do të realizohen kalimi i pronësisë për pasuritë e shpronësuara dhe regjistrimi i marrjes në përdorim të përkohshëm.</w:t>
      </w:r>
    </w:p>
    <w:p w:rsidR="0075576D" w:rsidRPr="004E577B" w:rsidRDefault="0075576D" w:rsidP="0075576D">
      <w:pPr>
        <w:pStyle w:val="Paragrafi"/>
        <w:rPr>
          <w:spacing w:val="-4"/>
          <w:lang w:val="sq-AL"/>
        </w:rPr>
      </w:pPr>
      <w:r w:rsidRPr="004E577B">
        <w:rPr>
          <w:spacing w:val="-4"/>
          <w:lang w:val="sq-AL"/>
        </w:rPr>
        <w:t>10. Ngarkohen Ministria e Energjisë dhe Industrisë, Zyra Qendrore e Regjistrimit të Pasurive të Paluajtshme dhe zyrat vendore të regjistrimit të pasurive të paluajtshme Korçë, Devoll dhe Skrapar për zbatimin e këtij vendimi.</w:t>
      </w:r>
    </w:p>
    <w:p w:rsidR="0075576D" w:rsidRPr="004E577B" w:rsidRDefault="0075576D" w:rsidP="0075576D">
      <w:pPr>
        <w:pStyle w:val="Paragrafi"/>
        <w:rPr>
          <w:spacing w:val="-4"/>
          <w:lang w:val="sq-AL"/>
        </w:rPr>
      </w:pPr>
      <w:r w:rsidRPr="004E577B">
        <w:rPr>
          <w:spacing w:val="-4"/>
          <w:lang w:val="sq-AL"/>
        </w:rPr>
        <w:t>Ky vendim hyn në fuqi menjëherë dhe botohet në Fletoren Zyrtare.</w:t>
      </w:r>
    </w:p>
    <w:p w:rsidR="0075576D" w:rsidRPr="004E577B" w:rsidRDefault="0075576D" w:rsidP="0075576D">
      <w:pPr>
        <w:pStyle w:val="Paragrafi"/>
        <w:jc w:val="right"/>
        <w:rPr>
          <w:spacing w:val="-4"/>
          <w:lang w:val="sq-AL"/>
        </w:rPr>
      </w:pPr>
      <w:r w:rsidRPr="004E577B">
        <w:rPr>
          <w:spacing w:val="-4"/>
          <w:lang w:val="sq-AL"/>
        </w:rPr>
        <w:t>KRYEMINISTRI</w:t>
      </w:r>
    </w:p>
    <w:p w:rsidR="0075576D" w:rsidRPr="00BE64EA" w:rsidRDefault="0075576D" w:rsidP="0075576D">
      <w:pPr>
        <w:pStyle w:val="Paragrafi"/>
        <w:jc w:val="right"/>
        <w:rPr>
          <w:b/>
          <w:lang w:val="sq-AL"/>
        </w:rPr>
      </w:pPr>
      <w:r w:rsidRPr="004E577B">
        <w:rPr>
          <w:b/>
          <w:spacing w:val="-4"/>
          <w:lang w:val="sq-AL"/>
        </w:rPr>
        <w:t>Edi Rama</w:t>
      </w:r>
    </w:p>
    <w:p w:rsidR="0075576D" w:rsidRPr="00BE64EA" w:rsidRDefault="0075576D" w:rsidP="0075576D">
      <w:pPr>
        <w:pStyle w:val="Paragrafi"/>
        <w:rPr>
          <w:lang w:val="sq-AL"/>
        </w:rPr>
      </w:pPr>
    </w:p>
    <w:p w:rsidR="0075576D" w:rsidRDefault="0075576D" w:rsidP="0075576D">
      <w:pPr>
        <w:pStyle w:val="Paragrafi"/>
        <w:rPr>
          <w:lang w:val="sq-AL"/>
        </w:rPr>
        <w:sectPr w:rsidR="0075576D" w:rsidSect="00384EF8">
          <w:pgSz w:w="11907" w:h="16840" w:code="9"/>
          <w:pgMar w:top="720" w:right="1134" w:bottom="720" w:left="1134" w:header="851" w:footer="851" w:gutter="0"/>
          <w:cols w:space="454"/>
          <w:docGrid w:linePitch="360"/>
        </w:sectPr>
      </w:pPr>
      <w:bookmarkStart w:id="0" w:name="_GoBack"/>
      <w:bookmarkEnd w:id="0"/>
    </w:p>
    <w:p w:rsidR="0075576D" w:rsidRPr="004E577B" w:rsidRDefault="0075576D" w:rsidP="0075576D">
      <w:pPr>
        <w:pStyle w:val="Paragrafi"/>
        <w:rPr>
          <w:sz w:val="8"/>
          <w:szCs w:val="24"/>
          <w:lang w:val="sq-AL"/>
        </w:rPr>
      </w:pPr>
    </w:p>
    <w:p w:rsidR="0075576D" w:rsidRPr="00BE64EA" w:rsidRDefault="0075576D" w:rsidP="0075576D">
      <w:pPr>
        <w:pStyle w:val="Paragrafi"/>
        <w:ind w:firstLine="0"/>
        <w:jc w:val="center"/>
        <w:rPr>
          <w:szCs w:val="24"/>
          <w:lang w:val="sq-AL"/>
        </w:rPr>
      </w:pPr>
      <w:r w:rsidRPr="00BE64EA">
        <w:rPr>
          <w:noProof/>
          <w:szCs w:val="24"/>
        </w:rPr>
        <w:drawing>
          <wp:inline distT="0" distB="0" distL="0" distR="0" wp14:anchorId="106405BD" wp14:editId="683CDC01">
            <wp:extent cx="6019441" cy="7979434"/>
            <wp:effectExtent l="19050" t="0" r="359" b="0"/>
            <wp:docPr id="25" name="Picture 2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5"/>
                    <a:srcRect l="5044" t="4139" r="7407" b="3969"/>
                    <a:stretch>
                      <a:fillRect/>
                    </a:stretch>
                  </pic:blipFill>
                  <pic:spPr>
                    <a:xfrm>
                      <a:off x="0" y="0"/>
                      <a:ext cx="6027426" cy="7990019"/>
                    </a:xfrm>
                    <a:prstGeom prst="rect">
                      <a:avLst/>
                    </a:prstGeom>
                  </pic:spPr>
                </pic:pic>
              </a:graphicData>
            </a:graphic>
          </wp:inline>
        </w:drawing>
      </w:r>
      <w:r w:rsidRPr="00BE64EA">
        <w:rPr>
          <w:noProof/>
          <w:szCs w:val="24"/>
        </w:rPr>
        <w:lastRenderedPageBreak/>
        <w:drawing>
          <wp:inline distT="0" distB="0" distL="0" distR="0" wp14:anchorId="01D102FC" wp14:editId="4A6C313F">
            <wp:extent cx="4665094" cy="8433331"/>
            <wp:effectExtent l="19050" t="0" r="2156" b="0"/>
            <wp:docPr id="26" name="Picture 2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6"/>
                    <a:srcRect l="5043" t="4030" r="16705" b="3919"/>
                    <a:stretch>
                      <a:fillRect/>
                    </a:stretch>
                  </pic:blipFill>
                  <pic:spPr>
                    <a:xfrm>
                      <a:off x="0" y="0"/>
                      <a:ext cx="4670045" cy="8442280"/>
                    </a:xfrm>
                    <a:prstGeom prst="rect">
                      <a:avLst/>
                    </a:prstGeom>
                  </pic:spPr>
                </pic:pic>
              </a:graphicData>
            </a:graphic>
          </wp:inline>
        </w:drawing>
      </w:r>
      <w:r w:rsidRPr="00BE64EA">
        <w:rPr>
          <w:noProof/>
          <w:szCs w:val="24"/>
        </w:rPr>
        <w:lastRenderedPageBreak/>
        <w:drawing>
          <wp:inline distT="0" distB="0" distL="0" distR="0" wp14:anchorId="33AA2478" wp14:editId="2145CD43">
            <wp:extent cx="5018776" cy="8637290"/>
            <wp:effectExtent l="19050" t="0" r="0" b="0"/>
            <wp:docPr id="27" name="Picture 26"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7"/>
                    <a:srcRect l="4902" t="4030" r="10454" b="3922"/>
                    <a:stretch>
                      <a:fillRect/>
                    </a:stretch>
                  </pic:blipFill>
                  <pic:spPr>
                    <a:xfrm>
                      <a:off x="0" y="0"/>
                      <a:ext cx="5024519" cy="8647173"/>
                    </a:xfrm>
                    <a:prstGeom prst="rect">
                      <a:avLst/>
                    </a:prstGeom>
                  </pic:spPr>
                </pic:pic>
              </a:graphicData>
            </a:graphic>
          </wp:inline>
        </w:drawing>
      </w:r>
      <w:r w:rsidRPr="00BE64EA">
        <w:rPr>
          <w:noProof/>
          <w:szCs w:val="24"/>
        </w:rPr>
        <w:lastRenderedPageBreak/>
        <w:drawing>
          <wp:inline distT="0" distB="0" distL="0" distR="0" wp14:anchorId="0DE049A0" wp14:editId="70754122">
            <wp:extent cx="5674874" cy="8117456"/>
            <wp:effectExtent l="19050" t="0" r="2026" b="0"/>
            <wp:docPr id="28" name="Picture 27"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8"/>
                    <a:srcRect l="4764" r="8111" b="3747"/>
                    <a:stretch>
                      <a:fillRect/>
                    </a:stretch>
                  </pic:blipFill>
                  <pic:spPr>
                    <a:xfrm>
                      <a:off x="0" y="0"/>
                      <a:ext cx="5674874" cy="8117456"/>
                    </a:xfrm>
                    <a:prstGeom prst="rect">
                      <a:avLst/>
                    </a:prstGeom>
                  </pic:spPr>
                </pic:pic>
              </a:graphicData>
            </a:graphic>
          </wp:inline>
        </w:drawing>
      </w:r>
      <w:r w:rsidRPr="00BE64EA">
        <w:rPr>
          <w:noProof/>
          <w:szCs w:val="24"/>
        </w:rPr>
        <w:lastRenderedPageBreak/>
        <w:drawing>
          <wp:inline distT="0" distB="0" distL="0" distR="0" wp14:anchorId="5D50B687" wp14:editId="7C773893">
            <wp:extent cx="5544988" cy="8195094"/>
            <wp:effectExtent l="19050" t="0" r="0" b="0"/>
            <wp:docPr id="29" name="Picture 28"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9"/>
                    <a:srcRect l="5043" t="6754" r="9975" b="3893"/>
                    <a:stretch>
                      <a:fillRect/>
                    </a:stretch>
                  </pic:blipFill>
                  <pic:spPr>
                    <a:xfrm>
                      <a:off x="0" y="0"/>
                      <a:ext cx="5547665" cy="8199050"/>
                    </a:xfrm>
                    <a:prstGeom prst="rect">
                      <a:avLst/>
                    </a:prstGeom>
                  </pic:spPr>
                </pic:pic>
              </a:graphicData>
            </a:graphic>
          </wp:inline>
        </w:drawing>
      </w:r>
      <w:r w:rsidRPr="00BE64EA">
        <w:rPr>
          <w:noProof/>
          <w:szCs w:val="24"/>
        </w:rPr>
        <w:lastRenderedPageBreak/>
        <w:drawing>
          <wp:inline distT="0" distB="0" distL="0" distR="0" wp14:anchorId="04C24FF3" wp14:editId="2D81CA29">
            <wp:extent cx="5544988" cy="8281358"/>
            <wp:effectExtent l="19050" t="0" r="0" b="0"/>
            <wp:docPr id="30" name="Picture 29"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0"/>
                    <a:srcRect l="4761" t="3704" r="7608" b="3704"/>
                    <a:stretch>
                      <a:fillRect/>
                    </a:stretch>
                  </pic:blipFill>
                  <pic:spPr>
                    <a:xfrm>
                      <a:off x="0" y="0"/>
                      <a:ext cx="5544988" cy="8281358"/>
                    </a:xfrm>
                    <a:prstGeom prst="rect">
                      <a:avLst/>
                    </a:prstGeom>
                  </pic:spPr>
                </pic:pic>
              </a:graphicData>
            </a:graphic>
          </wp:inline>
        </w:drawing>
      </w:r>
      <w:r w:rsidRPr="00BE64EA">
        <w:rPr>
          <w:noProof/>
          <w:szCs w:val="24"/>
        </w:rPr>
        <w:lastRenderedPageBreak/>
        <w:drawing>
          <wp:inline distT="0" distB="0" distL="0" distR="0" wp14:anchorId="6735592A" wp14:editId="04AA8B09">
            <wp:extent cx="5406965" cy="8281358"/>
            <wp:effectExtent l="19050" t="0" r="3235" b="0"/>
            <wp:docPr id="31" name="Picture 30"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1"/>
                    <a:srcRect l="4477" t="3813" r="11070" b="3159"/>
                    <a:stretch>
                      <a:fillRect/>
                    </a:stretch>
                  </pic:blipFill>
                  <pic:spPr>
                    <a:xfrm>
                      <a:off x="0" y="0"/>
                      <a:ext cx="5406965" cy="8281358"/>
                    </a:xfrm>
                    <a:prstGeom prst="rect">
                      <a:avLst/>
                    </a:prstGeom>
                  </pic:spPr>
                </pic:pic>
              </a:graphicData>
            </a:graphic>
          </wp:inline>
        </w:drawing>
      </w:r>
      <w:r w:rsidRPr="00BE64EA">
        <w:rPr>
          <w:noProof/>
          <w:szCs w:val="24"/>
        </w:rPr>
        <w:lastRenderedPageBreak/>
        <w:drawing>
          <wp:inline distT="0" distB="0" distL="0" distR="0" wp14:anchorId="1DA48587" wp14:editId="4BA35ACB">
            <wp:extent cx="5743395" cy="8177841"/>
            <wp:effectExtent l="19050" t="0" r="0" b="0"/>
            <wp:docPr id="32" name="Picture 31"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2"/>
                    <a:srcRect l="4901" t="3813" r="3321" b="3922"/>
                    <a:stretch>
                      <a:fillRect/>
                    </a:stretch>
                  </pic:blipFill>
                  <pic:spPr>
                    <a:xfrm>
                      <a:off x="0" y="0"/>
                      <a:ext cx="5743395" cy="8177841"/>
                    </a:xfrm>
                    <a:prstGeom prst="rect">
                      <a:avLst/>
                    </a:prstGeom>
                  </pic:spPr>
                </pic:pic>
              </a:graphicData>
            </a:graphic>
          </wp:inline>
        </w:drawing>
      </w:r>
      <w:r w:rsidRPr="00BE64EA">
        <w:rPr>
          <w:noProof/>
          <w:szCs w:val="24"/>
        </w:rPr>
        <w:lastRenderedPageBreak/>
        <w:drawing>
          <wp:inline distT="0" distB="0" distL="0" distR="0" wp14:anchorId="54DEF3EA" wp14:editId="08402D81">
            <wp:extent cx="5570867" cy="8150442"/>
            <wp:effectExtent l="19050" t="0" r="0" b="0"/>
            <wp:docPr id="33" name="Picture 32"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3"/>
                    <a:srcRect l="2789" t="17430" r="8946" b="468"/>
                    <a:stretch>
                      <a:fillRect/>
                    </a:stretch>
                  </pic:blipFill>
                  <pic:spPr>
                    <a:xfrm>
                      <a:off x="0" y="0"/>
                      <a:ext cx="5575071" cy="8156593"/>
                    </a:xfrm>
                    <a:prstGeom prst="rect">
                      <a:avLst/>
                    </a:prstGeom>
                  </pic:spPr>
                </pic:pic>
              </a:graphicData>
            </a:graphic>
          </wp:inline>
        </w:drawing>
      </w:r>
    </w:p>
    <w:p w:rsidR="0075576D" w:rsidRPr="00BE64EA" w:rsidRDefault="0075576D" w:rsidP="0075576D">
      <w:pPr>
        <w:pStyle w:val="Paragrafi"/>
        <w:rPr>
          <w:szCs w:val="24"/>
          <w:lang w:val="sq-AL"/>
        </w:rPr>
      </w:pPr>
    </w:p>
    <w:p w:rsidR="00FD57DC" w:rsidRDefault="00384EF8"/>
    <w:sectPr w:rsidR="00FD57DC" w:rsidSect="00384E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75576D"/>
    <w:rsid w:val="00013606"/>
    <w:rsid w:val="0002128B"/>
    <w:rsid w:val="00032E53"/>
    <w:rsid w:val="001D125B"/>
    <w:rsid w:val="002135CF"/>
    <w:rsid w:val="00224E4D"/>
    <w:rsid w:val="002C0AA4"/>
    <w:rsid w:val="002E7553"/>
    <w:rsid w:val="00332E0F"/>
    <w:rsid w:val="00384EF8"/>
    <w:rsid w:val="00455FC5"/>
    <w:rsid w:val="004A4709"/>
    <w:rsid w:val="00501B27"/>
    <w:rsid w:val="005F579C"/>
    <w:rsid w:val="00627136"/>
    <w:rsid w:val="006815F0"/>
    <w:rsid w:val="006B699A"/>
    <w:rsid w:val="0075576D"/>
    <w:rsid w:val="007A33AA"/>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5576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5576D"/>
    <w:rPr>
      <w:rFonts w:ascii="Garamond" w:eastAsia="MS Mincho" w:hAnsi="Garamond" w:cs="CG Times"/>
      <w:sz w:val="24"/>
    </w:rPr>
  </w:style>
  <w:style w:type="paragraph" w:customStyle="1" w:styleId="Hapesira7">
    <w:name w:val="Hapesira 7"/>
    <w:basedOn w:val="Paragrafi"/>
    <w:qFormat/>
    <w:rsid w:val="0075576D"/>
    <w:rPr>
      <w:sz w:val="14"/>
      <w:szCs w:val="24"/>
    </w:rPr>
  </w:style>
  <w:style w:type="paragraph" w:styleId="BalloonText">
    <w:name w:val="Balloon Text"/>
    <w:basedOn w:val="Normal"/>
    <w:link w:val="BalloonTextChar"/>
    <w:uiPriority w:val="99"/>
    <w:semiHidden/>
    <w:unhideWhenUsed/>
    <w:rsid w:val="0075576D"/>
    <w:rPr>
      <w:rFonts w:ascii="Tahoma" w:hAnsi="Tahoma" w:cs="Tahoma"/>
      <w:sz w:val="16"/>
      <w:szCs w:val="16"/>
    </w:rPr>
  </w:style>
  <w:style w:type="character" w:customStyle="1" w:styleId="BalloonTextChar">
    <w:name w:val="Balloon Text Char"/>
    <w:basedOn w:val="DefaultParagraphFont"/>
    <w:link w:val="BalloonText"/>
    <w:uiPriority w:val="99"/>
    <w:semiHidden/>
    <w:rsid w:val="007557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2019-01-30T13:52:00Z</cp:lastPrinted>
  <dcterms:created xsi:type="dcterms:W3CDTF">2015-08-11T09:59:00Z</dcterms:created>
  <dcterms:modified xsi:type="dcterms:W3CDTF">2019-01-30T13:52:00Z</dcterms:modified>
</cp:coreProperties>
</file>