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23F" w:rsidRPr="002B3F78" w:rsidRDefault="00DD523F" w:rsidP="00DD523F">
      <w:pPr>
        <w:pStyle w:val="NeniTitull"/>
        <w:rPr>
          <w:spacing w:val="-4"/>
          <w:lang w:val="sq-AL"/>
        </w:rPr>
      </w:pPr>
      <w:r w:rsidRPr="002B3F78">
        <w:rPr>
          <w:spacing w:val="-4"/>
          <w:lang w:val="sq-AL"/>
        </w:rPr>
        <w:t>VENDIM</w:t>
      </w:r>
    </w:p>
    <w:p w:rsidR="00DD523F" w:rsidRPr="002B3F78" w:rsidRDefault="00DD523F" w:rsidP="00DD523F">
      <w:pPr>
        <w:pStyle w:val="NeniTitull"/>
        <w:rPr>
          <w:spacing w:val="-4"/>
          <w:lang w:val="sq-AL"/>
        </w:rPr>
      </w:pPr>
      <w:r w:rsidRPr="002B3F78">
        <w:rPr>
          <w:spacing w:val="-4"/>
          <w:lang w:val="sq-AL"/>
        </w:rPr>
        <w:t>Nr.  712, datë 26.8.2015</w:t>
      </w:r>
    </w:p>
    <w:p w:rsidR="00DD523F" w:rsidRPr="002B3F78" w:rsidRDefault="00DD523F" w:rsidP="00DD523F">
      <w:pPr>
        <w:pStyle w:val="Hapesira7"/>
        <w:rPr>
          <w:spacing w:val="-4"/>
          <w:lang w:val="sq-AL"/>
        </w:rPr>
      </w:pPr>
    </w:p>
    <w:p w:rsidR="00DD523F" w:rsidRPr="002B3F78" w:rsidRDefault="00DD523F" w:rsidP="00DD523F">
      <w:pPr>
        <w:pStyle w:val="NeniTitull"/>
        <w:rPr>
          <w:spacing w:val="-4"/>
          <w:lang w:val="sq-AL"/>
        </w:rPr>
      </w:pPr>
      <w:r w:rsidRPr="002B3F78">
        <w:rPr>
          <w:spacing w:val="-4"/>
          <w:lang w:val="sq-AL"/>
        </w:rPr>
        <w:t>PËR SHPRONËSIMIN, PËR INTERES PUBLIK, TË PRONARËVE TË PASURIVE TË PALUAJTSHME, PRONË PRIVATE, QË PREKEN NGA ZGJERIMI I RRUGËS HYRËSE TË DOGANËS MORINË</w:t>
      </w:r>
    </w:p>
    <w:p w:rsidR="00DD523F" w:rsidRPr="002B3F78" w:rsidRDefault="00DD523F" w:rsidP="00DD523F">
      <w:pPr>
        <w:pStyle w:val="Hapesira7"/>
        <w:rPr>
          <w:spacing w:val="-4"/>
          <w:lang w:val="sq-AL"/>
        </w:rPr>
      </w:pPr>
    </w:p>
    <w:p w:rsidR="00DD523F" w:rsidRPr="002B3F78" w:rsidRDefault="00DD523F" w:rsidP="00DD523F">
      <w:pPr>
        <w:pStyle w:val="Paragrafi"/>
        <w:rPr>
          <w:spacing w:val="-4"/>
          <w:lang w:val="sq-AL"/>
        </w:rPr>
      </w:pPr>
      <w:r w:rsidRPr="002B3F78">
        <w:rPr>
          <w:spacing w:val="-4"/>
          <w:lang w:val="sq-AL"/>
        </w:rPr>
        <w:t xml:space="preserve">Në mbështetje të nenit 100 të Kushtetutës dhe neneve 5, pikat 1, 20 e 21, të ligjit nr. 8561, datë 22.12.1999, “Për shpronësimet dhe marrjen në përdorim të përkohshëm të pasurisë, pronë private, për interes publik”, me propozimin e ministrit të Financave, Këshilli i Ministrave </w:t>
      </w:r>
    </w:p>
    <w:p w:rsidR="00DD523F" w:rsidRPr="002B3F78" w:rsidRDefault="00DD523F" w:rsidP="00DD523F">
      <w:pPr>
        <w:pStyle w:val="Hapesira7"/>
        <w:rPr>
          <w:spacing w:val="-4"/>
          <w:lang w:val="sq-AL"/>
        </w:rPr>
      </w:pPr>
    </w:p>
    <w:p w:rsidR="00DD523F" w:rsidRPr="002B3F78" w:rsidRDefault="00DD523F" w:rsidP="00DD523F">
      <w:pPr>
        <w:pStyle w:val="NeniNr"/>
        <w:rPr>
          <w:spacing w:val="-4"/>
          <w:lang w:val="sq-AL"/>
        </w:rPr>
      </w:pPr>
      <w:r w:rsidRPr="002B3F78">
        <w:rPr>
          <w:spacing w:val="-4"/>
          <w:lang w:val="sq-AL"/>
        </w:rPr>
        <w:t>VENDOSI:</w:t>
      </w:r>
    </w:p>
    <w:p w:rsidR="00DD523F" w:rsidRPr="002B3F78" w:rsidRDefault="00DD523F" w:rsidP="00DD523F">
      <w:pPr>
        <w:pStyle w:val="Hapesira7"/>
        <w:rPr>
          <w:spacing w:val="-4"/>
          <w:lang w:val="sq-AL"/>
        </w:rPr>
      </w:pPr>
    </w:p>
    <w:p w:rsidR="00DD523F" w:rsidRPr="002B3F78" w:rsidRDefault="00DD523F" w:rsidP="00DD523F">
      <w:pPr>
        <w:pStyle w:val="Paragrafi"/>
        <w:rPr>
          <w:spacing w:val="-4"/>
          <w:lang w:val="sq-AL"/>
        </w:rPr>
      </w:pPr>
      <w:r w:rsidRPr="002B3F78">
        <w:rPr>
          <w:spacing w:val="-4"/>
          <w:lang w:val="sq-AL"/>
        </w:rPr>
        <w:t xml:space="preserve">1. Shpronësimin, për interes publik, të pronarëve të pasurive të paluajtshme, pronë private, që preken nga zgjerimi i rrugës hyrëse të Doganës Morinë. </w:t>
      </w:r>
    </w:p>
    <w:p w:rsidR="00DD523F" w:rsidRPr="002B3F78" w:rsidRDefault="00DD523F" w:rsidP="00DD523F">
      <w:pPr>
        <w:pStyle w:val="Paragrafi"/>
        <w:rPr>
          <w:spacing w:val="-4"/>
          <w:lang w:val="sq-AL"/>
        </w:rPr>
      </w:pPr>
      <w:r w:rsidRPr="002B3F78">
        <w:rPr>
          <w:spacing w:val="-4"/>
          <w:lang w:val="sq-AL"/>
        </w:rPr>
        <w:t xml:space="preserve">2. Shpronësimi të bëhet në favor të Drejtorisë së Përgjithshme të Doganave. </w:t>
      </w:r>
    </w:p>
    <w:p w:rsidR="00DD523F" w:rsidRPr="002B3F78" w:rsidRDefault="00DD523F" w:rsidP="00DD523F">
      <w:pPr>
        <w:pStyle w:val="Paragrafi"/>
        <w:rPr>
          <w:spacing w:val="-4"/>
          <w:lang w:val="sq-AL"/>
        </w:rPr>
      </w:pPr>
      <w:r w:rsidRPr="002B3F78">
        <w:rPr>
          <w:spacing w:val="-4"/>
          <w:lang w:val="sq-AL"/>
        </w:rPr>
        <w:t xml:space="preserve">3. Pronarët e pasurive të paluajtshme, që shpronësohen, të kompensohen në vlerë të plotë, sipas masës përkatëse që paraqitet në tabelën bashkëlidhur këtij vendimi, për pasuritë “arë”, “truall” dhe “pemëtore” (tokë bujqësore), me vlerë të përgjithshme shpronësimi prej 285 436 (dyqind e tetë dhjetë e pesëmijë e katërqind e tridhjetë e gjashtë) lekësh, nga të cilat: </w:t>
      </w:r>
    </w:p>
    <w:p w:rsidR="00DD523F" w:rsidRPr="002B3F78" w:rsidRDefault="00DD523F" w:rsidP="00DD523F">
      <w:pPr>
        <w:pStyle w:val="Paragrafi"/>
        <w:rPr>
          <w:spacing w:val="-4"/>
          <w:lang w:val="sq-AL"/>
        </w:rPr>
      </w:pPr>
      <w:r w:rsidRPr="002B3F78">
        <w:rPr>
          <w:spacing w:val="-4"/>
          <w:lang w:val="sq-AL"/>
        </w:rPr>
        <w:t>a) tokë “arë”, me sipërfaqe 208 (dyqind e tetë) m</w:t>
      </w:r>
      <w:r w:rsidRPr="002B3F78">
        <w:rPr>
          <w:spacing w:val="-4"/>
          <w:vertAlign w:val="superscript"/>
          <w:lang w:val="sq-AL"/>
        </w:rPr>
        <w:t>2</w:t>
      </w:r>
      <w:r w:rsidRPr="002B3F78">
        <w:rPr>
          <w:spacing w:val="-4"/>
          <w:lang w:val="sq-AL"/>
        </w:rPr>
        <w:t xml:space="preserve">, me vlerë shpronësimi 23 712 (njëzet e tre mijë e shtatëqind e dymbëdhjetë) lekë; </w:t>
      </w:r>
    </w:p>
    <w:p w:rsidR="00DD523F" w:rsidRPr="002B3F78" w:rsidRDefault="00DD523F" w:rsidP="00DD523F">
      <w:pPr>
        <w:pStyle w:val="Paragrafi"/>
        <w:rPr>
          <w:spacing w:val="-4"/>
          <w:lang w:val="sq-AL"/>
        </w:rPr>
      </w:pPr>
      <w:r w:rsidRPr="002B3F78">
        <w:rPr>
          <w:spacing w:val="-4"/>
          <w:lang w:val="sq-AL"/>
        </w:rPr>
        <w:t>b) tokë “truall”, me sipërfaqe 1 246 (një mijë e dyqind e dyzet e gjashtë) m</w:t>
      </w:r>
      <w:r w:rsidRPr="002B3F78">
        <w:rPr>
          <w:spacing w:val="-4"/>
          <w:vertAlign w:val="superscript"/>
          <w:lang w:val="sq-AL"/>
        </w:rPr>
        <w:t>2</w:t>
      </w:r>
      <w:r w:rsidRPr="002B3F78">
        <w:rPr>
          <w:spacing w:val="-4"/>
          <w:lang w:val="sq-AL"/>
        </w:rPr>
        <w:t xml:space="preserve">, me vlerë shpronësimi 251 692 (dyqind e pesëdhjetë e një mijë e gjashtëqind e nëntëdhjetë e dy) lekë; </w:t>
      </w:r>
    </w:p>
    <w:p w:rsidR="00DD523F" w:rsidRPr="002B3F78" w:rsidRDefault="00DD523F" w:rsidP="00DD523F">
      <w:pPr>
        <w:pStyle w:val="Paragrafi"/>
        <w:rPr>
          <w:spacing w:val="-4"/>
          <w:lang w:val="sq-AL"/>
        </w:rPr>
      </w:pPr>
      <w:r w:rsidRPr="002B3F78">
        <w:rPr>
          <w:spacing w:val="-4"/>
          <w:lang w:val="sq-AL"/>
        </w:rPr>
        <w:t>c) pemëtore (tokë bujqësore), me sipërfaqe 88 (tetëdhjetë e tetë) m</w:t>
      </w:r>
      <w:r w:rsidRPr="002B3F78">
        <w:rPr>
          <w:spacing w:val="-4"/>
          <w:vertAlign w:val="superscript"/>
          <w:lang w:val="sq-AL"/>
        </w:rPr>
        <w:t>2</w:t>
      </w:r>
      <w:r w:rsidRPr="002B3F78">
        <w:rPr>
          <w:spacing w:val="-4"/>
          <w:lang w:val="sq-AL"/>
        </w:rPr>
        <w:t>, me vlerë shpronësimi 10 032 (dhjetë mijë e tridhjetë e dy) lekë.</w:t>
      </w:r>
    </w:p>
    <w:p w:rsidR="00DD523F" w:rsidRDefault="00DD523F" w:rsidP="00DD523F">
      <w:pPr>
        <w:pStyle w:val="Paragrafi"/>
        <w:rPr>
          <w:spacing w:val="-4"/>
          <w:lang w:val="sq-AL"/>
        </w:rPr>
      </w:pPr>
      <w:r w:rsidRPr="002B3F78">
        <w:rPr>
          <w:spacing w:val="-4"/>
          <w:lang w:val="sq-AL"/>
        </w:rPr>
        <w:t xml:space="preserve">4. Vlera e përgjithshme e shpronësimit, prej 285 436 (dyqind e tetëdhjetë e pesë mijë e katërqind e tridhjetë e gjashtë) lekësh, të përballohet nga buxheti i Drejtorisë së Përgjithshme të Doganave, zëri “Investime”. </w:t>
      </w:r>
    </w:p>
    <w:p w:rsidR="00DD523F" w:rsidRPr="002B3F78" w:rsidRDefault="00DD523F" w:rsidP="00DD523F">
      <w:pPr>
        <w:pStyle w:val="Paragrafi"/>
        <w:rPr>
          <w:spacing w:val="-4"/>
          <w:lang w:val="sq-AL"/>
        </w:rPr>
      </w:pPr>
      <w:bookmarkStart w:id="0" w:name="_GoBack"/>
      <w:bookmarkEnd w:id="0"/>
      <w:r w:rsidRPr="002B3F78">
        <w:rPr>
          <w:spacing w:val="-4"/>
          <w:lang w:val="sq-AL"/>
        </w:rPr>
        <w:t xml:space="preserve">5. Pronarët e përmendur në listën që i bashkëlidhet këtij vendimi, për të cilët është bërë shënimi “Konfirmuar nga ZVRPP-ja”, të kompensohen, për efekt shpronësimi, pasi të kenë paraqitur dokumentacionin e plotë të pronësisë pranë Drejtorisë së Përgjithshme të Doganave. </w:t>
      </w:r>
    </w:p>
    <w:p w:rsidR="00DD523F" w:rsidRPr="002B3F78" w:rsidRDefault="00DD523F" w:rsidP="00DD523F">
      <w:pPr>
        <w:pStyle w:val="Paragrafi"/>
        <w:rPr>
          <w:spacing w:val="-4"/>
          <w:lang w:val="sq-AL"/>
        </w:rPr>
      </w:pPr>
      <w:r w:rsidRPr="002B3F78">
        <w:rPr>
          <w:spacing w:val="-4"/>
          <w:lang w:val="sq-AL"/>
        </w:rPr>
        <w:t xml:space="preserve">6. Drejtoria e Përgjithshme e Doganave të kryejë likuidimet, për efekt shpronësimi, në bazë të pikave 3, 4, 5 dhe 7, të këtij vendimi. </w:t>
      </w:r>
    </w:p>
    <w:p w:rsidR="00DD523F" w:rsidRPr="002B3F78" w:rsidRDefault="00DD523F" w:rsidP="00DD523F">
      <w:pPr>
        <w:pStyle w:val="Paragrafi"/>
        <w:rPr>
          <w:spacing w:val="-4"/>
          <w:lang w:val="sq-AL"/>
        </w:rPr>
      </w:pPr>
      <w:r w:rsidRPr="002B3F78">
        <w:rPr>
          <w:spacing w:val="-4"/>
          <w:lang w:val="sq-AL"/>
        </w:rPr>
        <w:t>7. Zyra Qendrore e Regjistrimit të Pasurive të Paluajtshme dhe Zyra Vendore e Regjistrimit të Pasurive të Paluajtshme, Kukës, në bashkëpunim me Drejtorinë e Përgjithshme të Doganave, brenda 30 ditëve, nga data e miratimit të këtij vendimi, të fillojnë procedurat për hedhjen e sipërfaqes së shpronësuar mbi hartat kadastrale, sipas planimetrisë së shpronësimit që do t’u vihet në dispozicion nga Drejtoria e Përgjithshme e Doganave. Me fillimin e procesit të likuidimit, të fillojë edhe procesi i kalimit të pronësisë, për pasuritë e shpronësuara, në favor të shtetit.</w:t>
      </w:r>
    </w:p>
    <w:p w:rsidR="00DD523F" w:rsidRPr="002B3F78" w:rsidRDefault="00DD523F" w:rsidP="00DD523F">
      <w:pPr>
        <w:pStyle w:val="Paragrafi"/>
        <w:rPr>
          <w:spacing w:val="-4"/>
          <w:lang w:val="sq-AL"/>
        </w:rPr>
      </w:pPr>
      <w:r w:rsidRPr="002B3F78">
        <w:rPr>
          <w:spacing w:val="-4"/>
          <w:lang w:val="sq-AL"/>
        </w:rPr>
        <w:t>8. Afati i përfundimit të punimeve për ndërtimin dhe realizimin e shpronësimit do të jetë sipas përcaktimeve të kontratës për realizimin e zgjerimit të rrugës hyrëse të Doganës Morinë.</w:t>
      </w:r>
    </w:p>
    <w:p w:rsidR="00DD523F" w:rsidRPr="002B3F78" w:rsidRDefault="00DD523F" w:rsidP="00DD523F">
      <w:pPr>
        <w:pStyle w:val="Paragrafi"/>
        <w:rPr>
          <w:spacing w:val="-4"/>
          <w:lang w:val="sq-AL"/>
        </w:rPr>
      </w:pPr>
      <w:r w:rsidRPr="002B3F78">
        <w:rPr>
          <w:spacing w:val="-4"/>
          <w:lang w:val="sq-AL"/>
        </w:rPr>
        <w:t xml:space="preserve">9. Zyra Qendrore e Regjistrimit të Pasurive të Paluajtshme dhe Zyra Vendore e Regjistrimit të Pasurive të Paluajtshme Kukës të pezullojnë të gjitha transaksionet me pasuritë e shpronësuara deri në momentin kur do të realizohet procesi i hedhjes së sipërfaqes së shpronësuar mbi hartat kadastrale dhe kalimi i pronësisë, për pasuritë e shpronësuara. </w:t>
      </w:r>
    </w:p>
    <w:p w:rsidR="00DD523F" w:rsidRPr="002B3F78" w:rsidRDefault="00DD523F" w:rsidP="00DD523F">
      <w:pPr>
        <w:pStyle w:val="Paragrafi"/>
        <w:rPr>
          <w:spacing w:val="-4"/>
          <w:lang w:val="sq-AL"/>
        </w:rPr>
      </w:pPr>
      <w:r w:rsidRPr="002B3F78">
        <w:rPr>
          <w:spacing w:val="-4"/>
          <w:lang w:val="sq-AL"/>
        </w:rPr>
        <w:t xml:space="preserve">10. Ngarkohen Ministria e Financave, Drejtoria e Përgjithshme e Doganave, Zyra Qendrore e Regjistrimit të Pasurive të Paluajtshme dhe Zyra Vendore e Regjistrimit të Pasurive të Paluajtshme, Kukës për zbatimin e këtij vendimi. </w:t>
      </w:r>
    </w:p>
    <w:p w:rsidR="00DD523F" w:rsidRPr="002B3F78" w:rsidRDefault="00DD523F" w:rsidP="00DD523F">
      <w:pPr>
        <w:pStyle w:val="Paragrafi"/>
        <w:rPr>
          <w:spacing w:val="-4"/>
          <w:lang w:val="sq-AL"/>
        </w:rPr>
      </w:pPr>
      <w:r w:rsidRPr="002B3F78">
        <w:rPr>
          <w:spacing w:val="-4"/>
          <w:lang w:val="sq-AL"/>
        </w:rPr>
        <w:t>Ky vendim hyn në fuqi menjëherë dhe botohet në Fletoren Zyrtare.</w:t>
      </w:r>
    </w:p>
    <w:p w:rsidR="00DD523F" w:rsidRPr="002B3F78" w:rsidRDefault="00DD523F" w:rsidP="00DD523F">
      <w:pPr>
        <w:pStyle w:val="Paragrafi"/>
        <w:jc w:val="right"/>
        <w:rPr>
          <w:spacing w:val="-4"/>
          <w:lang w:val="sq-AL"/>
        </w:rPr>
      </w:pPr>
      <w:r w:rsidRPr="002B3F78">
        <w:rPr>
          <w:spacing w:val="-4"/>
          <w:lang w:val="sq-AL"/>
        </w:rPr>
        <w:t>KRYEMINISTRI</w:t>
      </w:r>
    </w:p>
    <w:p w:rsidR="00DD523F" w:rsidRPr="002B3F78" w:rsidRDefault="00DD523F" w:rsidP="00DD523F">
      <w:pPr>
        <w:pStyle w:val="Paragrafi"/>
        <w:jc w:val="right"/>
        <w:rPr>
          <w:b/>
          <w:spacing w:val="-4"/>
          <w:lang w:val="sq-AL"/>
        </w:rPr>
      </w:pPr>
      <w:r w:rsidRPr="002B3F78">
        <w:rPr>
          <w:b/>
          <w:spacing w:val="-4"/>
          <w:lang w:val="sq-AL"/>
        </w:rPr>
        <w:t>Edi Rama</w:t>
      </w:r>
    </w:p>
    <w:p w:rsidR="00DD523F" w:rsidRDefault="00DD523F" w:rsidP="00DD523F">
      <w:pPr>
        <w:pStyle w:val="Paragrafi"/>
        <w:jc w:val="right"/>
        <w:rPr>
          <w:b/>
          <w:lang w:val="sq-AL"/>
        </w:rPr>
        <w:sectPr w:rsidR="00DD523F" w:rsidSect="00227910">
          <w:pgSz w:w="11907" w:h="16840" w:code="9"/>
          <w:pgMar w:top="720" w:right="1134" w:bottom="720" w:left="1134" w:header="851" w:footer="851" w:gutter="0"/>
          <w:cols w:space="454"/>
          <w:docGrid w:linePitch="360"/>
        </w:sectPr>
      </w:pPr>
    </w:p>
    <w:p w:rsidR="00DD523F" w:rsidRPr="00FA280D" w:rsidRDefault="00DD523F" w:rsidP="00DD523F">
      <w:pPr>
        <w:pStyle w:val="Paragrafi"/>
        <w:jc w:val="right"/>
        <w:rPr>
          <w:b/>
          <w:lang w:val="sq-AL"/>
        </w:rPr>
      </w:pPr>
    </w:p>
    <w:p w:rsidR="00DD523F" w:rsidRPr="00FA280D" w:rsidRDefault="00DD523F" w:rsidP="00DD523F">
      <w:pPr>
        <w:pStyle w:val="NeniNr"/>
        <w:rPr>
          <w:lang w:val="sq-AL"/>
        </w:rPr>
      </w:pPr>
      <w:r w:rsidRPr="00FA280D">
        <w:rPr>
          <w:lang w:val="sq-AL"/>
        </w:rPr>
        <w:t>LISTA E PRONARËVE PRIVAT</w:t>
      </w:r>
      <w:r>
        <w:rPr>
          <w:lang w:val="sq-AL"/>
        </w:rPr>
        <w:t>Ë</w:t>
      </w:r>
      <w:r w:rsidRPr="00FA280D">
        <w:rPr>
          <w:lang w:val="sq-AL"/>
        </w:rPr>
        <w:t xml:space="preserve"> QË DO SHPRONËSOHEN PËR EFEKT TË ZGJERIMIT TË RRUGËS HYRËSE NË DOGANËN MORINË, KUKËS</w:t>
      </w:r>
    </w:p>
    <w:tbl>
      <w:tblPr>
        <w:tblW w:w="5000" w:type="pct"/>
        <w:tblLook w:val="04A0" w:firstRow="1" w:lastRow="0" w:firstColumn="1" w:lastColumn="0" w:noHBand="0" w:noVBand="1"/>
      </w:tblPr>
      <w:tblGrid>
        <w:gridCol w:w="641"/>
        <w:gridCol w:w="448"/>
        <w:gridCol w:w="1387"/>
        <w:gridCol w:w="1023"/>
        <w:gridCol w:w="797"/>
        <w:gridCol w:w="871"/>
        <w:gridCol w:w="698"/>
        <w:gridCol w:w="766"/>
        <w:gridCol w:w="708"/>
        <w:gridCol w:w="1903"/>
      </w:tblGrid>
      <w:tr w:rsidR="00DD523F" w:rsidRPr="00FA280D" w:rsidTr="00FC18B5">
        <w:trPr>
          <w:trHeight w:val="139"/>
        </w:trPr>
        <w:tc>
          <w:tcPr>
            <w:tcW w:w="35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Fshati</w:t>
            </w:r>
          </w:p>
        </w:tc>
        <w:tc>
          <w:tcPr>
            <w:tcW w:w="218" w:type="pct"/>
            <w:tcBorders>
              <w:top w:val="single" w:sz="8" w:space="0" w:color="auto"/>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Nr</w:t>
            </w:r>
            <w:r>
              <w:rPr>
                <w:rFonts w:ascii="Garamond" w:eastAsia="Times New Roman" w:hAnsi="Garamond"/>
                <w:b/>
                <w:bCs/>
                <w:sz w:val="16"/>
                <w:szCs w:val="16"/>
                <w:lang w:val="sq-AL"/>
              </w:rPr>
              <w:t>.</w:t>
            </w:r>
          </w:p>
        </w:tc>
        <w:tc>
          <w:tcPr>
            <w:tcW w:w="763" w:type="pct"/>
            <w:tcBorders>
              <w:top w:val="single" w:sz="8" w:space="0" w:color="auto"/>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Pronari</w:t>
            </w:r>
          </w:p>
        </w:tc>
        <w:tc>
          <w:tcPr>
            <w:tcW w:w="562" w:type="pct"/>
            <w:tcBorders>
              <w:top w:val="single" w:sz="8"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Zona kadastrale</w:t>
            </w:r>
          </w:p>
        </w:tc>
        <w:tc>
          <w:tcPr>
            <w:tcW w:w="440" w:type="pct"/>
            <w:tcBorders>
              <w:top w:val="single" w:sz="8"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i </w:t>
            </w:r>
            <w:r w:rsidRPr="00FA280D">
              <w:rPr>
                <w:rFonts w:ascii="Garamond" w:eastAsia="Times New Roman" w:hAnsi="Garamond"/>
                <w:b/>
                <w:bCs/>
                <w:sz w:val="16"/>
                <w:szCs w:val="16"/>
                <w:lang w:val="sq-AL"/>
              </w:rPr>
              <w:t xml:space="preserve"> pasurisë</w:t>
            </w:r>
            <w:r>
              <w:rPr>
                <w:rFonts w:ascii="Garamond" w:eastAsia="Times New Roman" w:hAnsi="Garamond"/>
                <w:b/>
                <w:bCs/>
                <w:sz w:val="16"/>
                <w:szCs w:val="16"/>
                <w:lang w:val="sq-AL"/>
              </w:rPr>
              <w:t xml:space="preserve">  </w:t>
            </w:r>
            <w:r w:rsidRPr="00FA280D">
              <w:rPr>
                <w:rFonts w:ascii="Garamond" w:eastAsia="Times New Roman" w:hAnsi="Garamond"/>
                <w:b/>
                <w:bCs/>
                <w:sz w:val="16"/>
                <w:szCs w:val="16"/>
                <w:lang w:val="sq-AL"/>
              </w:rPr>
              <w:t xml:space="preserve"> </w:t>
            </w:r>
          </w:p>
        </w:tc>
        <w:tc>
          <w:tcPr>
            <w:tcW w:w="480" w:type="pct"/>
            <w:tcBorders>
              <w:top w:val="single" w:sz="8"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 xml:space="preserve">Lloji </w:t>
            </w:r>
            <w:r>
              <w:rPr>
                <w:rFonts w:ascii="Garamond" w:eastAsia="Times New Roman" w:hAnsi="Garamond"/>
                <w:b/>
                <w:bCs/>
                <w:sz w:val="16"/>
                <w:szCs w:val="16"/>
                <w:lang w:val="sq-AL"/>
              </w:rPr>
              <w:t xml:space="preserve">i </w:t>
            </w:r>
            <w:r w:rsidRPr="00FA280D">
              <w:rPr>
                <w:rFonts w:ascii="Garamond" w:eastAsia="Times New Roman" w:hAnsi="Garamond"/>
                <w:b/>
                <w:bCs/>
                <w:sz w:val="16"/>
                <w:szCs w:val="16"/>
                <w:lang w:val="sq-AL"/>
              </w:rPr>
              <w:t>pasurisë</w:t>
            </w:r>
            <w:r>
              <w:rPr>
                <w:rFonts w:ascii="Garamond" w:eastAsia="Times New Roman" w:hAnsi="Garamond"/>
                <w:b/>
                <w:bCs/>
                <w:sz w:val="16"/>
                <w:szCs w:val="16"/>
                <w:lang w:val="sq-AL"/>
              </w:rPr>
              <w:t xml:space="preserve">  </w:t>
            </w:r>
            <w:r w:rsidRPr="00FA280D">
              <w:rPr>
                <w:rFonts w:ascii="Garamond" w:eastAsia="Times New Roman" w:hAnsi="Garamond"/>
                <w:b/>
                <w:bCs/>
                <w:sz w:val="16"/>
                <w:szCs w:val="16"/>
                <w:lang w:val="sq-AL"/>
              </w:rPr>
              <w:t xml:space="preserve"> </w:t>
            </w:r>
          </w:p>
        </w:tc>
        <w:tc>
          <w:tcPr>
            <w:tcW w:w="385" w:type="pct"/>
            <w:tcBorders>
              <w:top w:val="single" w:sz="8" w:space="0" w:color="auto"/>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Sip. m²</w:t>
            </w:r>
          </w:p>
        </w:tc>
        <w:tc>
          <w:tcPr>
            <w:tcW w:w="424" w:type="pct"/>
            <w:tcBorders>
              <w:top w:val="single" w:sz="8"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Çmimi</w:t>
            </w:r>
            <w:r>
              <w:rPr>
                <w:rFonts w:ascii="Garamond" w:eastAsia="Times New Roman" w:hAnsi="Garamond"/>
                <w:b/>
                <w:bCs/>
                <w:sz w:val="16"/>
                <w:szCs w:val="16"/>
                <w:lang w:val="sq-AL"/>
              </w:rPr>
              <w:t xml:space="preserve">,  </w:t>
            </w:r>
            <w:r w:rsidRPr="00FA280D">
              <w:rPr>
                <w:rFonts w:ascii="Garamond" w:eastAsia="Times New Roman" w:hAnsi="Garamond"/>
                <w:b/>
                <w:bCs/>
                <w:sz w:val="16"/>
                <w:szCs w:val="16"/>
                <w:lang w:val="sq-AL"/>
              </w:rPr>
              <w:t>lekë/m²</w:t>
            </w:r>
            <w:r>
              <w:rPr>
                <w:rFonts w:ascii="Garamond" w:eastAsia="Times New Roman" w:hAnsi="Garamond"/>
                <w:b/>
                <w:bCs/>
                <w:sz w:val="16"/>
                <w:szCs w:val="16"/>
                <w:lang w:val="sq-AL"/>
              </w:rPr>
              <w:t xml:space="preserve">  </w:t>
            </w:r>
            <w:r w:rsidRPr="00FA280D">
              <w:rPr>
                <w:rFonts w:ascii="Garamond" w:eastAsia="Times New Roman" w:hAnsi="Garamond"/>
                <w:b/>
                <w:bCs/>
                <w:sz w:val="16"/>
                <w:szCs w:val="16"/>
                <w:lang w:val="sq-AL"/>
              </w:rPr>
              <w:t xml:space="preserve"> </w:t>
            </w:r>
          </w:p>
        </w:tc>
        <w:tc>
          <w:tcPr>
            <w:tcW w:w="391" w:type="pct"/>
            <w:tcBorders>
              <w:top w:val="single" w:sz="8" w:space="0" w:color="auto"/>
              <w:left w:val="nil"/>
              <w:bottom w:val="single" w:sz="4" w:space="0" w:color="auto"/>
              <w:right w:val="single" w:sz="8"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Vlera totale</w:t>
            </w:r>
            <w:r>
              <w:rPr>
                <w:rFonts w:ascii="Garamond" w:eastAsia="Times New Roman" w:hAnsi="Garamond"/>
                <w:b/>
                <w:bCs/>
                <w:sz w:val="16"/>
                <w:szCs w:val="16"/>
                <w:lang w:val="sq-AL"/>
              </w:rPr>
              <w:t>,</w:t>
            </w:r>
            <w:r w:rsidRPr="00FA280D">
              <w:rPr>
                <w:rFonts w:ascii="Garamond" w:eastAsia="Times New Roman" w:hAnsi="Garamond"/>
                <w:b/>
                <w:bCs/>
                <w:sz w:val="16"/>
                <w:szCs w:val="16"/>
                <w:lang w:val="sq-AL"/>
              </w:rPr>
              <w:t xml:space="preserve"> lek</w:t>
            </w:r>
            <w:r>
              <w:rPr>
                <w:rFonts w:ascii="Garamond" w:eastAsia="Times New Roman" w:hAnsi="Garamond"/>
                <w:b/>
                <w:bCs/>
                <w:sz w:val="16"/>
                <w:szCs w:val="16"/>
                <w:lang w:val="sq-AL"/>
              </w:rPr>
              <w:t xml:space="preserve">ë  </w:t>
            </w:r>
            <w:r w:rsidRPr="00FA280D">
              <w:rPr>
                <w:rFonts w:ascii="Garamond" w:eastAsia="Times New Roman" w:hAnsi="Garamond"/>
                <w:b/>
                <w:bCs/>
                <w:sz w:val="16"/>
                <w:szCs w:val="16"/>
                <w:lang w:val="sq-AL"/>
              </w:rPr>
              <w:t xml:space="preserve"> </w:t>
            </w:r>
          </w:p>
        </w:tc>
        <w:tc>
          <w:tcPr>
            <w:tcW w:w="984" w:type="pct"/>
            <w:tcBorders>
              <w:top w:val="single" w:sz="8" w:space="0" w:color="auto"/>
              <w:left w:val="nil"/>
              <w:bottom w:val="single" w:sz="8" w:space="0" w:color="auto"/>
              <w:right w:val="single" w:sz="8"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Lloji i vërtetimit</w:t>
            </w:r>
          </w:p>
        </w:tc>
      </w:tr>
      <w:tr w:rsidR="00DD523F" w:rsidRPr="00FA280D" w:rsidTr="00FC18B5">
        <w:trPr>
          <w:trHeight w:val="139"/>
        </w:trPr>
        <w:tc>
          <w:tcPr>
            <w:tcW w:w="353" w:type="pct"/>
            <w:tcBorders>
              <w:top w:val="single" w:sz="4" w:space="0" w:color="3F3F3F"/>
              <w:left w:val="single" w:sz="8" w:space="0" w:color="auto"/>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218"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763"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562"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40"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80"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385"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24" w:type="pct"/>
            <w:tcBorders>
              <w:top w:val="single" w:sz="4" w:space="0" w:color="3F3F3F"/>
              <w:left w:val="nil"/>
              <w:bottom w:val="single" w:sz="4" w:space="0" w:color="3F3F3F"/>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391" w:type="pct"/>
            <w:tcBorders>
              <w:top w:val="single" w:sz="4" w:space="0" w:color="3F3F3F"/>
              <w:left w:val="nil"/>
              <w:bottom w:val="single" w:sz="4" w:space="0" w:color="3F3F3F"/>
              <w:right w:val="single" w:sz="8" w:space="0" w:color="auto"/>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984" w:type="pct"/>
            <w:tcBorders>
              <w:top w:val="nil"/>
              <w:left w:val="nil"/>
              <w:bottom w:val="single" w:sz="8" w:space="0" w:color="auto"/>
              <w:right w:val="single" w:sz="8" w:space="0" w:color="auto"/>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Pr>
                <w:rFonts w:ascii="Garamond" w:eastAsia="Times New Roman" w:hAnsi="Garamond" w:cs="Calibri"/>
                <w:sz w:val="16"/>
                <w:szCs w:val="16"/>
                <w:lang w:val="sq-AL"/>
              </w:rPr>
              <w:t>-ja</w:t>
            </w:r>
          </w:p>
        </w:tc>
      </w:tr>
      <w:tr w:rsidR="00DD523F" w:rsidRPr="00FA280D" w:rsidTr="00FC18B5">
        <w:trPr>
          <w:trHeight w:val="139"/>
        </w:trPr>
        <w:tc>
          <w:tcPr>
            <w:tcW w:w="353" w:type="pct"/>
            <w:vMerge w:val="restart"/>
            <w:tcBorders>
              <w:top w:val="single" w:sz="4" w:space="0" w:color="auto"/>
              <w:left w:val="single" w:sz="8" w:space="0" w:color="auto"/>
              <w:right w:val="single" w:sz="4" w:space="0" w:color="auto"/>
            </w:tcBorders>
            <w:shd w:val="clear" w:color="auto" w:fill="auto"/>
            <w:noWrap/>
            <w:textDirection w:val="btLr"/>
            <w:vAlign w:val="center"/>
            <w:hideMark/>
          </w:tcPr>
          <w:p w:rsidR="00DD523F" w:rsidRPr="00FA280D" w:rsidRDefault="00DD523F" w:rsidP="00FC18B5">
            <w:pPr>
              <w:spacing w:after="0" w:line="240" w:lineRule="auto"/>
              <w:ind w:left="113" w:right="113"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Morinë</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Rive Iljaz Duraku</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91/15</w:t>
            </w:r>
          </w:p>
        </w:tc>
        <w:tc>
          <w:tcPr>
            <w:tcW w:w="480" w:type="pct"/>
            <w:tcBorders>
              <w:top w:val="single" w:sz="4"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Ar</w:t>
            </w:r>
            <w:r>
              <w:rPr>
                <w:rFonts w:ascii="Garamond" w:eastAsia="Times New Roman" w:hAnsi="Garamond" w:cs="Calibri"/>
                <w:sz w:val="16"/>
                <w:szCs w:val="16"/>
                <w:lang w:val="sq-AL"/>
              </w:rPr>
              <w:t>ë</w:t>
            </w:r>
          </w:p>
        </w:tc>
        <w:tc>
          <w:tcPr>
            <w:tcW w:w="385" w:type="pct"/>
            <w:tcBorders>
              <w:top w:val="single" w:sz="4" w:space="0" w:color="auto"/>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208</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114</w:t>
            </w:r>
          </w:p>
        </w:tc>
        <w:tc>
          <w:tcPr>
            <w:tcW w:w="391" w:type="pct"/>
            <w:tcBorders>
              <w:top w:val="single" w:sz="4" w:space="0" w:color="auto"/>
              <w:left w:val="nil"/>
              <w:bottom w:val="single" w:sz="4"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23,712</w:t>
            </w:r>
          </w:p>
        </w:tc>
        <w:tc>
          <w:tcPr>
            <w:tcW w:w="984" w:type="pct"/>
            <w:tcBorders>
              <w:top w:val="nil"/>
              <w:left w:val="nil"/>
              <w:bottom w:val="single" w:sz="8"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Pr>
                <w:rFonts w:ascii="Garamond" w:eastAsia="Times New Roman" w:hAnsi="Garamond" w:cs="Calibri"/>
                <w:sz w:val="16"/>
                <w:szCs w:val="16"/>
                <w:lang w:val="sq-AL"/>
              </w:rPr>
              <w:t>-ja</w:t>
            </w:r>
          </w:p>
        </w:tc>
      </w:tr>
      <w:tr w:rsidR="00DD523F" w:rsidRPr="00FA280D" w:rsidTr="00FC18B5">
        <w:trPr>
          <w:trHeight w:val="139"/>
        </w:trPr>
        <w:tc>
          <w:tcPr>
            <w:tcW w:w="353" w:type="pct"/>
            <w:vMerge/>
            <w:tcBorders>
              <w:left w:val="single" w:sz="8" w:space="0" w:color="auto"/>
              <w:bottom w:val="single" w:sz="4" w:space="0" w:color="auto"/>
              <w:right w:val="single" w:sz="4" w:space="0" w:color="auto"/>
            </w:tcBorders>
            <w:shd w:val="clear" w:color="auto" w:fill="auto"/>
            <w:noWrap/>
            <w:textDirection w:val="tbLrV"/>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p>
        </w:tc>
        <w:tc>
          <w:tcPr>
            <w:tcW w:w="218"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w:t>
            </w:r>
          </w:p>
        </w:tc>
        <w:tc>
          <w:tcPr>
            <w:tcW w:w="763"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Xhevahire Qazim Gjuta (Duraku) (B/50%), Hazir Qazim Duraku</w:t>
            </w:r>
            <w:r>
              <w:rPr>
                <w:rFonts w:ascii="Garamond" w:eastAsia="Times New Roman" w:hAnsi="Garamond" w:cs="Calibri"/>
                <w:sz w:val="16"/>
                <w:szCs w:val="16"/>
                <w:lang w:val="sq-AL"/>
              </w:rPr>
              <w:t xml:space="preserve">  </w:t>
            </w:r>
            <w:r w:rsidRPr="00FA280D">
              <w:rPr>
                <w:rFonts w:ascii="Garamond" w:eastAsia="Times New Roman" w:hAnsi="Garamond" w:cs="Calibri"/>
                <w:sz w:val="16"/>
                <w:szCs w:val="16"/>
                <w:lang w:val="sq-AL"/>
              </w:rPr>
              <w:t>(B/50%)</w:t>
            </w:r>
            <w:r>
              <w:rPr>
                <w:rFonts w:ascii="Garamond" w:eastAsia="Times New Roman" w:hAnsi="Garamond" w:cs="Calibri"/>
                <w:sz w:val="16"/>
                <w:szCs w:val="16"/>
                <w:lang w:val="sq-AL"/>
              </w:rPr>
              <w:t xml:space="preserve">  </w:t>
            </w:r>
            <w:r w:rsidRPr="00FA280D">
              <w:rPr>
                <w:rFonts w:ascii="Garamond" w:eastAsia="Times New Roman" w:hAnsi="Garamond" w:cs="Calibri"/>
                <w:sz w:val="16"/>
                <w:szCs w:val="16"/>
                <w:lang w:val="sq-AL"/>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xml:space="preserve">92/3 </w:t>
            </w:r>
            <w:r w:rsidRPr="00FA280D">
              <w:rPr>
                <w:rFonts w:ascii="Garamond" w:eastAsia="Times New Roman" w:hAnsi="Garamond" w:cs="Calibri"/>
                <w:b/>
                <w:bCs/>
                <w:sz w:val="16"/>
                <w:szCs w:val="16"/>
                <w:lang w:val="sq-AL"/>
              </w:rPr>
              <w:t>(92/3/1)</w:t>
            </w:r>
          </w:p>
        </w:tc>
        <w:tc>
          <w:tcPr>
            <w:tcW w:w="480"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Truall</w:t>
            </w:r>
          </w:p>
        </w:tc>
        <w:tc>
          <w:tcPr>
            <w:tcW w:w="385"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459</w:t>
            </w:r>
          </w:p>
        </w:tc>
        <w:tc>
          <w:tcPr>
            <w:tcW w:w="424"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202</w:t>
            </w:r>
          </w:p>
        </w:tc>
        <w:tc>
          <w:tcPr>
            <w:tcW w:w="391" w:type="pct"/>
            <w:tcBorders>
              <w:top w:val="nil"/>
              <w:left w:val="nil"/>
              <w:bottom w:val="single" w:sz="4"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92,718</w:t>
            </w:r>
          </w:p>
        </w:tc>
        <w:tc>
          <w:tcPr>
            <w:tcW w:w="984" w:type="pct"/>
            <w:tcBorders>
              <w:top w:val="nil"/>
              <w:left w:val="nil"/>
              <w:bottom w:val="single" w:sz="8"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Pr>
                <w:rFonts w:ascii="Garamond" w:eastAsia="Times New Roman" w:hAnsi="Garamond" w:cs="Calibri"/>
                <w:sz w:val="16"/>
                <w:szCs w:val="16"/>
                <w:lang w:val="sq-AL"/>
              </w:rPr>
              <w:t>-ja</w:t>
            </w:r>
          </w:p>
        </w:tc>
      </w:tr>
      <w:tr w:rsidR="00DD523F" w:rsidRPr="00FA280D" w:rsidTr="00FC18B5">
        <w:trPr>
          <w:trHeight w:val="139"/>
        </w:trPr>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3</w:t>
            </w:r>
          </w:p>
        </w:tc>
        <w:tc>
          <w:tcPr>
            <w:tcW w:w="763"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Seladin Ymer Duraku,</w:t>
            </w:r>
            <w:r>
              <w:rPr>
                <w:rFonts w:ascii="Garamond" w:eastAsia="Times New Roman" w:hAnsi="Garamond" w:cs="Calibri"/>
                <w:sz w:val="16"/>
                <w:szCs w:val="16"/>
                <w:lang w:val="sq-AL"/>
              </w:rPr>
              <w:t xml:space="preserve">  Lavdi Ymer Duraku,  Sanije Ymer Gjuta, Elmije Ymer Ahmetaj, Shkurte Imer Dogjani</w:t>
            </w:r>
            <w:r w:rsidRPr="00FA280D">
              <w:rPr>
                <w:rFonts w:ascii="Garamond" w:eastAsia="Times New Roman" w:hAnsi="Garamond" w:cs="Calibri"/>
                <w:sz w:val="16"/>
                <w:szCs w:val="16"/>
                <w:lang w:val="sq-AL"/>
              </w:rPr>
              <w:t>, Zelihe Ymer Kadena</w:t>
            </w:r>
            <w:r>
              <w:rPr>
                <w:rFonts w:ascii="Garamond" w:eastAsia="Times New Roman" w:hAnsi="Garamond" w:cs="Calibri"/>
                <w:sz w:val="16"/>
                <w:szCs w:val="16"/>
                <w:lang w:val="sq-AL"/>
              </w:rPr>
              <w:t>, Myrvete Ymer Sinani</w:t>
            </w:r>
            <w:r w:rsidRPr="00FA280D">
              <w:rPr>
                <w:rFonts w:ascii="Garamond" w:eastAsia="Times New Roman" w:hAnsi="Garamond" w:cs="Calibri"/>
                <w:sz w:val="16"/>
                <w:szCs w:val="16"/>
                <w:lang w:val="sq-AL"/>
              </w:rPr>
              <w:t>, Ilir Hysni Duraku, Shkumbin Hys</w:t>
            </w:r>
            <w:r>
              <w:rPr>
                <w:rFonts w:ascii="Garamond" w:eastAsia="Times New Roman" w:hAnsi="Garamond" w:cs="Calibri"/>
                <w:sz w:val="16"/>
                <w:szCs w:val="16"/>
                <w:lang w:val="sq-AL"/>
              </w:rPr>
              <w:t>ni Duraku, Arjana Hysni Peposhi</w:t>
            </w:r>
            <w:r w:rsidRPr="00FA280D">
              <w:rPr>
                <w:rFonts w:ascii="Garamond" w:eastAsia="Times New Roman" w:hAnsi="Garamond" w:cs="Calibri"/>
                <w:sz w:val="16"/>
                <w:szCs w:val="16"/>
                <w:lang w:val="sq-AL"/>
              </w:rPr>
              <w:t>, Laureta Hysni Asllanaj (Duraku)</w:t>
            </w:r>
            <w:r>
              <w:rPr>
                <w:rFonts w:ascii="Garamond" w:eastAsia="Times New Roman" w:hAnsi="Garamond" w:cs="Calibri"/>
                <w:sz w:val="16"/>
                <w:szCs w:val="16"/>
                <w:lang w:val="sq-AL"/>
              </w:rPr>
              <w:t xml:space="preserve">,  </w:t>
            </w:r>
            <w:r w:rsidRPr="00FA280D">
              <w:rPr>
                <w:rFonts w:ascii="Garamond" w:eastAsia="Times New Roman" w:hAnsi="Garamond" w:cs="Calibri"/>
                <w:sz w:val="16"/>
                <w:szCs w:val="16"/>
                <w:lang w:val="sq-AL"/>
              </w:rPr>
              <w:t>Fid</w:t>
            </w:r>
            <w:r>
              <w:rPr>
                <w:rFonts w:ascii="Garamond" w:eastAsia="Times New Roman" w:hAnsi="Garamond" w:cs="Calibri"/>
                <w:sz w:val="16"/>
                <w:szCs w:val="16"/>
                <w:lang w:val="sq-AL"/>
              </w:rPr>
              <w:t>aije Hysni Brahimi (Duraku)</w:t>
            </w:r>
            <w:r w:rsidRPr="00FA280D">
              <w:rPr>
                <w:rFonts w:ascii="Garamond" w:eastAsia="Times New Roman" w:hAnsi="Garamond" w:cs="Calibri"/>
                <w:sz w:val="16"/>
                <w:szCs w:val="16"/>
                <w:lang w:val="sq-AL"/>
              </w:rPr>
              <w:t>, Gazmir Hysni Duraku</w:t>
            </w:r>
          </w:p>
        </w:tc>
        <w:tc>
          <w:tcPr>
            <w:tcW w:w="562"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xml:space="preserve">92/4 </w:t>
            </w:r>
            <w:r w:rsidRPr="00FA280D">
              <w:rPr>
                <w:rFonts w:ascii="Garamond" w:eastAsia="Times New Roman" w:hAnsi="Garamond" w:cs="Calibri"/>
                <w:b/>
                <w:bCs/>
                <w:sz w:val="16"/>
                <w:szCs w:val="16"/>
                <w:lang w:val="sq-AL"/>
              </w:rPr>
              <w:t>(92/4/1)</w:t>
            </w:r>
          </w:p>
        </w:tc>
        <w:tc>
          <w:tcPr>
            <w:tcW w:w="480"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Truall</w:t>
            </w:r>
          </w:p>
        </w:tc>
        <w:tc>
          <w:tcPr>
            <w:tcW w:w="385"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787</w:t>
            </w:r>
          </w:p>
        </w:tc>
        <w:tc>
          <w:tcPr>
            <w:tcW w:w="424"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202</w:t>
            </w:r>
          </w:p>
        </w:tc>
        <w:tc>
          <w:tcPr>
            <w:tcW w:w="391" w:type="pct"/>
            <w:tcBorders>
              <w:top w:val="nil"/>
              <w:left w:val="nil"/>
              <w:bottom w:val="single" w:sz="4"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158,974</w:t>
            </w:r>
          </w:p>
        </w:tc>
        <w:tc>
          <w:tcPr>
            <w:tcW w:w="984" w:type="pct"/>
            <w:tcBorders>
              <w:top w:val="nil"/>
              <w:left w:val="nil"/>
              <w:bottom w:val="single" w:sz="8"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Pr>
                <w:rFonts w:ascii="Garamond" w:eastAsia="Times New Roman" w:hAnsi="Garamond" w:cs="Calibri"/>
                <w:sz w:val="16"/>
                <w:szCs w:val="16"/>
                <w:lang w:val="sq-AL"/>
              </w:rPr>
              <w:t>-ja</w:t>
            </w:r>
          </w:p>
        </w:tc>
      </w:tr>
      <w:tr w:rsidR="00DD523F" w:rsidRPr="00FA280D" w:rsidTr="00FC18B5">
        <w:trPr>
          <w:trHeight w:val="139"/>
        </w:trPr>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4</w:t>
            </w:r>
          </w:p>
        </w:tc>
        <w:tc>
          <w:tcPr>
            <w:tcW w:w="763"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Lavdi Imer Duraku</w:t>
            </w:r>
          </w:p>
        </w:tc>
        <w:tc>
          <w:tcPr>
            <w:tcW w:w="562"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238/12</w:t>
            </w:r>
          </w:p>
        </w:tc>
        <w:tc>
          <w:tcPr>
            <w:tcW w:w="480"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Pemëtore (tok</w:t>
            </w:r>
            <w:r>
              <w:rPr>
                <w:rFonts w:ascii="Garamond" w:eastAsia="Times New Roman" w:hAnsi="Garamond" w:cs="Calibri"/>
                <w:sz w:val="16"/>
                <w:szCs w:val="16"/>
                <w:lang w:val="sq-AL"/>
              </w:rPr>
              <w:t>ë</w:t>
            </w:r>
            <w:r w:rsidRPr="00FA280D">
              <w:rPr>
                <w:rFonts w:ascii="Garamond" w:eastAsia="Times New Roman" w:hAnsi="Garamond" w:cs="Calibri"/>
                <w:sz w:val="16"/>
                <w:szCs w:val="16"/>
                <w:lang w:val="sq-AL"/>
              </w:rPr>
              <w:t xml:space="preserve"> bujq</w:t>
            </w:r>
            <w:r>
              <w:rPr>
                <w:rFonts w:ascii="Garamond" w:eastAsia="Times New Roman" w:hAnsi="Garamond" w:cs="Calibri"/>
                <w:sz w:val="16"/>
                <w:szCs w:val="16"/>
                <w:lang w:val="sq-AL"/>
              </w:rPr>
              <w:t>ë</w:t>
            </w:r>
            <w:r w:rsidRPr="00FA280D">
              <w:rPr>
                <w:rFonts w:ascii="Garamond" w:eastAsia="Times New Roman" w:hAnsi="Garamond" w:cs="Calibri"/>
                <w:sz w:val="16"/>
                <w:szCs w:val="16"/>
                <w:lang w:val="sq-AL"/>
              </w:rPr>
              <w:t>sore)</w:t>
            </w:r>
          </w:p>
        </w:tc>
        <w:tc>
          <w:tcPr>
            <w:tcW w:w="385" w:type="pct"/>
            <w:tcBorders>
              <w:top w:val="nil"/>
              <w:left w:val="nil"/>
              <w:bottom w:val="single" w:sz="4" w:space="0" w:color="auto"/>
              <w:right w:val="single" w:sz="4" w:space="0" w:color="auto"/>
            </w:tcBorders>
            <w:shd w:val="clear" w:color="auto" w:fill="auto"/>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88</w:t>
            </w:r>
          </w:p>
        </w:tc>
        <w:tc>
          <w:tcPr>
            <w:tcW w:w="424" w:type="pct"/>
            <w:tcBorders>
              <w:top w:val="nil"/>
              <w:left w:val="nil"/>
              <w:bottom w:val="single" w:sz="4" w:space="0" w:color="auto"/>
              <w:right w:val="single" w:sz="4"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114</w:t>
            </w:r>
          </w:p>
        </w:tc>
        <w:tc>
          <w:tcPr>
            <w:tcW w:w="391" w:type="pct"/>
            <w:tcBorders>
              <w:top w:val="nil"/>
              <w:left w:val="nil"/>
              <w:bottom w:val="single" w:sz="4"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10,032</w:t>
            </w:r>
          </w:p>
        </w:tc>
        <w:tc>
          <w:tcPr>
            <w:tcW w:w="984" w:type="pct"/>
            <w:tcBorders>
              <w:top w:val="nil"/>
              <w:left w:val="nil"/>
              <w:bottom w:val="single" w:sz="8" w:space="0" w:color="auto"/>
              <w:right w:val="single" w:sz="8" w:space="0" w:color="auto"/>
            </w:tcBorders>
            <w:shd w:val="clear" w:color="auto" w:fill="auto"/>
            <w:noWrap/>
            <w:vAlign w:val="center"/>
            <w:hideMark/>
          </w:tcPr>
          <w:p w:rsidR="00DD523F" w:rsidRPr="00FA280D" w:rsidRDefault="00DD523F" w:rsidP="00FC18B5">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Pr>
                <w:rFonts w:ascii="Garamond" w:eastAsia="Times New Roman" w:hAnsi="Garamond" w:cs="Calibri"/>
                <w:sz w:val="16"/>
                <w:szCs w:val="16"/>
                <w:lang w:val="sq-AL"/>
              </w:rPr>
              <w:t>-ja</w:t>
            </w:r>
          </w:p>
        </w:tc>
      </w:tr>
      <w:tr w:rsidR="00DD523F" w:rsidRPr="00FA280D" w:rsidTr="00FC18B5">
        <w:trPr>
          <w:trHeight w:val="139"/>
        </w:trPr>
        <w:tc>
          <w:tcPr>
            <w:tcW w:w="353" w:type="pct"/>
            <w:tcBorders>
              <w:top w:val="single" w:sz="4" w:space="0" w:color="3F3F3F"/>
              <w:left w:val="single" w:sz="8" w:space="0" w:color="auto"/>
              <w:bottom w:val="single" w:sz="8" w:space="0" w:color="auto"/>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218" w:type="pct"/>
            <w:tcBorders>
              <w:top w:val="single" w:sz="4" w:space="0" w:color="3F3F3F"/>
              <w:left w:val="nil"/>
              <w:bottom w:val="single" w:sz="8" w:space="0" w:color="auto"/>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763" w:type="pct"/>
            <w:tcBorders>
              <w:top w:val="single" w:sz="4" w:space="0" w:color="3F3F3F"/>
              <w:left w:val="nil"/>
              <w:bottom w:val="single" w:sz="8" w:space="0" w:color="auto"/>
              <w:right w:val="single" w:sz="4" w:space="0" w:color="3F3F3F"/>
            </w:tcBorders>
            <w:shd w:val="clear" w:color="000000" w:fill="F2F2F2"/>
            <w:noWrap/>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Shuma</w:t>
            </w:r>
          </w:p>
        </w:tc>
        <w:tc>
          <w:tcPr>
            <w:tcW w:w="562" w:type="pct"/>
            <w:tcBorders>
              <w:top w:val="single" w:sz="4" w:space="0" w:color="3F3F3F"/>
              <w:left w:val="nil"/>
              <w:bottom w:val="single" w:sz="8" w:space="0" w:color="auto"/>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40" w:type="pct"/>
            <w:tcBorders>
              <w:top w:val="single" w:sz="4" w:space="0" w:color="3F3F3F"/>
              <w:left w:val="nil"/>
              <w:bottom w:val="single" w:sz="8" w:space="0" w:color="auto"/>
              <w:right w:val="single" w:sz="4" w:space="0" w:color="3F3F3F"/>
            </w:tcBorders>
            <w:shd w:val="clear" w:color="000000" w:fill="F2F2F2"/>
            <w:noWrap/>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80" w:type="pct"/>
            <w:tcBorders>
              <w:top w:val="single" w:sz="4" w:space="0" w:color="3F3F3F"/>
              <w:left w:val="nil"/>
              <w:bottom w:val="single" w:sz="8" w:space="0" w:color="auto"/>
              <w:right w:val="single" w:sz="4" w:space="0" w:color="3F3F3F"/>
            </w:tcBorders>
            <w:shd w:val="clear" w:color="000000" w:fill="F2F2F2"/>
            <w:noWrap/>
            <w:vAlign w:val="bottom"/>
            <w:hideMark/>
          </w:tcPr>
          <w:p w:rsidR="00DD523F" w:rsidRPr="00FA280D" w:rsidRDefault="00DD523F" w:rsidP="00FC18B5">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385" w:type="pct"/>
            <w:tcBorders>
              <w:top w:val="single" w:sz="4" w:space="0" w:color="3F3F3F"/>
              <w:left w:val="nil"/>
              <w:bottom w:val="single" w:sz="8" w:space="0" w:color="auto"/>
              <w:right w:val="single" w:sz="4" w:space="0" w:color="3F3F3F"/>
            </w:tcBorders>
            <w:shd w:val="clear" w:color="000000" w:fill="F2F2F2"/>
            <w:noWrap/>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1,542</w:t>
            </w:r>
          </w:p>
        </w:tc>
        <w:tc>
          <w:tcPr>
            <w:tcW w:w="424" w:type="pct"/>
            <w:tcBorders>
              <w:top w:val="single" w:sz="4" w:space="0" w:color="3F3F3F"/>
              <w:left w:val="nil"/>
              <w:bottom w:val="single" w:sz="8" w:space="0" w:color="auto"/>
              <w:right w:val="single" w:sz="4" w:space="0" w:color="3F3F3F"/>
            </w:tcBorders>
            <w:shd w:val="clear" w:color="000000" w:fill="F2F2F2"/>
            <w:noWrap/>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167</w:t>
            </w:r>
          </w:p>
        </w:tc>
        <w:tc>
          <w:tcPr>
            <w:tcW w:w="391" w:type="pct"/>
            <w:tcBorders>
              <w:top w:val="single" w:sz="4" w:space="0" w:color="3F3F3F"/>
              <w:left w:val="nil"/>
              <w:bottom w:val="single" w:sz="8" w:space="0" w:color="auto"/>
              <w:right w:val="single" w:sz="8" w:space="0" w:color="auto"/>
            </w:tcBorders>
            <w:shd w:val="clear" w:color="000000" w:fill="F2F2F2"/>
            <w:noWrap/>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285,436</w:t>
            </w:r>
          </w:p>
        </w:tc>
        <w:tc>
          <w:tcPr>
            <w:tcW w:w="984" w:type="pct"/>
            <w:tcBorders>
              <w:top w:val="nil"/>
              <w:left w:val="nil"/>
              <w:bottom w:val="nil"/>
              <w:right w:val="nil"/>
            </w:tcBorders>
            <w:shd w:val="clear" w:color="000000" w:fill="F2F2F2"/>
            <w:noWrap/>
            <w:vAlign w:val="center"/>
            <w:hideMark/>
          </w:tcPr>
          <w:p w:rsidR="00DD523F" w:rsidRPr="00FA280D" w:rsidRDefault="00DD523F" w:rsidP="00FC18B5">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r>
    </w:tbl>
    <w:p w:rsidR="000F6EA9" w:rsidRDefault="000F6EA9"/>
    <w:sectPr w:rsidR="000F6EA9" w:rsidSect="0022791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3F"/>
    <w:rsid w:val="000F6EA9"/>
    <w:rsid w:val="00227910"/>
    <w:rsid w:val="00DD5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23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D523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D523F"/>
    <w:rPr>
      <w:rFonts w:ascii="Garamond" w:eastAsia="MS Mincho" w:hAnsi="Garamond" w:cs="CG Times"/>
      <w:sz w:val="24"/>
      <w:lang w:val="en-US"/>
    </w:rPr>
  </w:style>
  <w:style w:type="paragraph" w:customStyle="1" w:styleId="NeniNr">
    <w:name w:val="Neni_Nr"/>
    <w:next w:val="Normal"/>
    <w:link w:val="NeniNrChar"/>
    <w:rsid w:val="00DD523F"/>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DD523F"/>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DD523F"/>
    <w:rPr>
      <w:rFonts w:ascii="Garamond" w:eastAsia="MS Mincho" w:hAnsi="Garamond" w:cs="CG Times"/>
      <w:sz w:val="24"/>
    </w:rPr>
  </w:style>
  <w:style w:type="paragraph" w:customStyle="1" w:styleId="Hapesira7">
    <w:name w:val="Hapesira 7"/>
    <w:basedOn w:val="Paragrafi"/>
    <w:qFormat/>
    <w:rsid w:val="00DD523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23F"/>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D523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DD523F"/>
    <w:rPr>
      <w:rFonts w:ascii="Garamond" w:eastAsia="MS Mincho" w:hAnsi="Garamond" w:cs="CG Times"/>
      <w:sz w:val="24"/>
      <w:lang w:val="en-US"/>
    </w:rPr>
  </w:style>
  <w:style w:type="paragraph" w:customStyle="1" w:styleId="NeniNr">
    <w:name w:val="Neni_Nr"/>
    <w:next w:val="Normal"/>
    <w:link w:val="NeniNrChar"/>
    <w:rsid w:val="00DD523F"/>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DD523F"/>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DD523F"/>
    <w:rPr>
      <w:rFonts w:ascii="Garamond" w:eastAsia="MS Mincho" w:hAnsi="Garamond" w:cs="CG Times"/>
      <w:sz w:val="24"/>
    </w:rPr>
  </w:style>
  <w:style w:type="paragraph" w:customStyle="1" w:styleId="Hapesira7">
    <w:name w:val="Hapesira 7"/>
    <w:basedOn w:val="Paragrafi"/>
    <w:qFormat/>
    <w:rsid w:val="00DD523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2019-01-30T14:17:00Z</cp:lastPrinted>
  <dcterms:created xsi:type="dcterms:W3CDTF">2016-01-21T13:04:00Z</dcterms:created>
  <dcterms:modified xsi:type="dcterms:W3CDTF">2019-01-30T14:17:00Z</dcterms:modified>
</cp:coreProperties>
</file>