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2B0" w:rsidRPr="00E81DDF" w:rsidRDefault="006B62B0" w:rsidP="006B62B0">
      <w:pPr>
        <w:pStyle w:val="NeniTitull"/>
      </w:pPr>
      <w:bookmarkStart w:id="0" w:name="_GoBack"/>
      <w:bookmarkEnd w:id="0"/>
      <w:r w:rsidRPr="00E81DDF">
        <w:t>VENDIM</w:t>
      </w:r>
    </w:p>
    <w:p w:rsidR="006B62B0" w:rsidRPr="00E81DDF" w:rsidRDefault="006B62B0" w:rsidP="006B62B0">
      <w:pPr>
        <w:pStyle w:val="NeniTitull"/>
      </w:pPr>
      <w:r w:rsidRPr="00E81DDF">
        <w:t>Nr. 823, datë 7.10.2015</w:t>
      </w:r>
    </w:p>
    <w:p w:rsidR="006B62B0" w:rsidRPr="000F577E" w:rsidRDefault="006B62B0" w:rsidP="006B62B0">
      <w:pPr>
        <w:pStyle w:val="NeniTitull"/>
        <w:rPr>
          <w:sz w:val="8"/>
        </w:rPr>
      </w:pPr>
    </w:p>
    <w:p w:rsidR="006B62B0" w:rsidRPr="00E81DDF" w:rsidRDefault="006B62B0" w:rsidP="006B62B0">
      <w:pPr>
        <w:pStyle w:val="NeniTitull"/>
      </w:pPr>
      <w:r w:rsidRPr="00E81DDF">
        <w:t>PËR MIRATIMIN E KALIMIT TË PRONËSISË SË DISA PARCELAVE NDËRTIMORE NË FAVOR TË POSEDUESVE TË OBJEKTEVE INFORMALE</w:t>
      </w:r>
    </w:p>
    <w:p w:rsidR="006B62B0" w:rsidRPr="000F577E" w:rsidRDefault="006B62B0" w:rsidP="006B62B0">
      <w:pPr>
        <w:pStyle w:val="NeniTitull"/>
        <w:rPr>
          <w:sz w:val="10"/>
        </w:rPr>
      </w:pPr>
    </w:p>
    <w:p w:rsidR="00421802" w:rsidRPr="00421802" w:rsidRDefault="006B62B0" w:rsidP="0042180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Në mbështetje të nenit 100 të Kushtetutës, të nenit 17, të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“Kodi Civil i Republikës së Shqipërisë”, të ndryshuar, me propozimin e ministrit të Zhvillimit Urban, Këshilli i Ministrave</w:t>
      </w:r>
    </w:p>
    <w:p w:rsidR="006B62B0" w:rsidRPr="00E81DDF" w:rsidRDefault="006B62B0" w:rsidP="006B62B0">
      <w:pPr>
        <w:pStyle w:val="NeniNr"/>
      </w:pPr>
      <w:r w:rsidRPr="00E81DDF">
        <w:t>VENDOSI:</w:t>
      </w:r>
    </w:p>
    <w:p w:rsidR="006B62B0" w:rsidRPr="00CF5C11" w:rsidRDefault="006B62B0" w:rsidP="006B62B0">
      <w:pPr>
        <w:pStyle w:val="Paragrafi"/>
        <w:rPr>
          <w:spacing w:val="-4"/>
          <w:sz w:val="14"/>
          <w:lang w:val="sq-AL"/>
        </w:rPr>
      </w:pP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1. Sipërfaqet maksimale, për të cilat miratohet kalimi i së drejtës së pronësisë mbi parcelën e ndërtimit pa leje, të jenë sipas listës emërore dhe evidencës që i bashkëlidhen këtij vendimi.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2. Numri i parcelave ndërtimore dhe sipërfaqja e përgjithshme e truallit për secilin qark janë, si më poshtë vijon: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a) Qarku Fier, 70 (shtatëdhjetë) parcela ndërtimore, me sipërfaqe të përgjithshme trualli 21 219 (njëzet e një mijë e dyqind e nëntëmbëdhjetë) m²; 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b) Qarku Tiranë, 78 (shtatëdhjetë e tetë) parcela ndërtimore, me sipërfaqe të përgjithshme trualli 17 762 (shtatëmbëdhjetë mijë e shtatëqind e gjashtëdhjetë e dy)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c) Qarku Vlorë, 45 (dyzet e pesë) parcela ndërtimore, me sipërfaqe të përgjithshme trualli 12 574 (dymbëdhjetë mijë e pesëqind e shtatëdhjetë e katër)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ç)</w:t>
      </w:r>
      <w:r>
        <w:rPr>
          <w:spacing w:val="-4"/>
          <w:lang w:val="sq-AL"/>
        </w:rPr>
        <w:t xml:space="preserve"> </w:t>
      </w:r>
      <w:r w:rsidRPr="00E81DDF">
        <w:rPr>
          <w:spacing w:val="-4"/>
          <w:lang w:val="sq-AL"/>
        </w:rPr>
        <w:tab/>
        <w:t>Qarku Gjirokastër, 16 (gjashtëmbëdhjetë) parcela ndërtimore, me sipërfaqe të përgjithshme trualli 5 597 (pesë mijë e pesëqind e nëntëdhjetë e shtatë)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d) Qarku Dibër, 38 (tridhjetë e tetë) parcela ndërtimore, me sipërfaqe të përgjithshme trualli 9 744 (nëntë mijë e shtatëqind e dyzet e katër)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dh)</w:t>
      </w:r>
      <w:r w:rsidRPr="00E81DDF">
        <w:rPr>
          <w:spacing w:val="-4"/>
          <w:lang w:val="sq-AL"/>
        </w:rPr>
        <w:tab/>
        <w:t xml:space="preserve"> Qarku Shkodër, 72 (shtatëdhjetë e dy) parcela ndërtimore, me sipërfaqe të përgjithshme trualli 16 637 (gjashtëmbëdhjetë mijë e gjashtëqind e tridhjetë e shtatë) m²;</w:t>
      </w:r>
    </w:p>
    <w:p w:rsidR="006B62B0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e) Qarku Elbasan, 25 (njëzet e pesë) parcela ndërtimore, me sipërfaqe të përgjithshme trualli 7 474 (shtatë mijë e katërqind e shtatëdhjetë e katër)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ë) </w:t>
      </w:r>
      <w:r w:rsidRPr="00E81DDF">
        <w:rPr>
          <w:spacing w:val="-4"/>
          <w:lang w:val="sq-AL"/>
        </w:rPr>
        <w:tab/>
        <w:t>Qarku Berat, 4 (katër) parcela ndërtimore, me sipërfaqe të përgjithshme trualli 1 300 (një mijë e treqind)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f) Qarku Korçë, 23 (njëzet e tre) parcela ndërtimore, me sipërfaqe të përgjithshme trualli 2 886 (dy mijë e tetëqind e tetëdhjetë e gjashtë) m²; 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g) Qarku Lezhë, 38 (tridhjetë e tetë) parcela ndërtimore, me sipërfaqe të përgjithshme trualli 9 518 (nëntë mijë e pesëqind e tetëmbëdhjetë)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gj) Qarku Durrës, 28 (njëzet e tetë) parcela ndërtimore, me sipërfaqe të përgjithshme trualli 9 684 (nëntë mijë e gjashtëqind e tetëdhjetë e katër) m²;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h) Qarku Kukës, 48 (dyzet e tetë) parcela ndërtimore, me sipërfaqe të përgjithshme trualli 13 985 (trembëdhjetë mijë e nëntëqind e tetëdhjetë e pesë) m².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3. Ngarkohet Agjencia e Legalizimit, Urbanizimit dhe Integrimit të Zonave/Ndërtimeve Informale për kryerjen e procedurave të kalimit të pronësisë së parcelave ndërtimore të objekteve informale nga shteti te poseduesit e ndërtimeve pa leje.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4. Deri në momentin e regjistrimit të ndërtimit të legalizuar, zyrat vendore të regjistrimit të pasurive të paluajtshme të mos kryejnë ndryshime të gjendjes juridike të pasurive të listuara në këtë vendim.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5. Ngarkohen Ministria e Zhvillimit Urban, Ministria e Drejtësisë, Agjencia e Legalizimit, Urbanizimit dhe Integrimit të Zonave/Ndërtimeve Informale dhe Zyra e Regjistrimit të Pasurive të Paluajtshme për zbatimin e këtij vendimi.</w:t>
      </w:r>
    </w:p>
    <w:p w:rsidR="006B62B0" w:rsidRPr="00E81DDF" w:rsidRDefault="006B62B0" w:rsidP="006B62B0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Ky vendim hyn në fuqi pas botimit në Fletoren Zyrtare.</w:t>
      </w:r>
    </w:p>
    <w:p w:rsidR="006B62B0" w:rsidRPr="00E81DDF" w:rsidRDefault="006B62B0" w:rsidP="006B62B0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6B62B0" w:rsidRDefault="006B62B0" w:rsidP="006B62B0">
      <w:pPr>
        <w:pStyle w:val="AutoritetiEmer"/>
        <w:rPr>
          <w:spacing w:val="-4"/>
          <w:lang w:val="sq-AL"/>
        </w:rPr>
      </w:pPr>
      <w:r w:rsidRPr="00E81DDF">
        <w:rPr>
          <w:spacing w:val="-4"/>
          <w:lang w:val="sq-AL"/>
        </w:rPr>
        <w:t>Edi Rama</w:t>
      </w:r>
    </w:p>
    <w:sectPr w:rsidR="006B62B0" w:rsidSect="006B62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B0"/>
    <w:rsid w:val="000F6EA9"/>
    <w:rsid w:val="00421802"/>
    <w:rsid w:val="006B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B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62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B62B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B62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B62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6B62B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B62B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B62B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B62B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B62B0"/>
    <w:rPr>
      <w:rFonts w:ascii="Garamond" w:eastAsia="MS Mincho" w:hAnsi="Garamond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B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B62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B62B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B62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B62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6B62B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B62B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B62B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B62B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B62B0"/>
    <w:rPr>
      <w:rFonts w:ascii="Garamond" w:eastAsia="MS Mincho" w:hAnsi="Garamond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2019-01-31T11:12:00Z</cp:lastPrinted>
  <dcterms:created xsi:type="dcterms:W3CDTF">2016-01-21T14:41:00Z</dcterms:created>
  <dcterms:modified xsi:type="dcterms:W3CDTF">2019-01-31T11:12:00Z</dcterms:modified>
</cp:coreProperties>
</file>