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991" w:rsidRPr="003866F2" w:rsidRDefault="003B3991" w:rsidP="003B3991">
      <w:pPr>
        <w:pStyle w:val="NeniTitull"/>
        <w:keepNext w:val="0"/>
        <w:rPr>
          <w:spacing w:val="-4"/>
          <w:lang w:val="sq-AL"/>
        </w:rPr>
      </w:pPr>
      <w:r w:rsidRPr="003866F2">
        <w:rPr>
          <w:spacing w:val="-4"/>
          <w:lang w:val="sq-AL"/>
        </w:rPr>
        <w:t>VENDIM</w:t>
      </w:r>
    </w:p>
    <w:p w:rsidR="003B3991" w:rsidRPr="003866F2" w:rsidRDefault="003B3991" w:rsidP="003B3991">
      <w:pPr>
        <w:pStyle w:val="NeniTitull"/>
        <w:keepNext w:val="0"/>
        <w:rPr>
          <w:spacing w:val="-4"/>
          <w:lang w:val="sq-AL"/>
        </w:rPr>
      </w:pPr>
      <w:r w:rsidRPr="003866F2">
        <w:rPr>
          <w:spacing w:val="-4"/>
          <w:lang w:val="sq-AL"/>
        </w:rPr>
        <w:t>Nr. 1005, datë 9.12.2015</w:t>
      </w:r>
    </w:p>
    <w:p w:rsidR="003B3991" w:rsidRPr="003866F2" w:rsidRDefault="003B3991" w:rsidP="003B3991">
      <w:pPr>
        <w:pStyle w:val="Hapesira7"/>
        <w:rPr>
          <w:spacing w:val="-4"/>
          <w:lang w:val="sq-AL"/>
        </w:rPr>
      </w:pPr>
    </w:p>
    <w:p w:rsidR="003B3991" w:rsidRPr="003866F2" w:rsidRDefault="003B3991" w:rsidP="003B3991">
      <w:pPr>
        <w:pStyle w:val="NeniTitull"/>
        <w:keepNext w:val="0"/>
        <w:rPr>
          <w:spacing w:val="-4"/>
          <w:lang w:val="sq-AL"/>
        </w:rPr>
      </w:pPr>
      <w:r w:rsidRPr="003866F2">
        <w:rPr>
          <w:spacing w:val="-4"/>
          <w:lang w:val="sq-AL"/>
        </w:rPr>
        <w:t>PËR SHPRONËSIMIN, PËR INTERES PUBLIK, TË PRONARËVE TË PASURIVE TË PALUAJTSHME, PRONË PRIVATE, QË PREKEN NGA NDËRTIMI I SEGMENTIT RRUGOR “MAMINAS-GJIRI I LALËZIT”</w:t>
      </w:r>
    </w:p>
    <w:p w:rsidR="003B3991" w:rsidRPr="003866F2" w:rsidRDefault="003B3991" w:rsidP="003B3991">
      <w:pPr>
        <w:pStyle w:val="Hapesira7"/>
        <w:rPr>
          <w:spacing w:val="-4"/>
          <w:lang w:val="sq-AL"/>
        </w:rPr>
      </w:pPr>
    </w:p>
    <w:p w:rsidR="003B3991" w:rsidRPr="003866F2" w:rsidRDefault="003B3991" w:rsidP="003B3991">
      <w:pPr>
        <w:pStyle w:val="Paragrafi"/>
        <w:rPr>
          <w:spacing w:val="-4"/>
          <w:lang w:val="sq-AL"/>
        </w:rPr>
      </w:pPr>
      <w:r w:rsidRPr="003866F2">
        <w:rPr>
          <w:spacing w:val="-4"/>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3B3991" w:rsidRPr="003866F2" w:rsidRDefault="003B3991" w:rsidP="003B3991">
      <w:pPr>
        <w:pStyle w:val="Hapesira7"/>
        <w:rPr>
          <w:spacing w:val="-4"/>
          <w:lang w:val="sq-AL"/>
        </w:rPr>
      </w:pPr>
    </w:p>
    <w:p w:rsidR="003B3991" w:rsidRPr="003866F2" w:rsidRDefault="003B3991" w:rsidP="003B3991">
      <w:pPr>
        <w:pStyle w:val="NeniNr"/>
        <w:keepNext w:val="0"/>
        <w:rPr>
          <w:spacing w:val="-4"/>
          <w:lang w:val="sq-AL"/>
        </w:rPr>
      </w:pPr>
      <w:r w:rsidRPr="003866F2">
        <w:rPr>
          <w:spacing w:val="-4"/>
          <w:lang w:val="sq-AL"/>
        </w:rPr>
        <w:t>VENDOSI:</w:t>
      </w:r>
    </w:p>
    <w:p w:rsidR="003B3991" w:rsidRPr="003866F2" w:rsidRDefault="003B3991" w:rsidP="003B3991">
      <w:pPr>
        <w:pStyle w:val="Hapesira7"/>
        <w:rPr>
          <w:spacing w:val="-4"/>
          <w:lang w:val="sq-AL"/>
        </w:rPr>
      </w:pPr>
    </w:p>
    <w:p w:rsidR="003B3991" w:rsidRPr="003866F2" w:rsidRDefault="003B3991" w:rsidP="003B3991">
      <w:pPr>
        <w:pStyle w:val="Paragrafi"/>
        <w:rPr>
          <w:spacing w:val="-4"/>
          <w:lang w:val="sq-AL"/>
        </w:rPr>
      </w:pPr>
      <w:r w:rsidRPr="003866F2">
        <w:rPr>
          <w:spacing w:val="-4"/>
          <w:lang w:val="sq-AL"/>
        </w:rPr>
        <w:t>1. Shpronësimin, për interes publik, të pronarëve të pasurive të paluajtshme, pronë private, që preken nga ndërtimi i segmentit rrugor “Maminas-Gjiri i Lalëzit”.</w:t>
      </w:r>
    </w:p>
    <w:p w:rsidR="003B3991" w:rsidRPr="003866F2" w:rsidRDefault="003B3991" w:rsidP="003B3991">
      <w:pPr>
        <w:pStyle w:val="Paragrafi"/>
        <w:rPr>
          <w:spacing w:val="-4"/>
          <w:lang w:val="sq-AL"/>
        </w:rPr>
      </w:pPr>
      <w:r w:rsidRPr="003866F2">
        <w:rPr>
          <w:spacing w:val="-4"/>
          <w:lang w:val="sq-AL"/>
        </w:rPr>
        <w:t>2. Shpronësimi të bëhet në favor të Autoritetit Rrugor Shqiptar.</w:t>
      </w:r>
    </w:p>
    <w:p w:rsidR="003B3991" w:rsidRPr="003866F2" w:rsidRDefault="003B3991" w:rsidP="003B3991">
      <w:pPr>
        <w:pStyle w:val="Paragrafi"/>
        <w:rPr>
          <w:spacing w:val="-4"/>
          <w:lang w:val="sq-AL"/>
        </w:rPr>
      </w:pPr>
      <w:r w:rsidRPr="003866F2">
        <w:rPr>
          <w:spacing w:val="-4"/>
          <w:lang w:val="sq-AL"/>
        </w:rPr>
        <w:t>3. Pronarët e pasurive të paluajtshme, që shpronësohen, të kompensohen në vlerë të plotë, sipas masës së kompensimit përkatës, që paraqitet në tabelën bashkëlidhur këtij vendimi, për pasuritë “objekte”, me vlerë të përgjithshme shpronësimi prej 6 684 254 (gjashtë milionë e gjashtëqind e tetëdhjetë e katër mijë e dyqind e pesëdhjetë e katër) lekësh.</w:t>
      </w:r>
    </w:p>
    <w:p w:rsidR="003B3991" w:rsidRPr="003866F2" w:rsidRDefault="003B3991" w:rsidP="003B3991">
      <w:pPr>
        <w:pStyle w:val="Paragrafi"/>
        <w:rPr>
          <w:spacing w:val="-4"/>
          <w:lang w:val="sq-AL"/>
        </w:rPr>
      </w:pPr>
      <w:r w:rsidRPr="003866F2">
        <w:rPr>
          <w:spacing w:val="-4"/>
          <w:lang w:val="sq-AL"/>
        </w:rPr>
        <w:t>4. Vlera e përgjithshme e shpronësimit, prej 6 684 254 (gjashtë milionë e gjashtëqind e tetëdhjetë e katër mijë e dyqind e pesëdhjetë e katër) lekësh, të përballohet nga buxheti i vitit 2015, miratuar për Ministrinë e Transportit dhe Infrastrukturës, zëri “Shpronësime”, planifikuar për Autoritetin Rrugor Shqiptar.</w:t>
      </w:r>
    </w:p>
    <w:p w:rsidR="003B3991" w:rsidRPr="003866F2" w:rsidRDefault="003B3991" w:rsidP="003B3991">
      <w:pPr>
        <w:pStyle w:val="Paragrafi"/>
        <w:rPr>
          <w:spacing w:val="-4"/>
          <w:lang w:val="sq-AL"/>
        </w:rPr>
      </w:pPr>
      <w:r w:rsidRPr="003866F2">
        <w:rPr>
          <w:spacing w:val="-4"/>
          <w:lang w:val="sq-AL"/>
        </w:rPr>
        <w:t>5. Shpenzimet procedurale, në vlerën 70 000 (shtatëdhjetë mijë) lekë, të përballohen nga Autoriteti Rrugor Shqiptar.</w:t>
      </w:r>
    </w:p>
    <w:p w:rsidR="003B3991" w:rsidRPr="003866F2" w:rsidRDefault="003B3991" w:rsidP="003B3991">
      <w:pPr>
        <w:pStyle w:val="Paragrafi"/>
        <w:rPr>
          <w:spacing w:val="-4"/>
          <w:lang w:val="sq-AL"/>
        </w:rPr>
      </w:pPr>
      <w:r w:rsidRPr="003866F2">
        <w:rPr>
          <w:spacing w:val="-4"/>
          <w:lang w:val="sq-AL"/>
        </w:rPr>
        <w:t>6. Likuidimi i pronarëve të fillojë pas çeljes së fondit të përcaktuar në pikën 4, të këtij vendimi.</w:t>
      </w:r>
    </w:p>
    <w:p w:rsidR="003B3991" w:rsidRPr="003866F2" w:rsidRDefault="003B3991" w:rsidP="003B3991">
      <w:pPr>
        <w:pStyle w:val="Paragrafi"/>
        <w:rPr>
          <w:spacing w:val="-4"/>
          <w:lang w:val="sq-AL"/>
        </w:rPr>
      </w:pPr>
      <w:r w:rsidRPr="003866F2">
        <w:rPr>
          <w:spacing w:val="-4"/>
          <w:lang w:val="sq-AL"/>
        </w:rPr>
        <w:t xml:space="preserve">7. Pronarët e pasurive të listës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 </w:t>
      </w:r>
    </w:p>
    <w:p w:rsidR="003B3991" w:rsidRPr="003866F2" w:rsidRDefault="003B3991" w:rsidP="003B3991">
      <w:pPr>
        <w:pStyle w:val="Paragrafi"/>
        <w:rPr>
          <w:spacing w:val="-4"/>
          <w:lang w:val="sq-AL"/>
        </w:rPr>
      </w:pPr>
      <w:r w:rsidRPr="003866F2">
        <w:rPr>
          <w:spacing w:val="-4"/>
          <w:lang w:val="sq-AL"/>
        </w:rPr>
        <w:t>8. Autoriteti Rrugor Shqiptar të kryejë likuidimet, për efekt shpronësimi, në bazë të pikave 4, 5, 6 e 7, të këtij vendimi.</w:t>
      </w:r>
    </w:p>
    <w:p w:rsidR="003B3991" w:rsidRPr="003866F2" w:rsidRDefault="003B3991" w:rsidP="003B3991">
      <w:pPr>
        <w:pStyle w:val="Paragrafi"/>
        <w:rPr>
          <w:spacing w:val="-4"/>
          <w:lang w:val="sq-AL"/>
        </w:rPr>
      </w:pPr>
      <w:r w:rsidRPr="003866F2">
        <w:rPr>
          <w:spacing w:val="-4"/>
          <w:lang w:val="sq-AL"/>
        </w:rPr>
        <w:t>9. Brenda 30 ditëve, nga data e miratimit të këtij vendimi, Zyra Qendrore e Regjistrimit të Pasurive të Paluajtshme dhe Zyra Vendore e Regjistrimit të Pasurive të Paluajtshme Durrës,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3B3991" w:rsidRPr="003866F2" w:rsidRDefault="003B3991" w:rsidP="003B3991">
      <w:pPr>
        <w:pStyle w:val="Paragrafi"/>
        <w:rPr>
          <w:spacing w:val="-4"/>
          <w:lang w:val="sq-AL"/>
        </w:rPr>
      </w:pPr>
      <w:r w:rsidRPr="003866F2">
        <w:rPr>
          <w:spacing w:val="-4"/>
          <w:lang w:val="sq-AL"/>
        </w:rPr>
        <w:t>10. Zyra Qendrore e Regjistrimit të Pasurive të Paluajtshme dhe Zyra Vendore e Regjistrimit të Pasurive të Paluajtshme Durrës të pezullojnë të gjitha transaksionet me pasuritë e shpronësuara, deri në momentin që do të realizohet procesi i hedhjes së trupit të rrugës mbi hartat kadastrale dhe kalimi i pronësisë, për pasuritë e shpronësuara.</w:t>
      </w:r>
    </w:p>
    <w:p w:rsidR="003B3991" w:rsidRPr="003866F2" w:rsidRDefault="003B3991" w:rsidP="003B3991">
      <w:pPr>
        <w:pStyle w:val="Paragrafi"/>
        <w:rPr>
          <w:spacing w:val="-4"/>
          <w:lang w:val="sq-AL"/>
        </w:rPr>
      </w:pPr>
      <w:r w:rsidRPr="003866F2">
        <w:rPr>
          <w:spacing w:val="-4"/>
          <w:lang w:val="sq-AL"/>
        </w:rPr>
        <w:t>11. Ngarkohen Ministria e Transportit dhe Infrastrukturës, Ministria e Financave, Autoriteti Rrugor Shqiptar, Zyra Qendrore e Regjistrimit të Pasurive të Paluajtshme dhe Zyra Vendore e Regjistrimit të Pasurive të Paluajtshme Durrës për zbatimin e këtij vendimi.</w:t>
      </w:r>
    </w:p>
    <w:p w:rsidR="003B3991" w:rsidRPr="003866F2" w:rsidRDefault="003B3991" w:rsidP="003B3991">
      <w:pPr>
        <w:pStyle w:val="Paragrafi"/>
        <w:rPr>
          <w:spacing w:val="-4"/>
          <w:lang w:val="sq-AL"/>
        </w:rPr>
      </w:pPr>
      <w:r w:rsidRPr="003866F2">
        <w:rPr>
          <w:spacing w:val="-4"/>
          <w:lang w:val="sq-AL"/>
        </w:rPr>
        <w:t xml:space="preserve">Ky vendim hyn në fuqi menjëherë dhe botohet në Fletoren Zyrtare. </w:t>
      </w:r>
    </w:p>
    <w:p w:rsidR="003B3991" w:rsidRPr="003866F2" w:rsidRDefault="003B3991" w:rsidP="003B3991">
      <w:pPr>
        <w:pStyle w:val="Paragrafi"/>
        <w:jc w:val="right"/>
        <w:rPr>
          <w:spacing w:val="-4"/>
          <w:lang w:val="sq-AL"/>
        </w:rPr>
      </w:pPr>
      <w:r w:rsidRPr="003866F2">
        <w:rPr>
          <w:spacing w:val="-4"/>
          <w:lang w:val="sq-AL"/>
        </w:rPr>
        <w:t>KRYEMINISTRI</w:t>
      </w:r>
    </w:p>
    <w:p w:rsidR="003B3991" w:rsidRDefault="003B3991" w:rsidP="003B3991">
      <w:pPr>
        <w:pStyle w:val="Paragrafi"/>
        <w:jc w:val="right"/>
        <w:rPr>
          <w:b/>
          <w:spacing w:val="-4"/>
          <w:lang w:val="sq-AL"/>
        </w:rPr>
      </w:pPr>
      <w:r w:rsidRPr="003866F2">
        <w:rPr>
          <w:b/>
          <w:spacing w:val="-4"/>
          <w:lang w:val="sq-AL"/>
        </w:rPr>
        <w:t>Edi Rama</w:t>
      </w:r>
    </w:p>
    <w:p w:rsidR="003B3991" w:rsidRDefault="003B3991" w:rsidP="003B3991">
      <w:pPr>
        <w:pStyle w:val="Hapesira7"/>
        <w:rPr>
          <w:lang w:val="sq-AL"/>
        </w:rPr>
      </w:pPr>
      <w:bookmarkStart w:id="0" w:name="_GoBack"/>
      <w:bookmarkEnd w:id="0"/>
    </w:p>
    <w:p w:rsidR="003B3991" w:rsidRPr="0061256B" w:rsidRDefault="003B3991" w:rsidP="003B3991">
      <w:pPr>
        <w:widowControl w:val="0"/>
        <w:spacing w:after="0" w:line="240" w:lineRule="auto"/>
        <w:ind w:left="1" w:firstLine="288"/>
        <w:rPr>
          <w:rFonts w:ascii="Garamond" w:eastAsia="Times New Roman" w:hAnsi="Garamond"/>
          <w:bCs/>
          <w:sz w:val="20"/>
          <w:szCs w:val="20"/>
          <w:lang w:val="sq-AL"/>
        </w:rPr>
      </w:pPr>
      <w:r w:rsidRPr="0061256B">
        <w:rPr>
          <w:rFonts w:ascii="Garamond" w:eastAsia="Times New Roman" w:hAnsi="Garamond"/>
          <w:bCs/>
          <w:sz w:val="20"/>
          <w:szCs w:val="20"/>
          <w:lang w:val="sq-AL"/>
        </w:rPr>
        <w:t>REPUBLIKA E SHQIPËRISË</w:t>
      </w:r>
    </w:p>
    <w:p w:rsidR="003B3991" w:rsidRPr="0061256B" w:rsidRDefault="003B3991" w:rsidP="003B3991">
      <w:pPr>
        <w:widowControl w:val="0"/>
        <w:spacing w:after="0" w:line="240" w:lineRule="auto"/>
        <w:ind w:firstLine="288"/>
        <w:rPr>
          <w:rFonts w:ascii="Garamond" w:eastAsia="Times New Roman" w:hAnsi="Garamond"/>
          <w:bCs/>
          <w:sz w:val="20"/>
          <w:szCs w:val="20"/>
          <w:lang w:val="sq-AL"/>
        </w:rPr>
      </w:pPr>
      <w:r w:rsidRPr="0061256B">
        <w:rPr>
          <w:rFonts w:ascii="Garamond" w:eastAsia="Times New Roman" w:hAnsi="Garamond"/>
          <w:bCs/>
          <w:sz w:val="20"/>
          <w:szCs w:val="20"/>
          <w:lang w:val="sq-AL"/>
        </w:rPr>
        <w:t>MINISTRIA E TRANSPORTIT DHE INFRASTRUKTURËS</w:t>
      </w:r>
    </w:p>
    <w:p w:rsidR="003B3991" w:rsidRPr="0061256B" w:rsidRDefault="003B3991" w:rsidP="003B3991">
      <w:pPr>
        <w:widowControl w:val="0"/>
        <w:spacing w:after="0" w:line="240" w:lineRule="auto"/>
        <w:ind w:firstLine="288"/>
        <w:rPr>
          <w:rFonts w:ascii="Garamond" w:eastAsia="Times New Roman" w:hAnsi="Garamond"/>
          <w:bCs/>
          <w:sz w:val="20"/>
          <w:szCs w:val="20"/>
          <w:lang w:val="sq-AL"/>
        </w:rPr>
      </w:pPr>
      <w:r w:rsidRPr="0061256B">
        <w:rPr>
          <w:rFonts w:ascii="Garamond" w:eastAsia="Times New Roman" w:hAnsi="Garamond"/>
          <w:bCs/>
          <w:sz w:val="20"/>
          <w:szCs w:val="20"/>
          <w:lang w:val="sq-AL"/>
        </w:rPr>
        <w:t>AUTORITETI RRUGOR SHQIPTAR</w:t>
      </w:r>
    </w:p>
    <w:p w:rsidR="003B3991" w:rsidRPr="0061256B" w:rsidRDefault="003B3991" w:rsidP="003B3991">
      <w:pPr>
        <w:widowControl w:val="0"/>
        <w:spacing w:after="0" w:line="240" w:lineRule="auto"/>
        <w:ind w:firstLine="288"/>
        <w:rPr>
          <w:rFonts w:ascii="Garamond" w:eastAsia="Times New Roman" w:hAnsi="Garamond"/>
          <w:bCs/>
          <w:sz w:val="20"/>
          <w:szCs w:val="20"/>
          <w:lang w:val="sq-AL"/>
        </w:rPr>
      </w:pPr>
      <w:r w:rsidRPr="0061256B">
        <w:rPr>
          <w:rFonts w:ascii="Garamond" w:eastAsia="Times New Roman" w:hAnsi="Garamond"/>
          <w:bCs/>
          <w:sz w:val="20"/>
          <w:szCs w:val="20"/>
          <w:lang w:val="sq-AL"/>
        </w:rPr>
        <w:t>SEKTORI I SHPRONËSIMEVE</w:t>
      </w:r>
    </w:p>
    <w:p w:rsidR="003B3991" w:rsidRDefault="003B3991" w:rsidP="003B3991">
      <w:pPr>
        <w:pStyle w:val="Hapesira7"/>
        <w:rPr>
          <w:lang w:val="sq-AL"/>
        </w:rPr>
      </w:pPr>
    </w:p>
    <w:p w:rsidR="003B3991" w:rsidRPr="0061256B" w:rsidRDefault="003B3991" w:rsidP="003B3991">
      <w:pPr>
        <w:widowControl w:val="0"/>
        <w:spacing w:after="0" w:line="240" w:lineRule="auto"/>
        <w:ind w:firstLine="0"/>
        <w:jc w:val="center"/>
        <w:rPr>
          <w:rFonts w:ascii="Garamond" w:eastAsia="Times New Roman" w:hAnsi="Garamond" w:cs="Arial"/>
          <w:bCs/>
          <w:sz w:val="24"/>
          <w:szCs w:val="14"/>
          <w:lang w:val="sq-AL"/>
        </w:rPr>
      </w:pPr>
      <w:r w:rsidRPr="0061256B">
        <w:rPr>
          <w:rFonts w:ascii="Garamond" w:eastAsia="Times New Roman" w:hAnsi="Garamond" w:cs="Arial"/>
          <w:bCs/>
          <w:sz w:val="24"/>
          <w:szCs w:val="14"/>
          <w:lang w:val="sq-AL"/>
        </w:rPr>
        <w:t>LISTA E PRONARËVE TË OBJEKTEVE QË PREKEN NGA NDËRTIMI I SEGMENTIT RRUGOR “MAMINAS-GJIRI I LALËZIT”</w:t>
      </w:r>
    </w:p>
    <w:p w:rsidR="003B3991" w:rsidRPr="0061256B" w:rsidRDefault="003B3991" w:rsidP="003B3991">
      <w:pPr>
        <w:pStyle w:val="Hapesira7"/>
        <w:rPr>
          <w:lang w:val="sq-AL"/>
        </w:rPr>
      </w:pPr>
    </w:p>
    <w:tbl>
      <w:tblPr>
        <w:tblW w:w="8374" w:type="dxa"/>
        <w:jc w:val="center"/>
        <w:tblLook w:val="04A0" w:firstRow="1" w:lastRow="0" w:firstColumn="1" w:lastColumn="0" w:noHBand="0" w:noVBand="1"/>
      </w:tblPr>
      <w:tblGrid>
        <w:gridCol w:w="419"/>
        <w:gridCol w:w="1402"/>
        <w:gridCol w:w="740"/>
        <w:gridCol w:w="993"/>
        <w:gridCol w:w="1134"/>
        <w:gridCol w:w="1134"/>
        <w:gridCol w:w="992"/>
        <w:gridCol w:w="1560"/>
      </w:tblGrid>
      <w:tr w:rsidR="003B3991" w:rsidRPr="0061256B" w:rsidTr="00141219">
        <w:trPr>
          <w:trHeight w:val="139"/>
          <w:jc w:val="center"/>
        </w:trPr>
        <w:tc>
          <w:tcPr>
            <w:tcW w:w="419"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 xml:space="preserve">Nr. </w:t>
            </w:r>
          </w:p>
        </w:tc>
        <w:tc>
          <w:tcPr>
            <w:tcW w:w="1402" w:type="dxa"/>
            <w:tcBorders>
              <w:top w:val="double" w:sz="6" w:space="0" w:color="auto"/>
              <w:left w:val="nil"/>
              <w:bottom w:val="double" w:sz="6" w:space="0" w:color="auto"/>
              <w:right w:val="nil"/>
            </w:tcBorders>
            <w:shd w:val="clear" w:color="000000" w:fill="FFFFFF"/>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Emri, atësia, mbiemri</w:t>
            </w:r>
          </w:p>
        </w:tc>
        <w:tc>
          <w:tcPr>
            <w:tcW w:w="740" w:type="dxa"/>
            <w:tcBorders>
              <w:top w:val="double" w:sz="6" w:space="0" w:color="auto"/>
              <w:left w:val="double" w:sz="6" w:space="0" w:color="auto"/>
              <w:bottom w:val="double" w:sz="6" w:space="0" w:color="auto"/>
              <w:right w:val="double" w:sz="6" w:space="0" w:color="auto"/>
            </w:tcBorders>
            <w:shd w:val="clear" w:color="000000" w:fill="FFFFFF"/>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Nr. i Z. Kad.</w:t>
            </w:r>
          </w:p>
        </w:tc>
        <w:tc>
          <w:tcPr>
            <w:tcW w:w="993" w:type="dxa"/>
            <w:tcBorders>
              <w:top w:val="double" w:sz="6" w:space="0" w:color="auto"/>
              <w:left w:val="nil"/>
              <w:bottom w:val="double" w:sz="6" w:space="0" w:color="auto"/>
              <w:right w:val="nil"/>
            </w:tcBorders>
            <w:shd w:val="clear" w:color="000000" w:fill="FFFFFF"/>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Nr. i pasurisë</w:t>
            </w:r>
          </w:p>
        </w:tc>
        <w:tc>
          <w:tcPr>
            <w:tcW w:w="1134" w:type="dxa"/>
            <w:tcBorders>
              <w:top w:val="double" w:sz="6" w:space="0" w:color="auto"/>
              <w:left w:val="double" w:sz="6" w:space="0" w:color="auto"/>
              <w:bottom w:val="double" w:sz="6" w:space="0" w:color="auto"/>
              <w:right w:val="nil"/>
            </w:tcBorders>
            <w:shd w:val="clear" w:color="000000" w:fill="FFFFFF"/>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Sipërfaqe ndërtimi</w:t>
            </w:r>
          </w:p>
        </w:tc>
        <w:tc>
          <w:tcPr>
            <w:tcW w:w="1134"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Lloji i objektit</w:t>
            </w:r>
          </w:p>
        </w:tc>
        <w:tc>
          <w:tcPr>
            <w:tcW w:w="992" w:type="dxa"/>
            <w:tcBorders>
              <w:top w:val="double" w:sz="6" w:space="0" w:color="auto"/>
              <w:left w:val="nil"/>
              <w:bottom w:val="double" w:sz="6" w:space="0" w:color="auto"/>
              <w:right w:val="double" w:sz="6" w:space="0" w:color="auto"/>
            </w:tcBorders>
            <w:shd w:val="clear" w:color="000000" w:fill="FFFFFF"/>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Vlera (lekë)</w:t>
            </w:r>
          </w:p>
        </w:tc>
        <w:tc>
          <w:tcPr>
            <w:tcW w:w="1560" w:type="dxa"/>
            <w:tcBorders>
              <w:top w:val="double" w:sz="6" w:space="0" w:color="auto"/>
              <w:left w:val="nil"/>
              <w:bottom w:val="double" w:sz="6" w:space="0" w:color="auto"/>
              <w:right w:val="double" w:sz="6" w:space="0" w:color="auto"/>
            </w:tcBorders>
            <w:shd w:val="clear" w:color="000000" w:fill="FFFFFF"/>
            <w:noWrap/>
            <w:vAlign w:val="center"/>
            <w:hideMark/>
          </w:tcPr>
          <w:p w:rsidR="003B3991" w:rsidRPr="0061256B"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61256B">
              <w:rPr>
                <w:rFonts w:ascii="Garamond" w:eastAsia="Times New Roman" w:hAnsi="Garamond" w:cs="Arial"/>
                <w:b/>
                <w:bCs/>
                <w:sz w:val="14"/>
                <w:szCs w:val="14"/>
                <w:lang w:val="sq-AL"/>
              </w:rPr>
              <w:t>Shënime</w:t>
            </w:r>
          </w:p>
        </w:tc>
      </w:tr>
      <w:tr w:rsidR="003B3991" w:rsidRPr="0061256B" w:rsidTr="00141219">
        <w:trPr>
          <w:trHeight w:val="139"/>
          <w:jc w:val="center"/>
        </w:trPr>
        <w:tc>
          <w:tcPr>
            <w:tcW w:w="419" w:type="dxa"/>
            <w:tcBorders>
              <w:top w:val="single" w:sz="4" w:space="0" w:color="auto"/>
              <w:left w:val="double" w:sz="6" w:space="0" w:color="auto"/>
              <w:bottom w:val="single" w:sz="4" w:space="0" w:color="auto"/>
              <w:right w:val="double" w:sz="6" w:space="0" w:color="auto"/>
            </w:tcBorders>
            <w:shd w:val="clear" w:color="auto" w:fill="auto"/>
            <w:noWrap/>
            <w:vAlign w:val="center"/>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1</w:t>
            </w:r>
          </w:p>
        </w:tc>
        <w:tc>
          <w:tcPr>
            <w:tcW w:w="1402" w:type="dxa"/>
            <w:tcBorders>
              <w:top w:val="single" w:sz="4" w:space="0" w:color="auto"/>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Sefer Luku</w:t>
            </w:r>
          </w:p>
        </w:tc>
        <w:tc>
          <w:tcPr>
            <w:tcW w:w="740"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2590</w:t>
            </w:r>
          </w:p>
        </w:tc>
        <w:tc>
          <w:tcPr>
            <w:tcW w:w="993" w:type="dxa"/>
            <w:tcBorders>
              <w:top w:val="single" w:sz="4" w:space="0" w:color="auto"/>
              <w:left w:val="nil"/>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443/20</w:t>
            </w:r>
          </w:p>
        </w:tc>
        <w:tc>
          <w:tcPr>
            <w:tcW w:w="1134" w:type="dxa"/>
            <w:tcBorders>
              <w:top w:val="single" w:sz="4" w:space="0" w:color="auto"/>
              <w:left w:val="double" w:sz="6" w:space="0" w:color="auto"/>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 xml:space="preserve"> 72 m</w:t>
            </w:r>
            <w:r w:rsidRPr="0061256B">
              <w:rPr>
                <w:rFonts w:ascii="Garamond" w:eastAsia="Times New Roman" w:hAnsi="Garamond" w:cs="Arial"/>
                <w:color w:val="000000"/>
                <w:sz w:val="14"/>
                <w:szCs w:val="14"/>
                <w:vertAlign w:val="superscript"/>
                <w:lang w:val="sq-AL"/>
              </w:rPr>
              <w:t>2</w:t>
            </w:r>
          </w:p>
        </w:tc>
        <w:tc>
          <w:tcPr>
            <w:tcW w:w="1134"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Ndërtesë</w:t>
            </w:r>
          </w:p>
        </w:tc>
        <w:tc>
          <w:tcPr>
            <w:tcW w:w="992" w:type="dxa"/>
            <w:tcBorders>
              <w:top w:val="single" w:sz="4" w:space="0" w:color="auto"/>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right"/>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1 826 451</w:t>
            </w:r>
          </w:p>
        </w:tc>
        <w:tc>
          <w:tcPr>
            <w:tcW w:w="1560" w:type="dxa"/>
            <w:tcBorders>
              <w:top w:val="single" w:sz="4" w:space="0" w:color="auto"/>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Konfirmuar nga ZVRPP-ja</w:t>
            </w:r>
          </w:p>
        </w:tc>
      </w:tr>
      <w:tr w:rsidR="003B3991" w:rsidRPr="0061256B" w:rsidTr="00141219">
        <w:trPr>
          <w:trHeight w:val="139"/>
          <w:jc w:val="center"/>
        </w:trPr>
        <w:tc>
          <w:tcPr>
            <w:tcW w:w="419" w:type="dxa"/>
            <w:tcBorders>
              <w:top w:val="nil"/>
              <w:left w:val="double" w:sz="6" w:space="0" w:color="auto"/>
              <w:bottom w:val="single" w:sz="4" w:space="0" w:color="auto"/>
              <w:right w:val="double" w:sz="6" w:space="0" w:color="auto"/>
            </w:tcBorders>
            <w:shd w:val="clear" w:color="000000" w:fill="FFFFFF"/>
            <w:noWrap/>
            <w:vAlign w:val="center"/>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2</w:t>
            </w:r>
          </w:p>
        </w:tc>
        <w:tc>
          <w:tcPr>
            <w:tcW w:w="1402" w:type="dxa"/>
            <w:tcBorders>
              <w:top w:val="nil"/>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Hasan Zenel Sallaku</w:t>
            </w:r>
          </w:p>
        </w:tc>
        <w:tc>
          <w:tcPr>
            <w:tcW w:w="740" w:type="dxa"/>
            <w:tcBorders>
              <w:top w:val="nil"/>
              <w:left w:val="double" w:sz="6" w:space="0" w:color="auto"/>
              <w:bottom w:val="single" w:sz="4" w:space="0" w:color="auto"/>
              <w:right w:val="double" w:sz="6" w:space="0" w:color="auto"/>
            </w:tcBorders>
            <w:shd w:val="clear" w:color="000000" w:fill="FFFFFF"/>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3137</w:t>
            </w:r>
          </w:p>
        </w:tc>
        <w:tc>
          <w:tcPr>
            <w:tcW w:w="993" w:type="dxa"/>
            <w:tcBorders>
              <w:top w:val="nil"/>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62/11</w:t>
            </w:r>
          </w:p>
        </w:tc>
        <w:tc>
          <w:tcPr>
            <w:tcW w:w="1134" w:type="dxa"/>
            <w:tcBorders>
              <w:top w:val="nil"/>
              <w:left w:val="double" w:sz="6" w:space="0" w:color="auto"/>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72 m</w:t>
            </w:r>
            <w:r w:rsidRPr="0061256B">
              <w:rPr>
                <w:rFonts w:ascii="Garamond" w:eastAsia="Times New Roman" w:hAnsi="Garamond" w:cs="Arial"/>
                <w:color w:val="000000"/>
                <w:sz w:val="14"/>
                <w:szCs w:val="14"/>
                <w:vertAlign w:val="superscript"/>
                <w:lang w:val="sq-AL"/>
              </w:rPr>
              <w:t>2</w:t>
            </w:r>
          </w:p>
        </w:tc>
        <w:tc>
          <w:tcPr>
            <w:tcW w:w="1134" w:type="dxa"/>
            <w:tcBorders>
              <w:top w:val="nil"/>
              <w:left w:val="double" w:sz="6" w:space="0" w:color="auto"/>
              <w:bottom w:val="single" w:sz="4" w:space="0" w:color="auto"/>
              <w:right w:val="double" w:sz="6" w:space="0" w:color="auto"/>
            </w:tcBorders>
            <w:shd w:val="clear" w:color="000000" w:fill="FFFFFF"/>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Objekt banimi</w:t>
            </w:r>
          </w:p>
        </w:tc>
        <w:tc>
          <w:tcPr>
            <w:tcW w:w="992" w:type="dxa"/>
            <w:tcBorders>
              <w:top w:val="nil"/>
              <w:left w:val="nil"/>
              <w:bottom w:val="single" w:sz="4" w:space="0" w:color="auto"/>
              <w:right w:val="double" w:sz="6" w:space="0" w:color="auto"/>
            </w:tcBorders>
            <w:shd w:val="clear" w:color="000000" w:fill="FFFFFF"/>
            <w:noWrap/>
            <w:vAlign w:val="bottom"/>
            <w:hideMark/>
          </w:tcPr>
          <w:p w:rsidR="003B3991" w:rsidRPr="0061256B" w:rsidRDefault="003B3991" w:rsidP="00141219">
            <w:pPr>
              <w:widowControl w:val="0"/>
              <w:spacing w:after="0" w:line="240" w:lineRule="auto"/>
              <w:ind w:firstLine="0"/>
              <w:jc w:val="right"/>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2 515 944</w:t>
            </w:r>
          </w:p>
        </w:tc>
        <w:tc>
          <w:tcPr>
            <w:tcW w:w="1560" w:type="dxa"/>
            <w:tcBorders>
              <w:top w:val="nil"/>
              <w:left w:val="nil"/>
              <w:bottom w:val="single" w:sz="4" w:space="0" w:color="auto"/>
              <w:right w:val="double" w:sz="6" w:space="0" w:color="auto"/>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Konfirmuar nga ZVRPP-ja</w:t>
            </w:r>
          </w:p>
        </w:tc>
      </w:tr>
      <w:tr w:rsidR="003B3991" w:rsidRPr="0061256B" w:rsidTr="00141219">
        <w:trPr>
          <w:trHeight w:val="139"/>
          <w:jc w:val="center"/>
        </w:trPr>
        <w:tc>
          <w:tcPr>
            <w:tcW w:w="419" w:type="dxa"/>
            <w:tcBorders>
              <w:top w:val="nil"/>
              <w:left w:val="double" w:sz="6" w:space="0" w:color="auto"/>
              <w:bottom w:val="single" w:sz="4" w:space="0" w:color="auto"/>
              <w:right w:val="double" w:sz="6" w:space="0" w:color="auto"/>
            </w:tcBorders>
            <w:shd w:val="clear" w:color="auto" w:fill="auto"/>
            <w:noWrap/>
            <w:vAlign w:val="center"/>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3</w:t>
            </w:r>
          </w:p>
        </w:tc>
        <w:tc>
          <w:tcPr>
            <w:tcW w:w="1402" w:type="dxa"/>
            <w:tcBorders>
              <w:top w:val="nil"/>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Kalem Sallaku</w:t>
            </w:r>
          </w:p>
        </w:tc>
        <w:tc>
          <w:tcPr>
            <w:tcW w:w="740"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3137</w:t>
            </w:r>
          </w:p>
        </w:tc>
        <w:tc>
          <w:tcPr>
            <w:tcW w:w="993" w:type="dxa"/>
            <w:tcBorders>
              <w:top w:val="nil"/>
              <w:left w:val="nil"/>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 xml:space="preserve"> 63/8</w:t>
            </w:r>
          </w:p>
        </w:tc>
        <w:tc>
          <w:tcPr>
            <w:tcW w:w="1134" w:type="dxa"/>
            <w:tcBorders>
              <w:top w:val="nil"/>
              <w:left w:val="double" w:sz="6" w:space="0" w:color="auto"/>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 </w:t>
            </w:r>
          </w:p>
        </w:tc>
        <w:tc>
          <w:tcPr>
            <w:tcW w:w="1134"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Mur rrethues</w:t>
            </w:r>
          </w:p>
        </w:tc>
        <w:tc>
          <w:tcPr>
            <w:tcW w:w="992"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right"/>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403 205</w:t>
            </w:r>
          </w:p>
        </w:tc>
        <w:tc>
          <w:tcPr>
            <w:tcW w:w="1560"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Leje ndërtimi</w:t>
            </w:r>
          </w:p>
        </w:tc>
      </w:tr>
      <w:tr w:rsidR="003B3991" w:rsidRPr="0061256B" w:rsidTr="00141219">
        <w:trPr>
          <w:trHeight w:val="139"/>
          <w:jc w:val="center"/>
        </w:trPr>
        <w:tc>
          <w:tcPr>
            <w:tcW w:w="419" w:type="dxa"/>
            <w:tcBorders>
              <w:top w:val="nil"/>
              <w:left w:val="double" w:sz="6" w:space="0" w:color="auto"/>
              <w:bottom w:val="single" w:sz="4" w:space="0" w:color="auto"/>
              <w:right w:val="double" w:sz="6" w:space="0" w:color="auto"/>
            </w:tcBorders>
            <w:shd w:val="clear" w:color="auto" w:fill="auto"/>
            <w:noWrap/>
            <w:vAlign w:val="center"/>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4</w:t>
            </w:r>
          </w:p>
        </w:tc>
        <w:tc>
          <w:tcPr>
            <w:tcW w:w="1402" w:type="dxa"/>
            <w:tcBorders>
              <w:top w:val="nil"/>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Naim Gjergji</w:t>
            </w:r>
          </w:p>
        </w:tc>
        <w:tc>
          <w:tcPr>
            <w:tcW w:w="740"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2065</w:t>
            </w:r>
          </w:p>
        </w:tc>
        <w:tc>
          <w:tcPr>
            <w:tcW w:w="993" w:type="dxa"/>
            <w:tcBorders>
              <w:top w:val="nil"/>
              <w:left w:val="nil"/>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38/33</w:t>
            </w:r>
          </w:p>
        </w:tc>
        <w:tc>
          <w:tcPr>
            <w:tcW w:w="1134" w:type="dxa"/>
            <w:tcBorders>
              <w:top w:val="nil"/>
              <w:left w:val="double" w:sz="6" w:space="0" w:color="auto"/>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30 m</w:t>
            </w:r>
            <w:r w:rsidRPr="0061256B">
              <w:rPr>
                <w:rFonts w:ascii="Garamond" w:eastAsia="Times New Roman" w:hAnsi="Garamond" w:cs="Arial"/>
                <w:color w:val="000000"/>
                <w:sz w:val="14"/>
                <w:szCs w:val="14"/>
                <w:vertAlign w:val="superscript"/>
                <w:lang w:val="sq-AL"/>
              </w:rPr>
              <w:t>2</w:t>
            </w:r>
          </w:p>
        </w:tc>
        <w:tc>
          <w:tcPr>
            <w:tcW w:w="1134"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Ndërtesë</w:t>
            </w:r>
          </w:p>
        </w:tc>
        <w:tc>
          <w:tcPr>
            <w:tcW w:w="992"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right"/>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1 338 945</w:t>
            </w:r>
          </w:p>
        </w:tc>
        <w:tc>
          <w:tcPr>
            <w:tcW w:w="1560"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Konfirmuar nga ZVRPP-ja</w:t>
            </w:r>
          </w:p>
        </w:tc>
      </w:tr>
      <w:tr w:rsidR="003B3991" w:rsidRPr="0061256B" w:rsidTr="00141219">
        <w:trPr>
          <w:trHeight w:val="139"/>
          <w:jc w:val="center"/>
        </w:trPr>
        <w:tc>
          <w:tcPr>
            <w:tcW w:w="419" w:type="dxa"/>
            <w:tcBorders>
              <w:top w:val="nil"/>
              <w:left w:val="double" w:sz="6" w:space="0" w:color="auto"/>
              <w:bottom w:val="single" w:sz="4" w:space="0" w:color="auto"/>
              <w:right w:val="double" w:sz="6" w:space="0" w:color="auto"/>
            </w:tcBorders>
            <w:shd w:val="clear" w:color="auto" w:fill="auto"/>
            <w:noWrap/>
            <w:vAlign w:val="center"/>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5</w:t>
            </w:r>
          </w:p>
        </w:tc>
        <w:tc>
          <w:tcPr>
            <w:tcW w:w="1402" w:type="dxa"/>
            <w:tcBorders>
              <w:top w:val="nil"/>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Rustem Hoxha</w:t>
            </w:r>
          </w:p>
        </w:tc>
        <w:tc>
          <w:tcPr>
            <w:tcW w:w="740"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3137</w:t>
            </w:r>
          </w:p>
        </w:tc>
        <w:tc>
          <w:tcPr>
            <w:tcW w:w="993" w:type="dxa"/>
            <w:tcBorders>
              <w:top w:val="nil"/>
              <w:left w:val="nil"/>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62/9</w:t>
            </w:r>
          </w:p>
        </w:tc>
        <w:tc>
          <w:tcPr>
            <w:tcW w:w="1134" w:type="dxa"/>
            <w:tcBorders>
              <w:top w:val="nil"/>
              <w:left w:val="double" w:sz="6" w:space="0" w:color="auto"/>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 </w:t>
            </w:r>
          </w:p>
        </w:tc>
        <w:tc>
          <w:tcPr>
            <w:tcW w:w="1134"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Mur rrethues</w:t>
            </w:r>
          </w:p>
        </w:tc>
        <w:tc>
          <w:tcPr>
            <w:tcW w:w="992"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right"/>
              <w:rPr>
                <w:rFonts w:ascii="Garamond" w:eastAsia="Times New Roman" w:hAnsi="Garamond" w:cs="Arial"/>
                <w:color w:val="000000"/>
                <w:sz w:val="14"/>
                <w:szCs w:val="14"/>
                <w:lang w:val="sq-AL"/>
              </w:rPr>
            </w:pPr>
            <w:r w:rsidRPr="0061256B">
              <w:rPr>
                <w:rFonts w:ascii="Garamond" w:eastAsia="Times New Roman" w:hAnsi="Garamond" w:cs="Arial"/>
                <w:color w:val="000000"/>
                <w:sz w:val="14"/>
                <w:szCs w:val="14"/>
                <w:lang w:val="sq-AL"/>
              </w:rPr>
              <w:t>599 708,7</w:t>
            </w:r>
          </w:p>
        </w:tc>
        <w:tc>
          <w:tcPr>
            <w:tcW w:w="1560"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Leje ndërtimi</w:t>
            </w:r>
          </w:p>
        </w:tc>
      </w:tr>
      <w:tr w:rsidR="003B3991" w:rsidRPr="0061256B" w:rsidTr="00141219">
        <w:trPr>
          <w:trHeight w:val="139"/>
          <w:jc w:val="center"/>
        </w:trPr>
        <w:tc>
          <w:tcPr>
            <w:tcW w:w="419" w:type="dxa"/>
            <w:tcBorders>
              <w:top w:val="nil"/>
              <w:left w:val="double" w:sz="6" w:space="0" w:color="auto"/>
              <w:bottom w:val="single" w:sz="4" w:space="0" w:color="auto"/>
              <w:right w:val="double" w:sz="6" w:space="0" w:color="auto"/>
            </w:tcBorders>
            <w:shd w:val="clear" w:color="auto" w:fill="auto"/>
            <w:noWrap/>
            <w:vAlign w:val="center"/>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1402" w:type="dxa"/>
            <w:tcBorders>
              <w:top w:val="nil"/>
              <w:left w:val="nil"/>
              <w:bottom w:val="single" w:sz="4" w:space="0" w:color="auto"/>
              <w:right w:val="nil"/>
            </w:tcBorders>
            <w:shd w:val="clear" w:color="000000" w:fill="FFFFFF"/>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740"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993" w:type="dxa"/>
            <w:tcBorders>
              <w:top w:val="nil"/>
              <w:left w:val="nil"/>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1134" w:type="dxa"/>
            <w:tcBorders>
              <w:top w:val="nil"/>
              <w:left w:val="double" w:sz="6" w:space="0" w:color="auto"/>
              <w:bottom w:val="single" w:sz="4" w:space="0" w:color="auto"/>
              <w:right w:val="nil"/>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1134" w:type="dxa"/>
            <w:tcBorders>
              <w:top w:val="nil"/>
              <w:left w:val="double" w:sz="6" w:space="0" w:color="auto"/>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center"/>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992"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right"/>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c>
          <w:tcPr>
            <w:tcW w:w="1560" w:type="dxa"/>
            <w:tcBorders>
              <w:top w:val="nil"/>
              <w:left w:val="nil"/>
              <w:bottom w:val="single" w:sz="4" w:space="0" w:color="auto"/>
              <w:right w:val="double" w:sz="6" w:space="0" w:color="auto"/>
            </w:tcBorders>
            <w:shd w:val="clear" w:color="auto" w:fill="auto"/>
            <w:noWrap/>
            <w:vAlign w:val="bottom"/>
            <w:hideMark/>
          </w:tcPr>
          <w:p w:rsidR="003B3991" w:rsidRPr="0061256B" w:rsidRDefault="003B3991" w:rsidP="00141219">
            <w:pPr>
              <w:widowControl w:val="0"/>
              <w:spacing w:after="0" w:line="240" w:lineRule="auto"/>
              <w:ind w:firstLine="0"/>
              <w:jc w:val="left"/>
              <w:rPr>
                <w:rFonts w:ascii="Garamond" w:eastAsia="Times New Roman" w:hAnsi="Garamond" w:cs="Arial"/>
                <w:sz w:val="14"/>
                <w:szCs w:val="14"/>
                <w:lang w:val="sq-AL"/>
              </w:rPr>
            </w:pPr>
            <w:r w:rsidRPr="0061256B">
              <w:rPr>
                <w:rFonts w:ascii="Garamond" w:eastAsia="Times New Roman" w:hAnsi="Garamond" w:cs="Arial"/>
                <w:sz w:val="14"/>
                <w:szCs w:val="14"/>
                <w:lang w:val="sq-AL"/>
              </w:rPr>
              <w:t> </w:t>
            </w:r>
          </w:p>
        </w:tc>
      </w:tr>
      <w:tr w:rsidR="003B3991" w:rsidRPr="00492572" w:rsidTr="00141219">
        <w:trPr>
          <w:trHeight w:val="139"/>
          <w:jc w:val="center"/>
        </w:trPr>
        <w:tc>
          <w:tcPr>
            <w:tcW w:w="419"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3B3991" w:rsidRPr="00492572" w:rsidRDefault="003B3991" w:rsidP="00141219">
            <w:pPr>
              <w:widowControl w:val="0"/>
              <w:spacing w:after="0" w:line="240" w:lineRule="auto"/>
              <w:ind w:firstLine="0"/>
              <w:jc w:val="right"/>
              <w:rPr>
                <w:rFonts w:ascii="Garamond" w:eastAsia="Times New Roman" w:hAnsi="Garamond" w:cs="Arial"/>
                <w:b/>
                <w:sz w:val="14"/>
                <w:szCs w:val="14"/>
                <w:lang w:val="sq-AL"/>
              </w:rPr>
            </w:pPr>
            <w:r w:rsidRPr="00492572">
              <w:rPr>
                <w:rFonts w:ascii="Garamond" w:eastAsia="Times New Roman" w:hAnsi="Garamond" w:cs="Arial"/>
                <w:b/>
                <w:sz w:val="14"/>
                <w:szCs w:val="14"/>
                <w:lang w:val="sq-AL"/>
              </w:rPr>
              <w:t> </w:t>
            </w:r>
          </w:p>
        </w:tc>
        <w:tc>
          <w:tcPr>
            <w:tcW w:w="1402" w:type="dxa"/>
            <w:tcBorders>
              <w:top w:val="double" w:sz="6" w:space="0" w:color="auto"/>
              <w:left w:val="nil"/>
              <w:bottom w:val="double" w:sz="6" w:space="0" w:color="auto"/>
              <w:right w:val="nil"/>
            </w:tcBorders>
            <w:shd w:val="clear" w:color="000000" w:fill="FFFFFF"/>
            <w:noWrap/>
            <w:vAlign w:val="bottom"/>
            <w:hideMark/>
          </w:tcPr>
          <w:p w:rsidR="003B3991" w:rsidRPr="00492572" w:rsidRDefault="003B3991" w:rsidP="00141219">
            <w:pPr>
              <w:widowControl w:val="0"/>
              <w:spacing w:after="0" w:line="240" w:lineRule="auto"/>
              <w:ind w:firstLine="0"/>
              <w:jc w:val="center"/>
              <w:rPr>
                <w:rFonts w:ascii="Garamond" w:eastAsia="Times New Roman" w:hAnsi="Garamond" w:cs="Arial"/>
                <w:b/>
                <w:bCs/>
                <w:sz w:val="14"/>
                <w:szCs w:val="14"/>
                <w:lang w:val="sq-AL"/>
              </w:rPr>
            </w:pPr>
            <w:r w:rsidRPr="00492572">
              <w:rPr>
                <w:rFonts w:ascii="Garamond" w:eastAsia="Times New Roman" w:hAnsi="Garamond" w:cs="Arial"/>
                <w:b/>
                <w:bCs/>
                <w:sz w:val="14"/>
                <w:szCs w:val="14"/>
                <w:lang w:val="sq-AL"/>
              </w:rPr>
              <w:t xml:space="preserve">SHUMA TOTALE </w:t>
            </w:r>
          </w:p>
        </w:tc>
        <w:tc>
          <w:tcPr>
            <w:tcW w:w="74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3B3991" w:rsidRPr="00492572" w:rsidRDefault="003B3991" w:rsidP="00141219">
            <w:pPr>
              <w:widowControl w:val="0"/>
              <w:spacing w:after="0" w:line="240" w:lineRule="auto"/>
              <w:ind w:firstLine="0"/>
              <w:jc w:val="center"/>
              <w:rPr>
                <w:rFonts w:ascii="Garamond" w:eastAsia="Times New Roman" w:hAnsi="Garamond" w:cs="Arial"/>
                <w:b/>
                <w:sz w:val="14"/>
                <w:szCs w:val="14"/>
                <w:lang w:val="sq-AL"/>
              </w:rPr>
            </w:pPr>
            <w:r w:rsidRPr="00492572">
              <w:rPr>
                <w:rFonts w:ascii="Garamond" w:eastAsia="Times New Roman" w:hAnsi="Garamond" w:cs="Arial"/>
                <w:b/>
                <w:sz w:val="14"/>
                <w:szCs w:val="14"/>
                <w:lang w:val="sq-AL"/>
              </w:rPr>
              <w:t> </w:t>
            </w:r>
          </w:p>
        </w:tc>
        <w:tc>
          <w:tcPr>
            <w:tcW w:w="993" w:type="dxa"/>
            <w:tcBorders>
              <w:top w:val="double" w:sz="6" w:space="0" w:color="auto"/>
              <w:left w:val="nil"/>
              <w:bottom w:val="double" w:sz="6" w:space="0" w:color="auto"/>
              <w:right w:val="nil"/>
            </w:tcBorders>
            <w:shd w:val="clear" w:color="000000" w:fill="FFFFFF"/>
            <w:noWrap/>
            <w:vAlign w:val="bottom"/>
            <w:hideMark/>
          </w:tcPr>
          <w:p w:rsidR="003B3991" w:rsidRPr="00492572" w:rsidRDefault="003B3991" w:rsidP="00141219">
            <w:pPr>
              <w:widowControl w:val="0"/>
              <w:spacing w:after="0" w:line="240" w:lineRule="auto"/>
              <w:ind w:firstLine="0"/>
              <w:jc w:val="center"/>
              <w:rPr>
                <w:rFonts w:ascii="Garamond" w:eastAsia="Times New Roman" w:hAnsi="Garamond" w:cs="Arial"/>
                <w:b/>
                <w:sz w:val="14"/>
                <w:szCs w:val="14"/>
                <w:lang w:val="sq-AL"/>
              </w:rPr>
            </w:pPr>
            <w:r w:rsidRPr="00492572">
              <w:rPr>
                <w:rFonts w:ascii="Garamond" w:eastAsia="Times New Roman" w:hAnsi="Garamond" w:cs="Arial"/>
                <w:b/>
                <w:sz w:val="14"/>
                <w:szCs w:val="14"/>
                <w:lang w:val="sq-AL"/>
              </w:rPr>
              <w:t> </w:t>
            </w:r>
          </w:p>
        </w:tc>
        <w:tc>
          <w:tcPr>
            <w:tcW w:w="1134" w:type="dxa"/>
            <w:tcBorders>
              <w:top w:val="double" w:sz="6" w:space="0" w:color="auto"/>
              <w:left w:val="nil"/>
              <w:bottom w:val="double" w:sz="6" w:space="0" w:color="auto"/>
              <w:right w:val="nil"/>
            </w:tcBorders>
            <w:shd w:val="clear" w:color="000000" w:fill="FFFFFF"/>
            <w:noWrap/>
            <w:vAlign w:val="bottom"/>
            <w:hideMark/>
          </w:tcPr>
          <w:p w:rsidR="003B3991" w:rsidRPr="00492572" w:rsidRDefault="003B3991" w:rsidP="00141219">
            <w:pPr>
              <w:widowControl w:val="0"/>
              <w:spacing w:after="0" w:line="240" w:lineRule="auto"/>
              <w:ind w:firstLine="0"/>
              <w:jc w:val="center"/>
              <w:rPr>
                <w:rFonts w:ascii="Garamond" w:eastAsia="Times New Roman" w:hAnsi="Garamond" w:cs="Arial"/>
                <w:b/>
                <w:sz w:val="14"/>
                <w:szCs w:val="14"/>
                <w:lang w:val="sq-AL"/>
              </w:rPr>
            </w:pPr>
            <w:r w:rsidRPr="00492572">
              <w:rPr>
                <w:rFonts w:ascii="Garamond" w:eastAsia="Times New Roman" w:hAnsi="Garamond" w:cs="Arial"/>
                <w:b/>
                <w:sz w:val="14"/>
                <w:szCs w:val="14"/>
                <w:lang w:val="sq-AL"/>
              </w:rPr>
              <w:t> </w:t>
            </w:r>
          </w:p>
        </w:tc>
        <w:tc>
          <w:tcPr>
            <w:tcW w:w="1134"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3B3991" w:rsidRPr="00492572" w:rsidRDefault="003B3991" w:rsidP="00141219">
            <w:pPr>
              <w:widowControl w:val="0"/>
              <w:spacing w:after="0" w:line="240" w:lineRule="auto"/>
              <w:ind w:firstLine="0"/>
              <w:jc w:val="center"/>
              <w:rPr>
                <w:rFonts w:ascii="Garamond" w:eastAsia="Times New Roman" w:hAnsi="Garamond" w:cs="Arial"/>
                <w:b/>
                <w:sz w:val="14"/>
                <w:szCs w:val="14"/>
                <w:lang w:val="sq-AL"/>
              </w:rPr>
            </w:pPr>
            <w:r w:rsidRPr="00492572">
              <w:rPr>
                <w:rFonts w:ascii="Garamond" w:eastAsia="Times New Roman" w:hAnsi="Garamond" w:cs="Arial"/>
                <w:b/>
                <w:sz w:val="14"/>
                <w:szCs w:val="14"/>
                <w:lang w:val="sq-AL"/>
              </w:rPr>
              <w:t> </w:t>
            </w:r>
          </w:p>
        </w:tc>
        <w:tc>
          <w:tcPr>
            <w:tcW w:w="992" w:type="dxa"/>
            <w:tcBorders>
              <w:top w:val="double" w:sz="6" w:space="0" w:color="auto"/>
              <w:left w:val="nil"/>
              <w:bottom w:val="double" w:sz="6" w:space="0" w:color="auto"/>
              <w:right w:val="double" w:sz="6" w:space="0" w:color="auto"/>
            </w:tcBorders>
            <w:shd w:val="clear" w:color="000000" w:fill="FFFFFF"/>
            <w:noWrap/>
            <w:vAlign w:val="bottom"/>
            <w:hideMark/>
          </w:tcPr>
          <w:p w:rsidR="003B3991" w:rsidRPr="00492572" w:rsidRDefault="003B3991" w:rsidP="00141219">
            <w:pPr>
              <w:widowControl w:val="0"/>
              <w:spacing w:after="0" w:line="240" w:lineRule="auto"/>
              <w:ind w:firstLine="0"/>
              <w:jc w:val="right"/>
              <w:rPr>
                <w:rFonts w:ascii="Garamond" w:eastAsia="Times New Roman" w:hAnsi="Garamond" w:cs="Arial"/>
                <w:b/>
                <w:bCs/>
                <w:sz w:val="14"/>
                <w:szCs w:val="14"/>
                <w:lang w:val="sq-AL"/>
              </w:rPr>
            </w:pPr>
            <w:r w:rsidRPr="00492572">
              <w:rPr>
                <w:rFonts w:ascii="Garamond" w:eastAsia="Times New Roman" w:hAnsi="Garamond" w:cs="Arial"/>
                <w:b/>
                <w:bCs/>
                <w:sz w:val="14"/>
                <w:szCs w:val="14"/>
                <w:lang w:val="sq-AL"/>
              </w:rPr>
              <w:t>6,684,254</w:t>
            </w:r>
          </w:p>
        </w:tc>
        <w:tc>
          <w:tcPr>
            <w:tcW w:w="1560" w:type="dxa"/>
            <w:tcBorders>
              <w:top w:val="double" w:sz="6" w:space="0" w:color="auto"/>
              <w:left w:val="nil"/>
              <w:bottom w:val="double" w:sz="6" w:space="0" w:color="auto"/>
              <w:right w:val="double" w:sz="6" w:space="0" w:color="auto"/>
            </w:tcBorders>
            <w:shd w:val="clear" w:color="000000" w:fill="FFFFFF"/>
            <w:noWrap/>
            <w:vAlign w:val="bottom"/>
            <w:hideMark/>
          </w:tcPr>
          <w:p w:rsidR="003B3991" w:rsidRPr="00492572" w:rsidRDefault="003B3991" w:rsidP="00141219">
            <w:pPr>
              <w:widowControl w:val="0"/>
              <w:spacing w:after="0" w:line="240" w:lineRule="auto"/>
              <w:ind w:firstLine="0"/>
              <w:jc w:val="center"/>
              <w:rPr>
                <w:rFonts w:ascii="Garamond" w:eastAsia="Times New Roman" w:hAnsi="Garamond" w:cs="Arial"/>
                <w:b/>
                <w:sz w:val="14"/>
                <w:szCs w:val="14"/>
                <w:lang w:val="sq-AL"/>
              </w:rPr>
            </w:pPr>
            <w:r w:rsidRPr="00492572">
              <w:rPr>
                <w:rFonts w:ascii="Garamond" w:eastAsia="Times New Roman" w:hAnsi="Garamond" w:cs="Arial"/>
                <w:b/>
                <w:sz w:val="14"/>
                <w:szCs w:val="14"/>
                <w:lang w:val="sq-AL"/>
              </w:rPr>
              <w:t> </w:t>
            </w:r>
          </w:p>
        </w:tc>
      </w:tr>
    </w:tbl>
    <w:p w:rsidR="00C038B6" w:rsidRDefault="00CB2724"/>
    <w:sectPr w:rsidR="00C038B6" w:rsidSect="00CB27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991"/>
    <w:rsid w:val="002D1BDF"/>
    <w:rsid w:val="003B3991"/>
    <w:rsid w:val="00462D66"/>
    <w:rsid w:val="00CB2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9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B39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B3991"/>
    <w:rPr>
      <w:rFonts w:ascii="Garamond" w:eastAsia="MS Mincho" w:hAnsi="Garamond" w:cs="CG Times"/>
      <w:sz w:val="24"/>
    </w:rPr>
  </w:style>
  <w:style w:type="paragraph" w:customStyle="1" w:styleId="NeniNr">
    <w:name w:val="Neni_Nr"/>
    <w:next w:val="Normal"/>
    <w:link w:val="NeniNrChar"/>
    <w:rsid w:val="003B39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39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3991"/>
    <w:rPr>
      <w:rFonts w:ascii="Garamond" w:eastAsia="MS Mincho" w:hAnsi="Garamond" w:cs="CG Times"/>
      <w:sz w:val="24"/>
      <w:lang w:val="en-GB"/>
    </w:rPr>
  </w:style>
  <w:style w:type="paragraph" w:customStyle="1" w:styleId="Hapesira7">
    <w:name w:val="Hapesira 7"/>
    <w:basedOn w:val="Paragrafi"/>
    <w:qFormat/>
    <w:rsid w:val="003B399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9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B39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B3991"/>
    <w:rPr>
      <w:rFonts w:ascii="Garamond" w:eastAsia="MS Mincho" w:hAnsi="Garamond" w:cs="CG Times"/>
      <w:sz w:val="24"/>
    </w:rPr>
  </w:style>
  <w:style w:type="paragraph" w:customStyle="1" w:styleId="NeniNr">
    <w:name w:val="Neni_Nr"/>
    <w:next w:val="Normal"/>
    <w:link w:val="NeniNrChar"/>
    <w:rsid w:val="003B39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B39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B3991"/>
    <w:rPr>
      <w:rFonts w:ascii="Garamond" w:eastAsia="MS Mincho" w:hAnsi="Garamond" w:cs="CG Times"/>
      <w:sz w:val="24"/>
      <w:lang w:val="en-GB"/>
    </w:rPr>
  </w:style>
  <w:style w:type="paragraph" w:customStyle="1" w:styleId="Hapesira7">
    <w:name w:val="Hapesira 7"/>
    <w:basedOn w:val="Paragrafi"/>
    <w:qFormat/>
    <w:rsid w:val="003B399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2019-01-28T14:34:00Z</cp:lastPrinted>
  <dcterms:created xsi:type="dcterms:W3CDTF">2016-01-22T10:02:00Z</dcterms:created>
  <dcterms:modified xsi:type="dcterms:W3CDTF">2019-01-28T14:34:00Z</dcterms:modified>
</cp:coreProperties>
</file>