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6DE" w:rsidRPr="005D2BBD" w:rsidRDefault="007336DE" w:rsidP="007336DE">
      <w:pPr>
        <w:pStyle w:val="Akti"/>
        <w:rPr>
          <w:lang w:val="sq-AL"/>
        </w:rPr>
      </w:pPr>
      <w:r w:rsidRPr="005D2BBD">
        <w:rPr>
          <w:lang w:val="sq-AL"/>
        </w:rPr>
        <w:t>VENDIM</w:t>
      </w:r>
    </w:p>
    <w:p w:rsidR="007336DE" w:rsidRPr="005D2BBD" w:rsidRDefault="007336DE" w:rsidP="007336DE">
      <w:pPr>
        <w:pStyle w:val="NumriData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5D2BBD">
        <w:rPr>
          <w:lang w:val="sq-AL"/>
        </w:rPr>
        <w:t>32, datë 20.1.2016</w:t>
      </w:r>
    </w:p>
    <w:bookmarkEnd w:id="0"/>
    <w:p w:rsidR="007336DE" w:rsidRPr="00B63FD7" w:rsidRDefault="007336DE" w:rsidP="007336DE">
      <w:pPr>
        <w:pStyle w:val="Hapesira7"/>
        <w:rPr>
          <w:sz w:val="10"/>
          <w:lang w:val="sq-AL"/>
        </w:rPr>
      </w:pPr>
    </w:p>
    <w:p w:rsidR="007336DE" w:rsidRPr="005D2BBD" w:rsidRDefault="007336DE" w:rsidP="007336DE">
      <w:pPr>
        <w:pStyle w:val="Titulli"/>
        <w:rPr>
          <w:lang w:val="sq-AL"/>
        </w:rPr>
      </w:pPr>
      <w:r w:rsidRPr="005D2BBD">
        <w:rPr>
          <w:lang w:val="sq-AL"/>
        </w:rPr>
        <w:t xml:space="preserve">PËR DISA SHTESA DHE NDRYSHIME NË VENDIMIN </w:t>
      </w:r>
      <w:r>
        <w:rPr>
          <w:lang w:val="sq-AL"/>
        </w:rPr>
        <w:t xml:space="preserve">NR. </w:t>
      </w:r>
      <w:r w:rsidRPr="005D2BBD">
        <w:rPr>
          <w:lang w:val="sq-AL"/>
        </w:rPr>
        <w:t>1555, DATË 12.11.2008, TË KËSHILLIT TË MINISTRAVE, “PËR PËRCAKTIMIN E RREGULLAVE TË REGJISTRIMIT DHE KRITEREVE TË VLERËSIMIT TË PRODUKTEVE PËR MBROJTJEN E BIMËVE”, TË NDRYSHUAR</w:t>
      </w:r>
    </w:p>
    <w:p w:rsidR="007336DE" w:rsidRPr="00B63FD7" w:rsidRDefault="007336DE" w:rsidP="007336DE">
      <w:pPr>
        <w:pStyle w:val="Hapesira7"/>
        <w:rPr>
          <w:sz w:val="10"/>
          <w:lang w:val="sq-AL"/>
        </w:rPr>
      </w:pP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Në mbështetje të nenit 100 të Kushtetutës dhe të pikës 2, të nenit 22, të ligjit </w:t>
      </w:r>
      <w:r>
        <w:rPr>
          <w:lang w:val="sq-AL"/>
        </w:rPr>
        <w:t xml:space="preserve">nr. </w:t>
      </w:r>
      <w:r w:rsidRPr="005D2BBD">
        <w:rPr>
          <w:lang w:val="sq-AL"/>
        </w:rPr>
        <w:t xml:space="preserve">9362, datë 24.3.2005, “Për shërbimin e mbrojtjes së bimëve”, të ndryshuar, me propozimin e ministrit të Bujqësisë, Zhvillimit Rural dhe Administrimit të Ujërave, ministrit të Shëndetësisë dhe ministrit të </w:t>
      </w:r>
      <w:r>
        <w:rPr>
          <w:lang w:val="sq-AL"/>
        </w:rPr>
        <w:t>Mjedisit, Këshilli i Ministrave</w:t>
      </w:r>
    </w:p>
    <w:p w:rsidR="007336DE" w:rsidRPr="005D2BBD" w:rsidRDefault="007336DE" w:rsidP="007336DE">
      <w:pPr>
        <w:pStyle w:val="Vendosi"/>
        <w:rPr>
          <w:lang w:val="sq-AL"/>
        </w:rPr>
      </w:pPr>
      <w:r w:rsidRPr="005D2BBD">
        <w:rPr>
          <w:lang w:val="sq-AL"/>
        </w:rPr>
        <w:tab/>
        <w:t>VENDOSI:</w:t>
      </w:r>
    </w:p>
    <w:p w:rsidR="007336DE" w:rsidRPr="00B63FD7" w:rsidRDefault="007336DE" w:rsidP="007336DE">
      <w:pPr>
        <w:pStyle w:val="Hapesira7"/>
        <w:rPr>
          <w:sz w:val="10"/>
          <w:lang w:val="sq-AL"/>
        </w:rPr>
      </w:pP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I. Në vendimin </w:t>
      </w:r>
      <w:r>
        <w:rPr>
          <w:lang w:val="sq-AL"/>
        </w:rPr>
        <w:t xml:space="preserve">nr. </w:t>
      </w:r>
      <w:r w:rsidRPr="005D2BBD">
        <w:rPr>
          <w:lang w:val="sq-AL"/>
        </w:rPr>
        <w:t>1555, datë 12.11.2008, të Këshillit të Ministrave, të ndryshuar, bëhen këto shtesa dhe ndryshime: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1. Në fund të pikës 5, të kreut I, shtohet pika 5.41, me këtë përmbajtje: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“5.41. “Prodhim i PMB-ve”, prodhimi dhe/ose ambalazhimi i tyre. Veprimtaria e prodhimit të PMB-ve përfshihet në kategorinë II.5.A.1. dhe licencohet sipas kushteve dhe procedurave të përcaktuara në ligjin </w:t>
      </w:r>
      <w:r>
        <w:rPr>
          <w:lang w:val="sq-AL"/>
        </w:rPr>
        <w:t xml:space="preserve">nr. </w:t>
      </w:r>
      <w:r w:rsidRPr="005D2BBD">
        <w:rPr>
          <w:lang w:val="sq-AL"/>
        </w:rPr>
        <w:t xml:space="preserve">10081, datë 23.2.2009, “Për licencat, lejet dhe autorizimet në Republikën e Shqipërisë”, të ndryshuar, dhe vendimin </w:t>
      </w:r>
      <w:r>
        <w:rPr>
          <w:lang w:val="sq-AL"/>
        </w:rPr>
        <w:t xml:space="preserve">nr. </w:t>
      </w:r>
      <w:r w:rsidRPr="005D2BBD">
        <w:rPr>
          <w:lang w:val="sq-AL"/>
        </w:rPr>
        <w:t>538, datë 26.5.2009, të Këshillit të Ministrave, “Për licencat dhe lejet që trajtohen nga apo nëpërmjet Qendrës Kombëtare të Licencimit (QKL) dhe disa rregullime të tjera nënligjore të përbashkëta”, të ndryshuar.”.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2. Në kreun II bëhen këto ndryshime: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a) Shkronja “a”, e pikës 2, ndryshohet, si më poshtë vijon: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“a) Drejtuesi i strukturës përgjegjëse të mbrojtjes së bimëve në ministrinë që mbulon fushën e bujqësisë, i cili kryeson këtë komision.”.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b) Pika 2.3 ndryshohet, si më poshtë vijon: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“2.3 Komisioni shërben si organ vendimmarrës, funksionimi i të cilit rregullohet me urdhër të ministrit, që mbulon fushën e bujqësisë. Kryetar i komisionit caktohet drejtuesi i SPMB-së.”.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c) Pika 7.1 ndryshohet, si më poshtë vijon: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“7.1 Është e regjistruar: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a) në një shtet anëtar të BE-së, kur aplikimi i regjistrimit të PMB-së bëhet vetëm për: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i) përdorim në sera;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ii) trajtim pas vjeljes së bimëve e të produkteve me origjinë bimore;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iii) trajtim të mjediseve bosh të mbyllura, si dhomave, magazinave etj.;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iv) trajtim të farave;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v) rastet kur ka funksion rodenticid ose moluskicid;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vi) rastet kur është me përmbajtje vajrash të bardha;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vii) rastet kur është me natyrë inorganike.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b) në një nga shtetet mesdhetare dhe ballkanike, anëtare të BE-së, si: Greqia, Qipro, Italia, Kroacia, Sllovenia, Franca, Spanja, Portugalia, Malta, Rumania dhe Bullgaria, kur aplikimi i regjistrimit të PMB-së bëhet për përdorime të tjera, përfshirë dhe ato sipas shkronjës “a”, më sipër.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3. Në kreun IV bëhen këto ndryshime dhe shtesa: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a) Nënndarja “ii”, e shkronjës “b”, të pikës 1, ndryshohet, si më poshtë vijon: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“ii. Të dhënat që provojnë se PMB-ja është e regjistruar në një shtet anëtar të BE-së (Certifikatën e regjistrimit ose vërtetimin e lëshuar nga institucionet zyrtare kompetente dhe numrin e regjistrimit sipas adresës elektronike të shtetit që ka regjistruar PMB-në) si dhe etiketën përkatëse. Etiketa të jetë e përkthyer dhe në gjuhën shqipe.”.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lastRenderedPageBreak/>
        <w:t>b) Në fund të pikës 16 shtohen fjalët “…, ose vërtetohet se të dhënat e regjistrimit të PMB-së në një shtet anëtar të BE-së janë false ose të gabuara.”.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4. Në kreun V bëhen këto ndryshime dhe shtesa: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a)</w:t>
      </w:r>
      <w:r>
        <w:rPr>
          <w:lang w:val="sq-AL"/>
        </w:rPr>
        <w:t xml:space="preserve"> </w:t>
      </w:r>
      <w:r w:rsidRPr="005D2BBD">
        <w:rPr>
          <w:lang w:val="sq-AL"/>
        </w:rPr>
        <w:t xml:space="preserve">Pika 1 ndryshohet, si më poshtë vijon: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“1.</w:t>
      </w:r>
      <w:r w:rsidRPr="005D2BBD">
        <w:rPr>
          <w:lang w:val="sq-AL"/>
        </w:rPr>
        <w:tab/>
        <w:t>Dokumenti i regjistrimit të PMB-së përmban certifikatën e regjistrimit dhe etiketën e saj. Dokumenti i regjistrimit të PMB-së lëshohet nga kryetari i komisionit, jo më vonë se 30 (tridhjetë)</w:t>
      </w:r>
      <w:r>
        <w:rPr>
          <w:lang w:val="sq-AL"/>
        </w:rPr>
        <w:t xml:space="preserve"> </w:t>
      </w:r>
      <w:r w:rsidRPr="005D2BBD">
        <w:rPr>
          <w:lang w:val="sq-AL"/>
        </w:rPr>
        <w:t>ditë nga data e</w:t>
      </w:r>
      <w:r>
        <w:rPr>
          <w:lang w:val="sq-AL"/>
        </w:rPr>
        <w:t xml:space="preserve"> </w:t>
      </w:r>
      <w:r w:rsidRPr="005D2BBD">
        <w:rPr>
          <w:lang w:val="sq-AL"/>
        </w:rPr>
        <w:t xml:space="preserve">mbledhjes së KSHRPMB-së.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Dokumenti i regjistrimit të PMB-së mbahet në tri kopje origjinale, nga të cilat njëra mbahet në arkivin e ministrisë që mbulon fushën e bujqësisë, njëra në arkivin e SPMB-së, ndërsa kopja tjetër i jepet aplikantit.”.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b) Në fund të fjalisë së parë të pikës 3 shtohen fjalët “.., ose figura të bimëve, pjesëve të bimëve, produkteve bimore, insekteve si dhe objekteve të tjera, të cilat tërheqin vëmendjen e njerëzve dhe sidomos të fëmijëve.”.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c) Pika 12 ndryshohet, si më poshtë vijon:</w:t>
      </w:r>
    </w:p>
    <w:p w:rsidR="007336DE" w:rsidRPr="005D2BBD" w:rsidRDefault="007336DE" w:rsidP="007336DE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5D2BBD">
        <w:rPr>
          <w:lang w:val="sq-AL"/>
        </w:rPr>
        <w:t>“12. Çdo person fizik apo juridik i regjistruar në QKR dhe që kërkon të licencohet për prodhimin e PMB-ve duhet të plotësojë dokumentacionin si vijon: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 a) Vetëdeklarimin për llojet (tip</w:t>
      </w:r>
      <w:r>
        <w:rPr>
          <w:lang w:val="sq-AL"/>
        </w:rPr>
        <w:t>a</w:t>
      </w:r>
      <w:r w:rsidRPr="005D2BBD">
        <w:rPr>
          <w:lang w:val="sq-AL"/>
        </w:rPr>
        <w:t>t) e formulimit të PMB-ve që do të prodhohen;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b)Planimetrinë në shkallën 1:100 me një përshkrim të detajuar të ambienteve si dhe të treguesve të destinacionit të përdorimit të tyre;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c) Raportin teknik-përshkrues për: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i) vendndodhjen e aktivitetit;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ii) llojin e pajisjeve dhe të teknologjive të prodhimit;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iii) aparaturat (laboratorin) e kontrollit dhe të analizave (nëse</w:t>
      </w:r>
      <w:r>
        <w:rPr>
          <w:lang w:val="sq-AL"/>
        </w:rPr>
        <w:t xml:space="preserve"> </w:t>
      </w:r>
      <w:r w:rsidRPr="005D2BBD">
        <w:rPr>
          <w:lang w:val="sq-AL"/>
        </w:rPr>
        <w:t xml:space="preserve"> aktiviteti është vetëm prodhim dhe jo ambalazhim i</w:t>
      </w:r>
      <w:r>
        <w:rPr>
          <w:lang w:val="sq-AL"/>
        </w:rPr>
        <w:t xml:space="preserve"> </w:t>
      </w:r>
      <w:r w:rsidRPr="005D2BBD">
        <w:rPr>
          <w:lang w:val="sq-AL"/>
        </w:rPr>
        <w:t>PMB-ve);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iv) sistemet e sigurisë.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ç) Certifikatën e drejtuesit teknik dhe aktin që vërteton</w:t>
      </w:r>
      <w:r>
        <w:rPr>
          <w:lang w:val="sq-AL"/>
        </w:rPr>
        <w:t xml:space="preserve"> </w:t>
      </w:r>
      <w:r w:rsidRPr="005D2BBD">
        <w:rPr>
          <w:lang w:val="sq-AL"/>
        </w:rPr>
        <w:t xml:space="preserve"> marrëdhëniet e kërkuara të punës.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12.1.</w:t>
      </w:r>
      <w:r w:rsidRPr="005D2BBD">
        <w:rPr>
          <w:lang w:val="sq-AL"/>
        </w:rPr>
        <w:tab/>
        <w:t xml:space="preserve"> Autoriteti Kombëtar i Ushqimit verifikon plotësimin e dokumentacionit të përcaktuar në pikën 12, të certifikuar nga organet përkatëse kompetente për pajtueshmërinë e tyre me kërkesat sipas legjislacionit në fuqi.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12.2. Drejtuesi teknik: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a) ushtron aktivitetin e tij bazuar në kontratën e punës me orar të plotë;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b)</w:t>
      </w:r>
      <w:r w:rsidRPr="005D2BBD">
        <w:rPr>
          <w:lang w:val="sq-AL"/>
        </w:rPr>
        <w:tab/>
        <w:t>duhet të zotërojë diplomë në një prej fushave: kimi, inxhinieri e teknologjisë, agronomi, nëse aktiviteti i tij është vetëm ambalazhim, dhe shkencat biologjike, nëse aktiviteti i tij përfshin PMB-të me natyrë biologjike;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c) ka për detyrë të ndjekë dhe të kontrollojë të gjitha fazat e procesit të prodhimit të PMB-ve.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12.3 Lejohet vetëm prodhimi i PMB-ve që janë të regjistruara në Republikën e Shqipërisë.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12.4 Autoriteti Kombëtar i Ushqimit pezullon përkohësisht apo i propozon ministrit revokimin e licencës me kërkesë të</w:t>
      </w:r>
      <w:r>
        <w:rPr>
          <w:lang w:val="sq-AL"/>
        </w:rPr>
        <w:t xml:space="preserve"> </w:t>
      </w:r>
      <w:r w:rsidRPr="005D2BBD">
        <w:rPr>
          <w:lang w:val="sq-AL"/>
        </w:rPr>
        <w:t>subjektit apo në rast se gjatë kontrollit rezulton se nuk plotësohen kërkesat sipas legjislacionit në fuqi.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 12.4.1 Kundër vendimit për pezullimin e përkohshëm të licencës mund të bëhet ankimim te titullari i AKU-së, brenda 15 (pesëmbëdhjetë) ditëve nga data e marrjes së vendit. Titullari i AKU-së duhet të kthejë përgjigje brenda 15 (pesëmbëdhjetë)</w:t>
      </w:r>
      <w:r>
        <w:rPr>
          <w:lang w:val="sq-AL"/>
        </w:rPr>
        <w:t xml:space="preserve"> </w:t>
      </w:r>
      <w:r w:rsidRPr="005D2BBD">
        <w:rPr>
          <w:lang w:val="sq-AL"/>
        </w:rPr>
        <w:t>ditëve nga data e marrjes së ankimimit. Kundër vendimit të titullarit të AKU-së ose kur ai nuk ka kthyer përgjigje brenda afatit të përcaktuar mund të bëhet ankimim në gjykatën administrative sipas legjislacionit në fuqi.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12.4.2. Kundër vendimit për revokimin e licencës mund të bëhet ankimim te ministri, brenda 15 (pesëmbëdhjetë)</w:t>
      </w:r>
      <w:r>
        <w:rPr>
          <w:lang w:val="sq-AL"/>
        </w:rPr>
        <w:t xml:space="preserve"> </w:t>
      </w:r>
      <w:r w:rsidRPr="005D2BBD">
        <w:rPr>
          <w:lang w:val="sq-AL"/>
        </w:rPr>
        <w:t>ditëve nga data e marrjes së vendit. Ministri duhet të kthejë përgjigje brenda 15 (pesëmbëdhjetë)</w:t>
      </w:r>
      <w:r>
        <w:rPr>
          <w:lang w:val="sq-AL"/>
        </w:rPr>
        <w:t xml:space="preserve"> </w:t>
      </w:r>
      <w:r w:rsidRPr="005D2BBD">
        <w:rPr>
          <w:lang w:val="sq-AL"/>
        </w:rPr>
        <w:t xml:space="preserve">ditëve nga data e marrjes së ankimimit. Kundër vendimit të ministrit ose kur ai nuk ka kthyer përgjigje brenda afatit të përcaktuar mund të bëhet ankimim në gjykatën administrative </w:t>
      </w:r>
      <w:r w:rsidRPr="005D2BBD">
        <w:rPr>
          <w:lang w:val="sq-AL"/>
        </w:rPr>
        <w:lastRenderedPageBreak/>
        <w:t>sipas legjislacionit në fuqi.”.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 5. Pika 9, e kreut VI, ndryshohet, si më poshtë vijon: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“9. Kur mbaron afati i regjistrimit tё njё PMB-je, mund tё kryhet rinovimi i regjistrimit (riregjistrimi) tё saj, nёse: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a) kjo kërkohet me shkrim nga aplikanti para përfundimit të afatit të regjistrimit;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b) aplikanti paraqet: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 xml:space="preserve">i) dokumentacionin me të dhënat e sigurisë së PMB-së (MSDS); 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ii) të dhëna të tjera lidhur me etiketën e saj, nëse ka ndryshime nga regjistrimi i mëparshëm.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c) tё dhёnat e paraqitura nga aplikanti që provojnё vlefshmёrinё e regjistrimit nё njё vend tё BE-së, sipas përcaktimit në pikën 4, të këtij vendimi.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Rinovimi i regjistrimit kryhet me procedurë tё thjeshtё, me miratim nga KSHRPMB-ja.”.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II. Ngarkohen Ministria e Bujqësisë, Zhvillimit Rural dhe Administrimit të Ujërave, Ministria e</w:t>
      </w:r>
      <w:r>
        <w:rPr>
          <w:lang w:val="sq-AL"/>
        </w:rPr>
        <w:t xml:space="preserve"> </w:t>
      </w:r>
      <w:r w:rsidRPr="005D2BBD">
        <w:rPr>
          <w:lang w:val="sq-AL"/>
        </w:rPr>
        <w:t xml:space="preserve"> Shëndetësisë dhe Ministria e Mjedisit për zbatimin e këtij vendimi.</w:t>
      </w:r>
    </w:p>
    <w:p w:rsidR="007336DE" w:rsidRPr="005D2BBD" w:rsidRDefault="007336DE" w:rsidP="007336DE">
      <w:pPr>
        <w:pStyle w:val="Paragrafi"/>
        <w:rPr>
          <w:lang w:val="sq-AL"/>
        </w:rPr>
      </w:pPr>
      <w:r w:rsidRPr="005D2BBD">
        <w:rPr>
          <w:lang w:val="sq-AL"/>
        </w:rPr>
        <w:t>Ky vendim hyn në fuqi pas botimit në Fletoren Zyrtare.</w:t>
      </w:r>
    </w:p>
    <w:p w:rsidR="007336DE" w:rsidRPr="005D2BBD" w:rsidRDefault="007336DE" w:rsidP="007336DE">
      <w:pPr>
        <w:pStyle w:val="Hapesira7"/>
        <w:rPr>
          <w:lang w:val="sq-AL"/>
        </w:rPr>
      </w:pPr>
    </w:p>
    <w:p w:rsidR="007336DE" w:rsidRPr="005D2BBD" w:rsidRDefault="007336DE" w:rsidP="007336DE">
      <w:pPr>
        <w:pStyle w:val="Autoriteti"/>
        <w:rPr>
          <w:lang w:val="sq-AL"/>
        </w:rPr>
      </w:pPr>
      <w:r w:rsidRPr="005D2BBD">
        <w:rPr>
          <w:lang w:val="sq-AL"/>
        </w:rPr>
        <w:t>KRYEMINISTRI</w:t>
      </w:r>
    </w:p>
    <w:p w:rsidR="007336DE" w:rsidRPr="005D2BBD" w:rsidRDefault="007336DE" w:rsidP="007336DE">
      <w:pPr>
        <w:pStyle w:val="AutoritetiEmer"/>
        <w:rPr>
          <w:lang w:val="sq-AL"/>
        </w:rPr>
      </w:pPr>
      <w:r w:rsidRPr="005D2BBD">
        <w:rPr>
          <w:lang w:val="sq-AL"/>
        </w:rPr>
        <w:t>Edi Rama</w:t>
      </w:r>
    </w:p>
    <w:p w:rsidR="00C038B6" w:rsidRDefault="007336DE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6DE"/>
    <w:rsid w:val="002D1BDF"/>
    <w:rsid w:val="00462D66"/>
    <w:rsid w:val="0073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336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336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336D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336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336D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336D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336D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336D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336D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336D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336D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336D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336D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336D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336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336D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336D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336D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336D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336D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336D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336D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336D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336D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336D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336D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336D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336D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2016-02-01T08:35:00Z</dcterms:created>
  <dcterms:modified xsi:type="dcterms:W3CDTF">2016-02-01T08:35:00Z</dcterms:modified>
</cp:coreProperties>
</file>