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FCC" w:rsidRDefault="00976FCC" w:rsidP="00976FCC">
      <w:pPr>
        <w:pStyle w:val="Akti"/>
        <w:keepNext w:val="0"/>
        <w:rPr>
          <w:lang w:val="sq-AL"/>
        </w:rPr>
      </w:pPr>
      <w:bookmarkStart w:id="0" w:name="_GoBack"/>
      <w:r>
        <w:rPr>
          <w:lang w:val="sq-AL"/>
        </w:rPr>
        <w:t>VENDIM</w:t>
      </w:r>
    </w:p>
    <w:p w:rsidR="00976FCC" w:rsidRDefault="00976FCC" w:rsidP="00976FCC">
      <w:pPr>
        <w:pStyle w:val="NumriData"/>
        <w:keepNext w:val="0"/>
        <w:rPr>
          <w:lang w:val="sq-AL"/>
        </w:rPr>
      </w:pPr>
      <w:r>
        <w:rPr>
          <w:lang w:val="sq-AL"/>
        </w:rPr>
        <w:t>Nr. 60, datë 27.1.2016</w:t>
      </w:r>
    </w:p>
    <w:p w:rsidR="00976FCC" w:rsidRDefault="00976FCC" w:rsidP="00976FCC">
      <w:pPr>
        <w:pStyle w:val="Hapesira7"/>
        <w:rPr>
          <w:lang w:val="sq-AL"/>
        </w:rPr>
      </w:pPr>
    </w:p>
    <w:p w:rsidR="00976FCC" w:rsidRDefault="00976FCC" w:rsidP="00976FCC">
      <w:pPr>
        <w:pStyle w:val="Titulli"/>
        <w:keepNext w:val="0"/>
        <w:rPr>
          <w:lang w:val="sq-AL"/>
        </w:rPr>
      </w:pPr>
      <w:r>
        <w:rPr>
          <w:lang w:val="sq-AL"/>
        </w:rPr>
        <w:t>PËR DISA NDRYSHIME NË VENDIMIN NR. 149, DATË 29.2.2012, TË KËSHILLIT TË MINISTRAVE, “PËR MIRATIMIN E STRUKTURËS DHE TË NIVELEVE TË PAGAVE PËR PUNONJËSIT E DREJTORISË SË SHËRBIMEVE QEVERITARE”, TË NDRYSHUAR</w:t>
      </w:r>
    </w:p>
    <w:p w:rsidR="00976FCC" w:rsidRDefault="00976FCC" w:rsidP="00976FCC">
      <w:pPr>
        <w:pStyle w:val="Hapesira7"/>
        <w:rPr>
          <w:lang w:val="sq-AL"/>
        </w:rPr>
      </w:pPr>
      <w:r>
        <w:rPr>
          <w:lang w:val="sq-AL"/>
        </w:rPr>
        <w:t xml:space="preserve"> 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Në mbështetje të nenit 100 të Kushtetutës dhe të nenit 6, të ligjit nr. 10405, datë 24.3.2011, “Për kompetencat për caktimin e pagave dhe të shpërblimeve”, me propozimin e ministrit të Financave, Këshilli i Ministrave</w:t>
      </w:r>
    </w:p>
    <w:p w:rsidR="00976FCC" w:rsidRDefault="00976FCC" w:rsidP="00976FCC">
      <w:pPr>
        <w:pStyle w:val="Hapesira7"/>
        <w:rPr>
          <w:lang w:val="sq-AL"/>
        </w:rPr>
      </w:pPr>
    </w:p>
    <w:p w:rsidR="00976FCC" w:rsidRDefault="00976FCC" w:rsidP="00976FCC">
      <w:pPr>
        <w:pStyle w:val="Titull-Titull"/>
        <w:rPr>
          <w:lang w:val="sq-AL"/>
        </w:rPr>
      </w:pPr>
      <w:r>
        <w:rPr>
          <w:lang w:val="sq-AL"/>
        </w:rPr>
        <w:t>VENDOSI:</w:t>
      </w:r>
    </w:p>
    <w:p w:rsidR="00976FCC" w:rsidRDefault="00976FCC" w:rsidP="00976FCC">
      <w:pPr>
        <w:pStyle w:val="Hapesira7"/>
        <w:rPr>
          <w:lang w:val="sq-AL"/>
        </w:rPr>
      </w:pP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1. Në vendimin nr. 149, datë 29.2.2012, të Këshillit të Ministrave, të ndryshuar, bëhen këto ndryshime: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a) Lidhja nr. 1, e përmendur në pikën 1, zëvendësohet me lidhjen me të njëjtin numërtim dhe titull, që i bashkëlidhet këtij vendimi dhe është pjesë përbërëse e tij.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b) Shkronjat “a” e “b”, të pikës 1, riformulohen, si më poshtë vijon: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“a) Kategoria ose klasa për çdo funksion, kolona 2, e lidhjes nr. 1. Vlera mujore e pagës për çdo kategori dhe klasë është e njëjtë me vlerën e pagës për kategorinë dhe klasën, të përcaktuara me vendimin përkatës për nëpunësit civilë dhe për punonjësit mbështetës të administratës publike.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b) Paga e grupit, kolona 3, e lidhjes nr. 1, e cila përfitohet vetëm për nëpunësit me arsim të lartë universitar në funksionet e përcaktuara në këtë lidhje. Vlera mujore e pagës së grupit është e njëjtë me vlerën e pagës së grupit, e përcaktuar me vendimin përkatës për nëpunësit civilë.”.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c) Lidhja nr. 2 dhe lidhja nr. 3, përmendur në shkronjat “a” dhe “b”, të pikës 1, të vendimit, shfuqizohen.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2. Efektet financiare të këtij vendimi fillojnë në datën 1 janar 2016 dhe përballohen nga fondet e planifikuara për vitin 2016, për Drejtorinë e Shërbimeve Qeveritare.</w:t>
      </w:r>
    </w:p>
    <w:p w:rsidR="00976FCC" w:rsidRDefault="00976FCC" w:rsidP="00976FCC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976FCC" w:rsidRDefault="00976FCC" w:rsidP="00976FCC">
      <w:pPr>
        <w:pStyle w:val="Paragrafi"/>
        <w:rPr>
          <w:lang w:val="sq-AL"/>
        </w:rPr>
      </w:pPr>
    </w:p>
    <w:p w:rsidR="00976FCC" w:rsidRDefault="00976FCC" w:rsidP="00976FCC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976FCC" w:rsidRDefault="00976FCC" w:rsidP="00976FCC">
      <w:pPr>
        <w:pStyle w:val="AutoritetiEmer"/>
        <w:rPr>
          <w:lang w:val="sq-AL"/>
        </w:rPr>
      </w:pPr>
      <w:r>
        <w:rPr>
          <w:lang w:val="sq-AL"/>
        </w:rPr>
        <w:t>Edi Rama</w:t>
      </w:r>
    </w:p>
    <w:bookmarkEnd w:id="0"/>
    <w:p w:rsidR="00976FCC" w:rsidRDefault="00976FCC" w:rsidP="00976FCC">
      <w:pPr>
        <w:spacing w:after="0"/>
        <w:ind w:firstLine="0"/>
        <w:jc w:val="left"/>
        <w:rPr>
          <w:lang w:val="sq-AL"/>
        </w:rPr>
        <w:sectPr w:rsidR="00976FCC" w:rsidSect="00976FCC">
          <w:pgSz w:w="11907" w:h="16840"/>
          <w:pgMar w:top="720" w:right="1134" w:bottom="720" w:left="1134" w:header="851" w:footer="851" w:gutter="0"/>
          <w:cols w:space="454"/>
        </w:sectPr>
      </w:pPr>
    </w:p>
    <w:p w:rsidR="00976FCC" w:rsidRDefault="00976FCC" w:rsidP="00976FCC">
      <w:pPr>
        <w:rPr>
          <w:lang w:val="sq-AL"/>
        </w:rPr>
      </w:pPr>
    </w:p>
    <w:p w:rsidR="00976FCC" w:rsidRDefault="00976FCC" w:rsidP="00976FCC">
      <w:pPr>
        <w:spacing w:after="0"/>
        <w:ind w:firstLine="0"/>
        <w:jc w:val="left"/>
        <w:rPr>
          <w:lang w:val="sq-AL"/>
        </w:rPr>
        <w:sectPr w:rsidR="00976FCC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tbl>
      <w:tblPr>
        <w:tblW w:w="14762" w:type="dxa"/>
        <w:jc w:val="center"/>
        <w:tblLook w:val="04A0" w:firstRow="1" w:lastRow="0" w:firstColumn="1" w:lastColumn="0" w:noHBand="0" w:noVBand="1"/>
      </w:tblPr>
      <w:tblGrid>
        <w:gridCol w:w="10960"/>
        <w:gridCol w:w="955"/>
        <w:gridCol w:w="1140"/>
        <w:gridCol w:w="820"/>
        <w:gridCol w:w="887"/>
      </w:tblGrid>
      <w:tr w:rsidR="00976FCC" w:rsidTr="00976FCC">
        <w:trPr>
          <w:trHeight w:val="180"/>
          <w:jc w:val="center"/>
        </w:trPr>
        <w:tc>
          <w:tcPr>
            <w:tcW w:w="14762" w:type="dxa"/>
            <w:gridSpan w:val="5"/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sz w:val="18"/>
                <w:szCs w:val="18"/>
                <w:lang w:val="sq-AL"/>
              </w:rPr>
              <w:lastRenderedPageBreak/>
              <w:t>LIDHJA NR. 1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4762" w:type="dxa"/>
            <w:gridSpan w:val="5"/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Cs/>
                <w:sz w:val="18"/>
                <w:szCs w:val="18"/>
                <w:lang w:val="sq-AL"/>
              </w:rPr>
              <w:t xml:space="preserve">STRUKTURA E PAGËS SË PUNONJËSVE TË DREJTORISË SË SHËRBIMIT QEVERITAR 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87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 xml:space="preserve">Funksioni 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Kategoria Klasa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Paga e grupit (lekë)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Shtesa për vjetërsi (%)</w:t>
            </w:r>
          </w:p>
        </w:tc>
        <w:tc>
          <w:tcPr>
            <w:tcW w:w="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Shtesa për kushte pune (lekë) bëhet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4</w:t>
            </w:r>
          </w:p>
        </w:tc>
        <w:tc>
          <w:tcPr>
            <w:tcW w:w="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8"/>
                <w:szCs w:val="18"/>
                <w:lang w:val="sq-AL"/>
              </w:rPr>
              <w:t>6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I-b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Zëvendësdrejtor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II-b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Drejtor Njësie, Drejtor në Pallatin e Kongreseve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III-a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Jurist, përgjegjës i Pallatit të Kongreseve, i Pallatit të Brigadave dhe përgjegjës i qendrave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III-a/1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 Auditi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III-b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 ose 2 ose3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 xml:space="preserve">Sekretar (i titullarit dhe i Bordit Drejtues) 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IV-b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 ose 2 ose3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7000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Specialist kontabilist; specialist merceolog; specialist i burimeve njerëzore; specialist inxhinier; specialist i prokurimeve në njësitë qendrore; specialist administrues në: Sarandë, Pogradec, Vila 4, Vila 30, Vila 31 dhe Vila Dajt; specialist i financës Durrës; specialist gjelbërimi i Pallatit të Brigadave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IV-a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 ose 2 ose3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Specialist njësie; specialist protokoll-arkivi; specialist administrues në Vilën Velipojë; specialist gjelbërimi qendra Durrës; specialist i Pallati të Kongreseve; sekretar për ish-presidentët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IV-b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 ose 2 ose3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2%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Kryekuzhinier i aktiviteteve kryesore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43500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Përgjegjës i vilave nr. 4 Tiranë, nr. 30 Tiranë, nr. 31 Tiranë dhe administrues i Qendrës Vlorë-Dhërmi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12700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Përgjegjës i Brigadës Teknike; përgjegjës vile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 i magazinës qendrore; kryepunëtor gjelbërimi; kamerier/banakier në Presidencë, në Kryeministri dhe në Kryesinë e Kuvendit; Punëtorë në rezidencën, familjen ose shtëpinë e Presidentit/e Kryetarit të Kuvendit /e Kryeministrit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Kryepastiçier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IX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17800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Magazinier (magazinë dytësore); teknik në sektorin e shërbimeve teknike; teknik në vilën nr. 31; teknik mirëmbajtje në Qendrën Vlorë-Dhërmi; teknik në Pallatin e Brigadave; teknik mirëmbajtjeje Dajt; banakier në Pallatin e Kongreseve; banakier/kamerier në Sallën e Kuvendit; kamarier/kuzhinier Qendra Vlorë-Dhërmi; punëtor/kamerier, Vila 30; punonjës në Qendrën Rezidenciale Durrës (Vila 6, Vila 20, Vila 13 dhe Vila 23); kamerier dhe ndihmëskuzhinier, Vila nr. 31 Tiranë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 xml:space="preserve"> VIII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Kuzhinier/kamerier në rezidencën, familjen ose shtëpinë e Presidentit, Kryetarit të Kuvendit, Kryeministrit; kryekamerier Vila 30 dhe Vila 31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VIII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17800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Kuzhinier, Vila 31; pastiçier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VIII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12700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Banakier dhe përgjegjës material, Vila 31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VIII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7300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Banakier/Kamerier në Gjykata Kushtetuese; kamerier në Pallatin e Kongreseve; punëtor/kamerier në Vilën Dajt dhe Pogradec; shofer; teknik i Qendrës së Transportit; teknik i Pallatit të Kongreseve; teknik në Pogradec; teknik në Qendrën Durrës dhe Sarandë; ndihmësmagazinier; punëtore dhe përgjegjës material, Vila 29 Durrës; rrobaqepës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VII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Punëtorë pastrimi lavanterie, gjelbërimi, rojë, bahçevan, punëtor mirëmbajtjeje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val="sq-AL"/>
              </w:rPr>
              <w:t>1%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76FCC" w:rsidRDefault="00976FCC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8"/>
                <w:szCs w:val="18"/>
                <w:lang w:val="sq-AL"/>
              </w:rPr>
              <w:t> </w:t>
            </w:r>
          </w:p>
        </w:tc>
      </w:tr>
      <w:tr w:rsidR="00976FCC" w:rsidTr="00976FCC">
        <w:trPr>
          <w:trHeight w:val="180"/>
          <w:jc w:val="center"/>
        </w:trPr>
        <w:tc>
          <w:tcPr>
            <w:tcW w:w="1096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20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887" w:type="dxa"/>
            <w:noWrap/>
            <w:vAlign w:val="bottom"/>
            <w:hideMark/>
          </w:tcPr>
          <w:p w:rsidR="00976FCC" w:rsidRDefault="00976FCC">
            <w:pPr>
              <w:spacing w:after="0"/>
              <w:ind w:firstLine="0"/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:rsidR="00C038B6" w:rsidRPr="00976FCC" w:rsidRDefault="00976FCC" w:rsidP="00976FCC"/>
    <w:sectPr w:rsidR="00C038B6" w:rsidRPr="00976FCC" w:rsidSect="00976F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FCC" w:rsidRDefault="00976FCC" w:rsidP="00976FCC">
      <w:pPr>
        <w:spacing w:after="0" w:line="240" w:lineRule="auto"/>
      </w:pPr>
      <w:r>
        <w:separator/>
      </w:r>
    </w:p>
  </w:endnote>
  <w:endnote w:type="continuationSeparator" w:id="0">
    <w:p w:rsidR="00976FCC" w:rsidRDefault="00976FCC" w:rsidP="00976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FCC" w:rsidRDefault="00976FCC" w:rsidP="00976FCC">
      <w:pPr>
        <w:spacing w:after="0" w:line="240" w:lineRule="auto"/>
      </w:pPr>
      <w:r>
        <w:separator/>
      </w:r>
    </w:p>
  </w:footnote>
  <w:footnote w:type="continuationSeparator" w:id="0">
    <w:p w:rsidR="00976FCC" w:rsidRDefault="00976FCC" w:rsidP="00976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A6"/>
    <w:rsid w:val="00235DA6"/>
    <w:rsid w:val="002D1BDF"/>
    <w:rsid w:val="00462D66"/>
    <w:rsid w:val="0097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DA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5DA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35DA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35DA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35DA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35DA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35DA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35DA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35DA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35DA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35DA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35DA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35DA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35DA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35DA6"/>
    <w:rPr>
      <w:sz w:val="1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FC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FC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76FC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DA6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5DA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235DA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35DA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235DA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235DA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235DA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235DA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235DA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235DA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235DA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235DA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235DA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235DA6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235DA6"/>
    <w:rPr>
      <w:sz w:val="1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76FC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76FCC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76F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CD72-90F1-45B3-88F1-4284B665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2016-02-03T14:04:00Z</dcterms:created>
  <dcterms:modified xsi:type="dcterms:W3CDTF">2018-01-15T12:55:00Z</dcterms:modified>
</cp:coreProperties>
</file>