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86C" w:rsidRPr="00413234" w:rsidRDefault="0049186C" w:rsidP="0049186C">
      <w:pPr>
        <w:pStyle w:val="NeniTitull"/>
        <w:rPr>
          <w:spacing w:val="-4"/>
          <w:lang w:val="sq-AL"/>
        </w:rPr>
      </w:pPr>
      <w:r w:rsidRPr="00413234">
        <w:rPr>
          <w:spacing w:val="-4"/>
          <w:lang w:val="sq-AL"/>
        </w:rPr>
        <w:t>VENDIM</w:t>
      </w:r>
    </w:p>
    <w:p w:rsidR="0049186C" w:rsidRPr="00413234" w:rsidRDefault="0049186C" w:rsidP="0049186C">
      <w:pPr>
        <w:pStyle w:val="NeniTitull"/>
        <w:rPr>
          <w:spacing w:val="-4"/>
          <w:lang w:val="sq-AL"/>
        </w:rPr>
      </w:pPr>
      <w:r w:rsidRPr="00413234">
        <w:rPr>
          <w:spacing w:val="-4"/>
          <w:lang w:val="sq-AL"/>
        </w:rPr>
        <w:t>Nr. 212, datë 16.3.2016</w:t>
      </w:r>
    </w:p>
    <w:p w:rsidR="0049186C" w:rsidRPr="00413234" w:rsidRDefault="0049186C" w:rsidP="0049186C">
      <w:pPr>
        <w:pStyle w:val="Hapesira7"/>
        <w:rPr>
          <w:lang w:val="sq-AL"/>
        </w:rPr>
      </w:pPr>
    </w:p>
    <w:p w:rsidR="0049186C" w:rsidRPr="00413234" w:rsidRDefault="0049186C" w:rsidP="0049186C">
      <w:pPr>
        <w:pStyle w:val="NeniTitull"/>
        <w:rPr>
          <w:spacing w:val="-4"/>
          <w:lang w:val="sq-AL"/>
        </w:rPr>
      </w:pPr>
      <w:r w:rsidRPr="00413234">
        <w:rPr>
          <w:spacing w:val="-4"/>
          <w:lang w:val="sq-AL"/>
        </w:rPr>
        <w:t xml:space="preserve">PËR PËRCAKTIMIN E KUSHTEVE DHE TË RREGULLAVE TEKNIKE PËR PËRPUNIMIN E BOMBOLAVE TË MBUSHURA ME GAZ TË LËNGSHËM TË NAFTËS (GLN) </w:t>
      </w:r>
    </w:p>
    <w:p w:rsidR="0049186C" w:rsidRPr="00413234" w:rsidRDefault="0049186C" w:rsidP="0049186C">
      <w:pPr>
        <w:pStyle w:val="Hapesira7"/>
        <w:rPr>
          <w:lang w:val="sq-AL"/>
        </w:rPr>
      </w:pPr>
    </w:p>
    <w:p w:rsidR="0049186C" w:rsidRPr="00413234" w:rsidRDefault="0049186C" w:rsidP="0049186C">
      <w:pPr>
        <w:pStyle w:val="Paragrafi"/>
        <w:rPr>
          <w:spacing w:val="-4"/>
          <w:lang w:val="sq-AL"/>
        </w:rPr>
      </w:pPr>
      <w:r w:rsidRPr="00413234">
        <w:rPr>
          <w:spacing w:val="-4"/>
          <w:lang w:val="sq-AL"/>
        </w:rPr>
        <w:t>Në mbështetje të nenit 100 të Kushtetutës dhe të nenit 16, të ligjit nr. 8450, datë 24.2.1999, “Për përpunimin, transportimin dhe tregtimin e naftës, gazit dhe nënprodukteve të tyre”, të ndryshuar, me propozimin e ministrit të Energjisë dhe Industrisë, Këshilli i Ministrave</w:t>
      </w:r>
    </w:p>
    <w:p w:rsidR="0049186C" w:rsidRPr="00413234" w:rsidRDefault="0049186C" w:rsidP="0049186C">
      <w:pPr>
        <w:pStyle w:val="Hapesira7"/>
        <w:rPr>
          <w:lang w:val="sq-AL"/>
        </w:rPr>
      </w:pPr>
    </w:p>
    <w:p w:rsidR="0049186C" w:rsidRPr="00413234" w:rsidRDefault="0049186C" w:rsidP="0049186C">
      <w:pPr>
        <w:pStyle w:val="NeniNr"/>
        <w:rPr>
          <w:spacing w:val="-4"/>
          <w:lang w:val="sq-AL"/>
        </w:rPr>
      </w:pPr>
      <w:r w:rsidRPr="00413234">
        <w:rPr>
          <w:spacing w:val="-4"/>
          <w:lang w:val="sq-AL"/>
        </w:rPr>
        <w:t>VENDOSI:</w:t>
      </w:r>
    </w:p>
    <w:p w:rsidR="0049186C" w:rsidRPr="00413234" w:rsidRDefault="0049186C" w:rsidP="0049186C">
      <w:pPr>
        <w:pStyle w:val="Hapesira7"/>
        <w:rPr>
          <w:lang w:val="sq-AL"/>
        </w:rPr>
      </w:pPr>
    </w:p>
    <w:p w:rsidR="0049186C" w:rsidRPr="00413234" w:rsidRDefault="0049186C" w:rsidP="0049186C">
      <w:pPr>
        <w:pStyle w:val="Paragrafi"/>
        <w:rPr>
          <w:b/>
          <w:spacing w:val="-4"/>
          <w:lang w:val="sq-AL"/>
        </w:rPr>
      </w:pPr>
      <w:r w:rsidRPr="00413234">
        <w:rPr>
          <w:b/>
          <w:spacing w:val="-4"/>
          <w:lang w:val="sq-AL"/>
        </w:rPr>
        <w:t>I. Qëllimi</w:t>
      </w:r>
    </w:p>
    <w:p w:rsidR="0049186C" w:rsidRPr="00413234" w:rsidRDefault="0049186C" w:rsidP="0049186C">
      <w:pPr>
        <w:pStyle w:val="Paragrafi"/>
        <w:rPr>
          <w:spacing w:val="-4"/>
          <w:lang w:val="sq-AL"/>
        </w:rPr>
      </w:pPr>
      <w:r w:rsidRPr="00413234">
        <w:rPr>
          <w:spacing w:val="-4"/>
          <w:lang w:val="sq-AL"/>
        </w:rPr>
        <w:t xml:space="preserve">1. Përpunimi i gazit të lëngshëm të naftës (GLN) në bombola kryhet nga persona juridikë, të përcaktuar në ligjin nr. 8450, datë 24.2.1999, “Për përpunimin, transportimin dhe tregtimin e naftës, të gazit dhe nënprodukteve të tyre”, të ndryshuar, sipas kushteve dhe rregullave teknike të përcaktuara në këtë vendim dhe në legjislacionin në fuqi. </w:t>
      </w:r>
    </w:p>
    <w:p w:rsidR="0049186C" w:rsidRPr="00413234" w:rsidRDefault="0049186C" w:rsidP="0049186C">
      <w:pPr>
        <w:pStyle w:val="Paragrafi"/>
        <w:rPr>
          <w:spacing w:val="-4"/>
          <w:lang w:val="sq-AL"/>
        </w:rPr>
      </w:pPr>
      <w:r w:rsidRPr="00413234">
        <w:rPr>
          <w:spacing w:val="-4"/>
          <w:lang w:val="sq-AL"/>
        </w:rPr>
        <w:t>2. Për qëllim të këtij vendimi, përpunim i bombolave nënkupton të gjitha proceset që kryhen nga subjektet e përcaktuara në ligjin nr. 8450, datë 24.2.1999, “Për përpunimin, transportimin dhe tregtimin e naftës, të gazit dhe nënprodukteve të tyre”, të ndryshuar, gjatë realizimit të aktivitetit të mbushjes, furnizimit, depozitimit, transportimit, instalimit, tregtimit dhe përdorimit të sigurt të bombolës me GLN, mosrespektimi i të cilave cenon funksionimin e sigurt të bombolës.</w:t>
      </w:r>
    </w:p>
    <w:p w:rsidR="0049186C" w:rsidRPr="00413234" w:rsidRDefault="0049186C" w:rsidP="0049186C">
      <w:pPr>
        <w:pStyle w:val="Paragrafi"/>
        <w:rPr>
          <w:b/>
          <w:spacing w:val="-4"/>
          <w:lang w:val="sq-AL"/>
        </w:rPr>
      </w:pPr>
      <w:r w:rsidRPr="00413234">
        <w:rPr>
          <w:b/>
          <w:spacing w:val="-4"/>
          <w:lang w:val="sq-AL"/>
        </w:rPr>
        <w:t>II. Fusha e zbatimit</w:t>
      </w:r>
    </w:p>
    <w:p w:rsidR="0049186C" w:rsidRPr="00413234" w:rsidRDefault="0049186C" w:rsidP="0049186C">
      <w:pPr>
        <w:pStyle w:val="Paragrafi"/>
        <w:rPr>
          <w:spacing w:val="-4"/>
          <w:lang w:val="sq-AL"/>
        </w:rPr>
      </w:pPr>
      <w:r w:rsidRPr="00413234">
        <w:rPr>
          <w:spacing w:val="-4"/>
          <w:lang w:val="sq-AL"/>
        </w:rPr>
        <w:t>Dispozitat e këtij vendimi përfshijnë kushtet dhe rregullat teknike</w:t>
      </w:r>
      <w:r w:rsidRPr="00413234" w:rsidDel="009F11C9">
        <w:rPr>
          <w:spacing w:val="-4"/>
          <w:lang w:val="sq-AL"/>
        </w:rPr>
        <w:t xml:space="preserve"> </w:t>
      </w:r>
      <w:r w:rsidRPr="00413234">
        <w:rPr>
          <w:spacing w:val="-4"/>
          <w:lang w:val="sq-AL"/>
        </w:rPr>
        <w:t>të përpunimit të bombolave të mbushura me GLN, të cilat përfshijnë mbushjen, furnizimin, kontrollin teknik, depozitimin, transportimin, instalimin, tregtimin dhe përdorim e sigurt të GLN-së në pajisje të transportueshme nën presion (bombola), me peshë nga 5</w:t>
      </w:r>
      <w:r>
        <w:rPr>
          <w:spacing w:val="-4"/>
          <w:lang w:val="sq-AL"/>
        </w:rPr>
        <w:t>–</w:t>
      </w:r>
      <w:r w:rsidRPr="00413234">
        <w:rPr>
          <w:spacing w:val="-4"/>
          <w:lang w:val="sq-AL"/>
        </w:rPr>
        <w:t>25 kilogram</w:t>
      </w:r>
      <w:r>
        <w:rPr>
          <w:spacing w:val="-4"/>
          <w:lang w:val="sq-AL"/>
        </w:rPr>
        <w:t>ë</w:t>
      </w:r>
      <w:r w:rsidRPr="00413234">
        <w:rPr>
          <w:spacing w:val="-4"/>
          <w:lang w:val="sq-AL"/>
        </w:rPr>
        <w:t>.</w:t>
      </w:r>
    </w:p>
    <w:p w:rsidR="0049186C" w:rsidRPr="00413234" w:rsidRDefault="0049186C" w:rsidP="0049186C">
      <w:pPr>
        <w:pStyle w:val="Paragrafi"/>
        <w:rPr>
          <w:b/>
          <w:spacing w:val="-4"/>
          <w:lang w:val="sq-AL"/>
        </w:rPr>
      </w:pPr>
      <w:r w:rsidRPr="00413234">
        <w:rPr>
          <w:b/>
          <w:spacing w:val="-4"/>
          <w:lang w:val="sq-AL"/>
        </w:rPr>
        <w:t>III. Kushtet dhe rregullat teknike për tregtimin me shumicë të gazit të lëngshëm të naftës (GLN)</w:t>
      </w:r>
    </w:p>
    <w:p w:rsidR="0049186C" w:rsidRPr="00413234" w:rsidRDefault="0049186C" w:rsidP="0049186C">
      <w:pPr>
        <w:pStyle w:val="Paragrafi"/>
        <w:rPr>
          <w:spacing w:val="-4"/>
          <w:lang w:val="sq-AL"/>
        </w:rPr>
      </w:pPr>
      <w:r w:rsidRPr="00413234">
        <w:rPr>
          <w:spacing w:val="-4"/>
          <w:lang w:val="sq-AL"/>
        </w:rPr>
        <w:t>1. Tregtimi me shumicë i GLN-së, nëpërmjet bombolave, bëhet nga shoqëritë e tregtimit me shumicë, me kusht që këto bombola të plotësojnë kërkesat të sigurisë, të përcaktuara sipas rregullit teknik përkatës, përfshirë edhe pajisjen e tyre me deklaratën e konformitetit, për të gjithë sasinë e prodhuar dhe të importuar, si dhe me numrin e serisë. Bombola duhet të mbartë markimin përkatës, që demonstron përputhshmërinë e saj me kërkesat e legjislacionit në fuqi për konformitetin.</w:t>
      </w:r>
    </w:p>
    <w:p w:rsidR="0049186C" w:rsidRPr="00413234" w:rsidRDefault="0049186C" w:rsidP="0049186C">
      <w:pPr>
        <w:pStyle w:val="Paragrafi"/>
        <w:rPr>
          <w:spacing w:val="-4"/>
          <w:lang w:val="sq-AL"/>
        </w:rPr>
      </w:pPr>
      <w:r w:rsidRPr="00413234">
        <w:rPr>
          <w:spacing w:val="-4"/>
          <w:lang w:val="sq-AL"/>
        </w:rPr>
        <w:t>2. Shoqëritë e tregtimit me shumicë janë pronare ose poseduese të bombolave të mbushura me GLN.</w:t>
      </w:r>
    </w:p>
    <w:p w:rsidR="0049186C" w:rsidRPr="00413234" w:rsidRDefault="0049186C" w:rsidP="0049186C">
      <w:pPr>
        <w:pStyle w:val="Paragrafi"/>
        <w:rPr>
          <w:spacing w:val="-4"/>
          <w:lang w:val="sq-AL"/>
        </w:rPr>
      </w:pPr>
      <w:r w:rsidRPr="00413234">
        <w:rPr>
          <w:spacing w:val="-4"/>
          <w:lang w:val="sq-AL"/>
        </w:rPr>
        <w:t>3. Shoqëritë e tregtimit me shumicë të bombolave të mbushura me GLN kanë përgjegjësi për mbushjen e bombolave me GLN, të cilat duhet t’i jenë nënshtruar, paraprakisht, kontrollit teknik, sipas përcaktimeve të rregullit teknik përkatës.</w:t>
      </w:r>
    </w:p>
    <w:p w:rsidR="0049186C" w:rsidRPr="00413234" w:rsidRDefault="0049186C" w:rsidP="0049186C">
      <w:pPr>
        <w:pStyle w:val="Paragrafi"/>
        <w:rPr>
          <w:spacing w:val="-4"/>
          <w:lang w:val="sq-AL"/>
        </w:rPr>
      </w:pPr>
      <w:r w:rsidRPr="00413234">
        <w:rPr>
          <w:spacing w:val="-4"/>
          <w:lang w:val="sq-AL"/>
        </w:rPr>
        <w:t>4. Shoqëritë e tregtimit me shumicë, përpara futjes së bombolave të mbushura me GLN në treg, duhet të evidentojnë në sipërfaqen e bombolës të dhëna për markën tregtare të shoqërisë, peshën neto dhe bruto, të shprehur në kilogram, simbolin e flakës së ndezshme, vitin e prodhimit, datën e kontrollit teknik si dhe udhëzimin për përdorim të sigurt të tyre.</w:t>
      </w:r>
    </w:p>
    <w:p w:rsidR="0049186C" w:rsidRPr="00413234" w:rsidRDefault="0049186C" w:rsidP="0049186C">
      <w:pPr>
        <w:pStyle w:val="Paragrafi"/>
        <w:rPr>
          <w:spacing w:val="-4"/>
          <w:lang w:val="sq-AL"/>
        </w:rPr>
      </w:pPr>
      <w:r w:rsidRPr="00413234">
        <w:rPr>
          <w:spacing w:val="-4"/>
          <w:lang w:val="sq-AL"/>
        </w:rPr>
        <w:t>5. Çdo shoqëri e tregtimit me shumicë të bombolave të mbushura me GLN duhet të depozitojë në Inspektoratin Shtetëror Teknik dhe Industrial të dhëna për ngjyrën e saj, markën tregtare dhe deklaratën e konformitetit të bombolave, për të garantuar identifikimin, nga ana e organeve përgjegjëse, se këto bombola përdoren vetëm nga shoqëria, e cila ka pronësinë apo posedimin e tyre.</w:t>
      </w:r>
    </w:p>
    <w:p w:rsidR="0049186C" w:rsidRPr="00413234" w:rsidRDefault="0049186C" w:rsidP="0049186C">
      <w:pPr>
        <w:pStyle w:val="Paragrafi"/>
        <w:rPr>
          <w:spacing w:val="-4"/>
          <w:lang w:val="sq-AL"/>
        </w:rPr>
      </w:pPr>
      <w:r w:rsidRPr="00413234">
        <w:rPr>
          <w:spacing w:val="-4"/>
          <w:lang w:val="sq-AL"/>
        </w:rPr>
        <w:t xml:space="preserve">6. Shoqëria e tregtimit me shumicë kryen mbushjen e bombolave, në përputhje me standardin S SH EN 1439 në fuqi, “Procedura e verifikimit të bombolave GLN para, gjatë dhe pas mbushjes”, ose çdo standard ekuivalent me të. Mbushja e bombolave me GLN bëhet në jo më shumë se 80% të volumit të saj. Shoqëria e tregtimit me shumicë është përgjegjëse, gjithashtu, për kryerjen e kontrollit/inspektimit periodik të bombolave në pronësi apo posedim të saj nga organet e miratuara, </w:t>
      </w:r>
      <w:r w:rsidRPr="00413234">
        <w:rPr>
          <w:spacing w:val="-4"/>
          <w:lang w:val="sq-AL"/>
        </w:rPr>
        <w:lastRenderedPageBreak/>
        <w:t>sipas parashikimeve në ligjin nr. 10489, datë 15.12.2011, “Për tregtimin dhe mbikëqyrjen e tregut të produkteve joushqimore”, dhe rregullat teknike në fuqi.</w:t>
      </w:r>
    </w:p>
    <w:p w:rsidR="0049186C" w:rsidRPr="00413234" w:rsidRDefault="0049186C" w:rsidP="0049186C">
      <w:pPr>
        <w:pStyle w:val="Paragrafi"/>
        <w:rPr>
          <w:spacing w:val="-4"/>
          <w:lang w:val="sq-AL"/>
        </w:rPr>
      </w:pPr>
      <w:r w:rsidRPr="00413234">
        <w:rPr>
          <w:spacing w:val="-4"/>
          <w:lang w:val="sq-AL"/>
        </w:rPr>
        <w:t>7. Inspektorati Shtetëror Teknik dhe Industrial është përgjegjës për mbikëqyrjen e aktivitetit të shoqërisë së tregtimit me shumicë, me qëllim garantimin e sigurisë së bombolave të mbushura me GLN.</w:t>
      </w:r>
    </w:p>
    <w:p w:rsidR="0049186C" w:rsidRPr="00413234" w:rsidRDefault="0049186C" w:rsidP="0049186C">
      <w:pPr>
        <w:pStyle w:val="Paragrafi"/>
        <w:rPr>
          <w:spacing w:val="-4"/>
          <w:lang w:val="sq-AL"/>
        </w:rPr>
      </w:pPr>
      <w:r w:rsidRPr="00413234">
        <w:rPr>
          <w:spacing w:val="-4"/>
          <w:lang w:val="sq-AL"/>
        </w:rPr>
        <w:t>8. Shoqëria e tregtimit me shumicë, e cila ka në pronësi apo posedim bombolat e mbushura me GLN, kryen veprimtarinë e mbushjes, furnizimit, depozitimit dhe transportimit deri te njësitë e tregtimit me pakicë të lëndëve djegëse dhe stacionet e shitjes së karburanteve, në të gjithë territorin e Republikës së Shqipërisë.</w:t>
      </w:r>
    </w:p>
    <w:p w:rsidR="0049186C" w:rsidRPr="00413234" w:rsidRDefault="0049186C" w:rsidP="0049186C">
      <w:pPr>
        <w:pStyle w:val="Paragrafi"/>
        <w:rPr>
          <w:spacing w:val="-4"/>
          <w:lang w:val="sq-AL"/>
        </w:rPr>
      </w:pPr>
      <w:r w:rsidRPr="00413234">
        <w:rPr>
          <w:spacing w:val="-4"/>
          <w:lang w:val="sq-AL"/>
        </w:rPr>
        <w:t>9. Shoqëritë e tregtimit me shumicë duhet të injektojnë, në sasinë e GLN-së që do të tregtohet, substanca me aromë të pakëndshme, si etil merkaptan, në masën 14</w:t>
      </w:r>
      <w:r>
        <w:rPr>
          <w:spacing w:val="-4"/>
          <w:lang w:val="sq-AL"/>
        </w:rPr>
        <w:t>–</w:t>
      </w:r>
      <w:r w:rsidRPr="00413234">
        <w:rPr>
          <w:spacing w:val="-4"/>
          <w:lang w:val="sq-AL"/>
        </w:rPr>
        <w:t>30 g/ton</w:t>
      </w:r>
      <w:r>
        <w:rPr>
          <w:spacing w:val="-4"/>
          <w:lang w:val="sq-AL"/>
        </w:rPr>
        <w:t>ë</w:t>
      </w:r>
      <w:r w:rsidRPr="00413234">
        <w:rPr>
          <w:spacing w:val="-4"/>
          <w:lang w:val="sq-AL"/>
        </w:rPr>
        <w:t>.</w:t>
      </w:r>
    </w:p>
    <w:p w:rsidR="0049186C" w:rsidRPr="00413234" w:rsidRDefault="0049186C" w:rsidP="0049186C">
      <w:pPr>
        <w:pStyle w:val="Paragrafi"/>
        <w:rPr>
          <w:spacing w:val="-4"/>
          <w:lang w:val="sq-AL"/>
        </w:rPr>
      </w:pPr>
      <w:r w:rsidRPr="00413234">
        <w:rPr>
          <w:spacing w:val="-4"/>
          <w:lang w:val="sq-AL"/>
        </w:rPr>
        <w:t>10. Shoqëritë e tregtimit me shumicë janë të detyruara të mbajnë një regjistër, në format shkresor dhe elektronik, për bombolat e GLN-së, sipas kushteve dhe procedurave të miratuara me urdhër të ministrit përgjegjës për hidrokarburet. Një kopje e këtij regjistri dërgohet, në format letër dhe elektronik, çdo 3 muaj në Inspektoratin Shtetëror Teknik dhe Industrial.</w:t>
      </w:r>
    </w:p>
    <w:p w:rsidR="0049186C" w:rsidRPr="00413234" w:rsidRDefault="0049186C" w:rsidP="0049186C">
      <w:pPr>
        <w:pStyle w:val="Paragrafi"/>
        <w:rPr>
          <w:spacing w:val="-4"/>
          <w:lang w:val="sq-AL"/>
        </w:rPr>
      </w:pPr>
      <w:r w:rsidRPr="00413234">
        <w:rPr>
          <w:spacing w:val="-4"/>
          <w:lang w:val="sq-AL"/>
        </w:rPr>
        <w:t>11. Shoqëritë e tregtimit me shumicë duhet të respektojnë rregullin teknik në fuqi për cilësinë e GLN-së.</w:t>
      </w:r>
    </w:p>
    <w:p w:rsidR="0049186C" w:rsidRPr="00413234" w:rsidRDefault="0049186C" w:rsidP="0049186C">
      <w:pPr>
        <w:pStyle w:val="Paragrafi"/>
        <w:rPr>
          <w:spacing w:val="-4"/>
          <w:lang w:val="sq-AL"/>
        </w:rPr>
      </w:pPr>
      <w:r w:rsidRPr="00413234">
        <w:rPr>
          <w:spacing w:val="-4"/>
          <w:lang w:val="sq-AL"/>
        </w:rPr>
        <w:t>12. Ndalohet tregtimi i bombolave të mbushura me GLN nga shoqëritë e tregtimit me shumicë që nuk kanë vendosur në sipërfaqe të bombolës të dhëna për emrin dhe markën tregtare. Shoqëritë e tregtimit me shumicë të GLN-së ndalohen që të realizojnë operacione të mbushjes, trajtimit dhe tregtimit të GLN-së në bombolat që janë në posedim apo edhe zotërim, dhe të regjistruara në një shoqëri tjetër të tregtimit me shumicë.</w:t>
      </w:r>
    </w:p>
    <w:p w:rsidR="0049186C" w:rsidRPr="00413234" w:rsidRDefault="0049186C" w:rsidP="0049186C">
      <w:pPr>
        <w:pStyle w:val="Paragrafi"/>
        <w:rPr>
          <w:spacing w:val="-4"/>
          <w:lang w:val="sq-AL"/>
        </w:rPr>
      </w:pPr>
      <w:r w:rsidRPr="00413234">
        <w:rPr>
          <w:spacing w:val="-4"/>
          <w:lang w:val="sq-AL"/>
        </w:rPr>
        <w:t xml:space="preserve">13. Shoqëritë e tregtimit me shumicë janë të detyruara që, brenda 12 muajve nga hyrja në fuqi e këtij vendimi, të zbatojnë një sistem që mundëson raportimin e informacionit për destinacionin e çdo bombole të mbushur prej saj. Formati i të dhënave dhe raportimi ndaj autoriteteve shtetërore përgjegjëse do të përcaktohen me urdhër të ministrit. </w:t>
      </w:r>
    </w:p>
    <w:p w:rsidR="0049186C" w:rsidRPr="00413234" w:rsidRDefault="0049186C" w:rsidP="0049186C">
      <w:pPr>
        <w:pStyle w:val="Paragrafi"/>
        <w:rPr>
          <w:b/>
          <w:spacing w:val="-4"/>
          <w:lang w:val="sq-AL"/>
        </w:rPr>
      </w:pPr>
      <w:r w:rsidRPr="00413234">
        <w:rPr>
          <w:b/>
          <w:spacing w:val="-4"/>
          <w:lang w:val="sq-AL"/>
        </w:rPr>
        <w:t>IV. Kushtet dhe rregullat teknike për tregtimin me pakicë të bombolave të mbushura me GLN</w:t>
      </w:r>
    </w:p>
    <w:p w:rsidR="0049186C" w:rsidRPr="00413234" w:rsidRDefault="0049186C" w:rsidP="0049186C">
      <w:pPr>
        <w:pStyle w:val="Paragrafi"/>
        <w:rPr>
          <w:spacing w:val="-4"/>
          <w:lang w:val="sq-AL"/>
        </w:rPr>
      </w:pPr>
      <w:r w:rsidRPr="00413234">
        <w:rPr>
          <w:spacing w:val="-4"/>
          <w:lang w:val="sq-AL"/>
        </w:rPr>
        <w:t>1. Njësitë e tregtimit me pakicë të bombolave të mbushura me GLN, ku përfshihen njësitë e lëndëve djegëse dhe stacionet e shitjes së karburanteve, duhet të plotësojnë kushtet dhe kërkesat e këtij rregulli teknik gjatë ushtrimit të aktivitetit të tregtimit të këtyre bombolave.</w:t>
      </w:r>
    </w:p>
    <w:p w:rsidR="0049186C" w:rsidRPr="00413234" w:rsidRDefault="0049186C" w:rsidP="0049186C">
      <w:pPr>
        <w:pStyle w:val="Paragrafi"/>
        <w:rPr>
          <w:spacing w:val="-4"/>
          <w:lang w:val="sq-AL"/>
        </w:rPr>
      </w:pPr>
      <w:r w:rsidRPr="00413234">
        <w:rPr>
          <w:spacing w:val="-4"/>
          <w:lang w:val="sq-AL"/>
        </w:rPr>
        <w:t xml:space="preserve"> 2. Njësitë e tregtimit me pakicë depozitojnë bombolat e mbushura me GLN në një ambient të posaçëm, i cili duhet të jetë në katin zero dhe të mos ketë mbi dhe nën të ambiente të tjera.</w:t>
      </w:r>
    </w:p>
    <w:p w:rsidR="0049186C" w:rsidRPr="00413234" w:rsidRDefault="0049186C" w:rsidP="0049186C">
      <w:pPr>
        <w:pStyle w:val="Paragrafi"/>
        <w:rPr>
          <w:spacing w:val="-4"/>
          <w:lang w:val="sq-AL"/>
        </w:rPr>
      </w:pPr>
      <w:r w:rsidRPr="00413234">
        <w:rPr>
          <w:spacing w:val="-4"/>
          <w:lang w:val="sq-AL"/>
        </w:rPr>
        <w:t>3. Ndalohet që njësitë e tregtimit me pakicë të kryejnë ndërhyrje ndaj bombolave të mbushura me GLN, për sa i përket procesit të mbushjes, riparimit apo çdo forme tjetër që cenon tërësinë e bombolës.</w:t>
      </w:r>
    </w:p>
    <w:p w:rsidR="0049186C" w:rsidRPr="00413234" w:rsidRDefault="0049186C" w:rsidP="0049186C">
      <w:pPr>
        <w:pStyle w:val="Paragrafi"/>
        <w:rPr>
          <w:spacing w:val="-4"/>
          <w:lang w:val="sq-AL"/>
        </w:rPr>
      </w:pPr>
      <w:r w:rsidRPr="00413234">
        <w:rPr>
          <w:spacing w:val="-4"/>
          <w:lang w:val="sq-AL"/>
        </w:rPr>
        <w:t>4. Njësitë e tregtimit me pakicë realizojnë aktivitetin e tyre të tregtimit me pakicë të bombolave të mbushura me GLN, mbi bazën e një kontrate të nënshkruar me shoqërinë e tregtimit me shumicë.</w:t>
      </w:r>
    </w:p>
    <w:p w:rsidR="0049186C" w:rsidRPr="00413234" w:rsidRDefault="0049186C" w:rsidP="0049186C">
      <w:pPr>
        <w:pStyle w:val="Paragrafi"/>
        <w:rPr>
          <w:spacing w:val="-4"/>
          <w:lang w:val="sq-AL"/>
        </w:rPr>
      </w:pPr>
      <w:r w:rsidRPr="00413234">
        <w:rPr>
          <w:spacing w:val="-4"/>
          <w:lang w:val="sq-AL"/>
        </w:rPr>
        <w:t xml:space="preserve">5. Njësitë e tregtimit me pakicë depozitojnë bombolat e boshatisura, pas përdorimit, dhe bombolat e mbushura me GLN në përputhje me kushtet dhe normat teknike në fuqi. Gjatë depozitimit të bombolave bosh të GLN-së, respektohen të gjitha kushtet dhe normat teknike, të parashikuara për bombolat e mbushura me GLN. </w:t>
      </w:r>
    </w:p>
    <w:p w:rsidR="0049186C" w:rsidRPr="00413234" w:rsidRDefault="0049186C" w:rsidP="0049186C">
      <w:pPr>
        <w:pStyle w:val="Paragrafi"/>
        <w:rPr>
          <w:spacing w:val="-6"/>
          <w:lang w:val="sq-AL"/>
        </w:rPr>
      </w:pPr>
      <w:r w:rsidRPr="00413234">
        <w:rPr>
          <w:spacing w:val="-6"/>
          <w:lang w:val="sq-AL"/>
        </w:rPr>
        <w:t>6. Temperatura e ambientit në vendin e depozitimit të bombolave nuk duhet të kalojë 50</w:t>
      </w:r>
      <w:r w:rsidRPr="00FE587E">
        <w:rPr>
          <w:spacing w:val="-6"/>
          <w:vertAlign w:val="superscript"/>
          <w:lang w:val="sq-AL"/>
        </w:rPr>
        <w:t>0</w:t>
      </w:r>
      <w:r w:rsidRPr="00413234">
        <w:rPr>
          <w:spacing w:val="-6"/>
          <w:lang w:val="sq-AL"/>
        </w:rPr>
        <w:t>C.</w:t>
      </w:r>
    </w:p>
    <w:p w:rsidR="0049186C" w:rsidRPr="00413234" w:rsidRDefault="0049186C" w:rsidP="0049186C">
      <w:pPr>
        <w:pStyle w:val="Paragrafi"/>
        <w:rPr>
          <w:spacing w:val="-4"/>
          <w:lang w:val="sq-AL"/>
        </w:rPr>
      </w:pPr>
      <w:r w:rsidRPr="00413234">
        <w:rPr>
          <w:spacing w:val="-4"/>
          <w:lang w:val="sq-AL"/>
        </w:rPr>
        <w:t xml:space="preserve">7. Pesha neto, maksimale, e bombolës së mbushur me GLN, që depozitohet në ambientet e njësive të tregtimit me pakicë, nuk mund të jetë më shumë se 25 kg. </w:t>
      </w:r>
    </w:p>
    <w:p w:rsidR="0049186C" w:rsidRPr="00413234" w:rsidRDefault="0049186C" w:rsidP="0049186C">
      <w:pPr>
        <w:pStyle w:val="Paragrafi"/>
        <w:rPr>
          <w:spacing w:val="-4"/>
          <w:lang w:val="sq-AL"/>
        </w:rPr>
      </w:pPr>
      <w:r w:rsidRPr="00413234">
        <w:rPr>
          <w:spacing w:val="-4"/>
          <w:lang w:val="sq-AL"/>
        </w:rPr>
        <w:t>8. Kapaciteti depozitues maksimal i ambienteve të njësive të tregtimit me pakicë është 1000 kg GLN. Ambientet, në të cilat mbahen dhe tregtohen bombolat e mbushura me GLN duhet të jenë të hapura dhe të mbrojtura nga rrezet e diellit.</w:t>
      </w:r>
    </w:p>
    <w:p w:rsidR="0049186C" w:rsidRPr="00413234" w:rsidRDefault="0049186C" w:rsidP="0049186C">
      <w:pPr>
        <w:pStyle w:val="Paragrafi"/>
        <w:rPr>
          <w:spacing w:val="-4"/>
          <w:lang w:val="sq-AL"/>
        </w:rPr>
      </w:pPr>
      <w:r w:rsidRPr="00413234">
        <w:rPr>
          <w:spacing w:val="-4"/>
          <w:lang w:val="sq-AL"/>
        </w:rPr>
        <w:t>9. Ndalohet mbushja e bombolave të GLN-së nga njësitë e tregtimit me pakicë.</w:t>
      </w:r>
    </w:p>
    <w:p w:rsidR="0049186C" w:rsidRPr="00413234" w:rsidRDefault="0049186C" w:rsidP="0049186C">
      <w:pPr>
        <w:pStyle w:val="Paragrafi"/>
        <w:rPr>
          <w:spacing w:val="-4"/>
          <w:lang w:val="sq-AL"/>
        </w:rPr>
      </w:pPr>
      <w:r w:rsidRPr="00413234">
        <w:rPr>
          <w:spacing w:val="-4"/>
          <w:lang w:val="sq-AL"/>
        </w:rPr>
        <w:t xml:space="preserve">10. Ndalohet tregtimi i bombolave të GLN-së nga njësitë e tregtimit me pakicë nëse kushtet në të cilën ato tregtohen nuk janë në përputhje me kriteret teknike të depozitimit, magazinimit, ruajtjes dhe </w:t>
      </w:r>
      <w:r w:rsidRPr="00413234">
        <w:rPr>
          <w:spacing w:val="-4"/>
          <w:lang w:val="sq-AL"/>
        </w:rPr>
        <w:lastRenderedPageBreak/>
        <w:t>tregtimit të tyre, sipas përcaktimeve të akteve ligjore dhe nënligjore në fuqi.</w:t>
      </w:r>
    </w:p>
    <w:p w:rsidR="0049186C" w:rsidRPr="00413234" w:rsidRDefault="0049186C" w:rsidP="0049186C">
      <w:pPr>
        <w:pStyle w:val="Paragrafi"/>
        <w:rPr>
          <w:spacing w:val="-4"/>
          <w:lang w:val="sq-AL"/>
        </w:rPr>
      </w:pPr>
      <w:r w:rsidRPr="00413234">
        <w:rPr>
          <w:spacing w:val="-4"/>
          <w:lang w:val="sq-AL"/>
        </w:rPr>
        <w:t xml:space="preserve">11. Njësitë e tregtimit me pakicë duhet të jenë të pajisura me instrumente matëse, ligjërisht të kontrolluara, me qëllim verifikimin e peshës së bombolës me GLN. </w:t>
      </w:r>
    </w:p>
    <w:p w:rsidR="0049186C" w:rsidRPr="00413234" w:rsidRDefault="0049186C" w:rsidP="0049186C">
      <w:pPr>
        <w:pStyle w:val="Paragrafi"/>
        <w:rPr>
          <w:b/>
          <w:spacing w:val="-4"/>
          <w:lang w:val="sq-AL"/>
        </w:rPr>
      </w:pPr>
      <w:r w:rsidRPr="00413234">
        <w:rPr>
          <w:b/>
          <w:spacing w:val="-4"/>
          <w:lang w:val="sq-AL"/>
        </w:rPr>
        <w:tab/>
      </w:r>
      <w:r w:rsidRPr="00413234">
        <w:rPr>
          <w:b/>
          <w:spacing w:val="-4"/>
          <w:lang w:val="sq-AL"/>
        </w:rPr>
        <w:tab/>
      </w:r>
      <w:r w:rsidRPr="00413234">
        <w:rPr>
          <w:b/>
          <w:spacing w:val="-4"/>
          <w:lang w:val="sq-AL"/>
        </w:rPr>
        <w:tab/>
        <w:t>V. Kushtet dhe rregullat teknike për transportimin e bombolave të mbushura me GLN</w:t>
      </w:r>
    </w:p>
    <w:p w:rsidR="0049186C" w:rsidRPr="00413234" w:rsidRDefault="0049186C" w:rsidP="0049186C">
      <w:pPr>
        <w:pStyle w:val="Paragrafi"/>
        <w:rPr>
          <w:spacing w:val="-4"/>
          <w:lang w:val="sq-AL"/>
        </w:rPr>
      </w:pPr>
      <w:r w:rsidRPr="00413234">
        <w:rPr>
          <w:spacing w:val="-4"/>
          <w:lang w:val="sq-AL"/>
        </w:rPr>
        <w:t xml:space="preserve"> 1.</w:t>
      </w:r>
      <w:r w:rsidRPr="00413234">
        <w:rPr>
          <w:spacing w:val="-4"/>
          <w:lang w:val="sq-AL"/>
        </w:rPr>
        <w:tab/>
        <w:t xml:space="preserve"> Transporti i bombolave të GLN-së përfshin transportin që bëhet nga vendi i mbushjes së bombolave, prej shoqërive të tregtimit me shumicë, deri në ambientet e njësive të lëndës djegëse dhe/ose stacioneve të shitjes së karburanteve dhe anasjelltas. Transporti i bombolave me GLN kryhet nga shoqëritë e tregtimit me shumicë të bombolave të GLN-së ose nga shoqëritë/subjektet e autorizuara prej këtyre të fundit.</w:t>
      </w:r>
    </w:p>
    <w:p w:rsidR="0049186C" w:rsidRPr="00413234" w:rsidRDefault="0049186C" w:rsidP="0049186C">
      <w:pPr>
        <w:pStyle w:val="Paragrafi"/>
        <w:rPr>
          <w:spacing w:val="-4"/>
          <w:lang w:val="sq-AL"/>
        </w:rPr>
      </w:pPr>
      <w:r w:rsidRPr="00413234">
        <w:rPr>
          <w:spacing w:val="-4"/>
          <w:lang w:val="sq-AL"/>
        </w:rPr>
        <w:t>2.</w:t>
      </w:r>
      <w:r w:rsidRPr="00413234">
        <w:rPr>
          <w:spacing w:val="-4"/>
          <w:lang w:val="sq-AL"/>
        </w:rPr>
        <w:tab/>
        <w:t xml:space="preserve"> Shoqëria që kryen transportin e bombolave me GLN duhet të pajiset me të gjithë dokumentacionin e nevojshëm, sipas legjislacionit në fuqi. Automjetet që transportojnë bombola duhen të jenë të hapura dhe të mbuluara me tendë kundër diellit. Gjatë transportit, bombolat duhet të jenë të vendosura në kafaze mbrojtëse dhe të lidhen me rripa sigurimi, me qëllim shmangien e përplasjes me njëra-tjetrën. </w:t>
      </w:r>
    </w:p>
    <w:p w:rsidR="0049186C" w:rsidRPr="00413234" w:rsidRDefault="0049186C" w:rsidP="0049186C">
      <w:pPr>
        <w:pStyle w:val="Paragrafi"/>
        <w:rPr>
          <w:b/>
          <w:spacing w:val="-4"/>
          <w:lang w:val="sq-AL"/>
        </w:rPr>
      </w:pPr>
      <w:r w:rsidRPr="00413234">
        <w:rPr>
          <w:b/>
          <w:spacing w:val="-4"/>
          <w:lang w:val="sq-AL"/>
        </w:rPr>
        <w:t>VI. Kushtet dhe rregullat teknike për instalimin dhe përdorimin e bombolave të GLN-së</w:t>
      </w:r>
    </w:p>
    <w:p w:rsidR="0049186C" w:rsidRPr="00413234" w:rsidRDefault="0049186C" w:rsidP="0049186C">
      <w:pPr>
        <w:pStyle w:val="Paragrafi"/>
        <w:rPr>
          <w:spacing w:val="-4"/>
          <w:lang w:val="sq-AL"/>
        </w:rPr>
      </w:pPr>
      <w:r w:rsidRPr="00413234">
        <w:rPr>
          <w:spacing w:val="-4"/>
          <w:lang w:val="sq-AL"/>
        </w:rPr>
        <w:t>1. Instalimi i pajisjeve për shfrytëzimin e GLN-së kryhet në përputhje me instruksionet e përdorimit që shoqërojnë bombolën, nën përgjegjësinë e shoqërive të tregtimit me pakicë.</w:t>
      </w:r>
    </w:p>
    <w:p w:rsidR="0049186C" w:rsidRPr="00413234" w:rsidRDefault="0049186C" w:rsidP="0049186C">
      <w:pPr>
        <w:pStyle w:val="Paragrafi"/>
        <w:rPr>
          <w:spacing w:val="-4"/>
          <w:lang w:val="sq-AL"/>
        </w:rPr>
      </w:pPr>
      <w:r w:rsidRPr="00413234">
        <w:rPr>
          <w:spacing w:val="-4"/>
          <w:lang w:val="sq-AL"/>
        </w:rPr>
        <w:t xml:space="preserve">2. Inspektorati Shtetëror Teknik dhe Industrial mbikëqyr respektimin e rregullave teknike për instalimin dhe përdorimin e bombolave të GLN-së nga konsumatorët jofamiljarë. </w:t>
      </w:r>
    </w:p>
    <w:p w:rsidR="0049186C" w:rsidRPr="00413234" w:rsidRDefault="0049186C" w:rsidP="0049186C">
      <w:pPr>
        <w:pStyle w:val="Paragrafi"/>
        <w:rPr>
          <w:spacing w:val="-4"/>
          <w:lang w:val="sq-AL"/>
        </w:rPr>
      </w:pPr>
      <w:r w:rsidRPr="00413234">
        <w:rPr>
          <w:spacing w:val="-4"/>
          <w:lang w:val="sq-AL"/>
        </w:rPr>
        <w:t xml:space="preserve">3. Instalimi i bombolës së gazit duhet të jetë në ambiente të ajrosura, larg burimeve të nxehtësisë dhe instalimeve elektrike. Tubat e gomës, që lidhin bombolën e GLN-së me instalimin fiks, duhet të kenë tregues për afatin maksimal të përdorimit të tyre. </w:t>
      </w:r>
    </w:p>
    <w:p w:rsidR="0049186C" w:rsidRPr="00413234" w:rsidRDefault="0049186C" w:rsidP="0049186C">
      <w:pPr>
        <w:pStyle w:val="Paragrafi"/>
        <w:rPr>
          <w:spacing w:val="-4"/>
          <w:lang w:val="sq-AL"/>
        </w:rPr>
      </w:pPr>
      <w:r w:rsidRPr="00413234">
        <w:rPr>
          <w:spacing w:val="-4"/>
          <w:lang w:val="sq-AL"/>
        </w:rPr>
        <w:t>4. Instalimi i bombolave duhet të respektojë kërkesat, si më poshtë vijon:</w:t>
      </w:r>
    </w:p>
    <w:p w:rsidR="0049186C" w:rsidRPr="00413234" w:rsidRDefault="0049186C" w:rsidP="0049186C">
      <w:pPr>
        <w:pStyle w:val="Paragrafi"/>
        <w:rPr>
          <w:spacing w:val="-4"/>
          <w:lang w:val="sq-AL"/>
        </w:rPr>
      </w:pPr>
      <w:r w:rsidRPr="00413234">
        <w:rPr>
          <w:spacing w:val="-4"/>
          <w:lang w:val="sq-AL"/>
        </w:rPr>
        <w:t>a) Në ambiente me volum deri në 10 m</w:t>
      </w:r>
      <w:r w:rsidRPr="00413234">
        <w:rPr>
          <w:spacing w:val="-4"/>
          <w:vertAlign w:val="superscript"/>
          <w:lang w:val="sq-AL"/>
        </w:rPr>
        <w:t>3</w:t>
      </w:r>
      <w:r w:rsidRPr="00413234">
        <w:rPr>
          <w:spacing w:val="-4"/>
          <w:lang w:val="sq-AL"/>
        </w:rPr>
        <w:t xml:space="preserve"> është e ndaluar vendosja e bombolave;</w:t>
      </w:r>
    </w:p>
    <w:p w:rsidR="0049186C" w:rsidRPr="00413234" w:rsidRDefault="0049186C" w:rsidP="0049186C">
      <w:pPr>
        <w:pStyle w:val="Paragrafi"/>
        <w:rPr>
          <w:spacing w:val="-4"/>
          <w:lang w:val="sq-AL"/>
        </w:rPr>
      </w:pPr>
      <w:r w:rsidRPr="00413234">
        <w:rPr>
          <w:spacing w:val="-4"/>
          <w:lang w:val="sq-AL"/>
        </w:rPr>
        <w:t>b)</w:t>
      </w:r>
      <w:r>
        <w:rPr>
          <w:spacing w:val="-4"/>
          <w:lang w:val="sq-AL"/>
        </w:rPr>
        <w:t xml:space="preserve"> </w:t>
      </w:r>
      <w:r w:rsidRPr="00413234">
        <w:rPr>
          <w:spacing w:val="-4"/>
          <w:lang w:val="sq-AL"/>
        </w:rPr>
        <w:t>Në ambiente me volum 10–20 m</w:t>
      </w:r>
      <w:r w:rsidRPr="00413234">
        <w:rPr>
          <w:spacing w:val="-4"/>
          <w:vertAlign w:val="superscript"/>
          <w:lang w:val="sq-AL"/>
        </w:rPr>
        <w:t>3</w:t>
      </w:r>
      <w:r w:rsidRPr="00413234">
        <w:rPr>
          <w:spacing w:val="-4"/>
          <w:lang w:val="sq-AL"/>
        </w:rPr>
        <w:t xml:space="preserve"> mund të instalohet një bombol me kapacitet 15 kg;</w:t>
      </w:r>
    </w:p>
    <w:p w:rsidR="0049186C" w:rsidRDefault="0049186C" w:rsidP="0049186C">
      <w:pPr>
        <w:pStyle w:val="Paragrafi"/>
        <w:rPr>
          <w:spacing w:val="-4"/>
          <w:lang w:val="sq-AL"/>
        </w:rPr>
      </w:pPr>
    </w:p>
    <w:p w:rsidR="0049186C" w:rsidRDefault="0049186C" w:rsidP="0049186C">
      <w:pPr>
        <w:pStyle w:val="Paragrafi"/>
        <w:rPr>
          <w:spacing w:val="-4"/>
          <w:lang w:val="sq-AL"/>
        </w:rPr>
      </w:pPr>
    </w:p>
    <w:p w:rsidR="0049186C" w:rsidRPr="00413234" w:rsidRDefault="0049186C" w:rsidP="0049186C">
      <w:pPr>
        <w:pStyle w:val="Paragrafi"/>
        <w:rPr>
          <w:spacing w:val="-4"/>
          <w:lang w:val="sq-AL"/>
        </w:rPr>
      </w:pPr>
      <w:r w:rsidRPr="00413234">
        <w:rPr>
          <w:spacing w:val="-4"/>
          <w:lang w:val="sq-AL"/>
        </w:rPr>
        <w:t>c) Në ambiente me volum 20–50 m</w:t>
      </w:r>
      <w:r w:rsidRPr="00413234">
        <w:rPr>
          <w:spacing w:val="-4"/>
          <w:vertAlign w:val="superscript"/>
          <w:lang w:val="sq-AL"/>
        </w:rPr>
        <w:t>3</w:t>
      </w:r>
      <w:r w:rsidRPr="00413234">
        <w:rPr>
          <w:spacing w:val="-4"/>
          <w:lang w:val="sq-AL"/>
        </w:rPr>
        <w:t xml:space="preserve"> mund të instalohen deri në 2 bombola, me kapacitet jo më shumë se 20 kg;</w:t>
      </w:r>
    </w:p>
    <w:p w:rsidR="0049186C" w:rsidRPr="00413234" w:rsidRDefault="0049186C" w:rsidP="0049186C">
      <w:pPr>
        <w:pStyle w:val="Paragrafi"/>
        <w:rPr>
          <w:spacing w:val="-4"/>
          <w:lang w:val="sq-AL"/>
        </w:rPr>
      </w:pPr>
      <w:r w:rsidRPr="00413234">
        <w:rPr>
          <w:spacing w:val="-4"/>
          <w:lang w:val="sq-AL"/>
        </w:rPr>
        <w:t xml:space="preserve">ç) </w:t>
      </w:r>
      <w:r w:rsidRPr="00413234">
        <w:rPr>
          <w:spacing w:val="-4"/>
          <w:lang w:val="sq-AL"/>
        </w:rPr>
        <w:tab/>
        <w:t>Në ambiente me volum mbi 50 m</w:t>
      </w:r>
      <w:r w:rsidRPr="00413234">
        <w:rPr>
          <w:spacing w:val="-4"/>
          <w:vertAlign w:val="superscript"/>
          <w:lang w:val="sq-AL"/>
        </w:rPr>
        <w:t>3</w:t>
      </w:r>
      <w:r w:rsidRPr="00413234">
        <w:rPr>
          <w:spacing w:val="-4"/>
          <w:lang w:val="sq-AL"/>
        </w:rPr>
        <w:t xml:space="preserve"> mund të instalohen 2 bombola, me kapacitet total jo më shumë se 30 kg; </w:t>
      </w:r>
    </w:p>
    <w:p w:rsidR="0049186C" w:rsidRPr="00413234" w:rsidRDefault="0049186C" w:rsidP="0049186C">
      <w:pPr>
        <w:pStyle w:val="Paragrafi"/>
        <w:rPr>
          <w:spacing w:val="-4"/>
          <w:lang w:val="sq-AL"/>
        </w:rPr>
      </w:pPr>
      <w:r w:rsidRPr="00413234">
        <w:rPr>
          <w:spacing w:val="-4"/>
          <w:lang w:val="sq-AL"/>
        </w:rPr>
        <w:t xml:space="preserve">d) Kapaciteti total i bombolave të instaluara në një ambient familjar nuk duhet të jetë më i madh se 40 kg. </w:t>
      </w:r>
    </w:p>
    <w:p w:rsidR="0049186C" w:rsidRPr="00413234" w:rsidRDefault="0049186C" w:rsidP="0049186C">
      <w:pPr>
        <w:pStyle w:val="Paragrafi"/>
        <w:rPr>
          <w:spacing w:val="-4"/>
          <w:lang w:val="sq-AL"/>
        </w:rPr>
      </w:pPr>
      <w:r w:rsidRPr="00413234">
        <w:rPr>
          <w:spacing w:val="-4"/>
          <w:lang w:val="sq-AL"/>
        </w:rPr>
        <w:t>5. Konsumatorët janë përgjegjës për marrjen e masave për mirëmbajtjen e instalimeve të bombolave të mbushura me GLN, në përputhje me instruksionet e përdorimit dhe treguesin për tubin e gomës, referuar në pikën 3, të përmendur më lart. Shoqëritë e tregtimit me pakicë duhet të ofrojnë edhe shërbimin e mirëmbajtjes së instalimeve të bombolave me GLN.</w:t>
      </w:r>
    </w:p>
    <w:p w:rsidR="0049186C" w:rsidRPr="00413234" w:rsidRDefault="0049186C" w:rsidP="0049186C">
      <w:pPr>
        <w:pStyle w:val="Paragrafi"/>
        <w:rPr>
          <w:spacing w:val="-4"/>
          <w:lang w:val="sq-AL"/>
        </w:rPr>
      </w:pPr>
      <w:r w:rsidRPr="00413234">
        <w:rPr>
          <w:spacing w:val="-4"/>
          <w:lang w:val="sq-AL"/>
        </w:rPr>
        <w:t>6. Konsumatorët e bombolave të GLN-së duhet të kenë të instaluar, në mjediset ku kanë instaluar dhe përdorin bombolat, sistem detektues e autobllokues të furnizimit me GLN.</w:t>
      </w:r>
    </w:p>
    <w:p w:rsidR="0049186C" w:rsidRPr="00413234" w:rsidRDefault="0049186C" w:rsidP="0049186C">
      <w:pPr>
        <w:pStyle w:val="Paragrafi"/>
        <w:rPr>
          <w:spacing w:val="-4"/>
          <w:lang w:val="sq-AL"/>
        </w:rPr>
      </w:pPr>
      <w:r w:rsidRPr="00413234">
        <w:rPr>
          <w:spacing w:val="-4"/>
          <w:lang w:val="sq-AL"/>
        </w:rPr>
        <w:t xml:space="preserve">7. Bombolat e mbushura pjesërisht dhe që nuk përdoren nuk duhet të mbahen nga përdoruesi në bodrume, garazhe apo tarraca, nuk duhet të depozitohen në vendet e grumbullimit të mbeturinave dhe as të asgjësohen. Shoqëritë e tregtimit me shumicë janë përgjegjëse për administrimin e kësaj kategorie bombolash. </w:t>
      </w:r>
    </w:p>
    <w:p w:rsidR="0049186C" w:rsidRPr="00413234" w:rsidRDefault="0049186C" w:rsidP="0049186C">
      <w:pPr>
        <w:pStyle w:val="Paragrafi"/>
        <w:rPr>
          <w:spacing w:val="-4"/>
          <w:lang w:val="sq-AL"/>
        </w:rPr>
      </w:pPr>
      <w:r w:rsidRPr="00413234">
        <w:rPr>
          <w:spacing w:val="-4"/>
          <w:lang w:val="sq-AL"/>
        </w:rPr>
        <w:t xml:space="preserve">8. </w:t>
      </w:r>
      <w:r>
        <w:rPr>
          <w:spacing w:val="-4"/>
          <w:lang w:val="sq-AL"/>
        </w:rPr>
        <w:t>Konsumatori jofamiljar</w:t>
      </w:r>
      <w:r w:rsidRPr="00413234">
        <w:rPr>
          <w:spacing w:val="-4"/>
          <w:lang w:val="sq-AL"/>
        </w:rPr>
        <w:t xml:space="preserve"> që përdor bombol të mbushur me GLN, duhet të jetë i pajisur me një kontratë sigurimi me një shoqëri sigurimesh, për të garantuar rimbursimin e dëmeve të shkaktuara ndaj palëve të treta, në rast aksidenti prej këtyre sistemeve dhe bombolave të GLN-së. </w:t>
      </w:r>
    </w:p>
    <w:p w:rsidR="0049186C" w:rsidRPr="00D11539" w:rsidRDefault="0049186C" w:rsidP="0049186C">
      <w:pPr>
        <w:pStyle w:val="Paragrafi"/>
        <w:rPr>
          <w:b/>
          <w:spacing w:val="-4"/>
          <w:lang w:val="sq-AL"/>
        </w:rPr>
      </w:pPr>
      <w:r w:rsidRPr="00D11539">
        <w:rPr>
          <w:b/>
          <w:spacing w:val="-4"/>
          <w:lang w:val="sq-AL"/>
        </w:rPr>
        <w:t xml:space="preserve">VII. Organi i specializuar i kontrollit të kushteve dhe rregullave teknike të tregut të hidrokarbureve që përfshin GLN-në </w:t>
      </w:r>
    </w:p>
    <w:p w:rsidR="0049186C" w:rsidRPr="00413234" w:rsidRDefault="0049186C" w:rsidP="0049186C">
      <w:pPr>
        <w:pStyle w:val="Paragrafi"/>
        <w:rPr>
          <w:spacing w:val="-4"/>
          <w:lang w:val="sq-AL"/>
        </w:rPr>
      </w:pPr>
      <w:r w:rsidRPr="00413234">
        <w:rPr>
          <w:spacing w:val="-4"/>
          <w:lang w:val="sq-AL"/>
        </w:rPr>
        <w:t xml:space="preserve">Organi i specializuar për kontrollin e të gjitha kushteve dhe rregullave teknike të tregut të hidrokarbureve, që përfshin GLN-në, është Inspektorati Shtetëror Teknik dhe Industrial, i cili </w:t>
      </w:r>
      <w:r w:rsidRPr="00413234">
        <w:rPr>
          <w:spacing w:val="-4"/>
          <w:lang w:val="sq-AL"/>
        </w:rPr>
        <w:lastRenderedPageBreak/>
        <w:t xml:space="preserve">përgjigjet për mbikëqyrjen e respektimit të kërkesave të përcaktuara në këtë vendim dhe rregullat e tjera teknike në fuqi. </w:t>
      </w:r>
    </w:p>
    <w:p w:rsidR="0049186C" w:rsidRPr="00413234" w:rsidRDefault="0049186C" w:rsidP="0049186C">
      <w:pPr>
        <w:pStyle w:val="Paragrafi"/>
        <w:rPr>
          <w:b/>
          <w:spacing w:val="-4"/>
          <w:lang w:val="sq-AL"/>
        </w:rPr>
      </w:pPr>
      <w:r w:rsidRPr="00413234">
        <w:rPr>
          <w:b/>
          <w:spacing w:val="-4"/>
          <w:lang w:val="sq-AL"/>
        </w:rPr>
        <w:t>VIII. Periudha transitore</w:t>
      </w:r>
    </w:p>
    <w:p w:rsidR="0049186C" w:rsidRPr="00413234" w:rsidRDefault="0049186C" w:rsidP="0049186C">
      <w:pPr>
        <w:pStyle w:val="Paragrafi"/>
        <w:rPr>
          <w:spacing w:val="-4"/>
          <w:lang w:val="sq-AL"/>
        </w:rPr>
      </w:pPr>
      <w:r w:rsidRPr="00413234">
        <w:rPr>
          <w:spacing w:val="-4"/>
          <w:lang w:val="sq-AL"/>
        </w:rPr>
        <w:t>1. Detyrimi i përcaktuar në pikën 4, të kreut VI, hyn në fuqi:</w:t>
      </w:r>
    </w:p>
    <w:p w:rsidR="0049186C" w:rsidRPr="00413234" w:rsidRDefault="0049186C" w:rsidP="0049186C">
      <w:pPr>
        <w:pStyle w:val="Paragrafi"/>
        <w:rPr>
          <w:spacing w:val="-4"/>
          <w:lang w:val="sq-AL"/>
        </w:rPr>
      </w:pPr>
      <w:r w:rsidRPr="00413234">
        <w:rPr>
          <w:spacing w:val="-4"/>
          <w:lang w:val="sq-AL"/>
        </w:rPr>
        <w:t>a) për përdoruesit jofamiljarë, pas 1 viti, nga hyrja në fuqi e këtij vendimi;</w:t>
      </w:r>
    </w:p>
    <w:p w:rsidR="0049186C" w:rsidRDefault="0049186C" w:rsidP="0049186C">
      <w:pPr>
        <w:pStyle w:val="Paragrafi"/>
        <w:rPr>
          <w:spacing w:val="-4"/>
          <w:lang w:val="sq-AL"/>
        </w:rPr>
      </w:pPr>
    </w:p>
    <w:p w:rsidR="0049186C" w:rsidRPr="00413234" w:rsidRDefault="0049186C" w:rsidP="0049186C">
      <w:pPr>
        <w:pStyle w:val="Paragrafi"/>
        <w:rPr>
          <w:spacing w:val="-4"/>
          <w:lang w:val="sq-AL"/>
        </w:rPr>
      </w:pPr>
      <w:r w:rsidRPr="00413234">
        <w:rPr>
          <w:spacing w:val="-4"/>
          <w:lang w:val="sq-AL"/>
        </w:rPr>
        <w:t>b) për përdoruesit familjarë, pas 2 vitesh, nga hyrja në fuqi e këtij ligji.</w:t>
      </w:r>
    </w:p>
    <w:p w:rsidR="0049186C" w:rsidRPr="00413234" w:rsidRDefault="0049186C" w:rsidP="0049186C">
      <w:pPr>
        <w:pStyle w:val="Paragrafi"/>
        <w:rPr>
          <w:spacing w:val="-4"/>
          <w:lang w:val="sq-AL"/>
        </w:rPr>
      </w:pPr>
      <w:r w:rsidRPr="00413234">
        <w:rPr>
          <w:spacing w:val="-4"/>
          <w:lang w:val="sq-AL"/>
        </w:rPr>
        <w:t>2. Bombolat që mbushen me GLN, që qarkullojnë në treg përpara hyrjes në fuqi të këtij vendimi dhe nuk janë të pajisura me deklaratën e konformitetit, sipas parashikimeve të këtij vendimi, duhet t’i nënshtrohen kontrollit teknik të vlerësimit të konformitetit prej organeve të miratuara/orga</w:t>
      </w:r>
      <w:r>
        <w:rPr>
          <w:spacing w:val="-4"/>
          <w:lang w:val="sq-AL"/>
        </w:rPr>
        <w:t>-</w:t>
      </w:r>
      <w:r w:rsidRPr="00413234">
        <w:rPr>
          <w:spacing w:val="-4"/>
          <w:lang w:val="sq-AL"/>
        </w:rPr>
        <w:t>nizmave evropiane të notifikuara, sipas përcakti</w:t>
      </w:r>
      <w:r>
        <w:rPr>
          <w:spacing w:val="-4"/>
          <w:lang w:val="sq-AL"/>
        </w:rPr>
        <w:t>-</w:t>
      </w:r>
      <w:r w:rsidRPr="00413234">
        <w:rPr>
          <w:spacing w:val="-4"/>
          <w:lang w:val="sq-AL"/>
        </w:rPr>
        <w:t>meve në ligjin nr. 10489, datë 15.12.2011, “Për tregtimin dhe mbikëqyrjen e tregut të produkteve joushqimore”, të ndryshuar (OM/OEN), brenda 12 muajve nga hyrja në fuqi e këtij vendimi.</w:t>
      </w:r>
    </w:p>
    <w:p w:rsidR="0049186C" w:rsidRPr="00413234" w:rsidRDefault="0049186C" w:rsidP="0049186C">
      <w:pPr>
        <w:pStyle w:val="Paragrafi"/>
        <w:rPr>
          <w:spacing w:val="-4"/>
          <w:lang w:val="sq-AL"/>
        </w:rPr>
      </w:pPr>
      <w:r w:rsidRPr="00413234">
        <w:rPr>
          <w:spacing w:val="-4"/>
          <w:lang w:val="sq-AL"/>
        </w:rPr>
        <w:t>Deri në miratimin e organeve të akredituara për vlerësimin e konformitetit të bombolave të GLN-së, ky proces do të kryhet në përputhje me parashikimet e urdhrit përkatës të ministrit përgjegjës për hidrokarburet.</w:t>
      </w:r>
    </w:p>
    <w:p w:rsidR="0049186C" w:rsidRPr="00413234" w:rsidRDefault="0049186C" w:rsidP="0049186C">
      <w:pPr>
        <w:pStyle w:val="Paragrafi"/>
        <w:rPr>
          <w:spacing w:val="-4"/>
          <w:lang w:val="sq-AL"/>
        </w:rPr>
      </w:pPr>
      <w:r w:rsidRPr="00413234">
        <w:rPr>
          <w:spacing w:val="-4"/>
          <w:lang w:val="sq-AL"/>
        </w:rPr>
        <w:t>3. Në rast se, nga kontrolli teknik, rezulton se bombola nuk plotëson kërkesat e sigurisë teknike, atëherë ajo duhet të dalë jashtë përdorimit. Në rastet e tjera, OM/OEN lëshon një deklaratë konformiteti, e cila shoqëron bombolën.</w:t>
      </w:r>
    </w:p>
    <w:p w:rsidR="0049186C" w:rsidRPr="00413234" w:rsidRDefault="0049186C" w:rsidP="0049186C">
      <w:pPr>
        <w:pStyle w:val="Paragrafi"/>
        <w:rPr>
          <w:b/>
          <w:spacing w:val="-4"/>
          <w:lang w:val="sq-AL"/>
        </w:rPr>
      </w:pPr>
      <w:r w:rsidRPr="00413234">
        <w:rPr>
          <w:b/>
          <w:spacing w:val="-4"/>
          <w:lang w:val="sq-AL"/>
        </w:rPr>
        <w:t xml:space="preserve">IX. Dispozita përfundimtare </w:t>
      </w:r>
    </w:p>
    <w:p w:rsidR="0049186C" w:rsidRPr="00413234" w:rsidRDefault="0049186C" w:rsidP="0049186C">
      <w:pPr>
        <w:pStyle w:val="Paragrafi"/>
        <w:rPr>
          <w:spacing w:val="-4"/>
          <w:lang w:val="sq-AL"/>
        </w:rPr>
      </w:pPr>
      <w:r w:rsidRPr="00413234">
        <w:rPr>
          <w:spacing w:val="-4"/>
          <w:lang w:val="sq-AL"/>
        </w:rPr>
        <w:t>Ngarkohet Ministria e Energjisë dhe Industrisë për zbatimin e këtij vendimi.</w:t>
      </w:r>
    </w:p>
    <w:p w:rsidR="0049186C" w:rsidRPr="00413234" w:rsidRDefault="0049186C" w:rsidP="0049186C">
      <w:pPr>
        <w:pStyle w:val="Paragrafi"/>
        <w:rPr>
          <w:spacing w:val="-4"/>
          <w:lang w:val="sq-AL"/>
        </w:rPr>
      </w:pPr>
      <w:r w:rsidRPr="00413234">
        <w:rPr>
          <w:spacing w:val="-4"/>
          <w:lang w:val="sq-AL"/>
        </w:rPr>
        <w:t>Ky vendim hyn në fuqi pas botimit në Fletoren Zyrtare.</w:t>
      </w:r>
    </w:p>
    <w:p w:rsidR="0049186C" w:rsidRPr="00F52CBF" w:rsidRDefault="0049186C" w:rsidP="0049186C">
      <w:pPr>
        <w:pStyle w:val="Hapesira7"/>
        <w:rPr>
          <w:sz w:val="4"/>
          <w:lang w:val="sq-AL"/>
        </w:rPr>
      </w:pPr>
    </w:p>
    <w:p w:rsidR="00B25C8D" w:rsidRDefault="00B25C8D" w:rsidP="0049186C">
      <w:pPr>
        <w:pStyle w:val="Paragrafi"/>
        <w:jc w:val="right"/>
        <w:rPr>
          <w:spacing w:val="-4"/>
          <w:lang w:val="sq-AL"/>
        </w:rPr>
      </w:pPr>
    </w:p>
    <w:p w:rsidR="0049186C" w:rsidRPr="00413234" w:rsidRDefault="0049186C" w:rsidP="0049186C">
      <w:pPr>
        <w:pStyle w:val="Paragrafi"/>
        <w:jc w:val="right"/>
        <w:rPr>
          <w:spacing w:val="-4"/>
          <w:lang w:val="sq-AL"/>
        </w:rPr>
      </w:pPr>
      <w:bookmarkStart w:id="0" w:name="_GoBack"/>
      <w:bookmarkEnd w:id="0"/>
      <w:r w:rsidRPr="00413234">
        <w:rPr>
          <w:spacing w:val="-4"/>
          <w:lang w:val="sq-AL"/>
        </w:rPr>
        <w:t>ZËVENDËSKRYEMINISTRI</w:t>
      </w:r>
    </w:p>
    <w:p w:rsidR="0049186C" w:rsidRPr="00413234" w:rsidRDefault="0049186C" w:rsidP="0049186C">
      <w:pPr>
        <w:pStyle w:val="Paragrafi"/>
        <w:jc w:val="right"/>
        <w:rPr>
          <w:b/>
          <w:spacing w:val="-4"/>
          <w:lang w:val="sq-AL"/>
        </w:rPr>
      </w:pPr>
      <w:r w:rsidRPr="00413234">
        <w:rPr>
          <w:b/>
          <w:spacing w:val="-4"/>
          <w:lang w:val="sq-AL"/>
        </w:rPr>
        <w:t>Niko Peleshi</w:t>
      </w:r>
    </w:p>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86C"/>
    <w:rsid w:val="00110001"/>
    <w:rsid w:val="0049186C"/>
    <w:rsid w:val="00B25C8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9186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9186C"/>
    <w:rPr>
      <w:rFonts w:ascii="Garamond" w:eastAsia="MS Mincho" w:hAnsi="Garamond" w:cs="CG Times"/>
      <w:sz w:val="24"/>
      <w:lang w:val="en-US"/>
    </w:rPr>
  </w:style>
  <w:style w:type="paragraph" w:customStyle="1" w:styleId="NeniNr">
    <w:name w:val="Neni_Nr"/>
    <w:next w:val="Normal"/>
    <w:link w:val="NeniNrChar"/>
    <w:rsid w:val="0049186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9186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9186C"/>
    <w:rPr>
      <w:rFonts w:ascii="Garamond" w:eastAsia="MS Mincho" w:hAnsi="Garamond" w:cs="CG Times"/>
      <w:sz w:val="24"/>
      <w:lang w:val="en-GB"/>
    </w:rPr>
  </w:style>
  <w:style w:type="paragraph" w:customStyle="1" w:styleId="Hapesira7">
    <w:name w:val="Hapesira 7"/>
    <w:basedOn w:val="Paragrafi"/>
    <w:qFormat/>
    <w:rsid w:val="0049186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9186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9186C"/>
    <w:rPr>
      <w:rFonts w:ascii="Garamond" w:eastAsia="MS Mincho" w:hAnsi="Garamond" w:cs="CG Times"/>
      <w:sz w:val="24"/>
      <w:lang w:val="en-US"/>
    </w:rPr>
  </w:style>
  <w:style w:type="paragraph" w:customStyle="1" w:styleId="NeniNr">
    <w:name w:val="Neni_Nr"/>
    <w:next w:val="Normal"/>
    <w:link w:val="NeniNrChar"/>
    <w:rsid w:val="0049186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9186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9186C"/>
    <w:rPr>
      <w:rFonts w:ascii="Garamond" w:eastAsia="MS Mincho" w:hAnsi="Garamond" w:cs="CG Times"/>
      <w:sz w:val="24"/>
      <w:lang w:val="en-GB"/>
    </w:rPr>
  </w:style>
  <w:style w:type="paragraph" w:customStyle="1" w:styleId="Hapesira7">
    <w:name w:val="Hapesira 7"/>
    <w:basedOn w:val="Paragrafi"/>
    <w:qFormat/>
    <w:rsid w:val="0049186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1972</Words>
  <Characters>11246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2</cp:revision>
  <dcterms:created xsi:type="dcterms:W3CDTF">2016-03-30T07:44:00Z</dcterms:created>
  <dcterms:modified xsi:type="dcterms:W3CDTF">2018-01-17T08:57:00Z</dcterms:modified>
</cp:coreProperties>
</file>