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CA0" w:rsidRPr="008366AC" w:rsidRDefault="00AF5CA0" w:rsidP="00AF5CA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8366AC">
        <w:rPr>
          <w:spacing w:val="-4"/>
          <w:lang w:val="sq-AL"/>
        </w:rPr>
        <w:t>VENDIM</w:t>
      </w:r>
    </w:p>
    <w:p w:rsidR="00AF5CA0" w:rsidRPr="008366AC" w:rsidRDefault="00AF5CA0" w:rsidP="00AF5CA0">
      <w:pPr>
        <w:pStyle w:val="NeniTitull"/>
        <w:rPr>
          <w:spacing w:val="-4"/>
          <w:lang w:val="sq-AL"/>
        </w:rPr>
      </w:pPr>
      <w:r w:rsidRPr="008366AC">
        <w:rPr>
          <w:spacing w:val="-4"/>
          <w:lang w:val="sq-AL"/>
        </w:rPr>
        <w:t>Nr. 319, datë 27.4.2016</w:t>
      </w:r>
    </w:p>
    <w:p w:rsidR="00AF5CA0" w:rsidRPr="008366AC" w:rsidRDefault="00AF5CA0" w:rsidP="00AF5CA0">
      <w:pPr>
        <w:pStyle w:val="Hapesira7"/>
        <w:rPr>
          <w:lang w:val="sq-AL"/>
        </w:rPr>
      </w:pPr>
    </w:p>
    <w:p w:rsidR="00AF5CA0" w:rsidRPr="008366AC" w:rsidRDefault="00AF5CA0" w:rsidP="00AF5CA0">
      <w:pPr>
        <w:pStyle w:val="NeniTitull"/>
        <w:rPr>
          <w:spacing w:val="-4"/>
          <w:vertAlign w:val="superscript"/>
          <w:lang w:val="sq-AL"/>
        </w:rPr>
      </w:pPr>
      <w:r w:rsidRPr="008366AC">
        <w:rPr>
          <w:spacing w:val="-4"/>
          <w:lang w:val="sq-AL"/>
        </w:rPr>
        <w:t>PËR PËRCAKTIMIN E PROCEDURËS E TË METODËS SË TESTIMIT TË VARIETETEVE</w:t>
      </w:r>
      <w:r w:rsidRPr="008366AC">
        <w:rPr>
          <w:spacing w:val="-4"/>
          <w:vertAlign w:val="superscript"/>
          <w:lang w:val="sq-AL"/>
        </w:rPr>
        <w:footnoteReference w:id="1"/>
      </w:r>
    </w:p>
    <w:p w:rsidR="00AF5CA0" w:rsidRPr="008366AC" w:rsidRDefault="00AF5CA0" w:rsidP="00AF5CA0">
      <w:pPr>
        <w:pStyle w:val="Hapesira7"/>
        <w:rPr>
          <w:lang w:val="sq-AL"/>
        </w:rPr>
      </w:pP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Në mbështetje të nenit 100 të Kushtetutës dhe të pikës 6, të nenit 33, të ligjit nr. 10416, datë 7.4.2011, “Për materialin mbjellës dhe shumëzues bimor”, me propozimin e ministrit të Bujqësisë, Zhvillimit Rural dhe Administrimit të Ujërave, Këshilli i Ministrave</w:t>
      </w:r>
    </w:p>
    <w:p w:rsidR="00AF5CA0" w:rsidRPr="008366AC" w:rsidRDefault="00AF5CA0" w:rsidP="00AF5CA0">
      <w:pPr>
        <w:pStyle w:val="Hapesira7"/>
        <w:rPr>
          <w:lang w:val="sq-AL"/>
        </w:rPr>
      </w:pPr>
    </w:p>
    <w:p w:rsidR="00AF5CA0" w:rsidRPr="008366AC" w:rsidRDefault="00AF5CA0" w:rsidP="00AF5CA0">
      <w:pPr>
        <w:pStyle w:val="NeniNr"/>
        <w:rPr>
          <w:spacing w:val="-4"/>
          <w:lang w:val="sq-AL"/>
        </w:rPr>
      </w:pPr>
      <w:r w:rsidRPr="008366AC">
        <w:rPr>
          <w:spacing w:val="-4"/>
          <w:lang w:val="sq-AL"/>
        </w:rPr>
        <w:t>VENDOSI:</w:t>
      </w:r>
    </w:p>
    <w:p w:rsidR="00AF5CA0" w:rsidRPr="008366AC" w:rsidRDefault="00AF5CA0" w:rsidP="00AF5CA0">
      <w:pPr>
        <w:pStyle w:val="Hapesira7"/>
        <w:rPr>
          <w:lang w:val="sq-AL"/>
        </w:rPr>
      </w:pP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</w:t>
      </w:r>
      <w:r w:rsidRPr="008366AC">
        <w:rPr>
          <w:spacing w:val="-4"/>
          <w:lang w:val="sq-AL"/>
        </w:rPr>
        <w:t>. TË PËRGJITHSHME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1. Qëllimi i këtij vendimi është të përcaktojë kriteret, procedurat dhe metodat e testimit të varieteteve për dallueshmëri, uniformitet dhe stabilitet (DUS) dhe vlerën e kultivimit dhe përdorimit (VKP) me qëllim regjistrimin e tyre në Katalogun Kombëtar (KK).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2. Të gjithë termat e përcaktuar në ligjin nr. 10416, datë 7.4.2011, “Për materialin mbjellës dhe shumëzues bimor”, kanë të njëjtin kuptim edhe në këtë vendim.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II. KRITERET QË DUHET TË PLOTË</w:t>
      </w:r>
      <w:r>
        <w:rPr>
          <w:spacing w:val="-4"/>
          <w:lang w:val="sq-AL"/>
        </w:rPr>
        <w:t>-</w:t>
      </w:r>
      <w:r w:rsidRPr="008366AC">
        <w:rPr>
          <w:spacing w:val="-4"/>
          <w:lang w:val="sq-AL"/>
        </w:rPr>
        <w:t>SOJË NJË VARIETET QË TESTOHET PËR DALLUESHMËRI, UNIFORMITET DHE STABILITET DHE PËR VLERËN E KULTI</w:t>
      </w:r>
      <w:r>
        <w:rPr>
          <w:spacing w:val="-4"/>
          <w:lang w:val="sq-AL"/>
        </w:rPr>
        <w:t>-</w:t>
      </w:r>
      <w:r w:rsidRPr="008366AC">
        <w:rPr>
          <w:spacing w:val="-4"/>
          <w:lang w:val="sq-AL"/>
        </w:rPr>
        <w:t>VIMIT DHE PËRDORIMIT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1. Një varietet konsiderohet i dallueshëm nëse, pavarësisht nga origjina e tij nga e cila ka rezultuar, është qartësisht i dallueshëm për një ose më shumë karakteristika të rëndësishme në raport me një varietet tjetër të regjistruar si i tillë.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2. Një varietet konsiderohet i qëndrueshëm nëse pas shumëzimesh të njëpasnjëshme ose në fund të çdo cikli ai mbetet i njëjtë me përshkrimin e karakteristikave thelbësore të tij.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3. Një varietet konsiderohet uniform nëse përveç devijimeve shumë të vogla, bimët e tij shfaqin tipare dalluese gjenetikisht të ngjashme ose identike me karakteristikat e përshkruara të këtij varieteti.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4. Vlera e kultivimit dhe përdorimit të varietetit konsiderohet e kënaqshme nëse krahasuar me varietetin dëshmues të regjistruar në Katalogun Kombëtar, cilësitë e tij ofrojnë të paktën përmirësim të qartë dhe të dukshëm të kultivimit apo prodhimit ose të produkteve që rrjedhin prej tyre.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5. Provat për testimin e varieteteve për VKP-në kryhen sipas këtyre afateve: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a) Për varietetin e krijuar në vend, për 1 (një) vit;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b) Për varietetin e krijuar në shtetet anëtare të BE-së apo në shtetet që kanë nënshkruar konventën e UPOV-it, për 1 (një) vit;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c) Për varietetet e prodhuara në vendet që nuk janë anëtare të BE-së apo që nuk kanë nënshkruar konventën e UPOV-it, për 2 (dy) vite radhazi.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6. Provat për testimin e varieteteve për DUS-in, për të gjitha varietetet e bimëve bujqësore që testohen, kryhen për jo më pak se 2 (dy) vite radhazi.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7. Treguesit për vlerën e kultivimit dhe përdorimit të një varieteti që testohet për t’u regjistruar në Katalogun Kombëtar janë përcaktuar në shtojcën 1, të këtij vendimi.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8. Lejohen të vendosen në treg, pa kryer procedurat për testim: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a) farat e bimëve të familjes graminore që nuk kanë destinacion prodhimin foragjer;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b) varietetet e bimëve bujqësore, që janë miratuar në një nga vendet anëtare të BE-së ose në një nga shtetet nënshkruese të UPOV-it, me kushtin që furnizuesi të paraqesë pranë ESHFF-së skedën me të dhënat e varietetit të miratuar në vendin përkatës;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c) linjat (linjat </w:t>
      </w:r>
      <w:r w:rsidRPr="008366AC">
        <w:rPr>
          <w:i/>
          <w:spacing w:val="-4"/>
          <w:lang w:val="sq-AL"/>
        </w:rPr>
        <w:t>inbreed</w:t>
      </w:r>
      <w:r w:rsidRPr="008366AC">
        <w:rPr>
          <w:spacing w:val="-4"/>
          <w:lang w:val="sq-AL"/>
        </w:rPr>
        <w:t xml:space="preserve">, hibridet) të cilat janë të destinuara vetëm si komponentë për prodhimin e hibrideve. 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III. KUSHTET QË DUHET TË PLOTË</w:t>
      </w:r>
      <w:r>
        <w:rPr>
          <w:spacing w:val="-4"/>
          <w:lang w:val="sq-AL"/>
        </w:rPr>
        <w:t>-</w:t>
      </w:r>
      <w:r w:rsidRPr="008366AC">
        <w:rPr>
          <w:spacing w:val="-4"/>
          <w:lang w:val="sq-AL"/>
        </w:rPr>
        <w:t>SOJË SUBJEKTI PËR TESTIMIN E NJË VARIETETI PËR T’U REGJISTRUAR NË KATALOGUN KOMBËTAR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1. Subjekti, që kërkon të testojë një varietet për regjistrimin në Katalogun Kombëtar, duhet të paraqesë pranë ESHFF-së: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a) kërkesën me shkrim;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b) skedën me karakteristikat e varietetit;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c) fotografi të bimës apo </w:t>
      </w:r>
      <w:r>
        <w:rPr>
          <w:spacing w:val="-4"/>
          <w:lang w:val="sq-AL"/>
        </w:rPr>
        <w:t xml:space="preserve">të </w:t>
      </w:r>
      <w:r w:rsidRPr="008366AC">
        <w:rPr>
          <w:spacing w:val="-4"/>
          <w:lang w:val="sq-AL"/>
        </w:rPr>
        <w:t xml:space="preserve">frytit të saj, për kategoritë e bimëve bujqësore si drithërat, bimët industriale, </w:t>
      </w:r>
      <w:r w:rsidRPr="008366AC">
        <w:rPr>
          <w:spacing w:val="-4"/>
          <w:lang w:val="sq-AL"/>
        </w:rPr>
        <w:lastRenderedPageBreak/>
        <w:t>perimet, foragjeret, patatja, bimët medicinale dhe aromatike, bimët vajore e fibroze, pemët frutore, hardhitë dhe drurët dekorativë pyjorë;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ç) të dhëna për sasinë e farës për mbjellje të çdo varieteti;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d) të dhëna për origjinën e varietetit;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dh) </w:t>
      </w:r>
      <w:r w:rsidRPr="008366AC">
        <w:rPr>
          <w:spacing w:val="-4"/>
          <w:lang w:val="sq-AL"/>
        </w:rPr>
        <w:tab/>
        <w:t>faturën e pagesës sipas tarifave të përcaktuara në udhëzimin e përbashkët të ministrit të Bujqësisë, Zhvillimit Rural dhe Administrimit të Ujërave dhe ministrit të Financave.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2. Forma dhe përmbajtja e kërkesës për aplikim për testimin e varietetit është e përcaktuar në shtojcën 2, të këtij vendimi.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3. Për rastet kur testimi kryhet nga subjektet private, kushtet që duhet të plotësojë subjekti dhe dokumentacioni që duhet të paraqesë për testimin e një varieteti për regjistrimin e tij në Katalogun Kombëtar përcaktohen sipas procedurave që aplikohen për prokurimin publik.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4. Sasia e farës për mbjellje për çdo varietet që testohet për t’u regjistruar në Katalogun Kombëtar është përcaktuar në shtojcën 3, të këtij vendimi.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IV. PROCEDURA DHE METODA PËR TESTIMIN E NJË VARIETETI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1. Procedurat e testimit për regjistrimin e varietetit në Katalogun Kombëtar realizohen nga ESHFF-ja ose nga subjektet publike apo private, sipas përcaktimit në kreun IX, të ligjit nr. 10416, datë 7.4.2011, “Për materialin mbjellës dhe shumëzues bimor”.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2. ESHFF-ja, bazuar në metodikat e hartuara dhe të miratuara nga Komisioni i Vlerësimit të Varieteteve për Regjistrimin në Katalogun Kombëtar (KVVRKK), kryen provat e testimit sipas kësaj procedure: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a) Përgatit mostrat e materialit mbjellës e shumëzues bimor për t’i dërguar për mbjellje në pikat e miratuara me urdhër të ministrit për testimin e varieteteve;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b) Vendos kodin e veçantë për çdo mostër dhe bën regjistrimin e tyre në regjistrin përkatës;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bookmarkStart w:id="2" w:name="OLE_LINK7"/>
      <w:r w:rsidRPr="008366AC">
        <w:rPr>
          <w:spacing w:val="-4"/>
          <w:lang w:val="sq-AL"/>
        </w:rPr>
        <w:t>c) Nënshkruan kontratë shërbimi me subjektet private fituese në konkurrimin publik, për kryerjen e provave të testimit në përputhje me kërkesat e pikës 2, të nenit 52, të ligjit nr. 10416, datë 7.4.2011, “Për materialin mbjellës dhe shumëzues bimor”;</w:t>
      </w:r>
      <w:bookmarkStart w:id="3" w:name="OLE_LINK6"/>
      <w:bookmarkStart w:id="4" w:name="OLE_LINK5"/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ç)</w:t>
      </w:r>
      <w:r w:rsidRPr="008366AC">
        <w:rPr>
          <w:spacing w:val="-4"/>
          <w:lang w:val="sq-AL"/>
        </w:rPr>
        <w:tab/>
        <w:t xml:space="preserve">Nënshkruan marrëveshje me subjektet publike për kryerjen e procedurave të testimit që nuk </w:t>
      </w:r>
      <w:r>
        <w:rPr>
          <w:spacing w:val="-4"/>
          <w:lang w:val="sq-AL"/>
        </w:rPr>
        <w:t>u</w:t>
      </w:r>
      <w:r w:rsidRPr="008366AC">
        <w:rPr>
          <w:spacing w:val="-4"/>
          <w:lang w:val="sq-AL"/>
        </w:rPr>
        <w:t xml:space="preserve"> nënshtrohen procedurave të prokurimit publik. Forma dhe përmbajtja e marrëveshjes për kryerjen e procedurave të testimit nga subjektet publike është përcaktuar në shtojcën 4, të këtij vendimi;</w:t>
      </w:r>
    </w:p>
    <w:bookmarkEnd w:id="2"/>
    <w:bookmarkEnd w:id="3"/>
    <w:bookmarkEnd w:id="4"/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d) Në bashkëpunim me subjektin publik apo privat të autorizuar, përgatit skemën e nevojshme për testim, piketimin e ngastrës dhe ndjek procedurën e mbjelljes sipas skemës përkatëse;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dh) </w:t>
      </w:r>
      <w:r w:rsidRPr="008366AC">
        <w:rPr>
          <w:spacing w:val="-4"/>
          <w:lang w:val="sq-AL"/>
        </w:rPr>
        <w:tab/>
        <w:t xml:space="preserve">Pajis subjektin publik apo privat të autorizuar me metodikën tip, të miratuar nga KVVRKK-ja sipas varieteteve; 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e) Në përfundim të periudhës së testimit subjekti publik apo privat, i autorizuar, dorëzon të plotësuar dokumentacionin përkatës në ESHFF;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ë) </w:t>
      </w:r>
      <w:r w:rsidRPr="008366AC">
        <w:rPr>
          <w:spacing w:val="-4"/>
          <w:lang w:val="sq-AL"/>
        </w:rPr>
        <w:tab/>
        <w:t>Pas përfundimit të çdo testimi vjetor, ESHFF-ja duhet të plotësojë një raport të ndërmjetëm të testimit për dallueshmëri, uniformitet dhe stabilitet. Ky raport duhet të përmbajë rezultatet paraprake të testimit për DUS-in dhe problematikën e konstatuar gjatë testimit. Forma dhe përmbajtja e formularit për raportin e ndërmjetëm është përcaktuar në shtojcën 5, të këtij vendimi.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f) Pas përfundimit të testimit ESHFF-ja plotëson raportin e testimit për dallueshmëri, uniformitet dhe stabilitet, ku përcaktohet nëse varieteti i ri është i dallueshëm, uniform dhe i qëndrueshëm. Forma dhe përmbajtja e formularit për raportin përfundimtar është përcaktuar në shtojcën 6, të këtij vendimi;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g) KVVRKK-ja analizon rezultatet e testimit dhe merr vendim për të regjistruar në Katalogun Kombëtar varietetin, vetëm nëse është i dallueshëm, i qëndrueshëm dhe uniform, si dhe të ketë vlerë të kënaqshme për kultivim dhe përdorim;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gj) </w:t>
      </w:r>
      <w:r w:rsidRPr="008366AC">
        <w:rPr>
          <w:spacing w:val="-4"/>
          <w:lang w:val="sq-AL"/>
        </w:rPr>
        <w:tab/>
        <w:t xml:space="preserve">Vlerësimi i dosjes për testimin e një varieteti nga ESHFF-ja, </w:t>
      </w:r>
      <w:bookmarkStart w:id="5" w:name="OLE_LINK11"/>
      <w:bookmarkStart w:id="6" w:name="OLE_LINK10"/>
      <w:r w:rsidRPr="008366AC">
        <w:rPr>
          <w:spacing w:val="-4"/>
          <w:lang w:val="sq-AL"/>
        </w:rPr>
        <w:t>për rastet kur kryhet nga subjektet shtetërore apo edhe për rastet kur testimi kryhet nga subjektet private, sipas përcaktimit të këtij vendimi</w:t>
      </w:r>
      <w:bookmarkEnd w:id="5"/>
      <w:bookmarkEnd w:id="6"/>
      <w:r w:rsidRPr="008366AC">
        <w:rPr>
          <w:spacing w:val="-4"/>
          <w:lang w:val="sq-AL"/>
        </w:rPr>
        <w:t xml:space="preserve">, duhet të përfundojë brenda 45 ditëve; 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h) </w:t>
      </w:r>
      <w:r w:rsidRPr="008366AC">
        <w:rPr>
          <w:spacing w:val="-4"/>
          <w:lang w:val="sq-AL"/>
        </w:rPr>
        <w:tab/>
        <w:t>Kur ESHFF-ja ose subjekti publik apo privat, i autorizuar, nuk e përfundon këtë procedurë brenda afatit të përcaktuar në shkronjën “gj”, i interesuari dorëzon ankesën pranë ESHFF-së brenda 10 ditëve nga data e marrjes dijeni dhe ESHFF-ja detyrohet t’i kthejë përgjigje subjektit brenda 15 ditëve nga data e paraqitjes së ankimit;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i) </w:t>
      </w:r>
      <w:r w:rsidRPr="008366AC">
        <w:rPr>
          <w:spacing w:val="-4"/>
          <w:lang w:val="sq-AL"/>
        </w:rPr>
        <w:tab/>
        <w:t>Nëse ESHFF-ja nuk i përgjigjet subjektit brenda afateve të përcaktuara më lart, atëherë i interesuari dorëzon ankesën pranë ministrit, i cili duhet t’i kthejë përgjigje subjektit ankues brenda 15 ditëve nga data e paraqitjes së ankesës.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V. PËRPUNIMI I TË DHËNAVE, PËRGA</w:t>
      </w:r>
      <w:r>
        <w:rPr>
          <w:spacing w:val="-4"/>
          <w:lang w:val="sq-AL"/>
        </w:rPr>
        <w:t>-</w:t>
      </w:r>
      <w:r w:rsidRPr="008366AC">
        <w:rPr>
          <w:spacing w:val="-4"/>
          <w:lang w:val="sq-AL"/>
        </w:rPr>
        <w:t>TITJA E DOSJES PËR KOMISIONIN E VLERËSIMIT TË VARIETETEVE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1. Sektori përgjegjës për testimin në ESHFF, si në rastet kur testimi kryhet nga vetë ESHFF-ja edhe në </w:t>
      </w:r>
      <w:r w:rsidRPr="008366AC">
        <w:rPr>
          <w:spacing w:val="-4"/>
          <w:lang w:val="sq-AL"/>
        </w:rPr>
        <w:lastRenderedPageBreak/>
        <w:t>rastin kur testimi kryhet nga subjekti publik apo privat, sipas përcaktimit të këtij vendimi, përpilon një dosje me të dhëna për çdo varietet të specieve të bimëve bujqësore që testohen, e cila përmban një përshkrim të qartë të punës për zbatimin e të gjitha kërkesave të metodikës përkatëse.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2. </w:t>
      </w:r>
      <w:r w:rsidRPr="008366AC">
        <w:rPr>
          <w:spacing w:val="-4"/>
          <w:lang w:val="sq-AL"/>
        </w:rPr>
        <w:tab/>
        <w:t>Së bashku me dosjen e të dhënave, duhet të depozitohet dhe kampioni i nevojshëm i farës së varietetit që testohet, për kryerjen e analizave biometrike në laboratorin e referencës.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3. Laboratori i referencës, bazuar në metodikën tip, kryen analizat biometrike sipas zonave të testimit dhe pajis kampionin me fletanalizën përkatëse.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4. Bazuar në të dhënat e zonave të testimit dhe analizave laboratorike, sektori përgjegjës për testimin përgatit raportin përfundimtar për KVVRKK-në. 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5. ESHFF-ja i propozon KVVRKK-së që të gjitha varietetet, që do të regjistrohen në Katalogun Kombëtar, të qëndrojnë të regjistruara për jo më pak se 10 vjet, ndërsa fidanët e pemëve frutore dhe ato të hardhisë të qëndrojnë të regjistruara deri në futjen e tyre në prodhim.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VI. DISPOZITAT E FUNDIT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1. Kreu IV, “Procedura dhe metodat e testimit të varieteteve që regjistrohen në Katalogun Kombëtar”, i vendimit nr. 309, datë 21.5.2014, të Këshillit të Ministrave, “Për kriteret e tregtimit, certifikimit dhe testimit të farës së panxharit”, kreu IV, “Procedura dhe metodat e testimit të varieteteve që regjistrohen në Katalogun Kombëtar”, i vendimit nr. 86, datë 30.1.2013, të Këshillit të Ministrave, “Për përcaktimin e kritereve të tregtimit, certifikimit dhe testimit të varieteteve për farat e drithërave”, kreu IV, “Procedura dhe metodat e testimit të varieteteve që regjistrohen në Katalogun Kombëtar”, i vendimit nr. 87. datë 30.1.2013, të Këshillit të Ministrave, “Për përcaktimin e kritereve të tregtimit, certifikimit dhe testimit të farave foragjere”, dhe kreu IV, “Procedura dhe metodat e testimit të varieteteve që regjistrohen në Katalogun Kombëtar”, i vendimit nr. 574, datë 24.6.2015, të Këshillit të Ministrave, “Për kriteret e tregtimit, certifikimit dhe testimit të farës së patates”, shfuqizohen. 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2. Ngarkohen ministri i Bujqësisë, Zhvillimit Rural dhe Administrimit të Ujërave dhe Enti Shtetëror i Farave dhe Fidanëve për zbatimin e këtij vendimi.</w:t>
      </w:r>
    </w:p>
    <w:p w:rsidR="00AF5CA0" w:rsidRPr="008366AC" w:rsidRDefault="00AF5CA0" w:rsidP="00AF5CA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Ky vendim hyn në fuqi pas botimit në Fletoren Zyrtare.</w:t>
      </w:r>
    </w:p>
    <w:p w:rsidR="00AF5CA0" w:rsidRPr="006F06B9" w:rsidRDefault="00AF5CA0" w:rsidP="00AF5CA0">
      <w:pPr>
        <w:pStyle w:val="Paragrafi"/>
        <w:rPr>
          <w:spacing w:val="-4"/>
          <w:sz w:val="14"/>
          <w:szCs w:val="14"/>
          <w:lang w:val="sq-AL"/>
        </w:rPr>
      </w:pPr>
    </w:p>
    <w:p w:rsidR="00AF5CA0" w:rsidRPr="008366AC" w:rsidRDefault="00AF5CA0" w:rsidP="00AF5CA0">
      <w:pPr>
        <w:pStyle w:val="Paragrafi"/>
        <w:jc w:val="right"/>
        <w:rPr>
          <w:spacing w:val="-4"/>
          <w:lang w:val="sq-AL"/>
        </w:rPr>
      </w:pPr>
      <w:r w:rsidRPr="008366AC">
        <w:rPr>
          <w:spacing w:val="-4"/>
          <w:lang w:val="sq-AL"/>
        </w:rPr>
        <w:t>KRYEMINISTRI</w:t>
      </w:r>
    </w:p>
    <w:p w:rsidR="00AF5CA0" w:rsidRPr="008366AC" w:rsidRDefault="00AF5CA0" w:rsidP="00AF5CA0">
      <w:pPr>
        <w:pStyle w:val="Paragrafi"/>
        <w:jc w:val="right"/>
        <w:rPr>
          <w:b/>
          <w:spacing w:val="-4"/>
          <w:lang w:val="sq-AL"/>
        </w:rPr>
      </w:pPr>
      <w:r w:rsidRPr="008366AC">
        <w:rPr>
          <w:b/>
          <w:spacing w:val="-4"/>
          <w:lang w:val="sq-AL"/>
        </w:rPr>
        <w:t>Edi Rama</w:t>
      </w:r>
    </w:p>
    <w:p w:rsidR="00AF5CA0" w:rsidRDefault="00AF5CA0" w:rsidP="00AF5CA0">
      <w:pPr>
        <w:pStyle w:val="Paragrafi"/>
        <w:rPr>
          <w:lang w:val="sq-AL"/>
        </w:rPr>
        <w:sectPr w:rsidR="00AF5CA0" w:rsidSect="0057702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F5CA0" w:rsidRPr="003C20DA" w:rsidRDefault="00AF5CA0" w:rsidP="00AF5CA0">
      <w:pPr>
        <w:pStyle w:val="Paragrafi"/>
        <w:rPr>
          <w:lang w:val="sq-AL"/>
        </w:rPr>
      </w:pPr>
    </w:p>
    <w:p w:rsidR="00AF5CA0" w:rsidRPr="003C20DA" w:rsidRDefault="00AF5CA0" w:rsidP="00AF5CA0">
      <w:pPr>
        <w:pStyle w:val="Paragrafi"/>
        <w:ind w:firstLine="288"/>
        <w:jc w:val="left"/>
        <w:rPr>
          <w:b/>
          <w:szCs w:val="24"/>
          <w:lang w:val="sq-AL"/>
        </w:rPr>
      </w:pPr>
      <w:r w:rsidRPr="003C20DA">
        <w:rPr>
          <w:b/>
          <w:szCs w:val="24"/>
          <w:lang w:val="sq-AL"/>
        </w:rPr>
        <w:t>SHTOJCË 1</w:t>
      </w:r>
    </w:p>
    <w:p w:rsidR="00AF5CA0" w:rsidRPr="006474C4" w:rsidRDefault="00AF5CA0" w:rsidP="00AF5CA0">
      <w:pPr>
        <w:pStyle w:val="NeniNr"/>
        <w:rPr>
          <w:sz w:val="10"/>
          <w:szCs w:val="24"/>
          <w:lang w:val="sq-AL"/>
        </w:rPr>
      </w:pPr>
    </w:p>
    <w:p w:rsidR="00AF5CA0" w:rsidRPr="003C20DA" w:rsidRDefault="00AF5CA0" w:rsidP="00AF5CA0">
      <w:pPr>
        <w:pStyle w:val="NeniNr"/>
        <w:rPr>
          <w:szCs w:val="24"/>
          <w:lang w:val="sq-AL"/>
        </w:rPr>
      </w:pPr>
      <w:r w:rsidRPr="003C20DA">
        <w:rPr>
          <w:szCs w:val="24"/>
          <w:lang w:val="sq-AL"/>
        </w:rPr>
        <w:t xml:space="preserve">TREGUESIT QË DUHET TË PLOTËSOJË VARIETETI PËR VLERËN E </w:t>
      </w:r>
      <w:r>
        <w:rPr>
          <w:szCs w:val="24"/>
          <w:lang w:val="sq-AL"/>
        </w:rPr>
        <w:t>KULTIVIMIT DHE PËRDORIMIT (VKP)</w:t>
      </w:r>
    </w:p>
    <w:p w:rsidR="00AF5CA0" w:rsidRPr="003C20DA" w:rsidRDefault="00AF5CA0" w:rsidP="00AF5CA0">
      <w:pPr>
        <w:pStyle w:val="Paragrafi"/>
        <w:rPr>
          <w:szCs w:val="24"/>
          <w:lang w:val="sq-AL"/>
        </w:rPr>
      </w:pPr>
    </w:p>
    <w:p w:rsidR="00AF5CA0" w:rsidRPr="003C20DA" w:rsidRDefault="00AF5CA0" w:rsidP="00AF5CA0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Treguesit janë</w:t>
      </w:r>
      <w:r w:rsidRPr="003C20DA">
        <w:rPr>
          <w:szCs w:val="24"/>
          <w:lang w:val="sq-AL"/>
        </w:rPr>
        <w:t xml:space="preserve"> si më poshtë: </w:t>
      </w:r>
    </w:p>
    <w:p w:rsidR="00AF5CA0" w:rsidRPr="003C20DA" w:rsidRDefault="00AF5CA0" w:rsidP="00AF5CA0">
      <w:pPr>
        <w:pStyle w:val="Paragrafi"/>
        <w:rPr>
          <w:szCs w:val="24"/>
          <w:lang w:val="sq-AL"/>
        </w:rPr>
      </w:pPr>
      <w:r w:rsidRPr="003C20DA">
        <w:rPr>
          <w:szCs w:val="24"/>
          <w:lang w:val="sq-AL"/>
        </w:rPr>
        <w:t>a) Rendimenti</w:t>
      </w:r>
      <w:r>
        <w:rPr>
          <w:szCs w:val="24"/>
          <w:lang w:val="sq-AL"/>
        </w:rPr>
        <w:t>;</w:t>
      </w:r>
    </w:p>
    <w:p w:rsidR="00AF5CA0" w:rsidRPr="003C20DA" w:rsidRDefault="00AF5CA0" w:rsidP="00AF5CA0">
      <w:pPr>
        <w:pStyle w:val="Paragrafi"/>
        <w:rPr>
          <w:szCs w:val="24"/>
          <w:lang w:val="sq-AL"/>
        </w:rPr>
      </w:pPr>
      <w:r w:rsidRPr="003C20DA">
        <w:rPr>
          <w:szCs w:val="24"/>
          <w:lang w:val="sq-AL"/>
        </w:rPr>
        <w:t>b) Qëndrueshmëria ndaj sëmundjeve e dëmtuesve</w:t>
      </w:r>
      <w:r>
        <w:rPr>
          <w:szCs w:val="24"/>
          <w:lang w:val="sq-AL"/>
        </w:rPr>
        <w:t>;</w:t>
      </w:r>
      <w:r w:rsidRPr="003C20DA">
        <w:rPr>
          <w:szCs w:val="24"/>
          <w:lang w:val="sq-AL"/>
        </w:rPr>
        <w:t xml:space="preserve"> </w:t>
      </w:r>
    </w:p>
    <w:p w:rsidR="00AF5CA0" w:rsidRPr="003C20DA" w:rsidRDefault="00AF5CA0" w:rsidP="00AF5CA0">
      <w:pPr>
        <w:pStyle w:val="Paragrafi"/>
        <w:rPr>
          <w:szCs w:val="24"/>
          <w:lang w:val="sq-AL"/>
        </w:rPr>
      </w:pPr>
      <w:r w:rsidRPr="003C20DA">
        <w:rPr>
          <w:szCs w:val="24"/>
          <w:lang w:val="sq-AL"/>
        </w:rPr>
        <w:t>c) Përshtatshmëria në lidhje me faktorët në mjedisin</w:t>
      </w:r>
      <w:r>
        <w:rPr>
          <w:szCs w:val="24"/>
          <w:lang w:val="sq-AL"/>
        </w:rPr>
        <w:t>;</w:t>
      </w:r>
      <w:r w:rsidRPr="003C20DA">
        <w:rPr>
          <w:szCs w:val="24"/>
          <w:lang w:val="sq-AL"/>
        </w:rPr>
        <w:t xml:space="preserve"> </w:t>
      </w:r>
    </w:p>
    <w:p w:rsidR="00AF5CA0" w:rsidRPr="003C20DA" w:rsidRDefault="00AF5CA0" w:rsidP="00AF5CA0">
      <w:pPr>
        <w:pStyle w:val="Paragrafi"/>
        <w:rPr>
          <w:szCs w:val="24"/>
          <w:lang w:val="sq-AL"/>
        </w:rPr>
      </w:pPr>
      <w:r w:rsidRPr="003C20DA">
        <w:rPr>
          <w:szCs w:val="24"/>
          <w:lang w:val="sq-AL"/>
        </w:rPr>
        <w:t>ç)</w:t>
      </w:r>
      <w:r w:rsidRPr="003C20DA">
        <w:rPr>
          <w:szCs w:val="24"/>
          <w:lang w:val="sq-AL"/>
        </w:rPr>
        <w:tab/>
        <w:t xml:space="preserve">Treguesit e cilësisë. </w:t>
      </w:r>
    </w:p>
    <w:p w:rsidR="00AF5CA0" w:rsidRPr="003C20DA" w:rsidRDefault="00AF5CA0" w:rsidP="00AF5CA0">
      <w:pPr>
        <w:pStyle w:val="Paragrafi"/>
        <w:rPr>
          <w:szCs w:val="24"/>
          <w:lang w:val="sq-AL"/>
        </w:rPr>
      </w:pPr>
      <w:r w:rsidRPr="003C20DA">
        <w:rPr>
          <w:szCs w:val="24"/>
          <w:lang w:val="sq-AL"/>
        </w:rPr>
        <w:t xml:space="preserve">Karakteristikat e mësipërme të një varieteti do të konsiderohen pas daljes së rezultateve përfundimtare të testimit. </w:t>
      </w:r>
    </w:p>
    <w:p w:rsidR="00AF5CA0" w:rsidRPr="003C20DA" w:rsidRDefault="00AF5CA0" w:rsidP="00AF5CA0">
      <w:pPr>
        <w:pStyle w:val="Paragrafi"/>
        <w:rPr>
          <w:szCs w:val="24"/>
          <w:lang w:val="sq-AL"/>
        </w:rPr>
      </w:pPr>
    </w:p>
    <w:p w:rsidR="00AF5CA0" w:rsidRPr="003C20DA" w:rsidRDefault="00AF5CA0" w:rsidP="00AF5CA0">
      <w:pPr>
        <w:pStyle w:val="Paragrafi"/>
        <w:jc w:val="center"/>
        <w:rPr>
          <w:lang w:val="sq-AL"/>
        </w:rPr>
      </w:pPr>
      <w:r w:rsidRPr="003C20DA">
        <w:rPr>
          <w:noProof/>
        </w:rPr>
        <w:lastRenderedPageBreak/>
        <w:drawing>
          <wp:inline distT="0" distB="0" distL="0" distR="0" wp14:anchorId="18FF55C4" wp14:editId="1689EC7D">
            <wp:extent cx="5995283" cy="8245503"/>
            <wp:effectExtent l="0" t="0" r="571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1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" t="8236" r="8831" b="7429"/>
                    <a:stretch/>
                  </pic:blipFill>
                  <pic:spPr bwMode="auto">
                    <a:xfrm>
                      <a:off x="0" y="0"/>
                      <a:ext cx="5997198" cy="824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4442384C" wp14:editId="3B76A0FD">
            <wp:extent cx="5667350" cy="8221649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3" t="7898" r="9351" b="6970"/>
                    <a:stretch/>
                  </pic:blipFill>
                  <pic:spPr bwMode="auto">
                    <a:xfrm>
                      <a:off x="0" y="0"/>
                      <a:ext cx="5665739" cy="8219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510ADA88" wp14:editId="286E7E55">
            <wp:extent cx="5436253" cy="8054672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1" t="8173" r="9091" b="6511"/>
                    <a:stretch/>
                  </pic:blipFill>
                  <pic:spPr bwMode="auto">
                    <a:xfrm>
                      <a:off x="0" y="0"/>
                      <a:ext cx="5434708" cy="8052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31F13E13" wp14:editId="0EE7256A">
            <wp:extent cx="5486400" cy="800207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1" t="7807" r="8832" b="6602"/>
                    <a:stretch/>
                  </pic:blipFill>
                  <pic:spPr bwMode="auto">
                    <a:xfrm>
                      <a:off x="0" y="0"/>
                      <a:ext cx="5484842" cy="799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5493040F" wp14:editId="270FA844">
            <wp:extent cx="5414838" cy="8087436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5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1" t="8265" r="9870" b="6419"/>
                    <a:stretch/>
                  </pic:blipFill>
                  <pic:spPr bwMode="auto">
                    <a:xfrm>
                      <a:off x="0" y="0"/>
                      <a:ext cx="5413301" cy="8085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1EB6F300" wp14:editId="6B95069D">
            <wp:extent cx="5732890" cy="7227736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6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7991" r="8831" b="6796"/>
                    <a:stretch/>
                  </pic:blipFill>
                  <pic:spPr bwMode="auto">
                    <a:xfrm>
                      <a:off x="0" y="0"/>
                      <a:ext cx="5732209" cy="7226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drawing>
          <wp:inline distT="0" distB="0" distL="0" distR="0" wp14:anchorId="4F2B970A" wp14:editId="564E4AF3">
            <wp:extent cx="5526156" cy="1120513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7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3" t="8939" r="10130" b="77407"/>
                    <a:stretch/>
                  </pic:blipFill>
                  <pic:spPr bwMode="auto">
                    <a:xfrm>
                      <a:off x="0" y="0"/>
                      <a:ext cx="5524588" cy="1120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149E30D6" wp14:editId="13C42C14">
            <wp:extent cx="5931673" cy="8491993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8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2" t="8449" r="8182" b="5684"/>
                    <a:stretch/>
                  </pic:blipFill>
                  <pic:spPr bwMode="auto">
                    <a:xfrm>
                      <a:off x="0" y="0"/>
                      <a:ext cx="5929990" cy="8489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67DBC6CB" wp14:editId="7566372E">
            <wp:extent cx="5796501" cy="7635777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09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1" t="8173" r="9740" b="16338"/>
                    <a:stretch/>
                  </pic:blipFill>
                  <pic:spPr bwMode="auto">
                    <a:xfrm>
                      <a:off x="0" y="0"/>
                      <a:ext cx="5794854" cy="7633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20DA">
        <w:rPr>
          <w:noProof/>
        </w:rPr>
        <w:lastRenderedPageBreak/>
        <w:drawing>
          <wp:inline distT="0" distB="0" distL="0" distR="0" wp14:anchorId="6D5FCCF4" wp14:editId="0F46A667">
            <wp:extent cx="5868063" cy="8321810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IMI I VARIETETEVE_Page_10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8" t="8082" r="9363" b="5935"/>
                    <a:stretch/>
                  </pic:blipFill>
                  <pic:spPr bwMode="auto">
                    <a:xfrm>
                      <a:off x="0" y="0"/>
                      <a:ext cx="5874288" cy="8330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5CA0" w:rsidRPr="003C20DA" w:rsidRDefault="00AF5CA0" w:rsidP="00AF5CA0">
      <w:pPr>
        <w:pStyle w:val="Paragrafi"/>
        <w:rPr>
          <w:lang w:val="sq-AL"/>
        </w:rPr>
      </w:pP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CA0" w:rsidRDefault="00AF5CA0" w:rsidP="00AF5CA0">
      <w:pPr>
        <w:spacing w:after="0" w:line="240" w:lineRule="auto"/>
      </w:pPr>
      <w:r>
        <w:separator/>
      </w:r>
    </w:p>
  </w:endnote>
  <w:endnote w:type="continuationSeparator" w:id="0">
    <w:p w:rsidR="00AF5CA0" w:rsidRDefault="00AF5CA0" w:rsidP="00AF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CA0" w:rsidRDefault="00AF5CA0" w:rsidP="00AF5CA0">
      <w:pPr>
        <w:spacing w:after="0" w:line="240" w:lineRule="auto"/>
      </w:pPr>
      <w:r>
        <w:separator/>
      </w:r>
    </w:p>
  </w:footnote>
  <w:footnote w:type="continuationSeparator" w:id="0">
    <w:p w:rsidR="00AF5CA0" w:rsidRDefault="00AF5CA0" w:rsidP="00AF5CA0">
      <w:pPr>
        <w:spacing w:after="0" w:line="240" w:lineRule="auto"/>
      </w:pPr>
      <w:r>
        <w:continuationSeparator/>
      </w:r>
    </w:p>
  </w:footnote>
  <w:footnote w:id="1">
    <w:p w:rsidR="00AF5CA0" w:rsidRPr="003C20DA" w:rsidRDefault="00AF5CA0" w:rsidP="00AF5CA0">
      <w:pPr>
        <w:pStyle w:val="FootnoteText"/>
        <w:ind w:firstLine="0"/>
        <w:rPr>
          <w:rFonts w:ascii="Garamond" w:hAnsi="Garamond"/>
        </w:rPr>
      </w:pPr>
      <w:r w:rsidRPr="003C20DA">
        <w:rPr>
          <w:rStyle w:val="FootnoteReference"/>
          <w:rFonts w:ascii="Garamond" w:hAnsi="Garamond"/>
        </w:rPr>
        <w:footnoteRef/>
      </w:r>
      <w:r>
        <w:rPr>
          <w:rFonts w:ascii="Garamond" w:hAnsi="Garamond"/>
          <w:i/>
          <w:iCs/>
        </w:rPr>
        <w:t xml:space="preserve"> </w:t>
      </w:r>
      <w:r w:rsidRPr="003C20DA">
        <w:rPr>
          <w:rFonts w:ascii="Garamond" w:hAnsi="Garamond"/>
          <w:i/>
          <w:iCs/>
        </w:rPr>
        <w:t>Ky vendim është përafruar pjesërisht me direktivën 2002/53/EC të Këshillit</w:t>
      </w:r>
      <w:r>
        <w:rPr>
          <w:rFonts w:ascii="Garamond" w:hAnsi="Garamond"/>
          <w:i/>
          <w:iCs/>
        </w:rPr>
        <w:t>,</w:t>
      </w:r>
      <w:r w:rsidRPr="003C20DA">
        <w:rPr>
          <w:rFonts w:ascii="Garamond" w:hAnsi="Garamond"/>
          <w:i/>
          <w:iCs/>
        </w:rPr>
        <w:t xml:space="preserve"> datë 13 qershor 2002, “Për katalogun e përbashkët të varieteteve të specieve të bimëve bujqësore”; nr</w:t>
      </w:r>
      <w:r>
        <w:rPr>
          <w:rFonts w:ascii="Garamond" w:hAnsi="Garamond"/>
          <w:i/>
          <w:iCs/>
        </w:rPr>
        <w:t>.</w:t>
      </w:r>
      <w:r w:rsidRPr="003C20DA">
        <w:rPr>
          <w:rFonts w:ascii="Garamond" w:hAnsi="Garamond"/>
          <w:i/>
          <w:iCs/>
        </w:rPr>
        <w:t xml:space="preserve"> CELEX 32002L0053-EN. </w:t>
      </w:r>
      <w:bookmarkStart w:id="1" w:name="content"/>
      <w:r w:rsidRPr="003C20DA">
        <w:rPr>
          <w:rFonts w:ascii="Garamond" w:hAnsi="Garamond"/>
          <w:i/>
          <w:iCs/>
        </w:rPr>
        <w:t>Fletorja Zyrtare e Bashkimit Evropian, seria L, nr. 193, datë 20.7.2002, faqe 1</w:t>
      </w:r>
      <w:r w:rsidRPr="005B1996">
        <w:rPr>
          <w:i/>
        </w:rPr>
        <w:t>–</w:t>
      </w:r>
      <w:r>
        <w:rPr>
          <w:rFonts w:ascii="Garamond" w:hAnsi="Garamond"/>
          <w:i/>
          <w:iCs/>
        </w:rPr>
        <w:t xml:space="preserve">11 dhe direktiva nr. CELEX </w:t>
      </w:r>
      <w:r w:rsidRPr="003C20DA">
        <w:rPr>
          <w:rFonts w:ascii="Garamond" w:hAnsi="Garamond"/>
          <w:i/>
          <w:iCs/>
        </w:rPr>
        <w:t>32003L0090; nr. natyral 2003/90/CE</w:t>
      </w:r>
      <w:bookmarkEnd w:id="1"/>
      <w:r w:rsidRPr="003C20DA">
        <w:rPr>
          <w:rFonts w:ascii="Garamond" w:hAnsi="Garamond"/>
          <w:i/>
          <w:iCs/>
        </w:rPr>
        <w:t>, datë 6.10.2003, shtojca 3, faqe 10.</w:t>
      </w:r>
    </w:p>
    <w:p w:rsidR="00AF5CA0" w:rsidRPr="003959FF" w:rsidRDefault="00AF5CA0" w:rsidP="00AF5CA0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A0"/>
    <w:rsid w:val="00577026"/>
    <w:rsid w:val="00AF5CA0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5C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F5CA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F5C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C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C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F5CA0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AF5CA0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AF5CA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AF5C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5C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F5CA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F5C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C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C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F5CA0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AF5CA0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AF5CA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AF5C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2016-05-05T11:30:00Z</dcterms:created>
  <dcterms:modified xsi:type="dcterms:W3CDTF">2018-01-18T09:18:00Z</dcterms:modified>
</cp:coreProperties>
</file>