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E5C" w:rsidRPr="00172F27" w:rsidRDefault="004C1E5C" w:rsidP="004C1E5C">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VENDIM</w:t>
      </w:r>
    </w:p>
    <w:p w:rsidR="004C1E5C" w:rsidRPr="00172F27" w:rsidRDefault="004C1E5C" w:rsidP="004C1E5C">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Nr. 412, datë 1.6.2016</w:t>
      </w:r>
    </w:p>
    <w:p w:rsidR="004C1E5C" w:rsidRPr="00172F27" w:rsidRDefault="004C1E5C" w:rsidP="004C1E5C">
      <w:pPr>
        <w:widowControl w:val="0"/>
        <w:spacing w:after="0" w:line="240" w:lineRule="auto"/>
        <w:rPr>
          <w:rFonts w:ascii="Garamond" w:eastAsia="MS Mincho" w:hAnsi="Garamond" w:cs="CG Times"/>
          <w:spacing w:val="-4"/>
          <w:sz w:val="14"/>
          <w:szCs w:val="24"/>
          <w:lang w:val="sq-AL"/>
        </w:rPr>
      </w:pPr>
    </w:p>
    <w:p w:rsidR="004C1E5C" w:rsidRPr="00172F27" w:rsidRDefault="004C1E5C" w:rsidP="004C1E5C">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PËR SHPRONËSIMIN, PËR INTERES PUBLIK, TË PRONARËVE TË PASURIVE TË PALUAJTSHME, PRONË PRIVATE, QË PREKEN NGA REALIZIMI I PROJEKTIT “RISHIKIMI I PROJEKTIT TË ZBATIMIT TË FAZËS SË PARË TË VIJËS BREGDETARE TË QYTETIT TË VLORËS”</w:t>
      </w:r>
    </w:p>
    <w:p w:rsidR="004C1E5C" w:rsidRPr="00172F27" w:rsidRDefault="004C1E5C" w:rsidP="004C1E5C">
      <w:pPr>
        <w:widowControl w:val="0"/>
        <w:spacing w:after="0" w:line="240" w:lineRule="auto"/>
        <w:rPr>
          <w:rFonts w:ascii="Garamond" w:eastAsia="MS Mincho" w:hAnsi="Garamond" w:cs="CG Times"/>
          <w:spacing w:val="-4"/>
          <w:sz w:val="14"/>
          <w:szCs w:val="24"/>
          <w:lang w:val="sq-AL"/>
        </w:rPr>
      </w:pPr>
    </w:p>
    <w:p w:rsidR="004C1E5C" w:rsidRPr="00172F27" w:rsidRDefault="004C1E5C" w:rsidP="004C1E5C">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Në mbështetje të nenit 100 të Kushtetutës, të ligjit nr. 9936, datë 26.6.2008, “Për menaxhimin e sistemit buxhetor në Republikën e Shqipërisë”, të ligjit nr. 160/2014, “Për buxhetin e vitit 2015”, dhe të neneve 5, pika 1, 20 e 21, të ligjit nr. 8561, datë 22.12.1999, “Për shpronësimet dhe marrjen në përdorim të përkohshëm të pasurisë, pronë private, për interes publik”, me propozimin e ministrit të Zhvillimit Urban, Këshilli i Ministrave</w:t>
      </w:r>
    </w:p>
    <w:p w:rsidR="004C1E5C" w:rsidRPr="00172F27" w:rsidRDefault="004C1E5C" w:rsidP="004C1E5C">
      <w:pPr>
        <w:keepNext/>
        <w:widowControl w:val="0"/>
        <w:spacing w:after="0" w:line="240" w:lineRule="auto"/>
        <w:ind w:firstLine="0"/>
        <w:jc w:val="center"/>
        <w:rPr>
          <w:rFonts w:ascii="Garamond" w:eastAsia="MS Mincho" w:hAnsi="Garamond" w:cs="CG Times"/>
          <w:spacing w:val="-4"/>
          <w:sz w:val="24"/>
          <w:lang w:val="sq-AL"/>
        </w:rPr>
      </w:pPr>
      <w:r w:rsidRPr="00172F27">
        <w:rPr>
          <w:rFonts w:ascii="Garamond" w:eastAsia="MS Mincho" w:hAnsi="Garamond" w:cs="CG Times"/>
          <w:spacing w:val="-4"/>
          <w:sz w:val="24"/>
          <w:lang w:val="sq-AL"/>
        </w:rPr>
        <w:t>VENDOSI:</w:t>
      </w:r>
    </w:p>
    <w:p w:rsidR="004C1E5C" w:rsidRPr="00172F27" w:rsidRDefault="004C1E5C" w:rsidP="004C1E5C">
      <w:pPr>
        <w:widowControl w:val="0"/>
        <w:spacing w:after="0" w:line="240" w:lineRule="auto"/>
        <w:rPr>
          <w:rFonts w:ascii="Garamond" w:eastAsia="MS Mincho" w:hAnsi="Garamond" w:cs="CG Times"/>
          <w:spacing w:val="-4"/>
          <w:sz w:val="14"/>
          <w:szCs w:val="24"/>
          <w:lang w:val="sq-AL"/>
        </w:rPr>
      </w:pPr>
    </w:p>
    <w:p w:rsidR="004C1E5C" w:rsidRPr="00172F27" w:rsidRDefault="004C1E5C" w:rsidP="004C1E5C">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1. Shpronësimin, për interes publik, të pasurive të paluajtshme, pronë private, që preken nga realizimi i projektit “Rishikimi i projektit të zbatimit të fazës së parë të vijës bregdetare të qytetit të Vlorës”.</w:t>
      </w:r>
    </w:p>
    <w:p w:rsidR="004C1E5C" w:rsidRPr="00172F27" w:rsidRDefault="004C1E5C" w:rsidP="004C1E5C">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2. Shpronësimi të bëhet në favor të Bashkisë Vlorë.</w:t>
      </w:r>
    </w:p>
    <w:p w:rsidR="004C1E5C" w:rsidRPr="00172F27" w:rsidRDefault="004C1E5C" w:rsidP="004C1E5C">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3. Pronarët e pasurive të paluajtshme, që shpronësohen, të kompensohen në vlerë të plotë, sipas masës përkatëse që paraqitet në tabelën bashkëlidhur këtij vendimi, për pasuritë “truall” dhe “ndërtesë”, me vlerë të përgjithshme prej 68 483 455.76 (gjashtëdhjetë e tetë milionë e katërqind e tetëdhjetë e tre mijë e katërqind e pesëdhjetë e pesë pikë shtatëdhjetë e gjashtë) lekësh.</w:t>
      </w:r>
    </w:p>
    <w:p w:rsidR="004C1E5C" w:rsidRPr="00690DB4" w:rsidRDefault="004C1E5C" w:rsidP="004C1E5C">
      <w:pPr>
        <w:widowControl w:val="0"/>
        <w:spacing w:after="0" w:line="240" w:lineRule="auto"/>
        <w:rPr>
          <w:rFonts w:ascii="Garamond" w:eastAsia="MS Mincho" w:hAnsi="Garamond" w:cs="CG Times"/>
          <w:sz w:val="24"/>
          <w:lang w:val="sq-AL"/>
        </w:rPr>
      </w:pPr>
      <w:r w:rsidRPr="00172F27">
        <w:rPr>
          <w:rFonts w:ascii="Garamond" w:eastAsia="MS Mincho" w:hAnsi="Garamond" w:cs="CG Times"/>
          <w:spacing w:val="-4"/>
          <w:sz w:val="24"/>
          <w:lang w:val="sq-AL"/>
        </w:rPr>
        <w:t xml:space="preserve">4. Vlera e përgjithshme e shpronësimit, prej 68 483 455.76 (gjashtëdhjetë e tetë milionë e </w:t>
      </w:r>
      <w:r w:rsidRPr="00690DB4">
        <w:rPr>
          <w:rFonts w:ascii="Garamond" w:eastAsia="MS Mincho" w:hAnsi="Garamond" w:cs="CG Times"/>
          <w:sz w:val="24"/>
          <w:lang w:val="sq-AL"/>
        </w:rPr>
        <w:t>katërqind e tetëdhjetë e tre mijë e katërqind e pesëdhjetë e pesë pikë shtatëdhjetë e gjashtë) lekësh, të përballohet nga llogaria “Fondi i shpronë</w:t>
      </w:r>
      <w:r>
        <w:rPr>
          <w:rFonts w:ascii="Garamond" w:eastAsia="MS Mincho" w:hAnsi="Garamond" w:cs="CG Times"/>
          <w:sz w:val="24"/>
          <w:lang w:val="sq-AL"/>
        </w:rPr>
        <w:t>-</w:t>
      </w:r>
      <w:r w:rsidRPr="00690DB4">
        <w:rPr>
          <w:rFonts w:ascii="Garamond" w:eastAsia="MS Mincho" w:hAnsi="Garamond" w:cs="CG Times"/>
          <w:sz w:val="24"/>
          <w:lang w:val="sq-AL"/>
        </w:rPr>
        <w:t xml:space="preserve">simeve”, në Bankën e Shqipërisë. Shpenzimet procedurale, në vlerën 50 000 (pesëdhjetë mijë) lekë, të përballohen nga buxheti i vitit 2016, miratuar për Ministrinë e Zhvillimit Urban. </w:t>
      </w:r>
    </w:p>
    <w:p w:rsidR="004C1E5C" w:rsidRPr="00690DB4" w:rsidRDefault="004C1E5C" w:rsidP="004C1E5C">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5. Shpronësimi të fillojë menjëherë p</w:t>
      </w:r>
      <w:r>
        <w:rPr>
          <w:rFonts w:ascii="Garamond" w:eastAsia="MS Mincho" w:hAnsi="Garamond" w:cs="CG Times"/>
          <w:sz w:val="24"/>
          <w:lang w:val="sq-AL"/>
        </w:rPr>
        <w:t xml:space="preserve">as botimit të këtij vendimi në </w:t>
      </w:r>
      <w:r w:rsidRPr="00690DB4">
        <w:rPr>
          <w:rFonts w:ascii="Garamond" w:eastAsia="MS Mincho" w:hAnsi="Garamond" w:cs="CG Times"/>
          <w:sz w:val="24"/>
          <w:lang w:val="sq-AL"/>
        </w:rPr>
        <w:t>F</w:t>
      </w:r>
      <w:r>
        <w:rPr>
          <w:rFonts w:ascii="Garamond" w:eastAsia="MS Mincho" w:hAnsi="Garamond" w:cs="CG Times"/>
          <w:sz w:val="24"/>
          <w:lang w:val="sq-AL"/>
        </w:rPr>
        <w:t>letoren Zyrtare</w:t>
      </w:r>
      <w:r w:rsidRPr="00690DB4">
        <w:rPr>
          <w:rFonts w:ascii="Garamond" w:eastAsia="MS Mincho" w:hAnsi="Garamond" w:cs="CG Times"/>
          <w:sz w:val="24"/>
          <w:lang w:val="sq-AL"/>
        </w:rPr>
        <w:t>.</w:t>
      </w:r>
    </w:p>
    <w:p w:rsidR="004C1E5C" w:rsidRPr="00690DB4" w:rsidRDefault="004C1E5C" w:rsidP="004C1E5C">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6. Pronarët e listës që i bashkëlidhet këtij vendimi të kompensohen, për efekt shpronësimi, pasi të kenë paraqitur dokumentacionin e plotë të pronësisë pranë Bashkisë Vlorë.</w:t>
      </w:r>
    </w:p>
    <w:p w:rsidR="004C1E5C" w:rsidRPr="00690DB4" w:rsidRDefault="004C1E5C" w:rsidP="004C1E5C">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7. Brenda 30 ditëve, nga data e miratimit të këtij vendimi, Zyra Vendore e Regjistrimit të Pasurive të Paluajtshme Vlorë, në bashkëpunim me Bashkinë Vlorë, të fillojnë procedurat për hedhjen e gjurmës së projektit në hartën kadastrale, sipas planimetrisë së shpronësimit të miratuar, dhe të bëjnë kalimin e pronësisë, për pasuritë e shpronësuara, në favor të shtetit.</w:t>
      </w:r>
    </w:p>
    <w:p w:rsidR="004C1E5C" w:rsidRPr="00690DB4" w:rsidRDefault="004C1E5C" w:rsidP="004C1E5C">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8. Zyra Vendore e Regjistrimit të Pasurive të Paluajtshme Vlorë të pezullojë të gjitha transaksionet me pasuritë e shpronësuara, deri në momentin që do të realizohet procesi i hedhjes së gjurmës së projektit në hartën kadastrale</w:t>
      </w:r>
      <w:r>
        <w:rPr>
          <w:rFonts w:ascii="Garamond" w:eastAsia="MS Mincho" w:hAnsi="Garamond" w:cs="CG Times"/>
          <w:sz w:val="24"/>
          <w:lang w:val="sq-AL"/>
        </w:rPr>
        <w:t>,</w:t>
      </w:r>
      <w:r w:rsidRPr="00690DB4">
        <w:rPr>
          <w:rFonts w:ascii="Garamond" w:eastAsia="MS Mincho" w:hAnsi="Garamond" w:cs="CG Times"/>
          <w:sz w:val="24"/>
          <w:lang w:val="sq-AL"/>
        </w:rPr>
        <w:t xml:space="preserve"> si dhe kalimi i pronësisë, për pasuritë e shpronësuara.</w:t>
      </w:r>
    </w:p>
    <w:p w:rsidR="004C1E5C" w:rsidRPr="00690DB4" w:rsidRDefault="004C1E5C" w:rsidP="004C1E5C">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9. Ngarkohen Ministria e Financave, Ministria e Zhvillimit Urban, Zyra Vendore e Regjistrimit të Pasurive të Paluajtshme Vlorë dhe Bashkia Vlorë për zbatimin e këtij vendimi.</w:t>
      </w:r>
    </w:p>
    <w:p w:rsidR="004C1E5C" w:rsidRPr="00690DB4" w:rsidRDefault="004C1E5C" w:rsidP="004C1E5C">
      <w:pPr>
        <w:widowControl w:val="0"/>
        <w:spacing w:after="0" w:line="240" w:lineRule="auto"/>
        <w:rPr>
          <w:rFonts w:ascii="Garamond" w:eastAsia="MS Mincho" w:hAnsi="Garamond" w:cs="CG Times"/>
          <w:sz w:val="24"/>
          <w:lang w:val="sq-AL"/>
        </w:rPr>
      </w:pPr>
      <w:bookmarkStart w:id="0" w:name="_GoBack"/>
      <w:bookmarkEnd w:id="0"/>
      <w:r w:rsidRPr="00690DB4">
        <w:rPr>
          <w:rFonts w:ascii="Garamond" w:eastAsia="MS Mincho" w:hAnsi="Garamond" w:cs="CG Times"/>
          <w:sz w:val="24"/>
          <w:lang w:val="sq-AL"/>
        </w:rPr>
        <w:t>Ky vendim hyn në fuqi menjëherë dhe botohet në Fletoren Zyrtare.</w:t>
      </w:r>
    </w:p>
    <w:p w:rsidR="004C1E5C" w:rsidRPr="00690DB4" w:rsidRDefault="004C1E5C" w:rsidP="004C1E5C">
      <w:pPr>
        <w:widowControl w:val="0"/>
        <w:spacing w:after="0" w:line="240" w:lineRule="auto"/>
        <w:rPr>
          <w:rFonts w:ascii="Garamond" w:eastAsia="MS Mincho" w:hAnsi="Garamond" w:cs="CG Times"/>
          <w:sz w:val="14"/>
          <w:szCs w:val="24"/>
          <w:lang w:val="sq-AL"/>
        </w:rPr>
      </w:pPr>
    </w:p>
    <w:p w:rsidR="004C1E5C" w:rsidRPr="00690DB4" w:rsidRDefault="004C1E5C" w:rsidP="004C1E5C">
      <w:pPr>
        <w:widowControl w:val="0"/>
        <w:spacing w:after="0" w:line="240" w:lineRule="auto"/>
        <w:jc w:val="right"/>
        <w:rPr>
          <w:rFonts w:ascii="Garamond" w:eastAsia="MS Mincho" w:hAnsi="Garamond" w:cs="CG Times"/>
          <w:sz w:val="24"/>
          <w:lang w:val="sq-AL"/>
        </w:rPr>
      </w:pPr>
      <w:r w:rsidRPr="00690DB4">
        <w:rPr>
          <w:rFonts w:ascii="Garamond" w:eastAsia="MS Mincho" w:hAnsi="Garamond" w:cs="CG Times"/>
          <w:sz w:val="24"/>
          <w:lang w:val="sq-AL"/>
        </w:rPr>
        <w:t>ZËVENDËSKRYEMINISTRI</w:t>
      </w:r>
    </w:p>
    <w:p w:rsidR="004C1E5C" w:rsidRPr="00690DB4" w:rsidRDefault="004C1E5C" w:rsidP="004C1E5C">
      <w:pPr>
        <w:widowControl w:val="0"/>
        <w:spacing w:after="0" w:line="240" w:lineRule="auto"/>
        <w:jc w:val="right"/>
        <w:rPr>
          <w:rFonts w:ascii="Garamond" w:eastAsia="MS Mincho" w:hAnsi="Garamond" w:cs="CG Times"/>
          <w:b/>
          <w:sz w:val="24"/>
          <w:lang w:val="sq-AL"/>
        </w:rPr>
      </w:pPr>
      <w:r w:rsidRPr="00690DB4">
        <w:rPr>
          <w:rFonts w:ascii="Garamond" w:eastAsia="MS Mincho" w:hAnsi="Garamond" w:cs="CG Times"/>
          <w:b/>
          <w:sz w:val="24"/>
          <w:lang w:val="sq-AL"/>
        </w:rPr>
        <w:t>Niko Peleshi</w:t>
      </w:r>
    </w:p>
    <w:p w:rsidR="004C1E5C" w:rsidRDefault="004C1E5C" w:rsidP="004C1E5C">
      <w:pPr>
        <w:widowControl w:val="0"/>
        <w:spacing w:after="0" w:line="240" w:lineRule="auto"/>
        <w:ind w:firstLine="0"/>
        <w:rPr>
          <w:rFonts w:ascii="Garamond" w:eastAsia="MS Mincho" w:hAnsi="Garamond" w:cs="CG Times"/>
          <w:sz w:val="24"/>
          <w:lang w:val="sq-AL"/>
        </w:rPr>
        <w:sectPr w:rsidR="004C1E5C" w:rsidSect="0073219D">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5715"/>
          <w:cols w:space="454"/>
          <w:docGrid w:linePitch="360"/>
        </w:sectPr>
      </w:pPr>
    </w:p>
    <w:p w:rsidR="004C1E5C" w:rsidRPr="009D19EB" w:rsidRDefault="004C1E5C" w:rsidP="004C1E5C">
      <w:pPr>
        <w:widowControl w:val="0"/>
        <w:spacing w:after="0" w:line="240" w:lineRule="auto"/>
        <w:ind w:firstLine="0"/>
        <w:rPr>
          <w:rFonts w:ascii="Garamond" w:eastAsia="MS Mincho" w:hAnsi="Garamond" w:cs="CG Times"/>
          <w:sz w:val="14"/>
          <w:lang w:val="sq-AL"/>
        </w:rPr>
      </w:pPr>
    </w:p>
    <w:tbl>
      <w:tblPr>
        <w:tblW w:w="5000" w:type="pct"/>
        <w:tblLook w:val="04A0" w:firstRow="1" w:lastRow="0" w:firstColumn="1" w:lastColumn="0" w:noHBand="0" w:noVBand="1"/>
      </w:tblPr>
      <w:tblGrid>
        <w:gridCol w:w="419"/>
        <w:gridCol w:w="823"/>
        <w:gridCol w:w="822"/>
        <w:gridCol w:w="901"/>
        <w:gridCol w:w="771"/>
        <w:gridCol w:w="771"/>
        <w:gridCol w:w="696"/>
        <w:gridCol w:w="756"/>
        <w:gridCol w:w="803"/>
        <w:gridCol w:w="982"/>
        <w:gridCol w:w="1498"/>
      </w:tblGrid>
      <w:tr w:rsidR="004C1E5C" w:rsidRPr="00690DB4" w:rsidTr="00525CA0">
        <w:trPr>
          <w:trHeight w:val="139"/>
        </w:trPr>
        <w:tc>
          <w:tcPr>
            <w:tcW w:w="5000" w:type="pct"/>
            <w:gridSpan w:val="11"/>
            <w:tcBorders>
              <w:top w:val="nil"/>
              <w:left w:val="nil"/>
              <w:bottom w:val="nil"/>
              <w:right w:val="nil"/>
            </w:tcBorders>
            <w:shd w:val="clear" w:color="auto" w:fill="auto"/>
            <w:vAlign w:val="bottom"/>
            <w:hideMark/>
          </w:tcPr>
          <w:p w:rsidR="004C1E5C" w:rsidRPr="009D19EB" w:rsidRDefault="004C1E5C" w:rsidP="00525CA0">
            <w:pPr>
              <w:spacing w:after="0" w:line="240" w:lineRule="auto"/>
              <w:ind w:firstLine="0"/>
              <w:jc w:val="center"/>
              <w:rPr>
                <w:rFonts w:ascii="Garamond" w:eastAsia="Times New Roman" w:hAnsi="Garamond"/>
                <w:bCs/>
                <w:sz w:val="20"/>
                <w:szCs w:val="20"/>
                <w:lang w:val="sq-AL" w:eastAsia="sq-AL"/>
              </w:rPr>
            </w:pPr>
            <w:r w:rsidRPr="009D19EB">
              <w:rPr>
                <w:rFonts w:ascii="Garamond" w:eastAsia="Times New Roman" w:hAnsi="Garamond"/>
                <w:bCs/>
                <w:sz w:val="20"/>
                <w:szCs w:val="20"/>
                <w:lang w:val="sq-AL" w:eastAsia="sq-AL"/>
              </w:rPr>
              <w:t>LISTA E PASURIVE TË PALUAJTSHME QË PREKEN NGA ZBATIMI I PROJEKTIT “RISHIKIM I PROJEKTIT TË ZBATIMIT TË FAZËS SË PARË TË VIJËS BREGDETARE TË QYTETIT TË VLORËS”</w:t>
            </w:r>
          </w:p>
        </w:tc>
      </w:tr>
      <w:tr w:rsidR="004C1E5C" w:rsidRPr="00690DB4" w:rsidTr="00525CA0">
        <w:trPr>
          <w:trHeight w:val="139"/>
        </w:trPr>
        <w:tc>
          <w:tcPr>
            <w:tcW w:w="213"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Nr.</w:t>
            </w:r>
          </w:p>
        </w:tc>
        <w:tc>
          <w:tcPr>
            <w:tcW w:w="529" w:type="pct"/>
            <w:tcBorders>
              <w:top w:val="single" w:sz="8" w:space="0" w:color="auto"/>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Pronari</w:t>
            </w:r>
          </w:p>
        </w:tc>
        <w:tc>
          <w:tcPr>
            <w:tcW w:w="417" w:type="pct"/>
            <w:tcBorders>
              <w:top w:val="single" w:sz="8" w:space="0" w:color="auto"/>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Zona kadastrale</w:t>
            </w:r>
          </w:p>
        </w:tc>
        <w:tc>
          <w:tcPr>
            <w:tcW w:w="457" w:type="pct"/>
            <w:tcBorders>
              <w:top w:val="single" w:sz="8" w:space="0" w:color="auto"/>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Nr. i pasurisë</w:t>
            </w:r>
          </w:p>
        </w:tc>
        <w:tc>
          <w:tcPr>
            <w:tcW w:w="391" w:type="pct"/>
            <w:tcBorders>
              <w:top w:val="single" w:sz="8" w:space="0" w:color="auto"/>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Sipërfaqe trualli</w:t>
            </w:r>
          </w:p>
        </w:tc>
        <w:tc>
          <w:tcPr>
            <w:tcW w:w="391" w:type="pct"/>
            <w:tcBorders>
              <w:top w:val="single" w:sz="8" w:space="0" w:color="auto"/>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Sipërfaqe ndërtimi</w:t>
            </w:r>
          </w:p>
        </w:tc>
        <w:tc>
          <w:tcPr>
            <w:tcW w:w="353" w:type="pct"/>
            <w:tcBorders>
              <w:top w:val="single" w:sz="8" w:space="0" w:color="auto"/>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b/>
                <w:sz w:val="14"/>
                <w:szCs w:val="14"/>
                <w:lang w:val="sq-AL" w:eastAsia="sq-AL"/>
              </w:rPr>
            </w:pPr>
            <w:r>
              <w:rPr>
                <w:rFonts w:ascii="Garamond" w:eastAsia="Times New Roman" w:hAnsi="Garamond"/>
                <w:b/>
                <w:sz w:val="14"/>
                <w:szCs w:val="14"/>
                <w:lang w:val="sq-AL" w:eastAsia="sq-AL"/>
              </w:rPr>
              <w:t xml:space="preserve">Çmimi i truallit </w:t>
            </w:r>
            <w:r w:rsidRPr="00690DB4">
              <w:rPr>
                <w:rFonts w:ascii="Garamond" w:eastAsia="Times New Roman" w:hAnsi="Garamond"/>
                <w:b/>
                <w:sz w:val="14"/>
                <w:szCs w:val="14"/>
                <w:lang w:val="sq-AL" w:eastAsia="sq-AL"/>
              </w:rPr>
              <w:t>lek</w:t>
            </w:r>
            <w:r>
              <w:rPr>
                <w:rFonts w:ascii="Garamond" w:eastAsia="Times New Roman" w:hAnsi="Garamond"/>
                <w:b/>
                <w:sz w:val="14"/>
                <w:szCs w:val="14"/>
                <w:lang w:val="sq-AL" w:eastAsia="sq-AL"/>
              </w:rPr>
              <w:t>ë</w:t>
            </w:r>
            <w:r w:rsidRPr="00690DB4">
              <w:rPr>
                <w:rFonts w:ascii="Garamond" w:eastAsia="Times New Roman" w:hAnsi="Garamond"/>
                <w:b/>
                <w:sz w:val="14"/>
                <w:szCs w:val="14"/>
                <w:lang w:val="sq-AL" w:eastAsia="sq-AL"/>
              </w:rPr>
              <w:t>/m</w:t>
            </w:r>
            <w:r w:rsidRPr="00690DB4">
              <w:rPr>
                <w:rFonts w:ascii="Garamond" w:eastAsia="Times New Roman" w:hAnsi="Garamond"/>
                <w:b/>
                <w:sz w:val="14"/>
                <w:szCs w:val="14"/>
                <w:vertAlign w:val="superscript"/>
                <w:lang w:val="sq-AL" w:eastAsia="sq-AL"/>
              </w:rPr>
              <w:t>2</w:t>
            </w:r>
          </w:p>
        </w:tc>
        <w:tc>
          <w:tcPr>
            <w:tcW w:w="384" w:type="pct"/>
            <w:tcBorders>
              <w:top w:val="single" w:sz="8" w:space="0" w:color="auto"/>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b/>
                <w:sz w:val="14"/>
                <w:szCs w:val="14"/>
                <w:lang w:val="sq-AL" w:eastAsia="sq-AL"/>
              </w:rPr>
            </w:pPr>
            <w:r>
              <w:rPr>
                <w:rFonts w:ascii="Garamond" w:eastAsia="Times New Roman" w:hAnsi="Garamond"/>
                <w:b/>
                <w:sz w:val="14"/>
                <w:szCs w:val="14"/>
                <w:lang w:val="sq-AL" w:eastAsia="sq-AL"/>
              </w:rPr>
              <w:t>Vlera e truallit</w:t>
            </w:r>
            <w:r w:rsidRPr="00690DB4">
              <w:rPr>
                <w:rFonts w:ascii="Garamond" w:eastAsia="Times New Roman" w:hAnsi="Garamond"/>
                <w:b/>
                <w:sz w:val="14"/>
                <w:szCs w:val="14"/>
                <w:lang w:val="sq-AL" w:eastAsia="sq-AL"/>
              </w:rPr>
              <w:t xml:space="preserve"> lekë</w:t>
            </w:r>
          </w:p>
        </w:tc>
        <w:tc>
          <w:tcPr>
            <w:tcW w:w="430" w:type="pct"/>
            <w:tcBorders>
              <w:top w:val="single" w:sz="8" w:space="0" w:color="auto"/>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Vlera e ndërtimit lekë</w:t>
            </w:r>
          </w:p>
        </w:tc>
        <w:tc>
          <w:tcPr>
            <w:tcW w:w="498" w:type="pct"/>
            <w:tcBorders>
              <w:top w:val="single" w:sz="8" w:space="0" w:color="auto"/>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Vlera truall dhe ndërtesë</w:t>
            </w:r>
          </w:p>
        </w:tc>
        <w:tc>
          <w:tcPr>
            <w:tcW w:w="937" w:type="pct"/>
            <w:tcBorders>
              <w:top w:val="single" w:sz="8" w:space="0" w:color="auto"/>
              <w:left w:val="nil"/>
              <w:bottom w:val="single" w:sz="4" w:space="0" w:color="auto"/>
              <w:right w:val="single" w:sz="8"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b/>
                <w:sz w:val="14"/>
                <w:szCs w:val="14"/>
                <w:lang w:val="sq-AL" w:eastAsia="sq-AL"/>
              </w:rPr>
            </w:pPr>
            <w:r>
              <w:rPr>
                <w:rFonts w:ascii="Garamond" w:eastAsia="Times New Roman" w:hAnsi="Garamond"/>
                <w:b/>
                <w:sz w:val="14"/>
                <w:szCs w:val="14"/>
                <w:lang w:val="sq-AL" w:eastAsia="sq-AL"/>
              </w:rPr>
              <w:t xml:space="preserve">Shënime </w:t>
            </w:r>
          </w:p>
        </w:tc>
      </w:tr>
      <w:tr w:rsidR="004C1E5C" w:rsidRPr="00690DB4" w:rsidTr="00525CA0">
        <w:trPr>
          <w:trHeight w:val="139"/>
        </w:trPr>
        <w:tc>
          <w:tcPr>
            <w:tcW w:w="213" w:type="pct"/>
            <w:tcBorders>
              <w:top w:val="nil"/>
              <w:left w:val="single" w:sz="8" w:space="0" w:color="auto"/>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1</w:t>
            </w:r>
          </w:p>
        </w:tc>
        <w:tc>
          <w:tcPr>
            <w:tcW w:w="529"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Lumturi Varfi</w:t>
            </w:r>
            <w:r w:rsidRPr="00690DB4">
              <w:rPr>
                <w:rFonts w:ascii="Garamond" w:eastAsia="Times New Roman" w:hAnsi="Garamond"/>
                <w:sz w:val="14"/>
                <w:szCs w:val="14"/>
                <w:lang w:val="sq-AL" w:eastAsia="sq-AL"/>
              </w:rPr>
              <w:t xml:space="preserve"> Vladimir Varfi</w:t>
            </w:r>
          </w:p>
        </w:tc>
        <w:tc>
          <w:tcPr>
            <w:tcW w:w="417"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36/122/2</w:t>
            </w:r>
          </w:p>
        </w:tc>
        <w:tc>
          <w:tcPr>
            <w:tcW w:w="391"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250.00</w:t>
            </w:r>
          </w:p>
        </w:tc>
        <w:tc>
          <w:tcPr>
            <w:tcW w:w="391"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p>
        </w:tc>
        <w:tc>
          <w:tcPr>
            <w:tcW w:w="353"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10</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903</w:t>
            </w:r>
          </w:p>
        </w:tc>
        <w:tc>
          <w:tcPr>
            <w:tcW w:w="384"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725</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750</w:t>
            </w:r>
          </w:p>
        </w:tc>
        <w:tc>
          <w:tcPr>
            <w:tcW w:w="430"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0</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498"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725</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750</w:t>
            </w:r>
          </w:p>
        </w:tc>
        <w:tc>
          <w:tcPr>
            <w:tcW w:w="937" w:type="pct"/>
            <w:tcBorders>
              <w:top w:val="nil"/>
              <w:left w:val="nil"/>
              <w:bottom w:val="single" w:sz="4" w:space="0" w:color="auto"/>
              <w:right w:val="single" w:sz="8"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Konfirmuar nga ZVRPP</w:t>
            </w:r>
            <w:r>
              <w:rPr>
                <w:rFonts w:ascii="Garamond" w:eastAsia="Times New Roman" w:hAnsi="Garamond"/>
                <w:sz w:val="14"/>
                <w:szCs w:val="14"/>
                <w:lang w:val="sq-AL" w:eastAsia="sq-AL"/>
              </w:rPr>
              <w:t xml:space="preserve">-ja </w:t>
            </w:r>
            <w:r w:rsidRPr="00690DB4">
              <w:rPr>
                <w:rFonts w:ascii="Garamond" w:eastAsia="Times New Roman" w:hAnsi="Garamond"/>
                <w:sz w:val="14"/>
                <w:szCs w:val="14"/>
                <w:lang w:val="sq-AL" w:eastAsia="sq-AL"/>
              </w:rPr>
              <w:t xml:space="preserve"> Vlor</w:t>
            </w:r>
            <w:r>
              <w:rPr>
                <w:rFonts w:ascii="Garamond" w:eastAsia="Times New Roman" w:hAnsi="Garamond"/>
                <w:sz w:val="14"/>
                <w:szCs w:val="14"/>
                <w:lang w:val="sq-AL" w:eastAsia="sq-AL"/>
              </w:rPr>
              <w:t>ë</w:t>
            </w:r>
          </w:p>
        </w:tc>
      </w:tr>
      <w:tr w:rsidR="004C1E5C" w:rsidRPr="00690DB4" w:rsidTr="00525CA0">
        <w:trPr>
          <w:trHeight w:val="139"/>
        </w:trPr>
        <w:tc>
          <w:tcPr>
            <w:tcW w:w="213" w:type="pct"/>
            <w:tcBorders>
              <w:top w:val="nil"/>
              <w:left w:val="single" w:sz="8" w:space="0" w:color="auto"/>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w:t>
            </w:r>
          </w:p>
        </w:tc>
        <w:tc>
          <w:tcPr>
            <w:tcW w:w="529" w:type="pct"/>
            <w:tcBorders>
              <w:top w:val="nil"/>
              <w:left w:val="nil"/>
              <w:bottom w:val="single" w:sz="4" w:space="0" w:color="auto"/>
              <w:right w:val="single" w:sz="4" w:space="0" w:color="auto"/>
            </w:tcBorders>
            <w:shd w:val="clear" w:color="auto" w:fill="auto"/>
            <w:vAlign w:val="center"/>
            <w:hideMark/>
          </w:tcPr>
          <w:p w:rsidR="004C1E5C" w:rsidRDefault="004C1E5C" w:rsidP="00525CA0">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Lumturi Varfi</w:t>
            </w:r>
          </w:p>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Vladimir Varfi</w:t>
            </w:r>
          </w:p>
        </w:tc>
        <w:tc>
          <w:tcPr>
            <w:tcW w:w="417"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36/123/ND</w:t>
            </w:r>
          </w:p>
        </w:tc>
        <w:tc>
          <w:tcPr>
            <w:tcW w:w="391"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p>
        </w:tc>
        <w:tc>
          <w:tcPr>
            <w:tcW w:w="391"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311</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353"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p>
        </w:tc>
        <w:tc>
          <w:tcPr>
            <w:tcW w:w="384"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0</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430"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color w:val="000000"/>
                <w:sz w:val="14"/>
                <w:szCs w:val="14"/>
                <w:lang w:val="sq-AL" w:eastAsia="sq-AL"/>
              </w:rPr>
            </w:pPr>
            <w:r w:rsidRPr="00690DB4">
              <w:rPr>
                <w:rFonts w:ascii="Garamond" w:eastAsia="Times New Roman" w:hAnsi="Garamond"/>
                <w:color w:val="000000"/>
                <w:sz w:val="14"/>
                <w:szCs w:val="14"/>
                <w:lang w:val="sq-AL" w:eastAsia="sq-AL"/>
              </w:rPr>
              <w:t>12982239</w:t>
            </w:r>
          </w:p>
        </w:tc>
        <w:tc>
          <w:tcPr>
            <w:tcW w:w="498"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12</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982</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239</w:t>
            </w:r>
          </w:p>
        </w:tc>
        <w:tc>
          <w:tcPr>
            <w:tcW w:w="937" w:type="pct"/>
            <w:tcBorders>
              <w:top w:val="nil"/>
              <w:left w:val="nil"/>
              <w:bottom w:val="single" w:sz="4" w:space="0" w:color="auto"/>
              <w:right w:val="single" w:sz="8"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 xml:space="preserve">Konfirmuar nga ZVRPP-ja </w:t>
            </w:r>
            <w:r w:rsidRPr="00690DB4">
              <w:rPr>
                <w:rFonts w:ascii="Garamond" w:eastAsia="Times New Roman" w:hAnsi="Garamond"/>
                <w:sz w:val="14"/>
                <w:szCs w:val="14"/>
                <w:lang w:val="sq-AL" w:eastAsia="sq-AL"/>
              </w:rPr>
              <w:t>Vlor</w:t>
            </w:r>
            <w:r>
              <w:rPr>
                <w:rFonts w:ascii="Garamond" w:eastAsia="Times New Roman" w:hAnsi="Garamond"/>
                <w:sz w:val="14"/>
                <w:szCs w:val="14"/>
                <w:lang w:val="sq-AL" w:eastAsia="sq-AL"/>
              </w:rPr>
              <w:t>ë</w:t>
            </w:r>
            <w:r w:rsidRPr="00690DB4">
              <w:rPr>
                <w:rFonts w:ascii="Garamond" w:eastAsia="Times New Roman" w:hAnsi="Garamond"/>
                <w:sz w:val="14"/>
                <w:szCs w:val="14"/>
                <w:lang w:val="sq-AL" w:eastAsia="sq-AL"/>
              </w:rPr>
              <w:t>.</w:t>
            </w:r>
            <w:r>
              <w:rPr>
                <w:rFonts w:ascii="Garamond" w:eastAsia="Times New Roman" w:hAnsi="Garamond"/>
                <w:sz w:val="14"/>
                <w:szCs w:val="14"/>
                <w:lang w:val="sq-AL" w:eastAsia="sq-AL"/>
              </w:rPr>
              <w:t xml:space="preserve"> </w:t>
            </w:r>
            <w:r w:rsidRPr="00690DB4">
              <w:rPr>
                <w:rFonts w:ascii="Garamond" w:eastAsia="Times New Roman" w:hAnsi="Garamond"/>
                <w:sz w:val="14"/>
                <w:szCs w:val="14"/>
                <w:lang w:val="sq-AL" w:eastAsia="sq-AL"/>
              </w:rPr>
              <w:t>Urdh</w:t>
            </w:r>
            <w:r>
              <w:rPr>
                <w:rFonts w:ascii="Garamond" w:eastAsia="Times New Roman" w:hAnsi="Garamond"/>
                <w:sz w:val="14"/>
                <w:szCs w:val="14"/>
                <w:lang w:val="sq-AL" w:eastAsia="sq-AL"/>
              </w:rPr>
              <w:t>ër kufizimi</w:t>
            </w:r>
          </w:p>
        </w:tc>
      </w:tr>
      <w:tr w:rsidR="004C1E5C" w:rsidRPr="00690DB4" w:rsidTr="00525CA0">
        <w:trPr>
          <w:trHeight w:val="139"/>
        </w:trPr>
        <w:tc>
          <w:tcPr>
            <w:tcW w:w="213" w:type="pct"/>
            <w:tcBorders>
              <w:top w:val="nil"/>
              <w:left w:val="single" w:sz="8" w:space="0" w:color="auto"/>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w:t>
            </w:r>
          </w:p>
        </w:tc>
        <w:tc>
          <w:tcPr>
            <w:tcW w:w="529"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Turi Aligjoni Flavia Aligjoni</w:t>
            </w:r>
          </w:p>
        </w:tc>
        <w:tc>
          <w:tcPr>
            <w:tcW w:w="417"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36/125</w:t>
            </w:r>
          </w:p>
        </w:tc>
        <w:tc>
          <w:tcPr>
            <w:tcW w:w="391"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299.92</w:t>
            </w:r>
          </w:p>
        </w:tc>
        <w:tc>
          <w:tcPr>
            <w:tcW w:w="391"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330</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353"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10</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903</w:t>
            </w:r>
          </w:p>
        </w:tc>
        <w:tc>
          <w:tcPr>
            <w:tcW w:w="384"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270</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028</w:t>
            </w:r>
          </w:p>
        </w:tc>
        <w:tc>
          <w:tcPr>
            <w:tcW w:w="430" w:type="pct"/>
            <w:tcBorders>
              <w:top w:val="nil"/>
              <w:left w:val="nil"/>
              <w:bottom w:val="nil"/>
              <w:right w:val="nil"/>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color w:val="000000"/>
                <w:sz w:val="14"/>
                <w:szCs w:val="14"/>
                <w:lang w:val="sq-AL" w:eastAsia="sq-AL"/>
              </w:rPr>
            </w:pPr>
            <w:r w:rsidRPr="00690DB4">
              <w:rPr>
                <w:rFonts w:ascii="Garamond" w:eastAsia="Times New Roman" w:hAnsi="Garamond"/>
                <w:color w:val="000000"/>
                <w:sz w:val="14"/>
                <w:szCs w:val="14"/>
                <w:lang w:val="sq-AL" w:eastAsia="sq-AL"/>
              </w:rPr>
              <w:t>13</w:t>
            </w:r>
            <w:r>
              <w:rPr>
                <w:rFonts w:ascii="Garamond" w:eastAsia="Times New Roman" w:hAnsi="Garamond"/>
                <w:color w:val="000000"/>
                <w:sz w:val="14"/>
                <w:szCs w:val="14"/>
                <w:lang w:val="sq-AL" w:eastAsia="sq-AL"/>
              </w:rPr>
              <w:t>.</w:t>
            </w:r>
            <w:r w:rsidRPr="00690DB4">
              <w:rPr>
                <w:rFonts w:ascii="Garamond" w:eastAsia="Times New Roman" w:hAnsi="Garamond"/>
                <w:color w:val="000000"/>
                <w:sz w:val="14"/>
                <w:szCs w:val="14"/>
                <w:lang w:val="sq-AL" w:eastAsia="sq-AL"/>
              </w:rPr>
              <w:t>871</w:t>
            </w:r>
            <w:r>
              <w:rPr>
                <w:rFonts w:ascii="Garamond" w:eastAsia="Times New Roman" w:hAnsi="Garamond"/>
                <w:color w:val="000000"/>
                <w:sz w:val="14"/>
                <w:szCs w:val="14"/>
                <w:lang w:val="sq-AL" w:eastAsia="sq-AL"/>
              </w:rPr>
              <w:t>.</w:t>
            </w:r>
            <w:r w:rsidRPr="00690DB4">
              <w:rPr>
                <w:rFonts w:ascii="Garamond" w:eastAsia="Times New Roman" w:hAnsi="Garamond"/>
                <w:color w:val="000000"/>
                <w:sz w:val="14"/>
                <w:szCs w:val="14"/>
                <w:lang w:val="sq-AL" w:eastAsia="sq-AL"/>
              </w:rPr>
              <w:t>630</w:t>
            </w:r>
          </w:p>
        </w:tc>
        <w:tc>
          <w:tcPr>
            <w:tcW w:w="498" w:type="pct"/>
            <w:tcBorders>
              <w:top w:val="nil"/>
              <w:left w:val="single" w:sz="4" w:space="0" w:color="auto"/>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17</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141</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658</w:t>
            </w:r>
          </w:p>
        </w:tc>
        <w:tc>
          <w:tcPr>
            <w:tcW w:w="937" w:type="pct"/>
            <w:tcBorders>
              <w:top w:val="nil"/>
              <w:left w:val="nil"/>
              <w:bottom w:val="single" w:sz="4" w:space="0" w:color="auto"/>
              <w:right w:val="single" w:sz="8"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Konfirmuar nga ZVRPP-</w:t>
            </w:r>
            <w:r>
              <w:rPr>
                <w:rFonts w:ascii="Garamond" w:eastAsia="Times New Roman" w:hAnsi="Garamond"/>
                <w:sz w:val="14"/>
                <w:szCs w:val="14"/>
                <w:lang w:val="sq-AL" w:eastAsia="sq-AL"/>
              </w:rPr>
              <w:t>ja</w:t>
            </w:r>
            <w:r w:rsidRPr="00690DB4">
              <w:rPr>
                <w:rFonts w:ascii="Garamond" w:eastAsia="Times New Roman" w:hAnsi="Garamond"/>
                <w:sz w:val="14"/>
                <w:szCs w:val="14"/>
                <w:lang w:val="sq-AL" w:eastAsia="sq-AL"/>
              </w:rPr>
              <w:t xml:space="preserve"> Vlor</w:t>
            </w:r>
            <w:r>
              <w:rPr>
                <w:rFonts w:ascii="Garamond" w:eastAsia="Times New Roman" w:hAnsi="Garamond"/>
                <w:sz w:val="14"/>
                <w:szCs w:val="14"/>
                <w:lang w:val="sq-AL" w:eastAsia="sq-AL"/>
              </w:rPr>
              <w:t>ë</w:t>
            </w:r>
            <w:r w:rsidRPr="00690DB4">
              <w:rPr>
                <w:rFonts w:ascii="Garamond" w:eastAsia="Times New Roman" w:hAnsi="Garamond"/>
                <w:sz w:val="14"/>
                <w:szCs w:val="14"/>
                <w:lang w:val="sq-AL" w:eastAsia="sq-AL"/>
              </w:rPr>
              <w:t>. Objekti është ndërtesë dykat</w:t>
            </w:r>
            <w:r>
              <w:rPr>
                <w:rFonts w:ascii="Garamond" w:eastAsia="Times New Roman" w:hAnsi="Garamond"/>
                <w:sz w:val="14"/>
                <w:szCs w:val="14"/>
                <w:lang w:val="sq-AL" w:eastAsia="sq-AL"/>
              </w:rPr>
              <w:t>ëshe</w:t>
            </w:r>
            <w:r w:rsidRPr="00690DB4">
              <w:rPr>
                <w:rFonts w:ascii="Garamond" w:eastAsia="Times New Roman" w:hAnsi="Garamond"/>
                <w:sz w:val="14"/>
                <w:szCs w:val="14"/>
                <w:lang w:val="sq-AL" w:eastAsia="sq-AL"/>
              </w:rPr>
              <w:t>. Urdhër kufizim</w:t>
            </w:r>
            <w:r>
              <w:rPr>
                <w:rFonts w:ascii="Garamond" w:eastAsia="Times New Roman" w:hAnsi="Garamond"/>
                <w:sz w:val="14"/>
                <w:szCs w:val="14"/>
                <w:lang w:val="sq-AL" w:eastAsia="sq-AL"/>
              </w:rPr>
              <w:t>i</w:t>
            </w:r>
          </w:p>
        </w:tc>
      </w:tr>
      <w:tr w:rsidR="004C1E5C" w:rsidRPr="00690DB4" w:rsidTr="00525CA0">
        <w:trPr>
          <w:trHeight w:val="139"/>
        </w:trPr>
        <w:tc>
          <w:tcPr>
            <w:tcW w:w="213" w:type="pct"/>
            <w:tcBorders>
              <w:top w:val="nil"/>
              <w:left w:val="single" w:sz="8" w:space="0" w:color="auto"/>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4</w:t>
            </w:r>
          </w:p>
        </w:tc>
        <w:tc>
          <w:tcPr>
            <w:tcW w:w="529" w:type="pct"/>
            <w:tcBorders>
              <w:top w:val="nil"/>
              <w:left w:val="nil"/>
              <w:bottom w:val="single" w:sz="4" w:space="0" w:color="auto"/>
              <w:right w:val="single" w:sz="4" w:space="0" w:color="auto"/>
            </w:tcBorders>
            <w:shd w:val="clear" w:color="auto" w:fill="auto"/>
            <w:vAlign w:val="center"/>
            <w:hideMark/>
          </w:tcPr>
          <w:p w:rsidR="004C1E5C" w:rsidRDefault="004C1E5C" w:rsidP="00525CA0">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Ilir Bircaj</w:t>
            </w:r>
          </w:p>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Vasil Bircaj</w:t>
            </w:r>
          </w:p>
        </w:tc>
        <w:tc>
          <w:tcPr>
            <w:tcW w:w="417"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40/88/ND</w:t>
            </w:r>
          </w:p>
        </w:tc>
        <w:tc>
          <w:tcPr>
            <w:tcW w:w="391"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p>
        </w:tc>
        <w:tc>
          <w:tcPr>
            <w:tcW w:w="391"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713</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353"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p>
        </w:tc>
        <w:tc>
          <w:tcPr>
            <w:tcW w:w="384"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0</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29</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613</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299</w:t>
            </w:r>
          </w:p>
        </w:tc>
        <w:tc>
          <w:tcPr>
            <w:tcW w:w="498"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29</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613</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299</w:t>
            </w:r>
          </w:p>
        </w:tc>
        <w:tc>
          <w:tcPr>
            <w:tcW w:w="937" w:type="pct"/>
            <w:tcBorders>
              <w:top w:val="nil"/>
              <w:left w:val="nil"/>
              <w:bottom w:val="single" w:sz="4" w:space="0" w:color="auto"/>
              <w:right w:val="single" w:sz="8"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 xml:space="preserve">Konfirmuar nga ZVRPP-ja </w:t>
            </w:r>
            <w:r w:rsidRPr="00690DB4">
              <w:rPr>
                <w:rFonts w:ascii="Garamond" w:eastAsia="Times New Roman" w:hAnsi="Garamond"/>
                <w:sz w:val="14"/>
                <w:szCs w:val="14"/>
                <w:lang w:val="sq-AL" w:eastAsia="sq-AL"/>
              </w:rPr>
              <w:t>Vlor</w:t>
            </w:r>
            <w:r>
              <w:rPr>
                <w:rFonts w:ascii="Garamond" w:eastAsia="Times New Roman" w:hAnsi="Garamond"/>
                <w:sz w:val="14"/>
                <w:szCs w:val="14"/>
                <w:lang w:val="sq-AL" w:eastAsia="sq-AL"/>
              </w:rPr>
              <w:t>ë</w:t>
            </w:r>
            <w:r w:rsidRPr="00690DB4">
              <w:rPr>
                <w:rFonts w:ascii="Garamond" w:eastAsia="Times New Roman" w:hAnsi="Garamond"/>
                <w:sz w:val="14"/>
                <w:szCs w:val="14"/>
                <w:lang w:val="sq-AL" w:eastAsia="sq-AL"/>
              </w:rPr>
              <w:t>.</w:t>
            </w:r>
            <w:r>
              <w:rPr>
                <w:rFonts w:ascii="Garamond" w:eastAsia="Times New Roman" w:hAnsi="Garamond"/>
                <w:sz w:val="14"/>
                <w:szCs w:val="14"/>
                <w:lang w:val="sq-AL" w:eastAsia="sq-AL"/>
              </w:rPr>
              <w:t xml:space="preserve"> Sekuestro konservative</w:t>
            </w:r>
          </w:p>
        </w:tc>
      </w:tr>
      <w:tr w:rsidR="004C1E5C" w:rsidRPr="00690DB4" w:rsidTr="00525CA0">
        <w:trPr>
          <w:trHeight w:val="139"/>
        </w:trPr>
        <w:tc>
          <w:tcPr>
            <w:tcW w:w="213" w:type="pct"/>
            <w:tcBorders>
              <w:top w:val="nil"/>
              <w:left w:val="single" w:sz="8" w:space="0" w:color="auto"/>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5</w:t>
            </w:r>
          </w:p>
        </w:tc>
        <w:tc>
          <w:tcPr>
            <w:tcW w:w="529" w:type="pct"/>
            <w:tcBorders>
              <w:top w:val="nil"/>
              <w:left w:val="nil"/>
              <w:bottom w:val="single" w:sz="4" w:space="0" w:color="auto"/>
              <w:right w:val="single" w:sz="4" w:space="0" w:color="auto"/>
            </w:tcBorders>
            <w:shd w:val="clear" w:color="auto" w:fill="auto"/>
            <w:vAlign w:val="bottom"/>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Batjar Bazaj Luiza Xhaho</w:t>
            </w:r>
          </w:p>
        </w:tc>
        <w:tc>
          <w:tcPr>
            <w:tcW w:w="417"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36/191/ND</w:t>
            </w:r>
          </w:p>
        </w:tc>
        <w:tc>
          <w:tcPr>
            <w:tcW w:w="391"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p>
        </w:tc>
        <w:tc>
          <w:tcPr>
            <w:tcW w:w="391"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31</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89</w:t>
            </w:r>
          </w:p>
        </w:tc>
        <w:tc>
          <w:tcPr>
            <w:tcW w:w="353"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p>
        </w:tc>
        <w:tc>
          <w:tcPr>
            <w:tcW w:w="384"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0</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430" w:type="pct"/>
            <w:tcBorders>
              <w:top w:val="nil"/>
              <w:left w:val="nil"/>
              <w:bottom w:val="single" w:sz="4" w:space="0" w:color="auto"/>
              <w:right w:val="single" w:sz="4" w:space="0" w:color="auto"/>
            </w:tcBorders>
            <w:shd w:val="clear" w:color="auto" w:fill="auto"/>
            <w:noWrap/>
            <w:vAlign w:val="center"/>
            <w:hideMark/>
          </w:tcPr>
          <w:p w:rsidR="004C1E5C" w:rsidRPr="00690DB4" w:rsidRDefault="004C1E5C" w:rsidP="00525CA0">
            <w:pPr>
              <w:spacing w:after="0" w:line="240" w:lineRule="auto"/>
              <w:ind w:firstLine="0"/>
              <w:jc w:val="right"/>
              <w:rPr>
                <w:rFonts w:ascii="Garamond" w:eastAsia="Times New Roman" w:hAnsi="Garamond"/>
                <w:color w:val="000000"/>
                <w:sz w:val="14"/>
                <w:szCs w:val="14"/>
                <w:lang w:val="sq-AL" w:eastAsia="sq-AL"/>
              </w:rPr>
            </w:pPr>
            <w:r w:rsidRPr="00690DB4">
              <w:rPr>
                <w:rFonts w:ascii="Garamond" w:eastAsia="Times New Roman" w:hAnsi="Garamond"/>
                <w:color w:val="000000"/>
                <w:sz w:val="14"/>
                <w:szCs w:val="14"/>
                <w:lang w:val="sq-AL" w:eastAsia="sq-AL"/>
              </w:rPr>
              <w:t>618</w:t>
            </w:r>
            <w:r>
              <w:rPr>
                <w:rFonts w:ascii="Garamond" w:eastAsia="Times New Roman" w:hAnsi="Garamond"/>
                <w:color w:val="000000"/>
                <w:sz w:val="14"/>
                <w:szCs w:val="14"/>
                <w:lang w:val="sq-AL" w:eastAsia="sq-AL"/>
              </w:rPr>
              <w:t>.</w:t>
            </w:r>
            <w:r w:rsidRPr="00690DB4">
              <w:rPr>
                <w:rFonts w:ascii="Garamond" w:eastAsia="Times New Roman" w:hAnsi="Garamond"/>
                <w:color w:val="000000"/>
                <w:sz w:val="14"/>
                <w:szCs w:val="14"/>
                <w:lang w:val="sq-AL" w:eastAsia="sq-AL"/>
              </w:rPr>
              <w:t>577</w:t>
            </w:r>
          </w:p>
        </w:tc>
        <w:tc>
          <w:tcPr>
            <w:tcW w:w="498" w:type="pct"/>
            <w:tcBorders>
              <w:top w:val="nil"/>
              <w:left w:val="nil"/>
              <w:bottom w:val="single" w:sz="4" w:space="0" w:color="auto"/>
              <w:right w:val="single" w:sz="4" w:space="0" w:color="auto"/>
            </w:tcBorders>
            <w:shd w:val="clear" w:color="auto" w:fill="auto"/>
            <w:vAlign w:val="center"/>
            <w:hideMark/>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618</w:t>
            </w:r>
            <w:r>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577</w:t>
            </w:r>
          </w:p>
        </w:tc>
        <w:tc>
          <w:tcPr>
            <w:tcW w:w="937" w:type="pct"/>
            <w:tcBorders>
              <w:top w:val="nil"/>
              <w:left w:val="nil"/>
              <w:bottom w:val="single" w:sz="4" w:space="0" w:color="auto"/>
              <w:right w:val="single" w:sz="8" w:space="0" w:color="auto"/>
            </w:tcBorders>
            <w:shd w:val="clear" w:color="auto" w:fill="auto"/>
            <w:vAlign w:val="center"/>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Konfirmuar nga ZVRPP-</w:t>
            </w:r>
            <w:r>
              <w:rPr>
                <w:rFonts w:ascii="Garamond" w:eastAsia="Times New Roman" w:hAnsi="Garamond"/>
                <w:sz w:val="14"/>
                <w:szCs w:val="14"/>
                <w:lang w:val="sq-AL" w:eastAsia="sq-AL"/>
              </w:rPr>
              <w:t>ja</w:t>
            </w:r>
            <w:r w:rsidRPr="00690DB4">
              <w:rPr>
                <w:rFonts w:ascii="Garamond" w:eastAsia="Times New Roman" w:hAnsi="Garamond"/>
                <w:sz w:val="14"/>
                <w:szCs w:val="14"/>
                <w:lang w:val="sq-AL" w:eastAsia="sq-AL"/>
              </w:rPr>
              <w:t xml:space="preserve"> Vlor</w:t>
            </w:r>
            <w:r>
              <w:rPr>
                <w:rFonts w:ascii="Garamond" w:eastAsia="Times New Roman" w:hAnsi="Garamond"/>
                <w:sz w:val="14"/>
                <w:szCs w:val="14"/>
                <w:lang w:val="sq-AL" w:eastAsia="sq-AL"/>
              </w:rPr>
              <w:t>ë</w:t>
            </w:r>
          </w:p>
        </w:tc>
      </w:tr>
      <w:tr w:rsidR="004C1E5C" w:rsidRPr="00690DB4" w:rsidTr="00525CA0">
        <w:trPr>
          <w:trHeight w:val="139"/>
        </w:trPr>
        <w:tc>
          <w:tcPr>
            <w:tcW w:w="213" w:type="pct"/>
            <w:tcBorders>
              <w:top w:val="nil"/>
              <w:left w:val="single" w:sz="8" w:space="0" w:color="auto"/>
              <w:bottom w:val="single" w:sz="4" w:space="0" w:color="auto"/>
              <w:right w:val="single" w:sz="4" w:space="0" w:color="auto"/>
            </w:tcBorders>
            <w:shd w:val="clear" w:color="auto" w:fill="auto"/>
            <w:vAlign w:val="center"/>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Pr>
                <w:rFonts w:ascii="Garamond" w:eastAsia="Times New Roman" w:hAnsi="Garamond"/>
                <w:sz w:val="14"/>
                <w:szCs w:val="14"/>
                <w:lang w:val="sq-AL" w:eastAsia="sq-AL"/>
              </w:rPr>
              <w:t>6</w:t>
            </w:r>
          </w:p>
        </w:tc>
        <w:tc>
          <w:tcPr>
            <w:tcW w:w="529" w:type="pct"/>
            <w:tcBorders>
              <w:top w:val="nil"/>
              <w:left w:val="nil"/>
              <w:bottom w:val="single" w:sz="4" w:space="0" w:color="auto"/>
              <w:right w:val="single" w:sz="4" w:space="0" w:color="auto"/>
            </w:tcBorders>
            <w:shd w:val="clear" w:color="auto" w:fill="auto"/>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Posedohet nga Ilir dhe Vasil Bicaj (karburant)</w:t>
            </w:r>
          </w:p>
        </w:tc>
        <w:tc>
          <w:tcPr>
            <w:tcW w:w="417" w:type="pct"/>
            <w:tcBorders>
              <w:top w:val="nil"/>
              <w:left w:val="nil"/>
              <w:bottom w:val="single" w:sz="4" w:space="0" w:color="auto"/>
              <w:right w:val="single" w:sz="4" w:space="0" w:color="auto"/>
            </w:tcBorders>
            <w:shd w:val="clear" w:color="auto" w:fill="auto"/>
            <w:noWrap/>
            <w:vAlign w:val="center"/>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p>
        </w:tc>
        <w:tc>
          <w:tcPr>
            <w:tcW w:w="391" w:type="pct"/>
            <w:tcBorders>
              <w:top w:val="nil"/>
              <w:left w:val="nil"/>
              <w:bottom w:val="single" w:sz="4" w:space="0" w:color="auto"/>
              <w:right w:val="single" w:sz="4" w:space="0" w:color="auto"/>
            </w:tcBorders>
            <w:shd w:val="clear" w:color="auto" w:fill="auto"/>
            <w:noWrap/>
            <w:vAlign w:val="center"/>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p>
        </w:tc>
        <w:tc>
          <w:tcPr>
            <w:tcW w:w="391" w:type="pct"/>
            <w:tcBorders>
              <w:top w:val="nil"/>
              <w:left w:val="nil"/>
              <w:bottom w:val="single" w:sz="4" w:space="0" w:color="auto"/>
              <w:right w:val="single" w:sz="4" w:space="0" w:color="auto"/>
            </w:tcBorders>
            <w:shd w:val="clear" w:color="auto" w:fill="auto"/>
            <w:noWrap/>
            <w:vAlign w:val="center"/>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Pr>
                <w:rFonts w:ascii="Garamond" w:eastAsia="Times New Roman" w:hAnsi="Garamond"/>
                <w:sz w:val="14"/>
                <w:szCs w:val="14"/>
                <w:lang w:val="sq-AL" w:eastAsia="sq-AL"/>
              </w:rPr>
              <w:t>362,00</w:t>
            </w:r>
          </w:p>
        </w:tc>
        <w:tc>
          <w:tcPr>
            <w:tcW w:w="353" w:type="pct"/>
            <w:tcBorders>
              <w:top w:val="nil"/>
              <w:left w:val="nil"/>
              <w:bottom w:val="single" w:sz="4" w:space="0" w:color="auto"/>
              <w:right w:val="single" w:sz="4" w:space="0" w:color="auto"/>
            </w:tcBorders>
            <w:shd w:val="clear" w:color="auto" w:fill="auto"/>
            <w:vAlign w:val="center"/>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p>
        </w:tc>
        <w:tc>
          <w:tcPr>
            <w:tcW w:w="384" w:type="pct"/>
            <w:tcBorders>
              <w:top w:val="nil"/>
              <w:left w:val="nil"/>
              <w:bottom w:val="single" w:sz="4" w:space="0" w:color="auto"/>
              <w:right w:val="single" w:sz="4" w:space="0" w:color="auto"/>
            </w:tcBorders>
            <w:shd w:val="clear" w:color="auto" w:fill="auto"/>
            <w:vAlign w:val="center"/>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p>
        </w:tc>
        <w:tc>
          <w:tcPr>
            <w:tcW w:w="430" w:type="pct"/>
            <w:tcBorders>
              <w:top w:val="nil"/>
              <w:left w:val="nil"/>
              <w:bottom w:val="single" w:sz="4" w:space="0" w:color="auto"/>
              <w:right w:val="single" w:sz="4" w:space="0" w:color="auto"/>
            </w:tcBorders>
            <w:shd w:val="clear" w:color="auto" w:fill="auto"/>
            <w:noWrap/>
            <w:vAlign w:val="center"/>
          </w:tcPr>
          <w:p w:rsidR="004C1E5C" w:rsidRPr="00690DB4" w:rsidRDefault="004C1E5C" w:rsidP="00525CA0">
            <w:pPr>
              <w:spacing w:after="0" w:line="240" w:lineRule="auto"/>
              <w:ind w:firstLine="0"/>
              <w:jc w:val="right"/>
              <w:rPr>
                <w:rFonts w:ascii="Garamond" w:eastAsia="Times New Roman" w:hAnsi="Garamond"/>
                <w:color w:val="000000"/>
                <w:sz w:val="14"/>
                <w:szCs w:val="14"/>
                <w:lang w:val="sq-AL" w:eastAsia="sq-AL"/>
              </w:rPr>
            </w:pPr>
            <w:r>
              <w:rPr>
                <w:rFonts w:ascii="Garamond" w:eastAsia="Times New Roman" w:hAnsi="Garamond"/>
                <w:color w:val="000000"/>
                <w:sz w:val="14"/>
                <w:szCs w:val="14"/>
                <w:lang w:val="sq-AL" w:eastAsia="sq-AL"/>
              </w:rPr>
              <w:t>5.401.933</w:t>
            </w:r>
          </w:p>
        </w:tc>
        <w:tc>
          <w:tcPr>
            <w:tcW w:w="498" w:type="pct"/>
            <w:tcBorders>
              <w:top w:val="nil"/>
              <w:left w:val="nil"/>
              <w:bottom w:val="single" w:sz="4" w:space="0" w:color="auto"/>
              <w:right w:val="single" w:sz="4" w:space="0" w:color="auto"/>
            </w:tcBorders>
            <w:shd w:val="clear" w:color="auto" w:fill="auto"/>
            <w:vAlign w:val="center"/>
          </w:tcPr>
          <w:p w:rsidR="004C1E5C" w:rsidRPr="00690DB4" w:rsidRDefault="004C1E5C" w:rsidP="00525CA0">
            <w:pPr>
              <w:spacing w:after="0" w:line="240" w:lineRule="auto"/>
              <w:ind w:firstLine="0"/>
              <w:jc w:val="right"/>
              <w:rPr>
                <w:rFonts w:ascii="Garamond" w:eastAsia="Times New Roman" w:hAnsi="Garamond"/>
                <w:sz w:val="14"/>
                <w:szCs w:val="14"/>
                <w:lang w:val="sq-AL" w:eastAsia="sq-AL"/>
              </w:rPr>
            </w:pPr>
            <w:r>
              <w:rPr>
                <w:rFonts w:ascii="Garamond" w:eastAsia="Times New Roman" w:hAnsi="Garamond"/>
                <w:sz w:val="14"/>
                <w:szCs w:val="14"/>
                <w:lang w:val="sq-AL" w:eastAsia="sq-AL"/>
              </w:rPr>
              <w:t>5.401.933</w:t>
            </w:r>
          </w:p>
        </w:tc>
        <w:tc>
          <w:tcPr>
            <w:tcW w:w="937" w:type="pct"/>
            <w:tcBorders>
              <w:top w:val="nil"/>
              <w:left w:val="nil"/>
              <w:bottom w:val="single" w:sz="4" w:space="0" w:color="auto"/>
              <w:right w:val="single" w:sz="8" w:space="0" w:color="auto"/>
            </w:tcBorders>
            <w:shd w:val="clear" w:color="auto" w:fill="auto"/>
            <w:vAlign w:val="center"/>
          </w:tcPr>
          <w:p w:rsidR="004C1E5C" w:rsidRPr="00690DB4" w:rsidRDefault="004C1E5C" w:rsidP="00525CA0">
            <w:pPr>
              <w:spacing w:after="0" w:line="240" w:lineRule="auto"/>
              <w:ind w:firstLine="0"/>
              <w:jc w:val="left"/>
              <w:rPr>
                <w:rFonts w:ascii="Garamond" w:eastAsia="Times New Roman" w:hAnsi="Garamond"/>
                <w:sz w:val="14"/>
                <w:szCs w:val="14"/>
                <w:lang w:val="sq-AL" w:eastAsia="sq-AL"/>
              </w:rPr>
            </w:pPr>
            <w:r>
              <w:rPr>
                <w:rFonts w:ascii="Garamond" w:eastAsia="Times New Roman" w:hAnsi="Garamond"/>
                <w:sz w:val="14"/>
                <w:szCs w:val="14"/>
                <w:lang w:val="sq-AL" w:eastAsia="sq-AL"/>
              </w:rPr>
              <w:t>Kompensimi për efekt shpronësimi të objektit kryhet pasi të jetë paraqitur dokumentacioni i plotë i pronësisë së objektit pranë Bashkisë Vlorë</w:t>
            </w:r>
          </w:p>
        </w:tc>
      </w:tr>
      <w:tr w:rsidR="004C1E5C" w:rsidRPr="00690DB4" w:rsidTr="00525CA0">
        <w:trPr>
          <w:trHeight w:val="139"/>
        </w:trPr>
        <w:tc>
          <w:tcPr>
            <w:tcW w:w="213" w:type="pct"/>
            <w:tcBorders>
              <w:top w:val="nil"/>
              <w:left w:val="nil"/>
              <w:right w:val="nil"/>
            </w:tcBorders>
            <w:shd w:val="clear" w:color="auto" w:fill="auto"/>
            <w:noWrap/>
            <w:vAlign w:val="bottom"/>
            <w:hideMark/>
          </w:tcPr>
          <w:p w:rsidR="004C1E5C" w:rsidRPr="00690DB4" w:rsidRDefault="004C1E5C" w:rsidP="00525CA0">
            <w:pPr>
              <w:spacing w:after="0" w:line="240" w:lineRule="auto"/>
              <w:ind w:firstLine="0"/>
              <w:jc w:val="left"/>
              <w:rPr>
                <w:rFonts w:ascii="Garamond" w:eastAsia="Times New Roman" w:hAnsi="Garamond"/>
                <w:sz w:val="14"/>
                <w:szCs w:val="14"/>
                <w:lang w:val="sq-AL" w:eastAsia="sq-AL"/>
              </w:rPr>
            </w:pPr>
          </w:p>
        </w:tc>
        <w:tc>
          <w:tcPr>
            <w:tcW w:w="529" w:type="pct"/>
            <w:tcBorders>
              <w:top w:val="nil"/>
              <w:left w:val="nil"/>
              <w:right w:val="nil"/>
            </w:tcBorders>
            <w:shd w:val="clear" w:color="auto" w:fill="auto"/>
            <w:noWrap/>
            <w:vAlign w:val="bottom"/>
            <w:hideMark/>
          </w:tcPr>
          <w:p w:rsidR="004C1E5C" w:rsidRPr="00690DB4" w:rsidRDefault="004C1E5C" w:rsidP="00525CA0">
            <w:pPr>
              <w:spacing w:after="0" w:line="240" w:lineRule="auto"/>
              <w:ind w:firstLine="0"/>
              <w:jc w:val="left"/>
              <w:rPr>
                <w:rFonts w:ascii="Garamond" w:eastAsia="Times New Roman" w:hAnsi="Garamond"/>
                <w:sz w:val="14"/>
                <w:szCs w:val="14"/>
                <w:lang w:val="sq-AL" w:eastAsia="sq-AL"/>
              </w:rPr>
            </w:pPr>
          </w:p>
        </w:tc>
        <w:tc>
          <w:tcPr>
            <w:tcW w:w="417" w:type="pct"/>
            <w:tcBorders>
              <w:top w:val="nil"/>
              <w:left w:val="nil"/>
              <w:right w:val="nil"/>
            </w:tcBorders>
            <w:shd w:val="clear" w:color="auto" w:fill="auto"/>
            <w:noWrap/>
            <w:vAlign w:val="bottom"/>
            <w:hideMark/>
          </w:tcPr>
          <w:p w:rsidR="004C1E5C" w:rsidRPr="00690DB4" w:rsidRDefault="004C1E5C" w:rsidP="00525CA0">
            <w:pPr>
              <w:spacing w:after="0" w:line="240" w:lineRule="auto"/>
              <w:ind w:firstLine="0"/>
              <w:jc w:val="left"/>
              <w:rPr>
                <w:rFonts w:ascii="Garamond" w:eastAsia="Times New Roman" w:hAnsi="Garamond"/>
                <w:sz w:val="14"/>
                <w:szCs w:val="14"/>
                <w:lang w:val="sq-AL" w:eastAsia="sq-AL"/>
              </w:rPr>
            </w:pPr>
          </w:p>
        </w:tc>
        <w:tc>
          <w:tcPr>
            <w:tcW w:w="457" w:type="pct"/>
            <w:tcBorders>
              <w:top w:val="nil"/>
              <w:left w:val="nil"/>
              <w:right w:val="nil"/>
            </w:tcBorders>
            <w:shd w:val="clear" w:color="auto" w:fill="auto"/>
            <w:noWrap/>
            <w:vAlign w:val="bottom"/>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p>
        </w:tc>
        <w:tc>
          <w:tcPr>
            <w:tcW w:w="391" w:type="pct"/>
            <w:tcBorders>
              <w:top w:val="nil"/>
              <w:left w:val="nil"/>
              <w:right w:val="nil"/>
            </w:tcBorders>
            <w:shd w:val="clear" w:color="auto" w:fill="auto"/>
            <w:noWrap/>
            <w:vAlign w:val="bottom"/>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p>
        </w:tc>
        <w:tc>
          <w:tcPr>
            <w:tcW w:w="391" w:type="pct"/>
            <w:tcBorders>
              <w:top w:val="nil"/>
              <w:left w:val="nil"/>
              <w:right w:val="nil"/>
            </w:tcBorders>
            <w:shd w:val="clear" w:color="auto" w:fill="auto"/>
            <w:noWrap/>
            <w:vAlign w:val="bottom"/>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p>
        </w:tc>
        <w:tc>
          <w:tcPr>
            <w:tcW w:w="353" w:type="pct"/>
            <w:tcBorders>
              <w:top w:val="nil"/>
              <w:left w:val="nil"/>
              <w:right w:val="nil"/>
            </w:tcBorders>
            <w:shd w:val="clear" w:color="auto" w:fill="auto"/>
            <w:noWrap/>
            <w:vAlign w:val="bottom"/>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p>
        </w:tc>
        <w:tc>
          <w:tcPr>
            <w:tcW w:w="384" w:type="pct"/>
            <w:tcBorders>
              <w:top w:val="nil"/>
              <w:left w:val="nil"/>
              <w:right w:val="nil"/>
            </w:tcBorders>
            <w:shd w:val="clear" w:color="auto" w:fill="auto"/>
            <w:noWrap/>
            <w:vAlign w:val="bottom"/>
            <w:hideMark/>
          </w:tcPr>
          <w:p w:rsidR="004C1E5C" w:rsidRPr="00690DB4" w:rsidRDefault="004C1E5C" w:rsidP="00525CA0">
            <w:pPr>
              <w:spacing w:after="0" w:line="240" w:lineRule="auto"/>
              <w:ind w:firstLine="0"/>
              <w:jc w:val="center"/>
              <w:rPr>
                <w:rFonts w:ascii="Garamond" w:eastAsia="Times New Roman" w:hAnsi="Garamond"/>
                <w:b/>
                <w:bCs/>
                <w:sz w:val="14"/>
                <w:szCs w:val="14"/>
                <w:lang w:val="sq-AL" w:eastAsia="sq-AL"/>
              </w:rPr>
            </w:pPr>
            <w:r w:rsidRPr="00690DB4">
              <w:rPr>
                <w:rFonts w:ascii="Garamond" w:eastAsia="Times New Roman" w:hAnsi="Garamond"/>
                <w:b/>
                <w:bCs/>
                <w:sz w:val="14"/>
                <w:szCs w:val="14"/>
                <w:lang w:val="sq-AL" w:eastAsia="sq-AL"/>
              </w:rPr>
              <w:t>TOTALI</w:t>
            </w:r>
          </w:p>
        </w:tc>
        <w:tc>
          <w:tcPr>
            <w:tcW w:w="430" w:type="pct"/>
            <w:tcBorders>
              <w:top w:val="nil"/>
              <w:left w:val="nil"/>
              <w:right w:val="nil"/>
            </w:tcBorders>
            <w:shd w:val="clear" w:color="auto" w:fill="auto"/>
            <w:noWrap/>
            <w:vAlign w:val="bottom"/>
            <w:hideMark/>
          </w:tcPr>
          <w:p w:rsidR="004C1E5C" w:rsidRPr="00690DB4" w:rsidRDefault="004C1E5C" w:rsidP="00525CA0">
            <w:pPr>
              <w:spacing w:after="0" w:line="240" w:lineRule="auto"/>
              <w:ind w:firstLine="0"/>
              <w:jc w:val="center"/>
              <w:rPr>
                <w:rFonts w:ascii="Garamond" w:eastAsia="Times New Roman" w:hAnsi="Garamond"/>
                <w:sz w:val="14"/>
                <w:szCs w:val="14"/>
                <w:lang w:val="sq-AL" w:eastAsia="sq-AL"/>
              </w:rPr>
            </w:pPr>
          </w:p>
        </w:tc>
        <w:tc>
          <w:tcPr>
            <w:tcW w:w="498" w:type="pct"/>
            <w:tcBorders>
              <w:top w:val="nil"/>
              <w:left w:val="nil"/>
              <w:right w:val="nil"/>
            </w:tcBorders>
            <w:shd w:val="clear" w:color="auto" w:fill="auto"/>
            <w:noWrap/>
            <w:vAlign w:val="bottom"/>
            <w:hideMark/>
          </w:tcPr>
          <w:p w:rsidR="004C1E5C" w:rsidRPr="00690DB4" w:rsidRDefault="004C1E5C" w:rsidP="00525CA0">
            <w:pPr>
              <w:spacing w:after="0" w:line="240" w:lineRule="auto"/>
              <w:ind w:firstLine="0"/>
              <w:rPr>
                <w:rFonts w:ascii="Garamond" w:eastAsia="Times New Roman" w:hAnsi="Garamond"/>
                <w:b/>
                <w:bCs/>
                <w:sz w:val="14"/>
                <w:szCs w:val="14"/>
                <w:lang w:val="sq-AL" w:eastAsia="sq-AL"/>
              </w:rPr>
            </w:pPr>
            <w:r w:rsidRPr="00690DB4">
              <w:rPr>
                <w:rFonts w:ascii="Garamond" w:eastAsia="Times New Roman" w:hAnsi="Garamond"/>
                <w:b/>
                <w:bCs/>
                <w:sz w:val="14"/>
                <w:szCs w:val="14"/>
                <w:lang w:val="sq-AL" w:eastAsia="sq-AL"/>
              </w:rPr>
              <w:t>6</w:t>
            </w:r>
            <w:r>
              <w:rPr>
                <w:rFonts w:ascii="Garamond" w:eastAsia="Times New Roman" w:hAnsi="Garamond"/>
                <w:b/>
                <w:bCs/>
                <w:sz w:val="14"/>
                <w:szCs w:val="14"/>
                <w:lang w:val="sq-AL" w:eastAsia="sq-AL"/>
              </w:rPr>
              <w:t>8.4</w:t>
            </w:r>
            <w:r w:rsidRPr="00690DB4">
              <w:rPr>
                <w:rFonts w:ascii="Garamond" w:eastAsia="Times New Roman" w:hAnsi="Garamond"/>
                <w:b/>
                <w:bCs/>
                <w:sz w:val="14"/>
                <w:szCs w:val="14"/>
                <w:lang w:val="sq-AL" w:eastAsia="sq-AL"/>
              </w:rPr>
              <w:t>8</w:t>
            </w:r>
            <w:r>
              <w:rPr>
                <w:rFonts w:ascii="Garamond" w:eastAsia="Times New Roman" w:hAnsi="Garamond"/>
                <w:b/>
                <w:bCs/>
                <w:sz w:val="14"/>
                <w:szCs w:val="14"/>
                <w:lang w:val="sq-AL" w:eastAsia="sq-AL"/>
              </w:rPr>
              <w:t>3.455,</w:t>
            </w:r>
            <w:r w:rsidRPr="00690DB4">
              <w:rPr>
                <w:rFonts w:ascii="Garamond" w:eastAsia="Times New Roman" w:hAnsi="Garamond"/>
                <w:b/>
                <w:bCs/>
                <w:sz w:val="14"/>
                <w:szCs w:val="14"/>
                <w:lang w:val="sq-AL" w:eastAsia="sq-AL"/>
              </w:rPr>
              <w:t>76</w:t>
            </w:r>
          </w:p>
        </w:tc>
        <w:tc>
          <w:tcPr>
            <w:tcW w:w="937" w:type="pct"/>
            <w:tcBorders>
              <w:top w:val="nil"/>
              <w:left w:val="nil"/>
              <w:right w:val="nil"/>
            </w:tcBorders>
            <w:shd w:val="clear" w:color="auto" w:fill="auto"/>
            <w:vAlign w:val="center"/>
            <w:hideMark/>
          </w:tcPr>
          <w:p w:rsidR="004C1E5C" w:rsidRPr="00690DB4" w:rsidRDefault="004C1E5C" w:rsidP="00525CA0">
            <w:pPr>
              <w:spacing w:after="0" w:line="240" w:lineRule="auto"/>
              <w:ind w:firstLine="0"/>
              <w:jc w:val="left"/>
              <w:rPr>
                <w:rFonts w:ascii="Garamond" w:eastAsia="Times New Roman" w:hAnsi="Garamond"/>
                <w:sz w:val="14"/>
                <w:szCs w:val="14"/>
                <w:lang w:val="sq-AL" w:eastAsia="sq-AL"/>
              </w:rPr>
            </w:pPr>
          </w:p>
        </w:tc>
      </w:tr>
      <w:tr w:rsidR="004C1E5C" w:rsidRPr="00690DB4" w:rsidTr="00525CA0">
        <w:trPr>
          <w:trHeight w:val="315"/>
        </w:trPr>
        <w:tc>
          <w:tcPr>
            <w:tcW w:w="5000" w:type="pct"/>
            <w:gridSpan w:val="11"/>
            <w:tcBorders>
              <w:top w:val="nil"/>
            </w:tcBorders>
            <w:shd w:val="clear" w:color="auto" w:fill="auto"/>
            <w:vAlign w:val="center"/>
          </w:tcPr>
          <w:p w:rsidR="004C1E5C" w:rsidRPr="005B1CDF" w:rsidRDefault="004C1E5C" w:rsidP="00525CA0">
            <w:pPr>
              <w:spacing w:after="0" w:line="240" w:lineRule="auto"/>
              <w:ind w:firstLine="0"/>
              <w:jc w:val="left"/>
              <w:rPr>
                <w:rFonts w:ascii="Garamond" w:eastAsia="Times New Roman" w:hAnsi="Garamond"/>
                <w:sz w:val="8"/>
                <w:szCs w:val="20"/>
                <w:lang w:val="sq-AL" w:eastAsia="sq-AL"/>
              </w:rPr>
            </w:pPr>
          </w:p>
          <w:p w:rsidR="004C1E5C" w:rsidRPr="007B5DCE" w:rsidRDefault="004C1E5C" w:rsidP="00525CA0">
            <w:pPr>
              <w:spacing w:after="0" w:line="240" w:lineRule="auto"/>
              <w:ind w:firstLine="0"/>
              <w:jc w:val="left"/>
              <w:rPr>
                <w:rFonts w:ascii="Garamond" w:eastAsia="Times New Roman" w:hAnsi="Garamond"/>
                <w:sz w:val="20"/>
                <w:szCs w:val="20"/>
                <w:lang w:val="sq-AL" w:eastAsia="sq-AL"/>
              </w:rPr>
            </w:pPr>
            <w:r w:rsidRPr="007B5DCE">
              <w:rPr>
                <w:rFonts w:ascii="Garamond" w:eastAsia="Times New Roman" w:hAnsi="Garamond"/>
                <w:sz w:val="20"/>
                <w:szCs w:val="20"/>
                <w:lang w:val="sq-AL" w:eastAsia="sq-AL"/>
              </w:rPr>
              <w:t xml:space="preserve">Në pasurinë nr. 40/89, </w:t>
            </w:r>
            <w:r>
              <w:rPr>
                <w:rFonts w:ascii="Garamond" w:eastAsia="Times New Roman" w:hAnsi="Garamond"/>
                <w:sz w:val="20"/>
                <w:szCs w:val="20"/>
                <w:lang w:val="sq-AL" w:eastAsia="sq-AL"/>
              </w:rPr>
              <w:t xml:space="preserve">e </w:t>
            </w:r>
            <w:r w:rsidRPr="007B5DCE">
              <w:rPr>
                <w:rFonts w:ascii="Garamond" w:eastAsia="Times New Roman" w:hAnsi="Garamond"/>
                <w:sz w:val="20"/>
                <w:szCs w:val="20"/>
                <w:lang w:val="sq-AL" w:eastAsia="sq-AL"/>
              </w:rPr>
              <w:t>lloji</w:t>
            </w:r>
            <w:r>
              <w:rPr>
                <w:rFonts w:ascii="Garamond" w:eastAsia="Times New Roman" w:hAnsi="Garamond"/>
                <w:sz w:val="20"/>
                <w:szCs w:val="20"/>
                <w:lang w:val="sq-AL" w:eastAsia="sq-AL"/>
              </w:rPr>
              <w:t>t</w:t>
            </w:r>
            <w:r w:rsidRPr="007B5DCE">
              <w:rPr>
                <w:rFonts w:ascii="Garamond" w:eastAsia="Times New Roman" w:hAnsi="Garamond"/>
                <w:sz w:val="20"/>
                <w:szCs w:val="20"/>
                <w:lang w:val="sq-AL" w:eastAsia="sq-AL"/>
              </w:rPr>
              <w:t xml:space="preserve"> “truall”, me pronar</w:t>
            </w:r>
            <w:r>
              <w:rPr>
                <w:rFonts w:ascii="Garamond" w:eastAsia="Times New Roman" w:hAnsi="Garamond"/>
                <w:sz w:val="20"/>
                <w:szCs w:val="20"/>
                <w:lang w:val="sq-AL" w:eastAsia="sq-AL"/>
              </w:rPr>
              <w:t xml:space="preserve"> “</w:t>
            </w:r>
            <w:r w:rsidRPr="007B5DCE">
              <w:rPr>
                <w:rFonts w:ascii="Garamond" w:eastAsia="Times New Roman" w:hAnsi="Garamond"/>
                <w:sz w:val="20"/>
                <w:szCs w:val="20"/>
                <w:lang w:val="sq-AL" w:eastAsia="sq-AL"/>
              </w:rPr>
              <w:t>shtet</w:t>
            </w:r>
            <w:r>
              <w:rPr>
                <w:rFonts w:ascii="Garamond" w:eastAsia="Times New Roman" w:hAnsi="Garamond"/>
                <w:sz w:val="20"/>
                <w:szCs w:val="20"/>
                <w:lang w:val="sq-AL" w:eastAsia="sq-AL"/>
              </w:rPr>
              <w:t>”</w:t>
            </w:r>
            <w:r w:rsidRPr="007B5DCE">
              <w:rPr>
                <w:rFonts w:ascii="Garamond" w:eastAsia="Times New Roman" w:hAnsi="Garamond"/>
                <w:sz w:val="20"/>
                <w:szCs w:val="20"/>
                <w:lang w:val="sq-AL" w:eastAsia="sq-AL"/>
              </w:rPr>
              <w:t>, shpronësohet objekti mbi truall me leje ndërtimi në posedim nga Ilir dhe Vasil Bicaj</w:t>
            </w:r>
            <w:r>
              <w:rPr>
                <w:rFonts w:ascii="Garamond" w:eastAsia="Times New Roman" w:hAnsi="Garamond"/>
                <w:sz w:val="20"/>
                <w:szCs w:val="20"/>
                <w:lang w:val="sq-AL" w:eastAsia="sq-AL"/>
              </w:rPr>
              <w:t>.</w:t>
            </w:r>
          </w:p>
        </w:tc>
      </w:tr>
    </w:tbl>
    <w:p w:rsidR="00DB2E0A" w:rsidRDefault="00DB2E0A"/>
    <w:sectPr w:rsidR="00DB2E0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3219D">
      <w:pPr>
        <w:spacing w:after="0" w:line="240" w:lineRule="auto"/>
      </w:pPr>
      <w:r>
        <w:separator/>
      </w:r>
    </w:p>
  </w:endnote>
  <w:endnote w:type="continuationSeparator" w:id="0">
    <w:p w:rsidR="00000000" w:rsidRDefault="00732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8744022"/>
      <w:docPartObj>
        <w:docPartGallery w:val="Page Numbers (Bottom of Page)"/>
        <w:docPartUnique/>
      </w:docPartObj>
    </w:sdtPr>
    <w:sdtEndPr>
      <w:rPr>
        <w:rFonts w:ascii="Garamond" w:hAnsi="Garamond"/>
        <w:noProof/>
        <w:sz w:val="24"/>
        <w:szCs w:val="24"/>
      </w:rPr>
    </w:sdtEndPr>
    <w:sdtContent>
      <w:p w:rsidR="00D976D6" w:rsidRPr="00B4283E" w:rsidRDefault="004C1E5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5716</w:t>
        </w:r>
        <w:r w:rsidRPr="00B4283E">
          <w:rPr>
            <w:rFonts w:ascii="Garamond" w:hAnsi="Garamond"/>
            <w:noProof/>
            <w:sz w:val="24"/>
            <w:szCs w:val="24"/>
          </w:rPr>
          <w:fldChar w:fldCharType="end"/>
        </w:r>
      </w:p>
    </w:sdtContent>
  </w:sdt>
  <w:p w:rsidR="00D976D6" w:rsidRDefault="007321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6D6" w:rsidRDefault="0073219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87068419"/>
      <w:docPartObj>
        <w:docPartGallery w:val="Page Numbers (Bottom of Page)"/>
        <w:docPartUnique/>
      </w:docPartObj>
    </w:sdtPr>
    <w:sdtEndPr>
      <w:rPr>
        <w:noProof/>
        <w:sz w:val="24"/>
        <w:szCs w:val="24"/>
      </w:rPr>
    </w:sdtEndPr>
    <w:sdtContent>
      <w:p w:rsidR="00D976D6" w:rsidRPr="00833610" w:rsidRDefault="004C1E5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976D6" w:rsidRDefault="0073219D">
    <w:pPr>
      <w:pStyle w:val="Footer"/>
    </w:pPr>
  </w:p>
  <w:p w:rsidR="00D976D6" w:rsidRDefault="0073219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3219D">
      <w:pPr>
        <w:spacing w:after="0" w:line="240" w:lineRule="auto"/>
      </w:pPr>
      <w:r>
        <w:separator/>
      </w:r>
    </w:p>
  </w:footnote>
  <w:footnote w:type="continuationSeparator" w:id="0">
    <w:p w:rsidR="00000000" w:rsidRDefault="007321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976D6" w:rsidRPr="00EB260B" w:rsidTr="007B5DCE">
      <w:trPr>
        <w:trHeight w:val="936"/>
        <w:jc w:val="center"/>
      </w:trPr>
      <w:tc>
        <w:tcPr>
          <w:tcW w:w="2811" w:type="dxa"/>
          <w:shd w:val="pct5" w:color="auto" w:fill="F2F2F2"/>
          <w:vAlign w:val="center"/>
        </w:tcPr>
        <w:p w:rsidR="00D976D6" w:rsidRPr="00EB260B" w:rsidRDefault="004C1E5C" w:rsidP="007B5DC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976D6" w:rsidRPr="00EB260B" w:rsidRDefault="004C1E5C" w:rsidP="007B5DC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9928B19" wp14:editId="25EF0E2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976D6" w:rsidRPr="00EB260B" w:rsidRDefault="004C1E5C" w:rsidP="007B5DCE">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D976D6" w:rsidRPr="00A45FAB" w:rsidRDefault="0073219D" w:rsidP="007B5DCE">
    <w:pPr>
      <w:ind w:firstLine="0"/>
      <w:rPr>
        <w:sz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6D6" w:rsidRPr="00A45FAB" w:rsidRDefault="0073219D" w:rsidP="007B5DCE">
    <w:pPr>
      <w:ind w:firstLine="0"/>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6D6" w:rsidRDefault="0073219D" w:rsidP="00330117">
    <w:pPr>
      <w:pStyle w:val="Header"/>
      <w:jc w:val="center"/>
    </w:pPr>
  </w:p>
  <w:p w:rsidR="00D976D6" w:rsidRDefault="0073219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E5C"/>
    <w:rsid w:val="004C1E5C"/>
    <w:rsid w:val="0073219D"/>
    <w:rsid w:val="00DB2E0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E5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C1E5C"/>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locked/>
    <w:rsid w:val="004C1E5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C1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E5C"/>
    <w:rPr>
      <w:rFonts w:ascii="Calibri" w:eastAsia="Calibri" w:hAnsi="Calibri" w:cs="Times New Roman"/>
      <w:lang w:val="en-US"/>
    </w:rPr>
  </w:style>
  <w:style w:type="paragraph" w:styleId="Footer">
    <w:name w:val="footer"/>
    <w:basedOn w:val="Normal"/>
    <w:link w:val="FooterChar"/>
    <w:uiPriority w:val="99"/>
    <w:unhideWhenUsed/>
    <w:rsid w:val="004C1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E5C"/>
    <w:rPr>
      <w:rFonts w:ascii="Calibri" w:eastAsia="Calibri" w:hAnsi="Calibri" w:cs="Times New Roman"/>
      <w:lang w:val="en-US"/>
    </w:rPr>
  </w:style>
  <w:style w:type="paragraph" w:styleId="BalloonText">
    <w:name w:val="Balloon Text"/>
    <w:basedOn w:val="Normal"/>
    <w:link w:val="BalloonTextChar"/>
    <w:uiPriority w:val="99"/>
    <w:semiHidden/>
    <w:unhideWhenUsed/>
    <w:rsid w:val="004C1E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E5C"/>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E5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C1E5C"/>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locked/>
    <w:rsid w:val="004C1E5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C1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E5C"/>
    <w:rPr>
      <w:rFonts w:ascii="Calibri" w:eastAsia="Calibri" w:hAnsi="Calibri" w:cs="Times New Roman"/>
      <w:lang w:val="en-US"/>
    </w:rPr>
  </w:style>
  <w:style w:type="paragraph" w:styleId="Footer">
    <w:name w:val="footer"/>
    <w:basedOn w:val="Normal"/>
    <w:link w:val="FooterChar"/>
    <w:uiPriority w:val="99"/>
    <w:unhideWhenUsed/>
    <w:rsid w:val="004C1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E5C"/>
    <w:rPr>
      <w:rFonts w:ascii="Calibri" w:eastAsia="Calibri" w:hAnsi="Calibri" w:cs="Times New Roman"/>
      <w:lang w:val="en-US"/>
    </w:rPr>
  </w:style>
  <w:style w:type="paragraph" w:styleId="BalloonText">
    <w:name w:val="Balloon Text"/>
    <w:basedOn w:val="Normal"/>
    <w:link w:val="BalloonTextChar"/>
    <w:uiPriority w:val="99"/>
    <w:semiHidden/>
    <w:unhideWhenUsed/>
    <w:rsid w:val="004C1E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E5C"/>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2016-06-10T10:59:00Z</dcterms:created>
  <dcterms:modified xsi:type="dcterms:W3CDTF">2018-01-18T13:04:00Z</dcterms:modified>
</cp:coreProperties>
</file>