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CB7" w:rsidRPr="00850D9B" w:rsidRDefault="00075CB7" w:rsidP="00075CB7">
      <w:pPr>
        <w:pStyle w:val="NeniTitull"/>
        <w:rPr>
          <w:spacing w:val="-4"/>
          <w:lang w:val="sq-AL"/>
        </w:rPr>
      </w:pPr>
      <w:bookmarkStart w:id="0" w:name="_GoBack"/>
      <w:bookmarkEnd w:id="0"/>
      <w:r w:rsidRPr="00850D9B">
        <w:rPr>
          <w:spacing w:val="-4"/>
          <w:lang w:val="sq-AL"/>
        </w:rPr>
        <w:t>VENDIM</w:t>
      </w:r>
    </w:p>
    <w:p w:rsidR="00075CB7" w:rsidRPr="00850D9B" w:rsidRDefault="00075CB7" w:rsidP="00075CB7">
      <w:pPr>
        <w:pStyle w:val="NeniTitull"/>
        <w:rPr>
          <w:spacing w:val="-4"/>
          <w:lang w:val="sq-AL"/>
        </w:rPr>
      </w:pPr>
      <w:r w:rsidRPr="00850D9B">
        <w:rPr>
          <w:spacing w:val="-4"/>
          <w:lang w:val="sq-AL"/>
        </w:rPr>
        <w:t>Nr. 469, datë 22.6.</w:t>
      </w:r>
      <w:r>
        <w:rPr>
          <w:spacing w:val="-4"/>
          <w:lang w:val="sq-AL"/>
        </w:rPr>
        <w:t>2016</w:t>
      </w:r>
    </w:p>
    <w:p w:rsidR="00075CB7" w:rsidRPr="00850D9B" w:rsidRDefault="00075CB7" w:rsidP="00075CB7">
      <w:pPr>
        <w:pStyle w:val="Hapesira7"/>
        <w:rPr>
          <w:lang w:val="sq-AL"/>
        </w:rPr>
      </w:pPr>
    </w:p>
    <w:p w:rsidR="00075CB7" w:rsidRPr="00850D9B" w:rsidRDefault="00075CB7" w:rsidP="00075CB7">
      <w:pPr>
        <w:pStyle w:val="NeniTitull"/>
        <w:rPr>
          <w:spacing w:val="-4"/>
          <w:lang w:val="sq-AL"/>
        </w:rPr>
      </w:pPr>
      <w:r w:rsidRPr="00850D9B">
        <w:rPr>
          <w:spacing w:val="-4"/>
          <w:lang w:val="sq-AL"/>
        </w:rPr>
        <w:t>PËR SHPALLJEN E LIQENIT TË SHKODRËS DHE LUMIT BUNA SI ZONË BASHKËMENAXHUESE PESHKIMI</w:t>
      </w:r>
    </w:p>
    <w:p w:rsidR="00075CB7" w:rsidRPr="00850D9B" w:rsidRDefault="00075CB7" w:rsidP="00075CB7">
      <w:pPr>
        <w:pStyle w:val="Hapesira7"/>
        <w:rPr>
          <w:lang w:val="sq-AL"/>
        </w:rPr>
      </w:pPr>
    </w:p>
    <w:p w:rsidR="00075CB7" w:rsidRPr="00850D9B" w:rsidRDefault="00075CB7" w:rsidP="00075CB7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Në mbështetje të nenit 100 të Kushtetutës dhe të nenit 54, të ligjit nr. 64/2012, “Për peshkimin”, të ndryshuar, me propozimin e ministrit të Bujqësisë, Zhvillimit Rural dhe Administrimit të Ujërave, Këshilli i Ministrave</w:t>
      </w:r>
    </w:p>
    <w:p w:rsidR="00075CB7" w:rsidRPr="00850D9B" w:rsidRDefault="00075CB7" w:rsidP="00075CB7">
      <w:pPr>
        <w:pStyle w:val="Hapesira7"/>
        <w:rPr>
          <w:lang w:val="sq-AL"/>
        </w:rPr>
      </w:pPr>
    </w:p>
    <w:p w:rsidR="00075CB7" w:rsidRPr="00850D9B" w:rsidRDefault="00075CB7" w:rsidP="00075CB7">
      <w:pPr>
        <w:pStyle w:val="NeniNr"/>
        <w:rPr>
          <w:spacing w:val="-4"/>
          <w:lang w:val="sq-AL"/>
        </w:rPr>
      </w:pPr>
      <w:r w:rsidRPr="00850D9B">
        <w:rPr>
          <w:spacing w:val="-4"/>
          <w:lang w:val="sq-AL"/>
        </w:rPr>
        <w:t>VENDOSI:</w:t>
      </w:r>
    </w:p>
    <w:p w:rsidR="00075CB7" w:rsidRPr="00850D9B" w:rsidRDefault="00075CB7" w:rsidP="00075CB7">
      <w:pPr>
        <w:pStyle w:val="Hapesira7"/>
        <w:rPr>
          <w:lang w:val="sq-AL"/>
        </w:rPr>
      </w:pPr>
    </w:p>
    <w:p w:rsidR="00075CB7" w:rsidRPr="00850D9B" w:rsidRDefault="00075CB7" w:rsidP="00075CB7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1. Shpalljen e liqenit të Shkodrës dhe të lumit Buna, nga grykëderdhja deri në pikën e bashkimit me liqenin e Shkodrës, si zonë bashkëmenaxhuese peshkimi, duke pasur parasysh statusin si zonë natyrore veçanërisht e mbrojtur dhe si habitat i shpendëve ujorë, të përfshirë në listën e Konventës Ramsar, për të ushtruar aktivitetin e peshkimit tradicional.</w:t>
      </w:r>
    </w:p>
    <w:p w:rsidR="00075CB7" w:rsidRPr="00850D9B" w:rsidRDefault="00075CB7" w:rsidP="00075CB7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2. Plani i bashkëmenaxhimit për zonën e liqenit të Shkodrës dhe lumit Buna miratohet me urdhër të ministrit të Bujqësisë, Zhvillimit Rural dhe Administrimit të Ujërave, brenda 12 muajve nga data e miratimit të kësaj zone.</w:t>
      </w:r>
    </w:p>
    <w:p w:rsidR="00075CB7" w:rsidRPr="00850D9B" w:rsidRDefault="00075CB7" w:rsidP="00075CB7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3. Plani i bashkëmenaxhimit, sipas pikës 2, të jetë në përputhje me planin e menaxhimit të basenit Drin-Buna.</w:t>
      </w:r>
    </w:p>
    <w:p w:rsidR="00075CB7" w:rsidRPr="00850D9B" w:rsidRDefault="00075CB7" w:rsidP="00075CB7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4. Veprimtaritë dhe investimet që do të kryhen në zonën e bashkëmenaxhimit të liqenit të Shkodrës dhe lumit Buna të jenë në përputhje me legjislacionin në fuqi për zonat e mbrojtura.</w:t>
      </w:r>
    </w:p>
    <w:p w:rsidR="00075CB7" w:rsidRPr="00850D9B" w:rsidRDefault="00075CB7" w:rsidP="00075CB7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5. Ngarkohen Ministria e Bujqësisë, Zhvillimit Rural dhe Administrimit të Ujërave dhe Ministria e Mjedisit për zbatimin e këtij vendimi</w:t>
      </w:r>
      <w:r>
        <w:rPr>
          <w:spacing w:val="-4"/>
          <w:lang w:val="sq-AL"/>
        </w:rPr>
        <w:t>.</w:t>
      </w:r>
      <w:r w:rsidRPr="00850D9B">
        <w:rPr>
          <w:spacing w:val="-4"/>
          <w:lang w:val="sq-AL"/>
        </w:rPr>
        <w:t xml:space="preserve"> </w:t>
      </w:r>
    </w:p>
    <w:p w:rsidR="00075CB7" w:rsidRPr="00850D9B" w:rsidRDefault="00075CB7" w:rsidP="00075CB7">
      <w:pPr>
        <w:pStyle w:val="Paragrafi"/>
        <w:rPr>
          <w:spacing w:val="-4"/>
          <w:lang w:val="sq-AL"/>
        </w:rPr>
      </w:pPr>
      <w:r w:rsidRPr="00850D9B">
        <w:rPr>
          <w:spacing w:val="-4"/>
          <w:lang w:val="sq-AL"/>
        </w:rPr>
        <w:t>Ky vendim hyn në fuqi pas botimit në Fletoren Zyrtare.</w:t>
      </w:r>
    </w:p>
    <w:p w:rsidR="00075CB7" w:rsidRPr="00850D9B" w:rsidRDefault="00075CB7" w:rsidP="00075CB7">
      <w:pPr>
        <w:pStyle w:val="Hapesira7"/>
        <w:rPr>
          <w:lang w:val="sq-AL"/>
        </w:rPr>
      </w:pPr>
    </w:p>
    <w:p w:rsidR="00075CB7" w:rsidRPr="00850D9B" w:rsidRDefault="00075CB7" w:rsidP="00075CB7">
      <w:pPr>
        <w:pStyle w:val="Paragrafi"/>
        <w:jc w:val="right"/>
        <w:rPr>
          <w:spacing w:val="-4"/>
          <w:lang w:val="sq-AL"/>
        </w:rPr>
      </w:pPr>
      <w:r w:rsidRPr="00850D9B">
        <w:rPr>
          <w:spacing w:val="-4"/>
          <w:lang w:val="sq-AL"/>
        </w:rPr>
        <w:t>KRYEMINISTRI</w:t>
      </w:r>
    </w:p>
    <w:p w:rsidR="00075CB7" w:rsidRPr="00850D9B" w:rsidRDefault="00075CB7" w:rsidP="00075CB7">
      <w:pPr>
        <w:pStyle w:val="Paragrafi"/>
        <w:jc w:val="right"/>
        <w:rPr>
          <w:b/>
          <w:spacing w:val="-4"/>
          <w:lang w:val="sq-AL"/>
        </w:rPr>
      </w:pPr>
      <w:r w:rsidRPr="00850D9B">
        <w:rPr>
          <w:b/>
          <w:spacing w:val="-4"/>
          <w:lang w:val="sq-AL"/>
        </w:rPr>
        <w:t>Edi Rama</w:t>
      </w:r>
    </w:p>
    <w:p w:rsidR="00075CB7" w:rsidRPr="00850D9B" w:rsidRDefault="00075CB7" w:rsidP="00075CB7">
      <w:pPr>
        <w:pStyle w:val="Paragrafi"/>
        <w:jc w:val="right"/>
        <w:rPr>
          <w:b/>
          <w:spacing w:val="-4"/>
          <w:lang w:val="sq-AL"/>
        </w:rPr>
      </w:pPr>
    </w:p>
    <w:p w:rsidR="00075CB7" w:rsidRDefault="00075CB7" w:rsidP="00075CB7">
      <w:pPr>
        <w:pStyle w:val="NeniTitull"/>
        <w:rPr>
          <w:spacing w:val="-4"/>
          <w:lang w:val="sq-AL"/>
        </w:rPr>
        <w:sectPr w:rsidR="00075CB7" w:rsidSect="00974028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07583F" w:rsidRDefault="0007583F"/>
    <w:sectPr w:rsidR="000758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B7"/>
    <w:rsid w:val="0007583F"/>
    <w:rsid w:val="00075CB7"/>
    <w:rsid w:val="0097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75CB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75CB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075CB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75CB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75CB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75CB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75CB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75CB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075CB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75CB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75CB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75CB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2016-06-29T07:05:00Z</dcterms:created>
  <dcterms:modified xsi:type="dcterms:W3CDTF">2018-01-19T12:52:00Z</dcterms:modified>
</cp:coreProperties>
</file>