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C2F" w:rsidRPr="008156BB" w:rsidRDefault="00EE0C2F" w:rsidP="00EE0C2F">
      <w:pPr>
        <w:pStyle w:val="NeniTitull"/>
        <w:rPr>
          <w:spacing w:val="-4"/>
          <w:lang w:val="sq-AL"/>
        </w:rPr>
      </w:pPr>
      <w:bookmarkStart w:id="0" w:name="_GoBack"/>
      <w:bookmarkEnd w:id="0"/>
      <w:r w:rsidRPr="008156BB">
        <w:rPr>
          <w:spacing w:val="-4"/>
          <w:lang w:val="sq-AL"/>
        </w:rPr>
        <w:t>VENDIM</w:t>
      </w:r>
    </w:p>
    <w:p w:rsidR="00EE0C2F" w:rsidRPr="008156BB" w:rsidRDefault="00EE0C2F" w:rsidP="00EE0C2F">
      <w:pPr>
        <w:pStyle w:val="NeniTitull"/>
        <w:rPr>
          <w:spacing w:val="-4"/>
          <w:lang w:val="sq-AL"/>
        </w:rPr>
      </w:pPr>
      <w:r w:rsidRPr="008156BB">
        <w:rPr>
          <w:spacing w:val="-4"/>
          <w:lang w:val="sq-AL"/>
        </w:rPr>
        <w:t>Nr. 489, datë 29.6.2016</w:t>
      </w:r>
    </w:p>
    <w:p w:rsidR="00EE0C2F" w:rsidRPr="008156BB" w:rsidRDefault="00EE0C2F" w:rsidP="00EE0C2F">
      <w:pPr>
        <w:pStyle w:val="Hapesira7"/>
        <w:rPr>
          <w:lang w:val="sq-AL"/>
        </w:rPr>
      </w:pPr>
    </w:p>
    <w:p w:rsidR="00EE0C2F" w:rsidRPr="00CB0A8F" w:rsidRDefault="00EE0C2F" w:rsidP="00EE0C2F">
      <w:pPr>
        <w:pStyle w:val="NeniTitull"/>
        <w:rPr>
          <w:spacing w:val="-6"/>
          <w:lang w:val="sq-AL"/>
        </w:rPr>
      </w:pPr>
      <w:r w:rsidRPr="00CB0A8F">
        <w:rPr>
          <w:spacing w:val="-6"/>
          <w:lang w:val="sq-AL"/>
        </w:rPr>
        <w:t>PËR MIRATIMIN E LISTËS SË SUBSTANCAVE ME RREZIKSHMËRI SHUMË TË LARTË (SVHC) E TË KRITEREVE PËR PËRFSHIRJEN E SUBSTANCAVE NË LISTËN SVHC DHE LËSHIMIN E NJË AUTORIZIMI TË KUSHTËZUAR ME QËLLIM VAZHDIMIN E PËRDORIMIT TË SVHC-ve</w:t>
      </w:r>
      <w:r w:rsidRPr="00CB0A8F">
        <w:rPr>
          <w:spacing w:val="-6"/>
          <w:vertAlign w:val="superscript"/>
          <w:lang w:val="sq-AL"/>
        </w:rPr>
        <w:footnoteReference w:id="1"/>
      </w:r>
    </w:p>
    <w:p w:rsidR="00EE0C2F" w:rsidRPr="008156BB" w:rsidRDefault="00EE0C2F" w:rsidP="00EE0C2F">
      <w:pPr>
        <w:pStyle w:val="Hapesira7"/>
        <w:rPr>
          <w:lang w:val="sq-AL"/>
        </w:rPr>
      </w:pPr>
    </w:p>
    <w:p w:rsidR="00EE0C2F" w:rsidRPr="008156BB" w:rsidRDefault="00EE0C2F" w:rsidP="00EE0C2F">
      <w:pPr>
        <w:pStyle w:val="Paragrafi"/>
        <w:rPr>
          <w:spacing w:val="-4"/>
          <w:lang w:val="sq-AL"/>
        </w:rPr>
      </w:pPr>
      <w:r w:rsidRPr="008156BB">
        <w:rPr>
          <w:spacing w:val="-4"/>
          <w:lang w:val="sq-AL"/>
        </w:rPr>
        <w:t>Në mbështetje të nenit 100 të Kushtetutës dhe të pikës 5, të nenit 20, të ligjit nr. 27/2016, “Për menaxhimin e kimikateve”, me propozimin e ministrit të Mjedisit, Këshilli i Ministrave</w:t>
      </w:r>
    </w:p>
    <w:p w:rsidR="00EE0C2F" w:rsidRPr="008156BB" w:rsidRDefault="00EE0C2F" w:rsidP="00EE0C2F">
      <w:pPr>
        <w:pStyle w:val="Hapesira7"/>
        <w:rPr>
          <w:lang w:val="sq-AL"/>
        </w:rPr>
      </w:pPr>
    </w:p>
    <w:p w:rsidR="00EE0C2F" w:rsidRPr="008156BB" w:rsidRDefault="00EE0C2F" w:rsidP="00EE0C2F">
      <w:pPr>
        <w:pStyle w:val="NeniNr"/>
        <w:rPr>
          <w:spacing w:val="-4"/>
          <w:lang w:val="sq-AL"/>
        </w:rPr>
      </w:pPr>
      <w:r w:rsidRPr="008156BB">
        <w:rPr>
          <w:spacing w:val="-4"/>
          <w:lang w:val="sq-AL"/>
        </w:rPr>
        <w:t>VENDOSI:</w:t>
      </w:r>
    </w:p>
    <w:p w:rsidR="00EE0C2F" w:rsidRPr="008156BB" w:rsidRDefault="00EE0C2F" w:rsidP="00EE0C2F">
      <w:pPr>
        <w:pStyle w:val="Hapesira7"/>
        <w:rPr>
          <w:lang w:val="sq-AL"/>
        </w:rPr>
      </w:pPr>
    </w:p>
    <w:p w:rsidR="00EE0C2F" w:rsidRPr="008156BB" w:rsidRDefault="00EE0C2F" w:rsidP="00EE0C2F">
      <w:pPr>
        <w:pStyle w:val="NeniNr"/>
        <w:rPr>
          <w:spacing w:val="-4"/>
          <w:lang w:val="sq-AL"/>
        </w:rPr>
      </w:pPr>
      <w:r w:rsidRPr="008156BB">
        <w:rPr>
          <w:spacing w:val="-4"/>
          <w:lang w:val="sq-AL"/>
        </w:rPr>
        <w:t>KREU I</w:t>
      </w:r>
    </w:p>
    <w:p w:rsidR="00EE0C2F" w:rsidRPr="008156BB" w:rsidRDefault="00EE0C2F" w:rsidP="00EE0C2F">
      <w:pPr>
        <w:pStyle w:val="NeniNr"/>
        <w:rPr>
          <w:spacing w:val="-4"/>
          <w:lang w:val="sq-AL"/>
        </w:rPr>
      </w:pPr>
      <w:r w:rsidRPr="008156BB">
        <w:rPr>
          <w:spacing w:val="-4"/>
          <w:lang w:val="sq-AL"/>
        </w:rPr>
        <w:t>DISPOZITA TË PËRGJITHSHME</w:t>
      </w:r>
    </w:p>
    <w:p w:rsidR="00EE0C2F" w:rsidRPr="008156BB" w:rsidRDefault="00EE0C2F" w:rsidP="00EE0C2F">
      <w:pPr>
        <w:pStyle w:val="Hapesira7"/>
        <w:rPr>
          <w:lang w:val="sq-AL"/>
        </w:rPr>
      </w:pPr>
    </w:p>
    <w:p w:rsidR="00EE0C2F" w:rsidRPr="008156BB" w:rsidRDefault="00EE0C2F" w:rsidP="00EE0C2F">
      <w:pPr>
        <w:pStyle w:val="Paragrafi"/>
        <w:rPr>
          <w:spacing w:val="-4"/>
          <w:lang w:val="sq-AL"/>
        </w:rPr>
      </w:pPr>
      <w:r w:rsidRPr="008156BB">
        <w:rPr>
          <w:spacing w:val="-4"/>
          <w:lang w:val="sq-AL"/>
        </w:rPr>
        <w:t>1. Për qëllime të këtij vendimi të gjithë termat kanë të njëjtin kuptim me termat e përcaktuar në nenin 5, të ligjit nr. 27/2016, “Për menaxhimin e kimikateve”, ndërsa termat e mëposhtëm nënkuptojnë:</w:t>
      </w:r>
    </w:p>
    <w:p w:rsidR="00EE0C2F" w:rsidRPr="008156BB" w:rsidRDefault="00EE0C2F" w:rsidP="00EE0C2F">
      <w:pPr>
        <w:pStyle w:val="Paragrafi"/>
        <w:rPr>
          <w:spacing w:val="-4"/>
          <w:lang w:val="sq-AL"/>
        </w:rPr>
      </w:pPr>
      <w:r w:rsidRPr="008156BB">
        <w:rPr>
          <w:spacing w:val="-4"/>
          <w:lang w:val="sq-AL"/>
        </w:rPr>
        <w:t>a) “Klasifikimi i toksicitetit specifik me objektiv një organ (TSOO)/(STOT)”, klasifikimi i substancës bazuar në toksicitetin specifik me objektiv një organ të caktuar, si rezultat i ekspozimit të përsëritur ndaj një substance ose përzierjeje substancash;</w:t>
      </w:r>
    </w:p>
    <w:p w:rsidR="00EE0C2F" w:rsidRPr="008156BB" w:rsidRDefault="00EE0C2F" w:rsidP="00EE0C2F">
      <w:pPr>
        <w:pStyle w:val="Paragrafi"/>
        <w:rPr>
          <w:spacing w:val="-4"/>
          <w:lang w:val="sq-AL"/>
        </w:rPr>
      </w:pPr>
      <w:r w:rsidRPr="008156BB">
        <w:rPr>
          <w:spacing w:val="-4"/>
          <w:lang w:val="sq-AL"/>
        </w:rPr>
        <w:t xml:space="preserve">b) “Grup substancash”, substancat, vetitë fiziko-kimike, toksikologjike dhe ekotoksikologjike të të cilave janë të ngjashme për shkak të ngjashmërisë strukturore që ato kanë. </w:t>
      </w:r>
    </w:p>
    <w:p w:rsidR="00EE0C2F" w:rsidRPr="008156BB" w:rsidRDefault="00EE0C2F" w:rsidP="00EE0C2F">
      <w:pPr>
        <w:pStyle w:val="Paragrafi"/>
        <w:rPr>
          <w:spacing w:val="-4"/>
          <w:lang w:val="sq-AL"/>
        </w:rPr>
      </w:pPr>
      <w:r w:rsidRPr="008156BB">
        <w:rPr>
          <w:spacing w:val="-4"/>
          <w:lang w:val="sq-AL"/>
        </w:rPr>
        <w:t>2. Ky vendim nuk zbatohet për fushat e përcaktuara në pikën 5, të nenit 4, të ligjit nr. 27/2016, “Për menaxhimin e kimikateve”.</w:t>
      </w:r>
    </w:p>
    <w:p w:rsidR="00EE0C2F" w:rsidRPr="008156BB" w:rsidRDefault="00EE0C2F" w:rsidP="00EE0C2F">
      <w:pPr>
        <w:pStyle w:val="Paragrafi"/>
        <w:rPr>
          <w:spacing w:val="-4"/>
          <w:lang w:val="sq-AL"/>
        </w:rPr>
      </w:pPr>
      <w:r w:rsidRPr="008156BB">
        <w:rPr>
          <w:spacing w:val="-4"/>
          <w:lang w:val="sq-AL"/>
        </w:rPr>
        <w:t>3. Këtij vendimi i bashkëlidhen shtojcat e mëposhtme që janë pjesë përbërëse të tij:</w:t>
      </w:r>
    </w:p>
    <w:p w:rsidR="00EE0C2F" w:rsidRDefault="00EE0C2F" w:rsidP="00EE0C2F">
      <w:pPr>
        <w:pStyle w:val="Paragrafi"/>
        <w:rPr>
          <w:spacing w:val="-4"/>
          <w:lang w:val="sq-AL"/>
        </w:rPr>
      </w:pPr>
    </w:p>
    <w:p w:rsidR="00EE0C2F" w:rsidRPr="008156BB" w:rsidRDefault="00EE0C2F" w:rsidP="00EE0C2F">
      <w:pPr>
        <w:pStyle w:val="Paragrafi"/>
        <w:rPr>
          <w:spacing w:val="-4"/>
          <w:lang w:val="sq-AL"/>
        </w:rPr>
      </w:pPr>
      <w:r w:rsidRPr="008156BB">
        <w:rPr>
          <w:spacing w:val="-4"/>
          <w:lang w:val="sq-AL"/>
        </w:rPr>
        <w:t>a) Shtojca I “Lista e substancave me rrezik</w:t>
      </w:r>
      <w:r>
        <w:rPr>
          <w:spacing w:val="-4"/>
          <w:lang w:val="sq-AL"/>
        </w:rPr>
        <w:t>-</w:t>
      </w:r>
      <w:r w:rsidRPr="008156BB">
        <w:rPr>
          <w:spacing w:val="-4"/>
          <w:lang w:val="sq-AL"/>
        </w:rPr>
        <w:t>shmëri shumë të lartë, në vazhdim lista SVHC”;</w:t>
      </w:r>
    </w:p>
    <w:p w:rsidR="00EE0C2F" w:rsidRPr="008156BB" w:rsidRDefault="00EE0C2F" w:rsidP="00EE0C2F">
      <w:pPr>
        <w:pStyle w:val="Paragrafi"/>
        <w:rPr>
          <w:spacing w:val="-4"/>
          <w:lang w:val="sq-AL"/>
        </w:rPr>
      </w:pPr>
      <w:r w:rsidRPr="008156BB">
        <w:rPr>
          <w:spacing w:val="-4"/>
          <w:lang w:val="sq-AL"/>
        </w:rPr>
        <w:t>b) Shtojca II “Kriteret për identifikimin e substancave të qëndrueshme, bioakumuluese e toksike, dhe shumë të qëndrueshme e shumë bioakumuluese”;</w:t>
      </w:r>
    </w:p>
    <w:p w:rsidR="00EE0C2F" w:rsidRPr="008156BB" w:rsidRDefault="00EE0C2F" w:rsidP="00EE0C2F">
      <w:pPr>
        <w:pStyle w:val="Paragrafi"/>
        <w:rPr>
          <w:spacing w:val="-4"/>
          <w:lang w:val="sq-AL"/>
        </w:rPr>
      </w:pPr>
      <w:r w:rsidRPr="008156BB">
        <w:rPr>
          <w:spacing w:val="-4"/>
          <w:lang w:val="sq-AL"/>
        </w:rPr>
        <w:t>c) Shtojca III “Analiza social-ekonomike”.</w:t>
      </w:r>
    </w:p>
    <w:p w:rsidR="00EE0C2F" w:rsidRDefault="00EE0C2F" w:rsidP="00EE0C2F">
      <w:pPr>
        <w:pStyle w:val="Hapesira7"/>
        <w:rPr>
          <w:lang w:val="sq-AL"/>
        </w:rPr>
      </w:pPr>
    </w:p>
    <w:p w:rsidR="00EE0C2F" w:rsidRPr="008156BB" w:rsidRDefault="00EE0C2F" w:rsidP="00EE0C2F">
      <w:pPr>
        <w:pStyle w:val="NeniNr"/>
        <w:rPr>
          <w:spacing w:val="-4"/>
          <w:lang w:val="sq-AL"/>
        </w:rPr>
      </w:pPr>
      <w:r w:rsidRPr="008156BB">
        <w:rPr>
          <w:spacing w:val="-4"/>
          <w:lang w:val="sq-AL"/>
        </w:rPr>
        <w:t>KREU II</w:t>
      </w:r>
    </w:p>
    <w:p w:rsidR="00EE0C2F" w:rsidRPr="008156BB" w:rsidRDefault="00EE0C2F" w:rsidP="00EE0C2F">
      <w:pPr>
        <w:pStyle w:val="NeniNr"/>
        <w:rPr>
          <w:spacing w:val="-4"/>
          <w:lang w:val="sq-AL"/>
        </w:rPr>
      </w:pPr>
      <w:r w:rsidRPr="008156BB">
        <w:rPr>
          <w:spacing w:val="-4"/>
          <w:lang w:val="sq-AL"/>
        </w:rPr>
        <w:t>LISTA E SUBSTANCAVE ME RREZIKSHMËRI SHUMË TË LARTË DHE KRITERET PËR PËRFSHIRJEN E TYRE NË LISTËN SVHC</w:t>
      </w:r>
    </w:p>
    <w:p w:rsidR="00EE0C2F" w:rsidRPr="008156BB" w:rsidRDefault="00EE0C2F" w:rsidP="00EE0C2F">
      <w:pPr>
        <w:pStyle w:val="Hapesira7"/>
        <w:rPr>
          <w:lang w:val="sq-AL"/>
        </w:rPr>
      </w:pPr>
    </w:p>
    <w:p w:rsidR="00EE0C2F" w:rsidRPr="008156BB" w:rsidRDefault="00EE0C2F" w:rsidP="00EE0C2F">
      <w:pPr>
        <w:pStyle w:val="Paragrafi"/>
        <w:rPr>
          <w:spacing w:val="-4"/>
          <w:lang w:val="sq-AL"/>
        </w:rPr>
      </w:pPr>
      <w:r w:rsidRPr="008156BB">
        <w:rPr>
          <w:spacing w:val="-4"/>
          <w:lang w:val="sq-AL"/>
        </w:rPr>
        <w:t>1. Substancat me rrezikshmëri shumë të lartë për shëndetin e njeriut dhe mjedisin, tani e tutje lista SVHC, janë substancat e listuara në shtojcën 1 të këtij vendimi, që përfshijnë kategoritë e mëposhtme:</w:t>
      </w:r>
    </w:p>
    <w:p w:rsidR="00EE0C2F" w:rsidRPr="008156BB" w:rsidRDefault="00EE0C2F" w:rsidP="00EE0C2F">
      <w:pPr>
        <w:pStyle w:val="Paragrafi"/>
        <w:rPr>
          <w:spacing w:val="-4"/>
          <w:lang w:val="sq-AL"/>
        </w:rPr>
      </w:pPr>
      <w:r w:rsidRPr="008156BB">
        <w:rPr>
          <w:spacing w:val="-4"/>
          <w:lang w:val="sq-AL"/>
        </w:rPr>
        <w:t xml:space="preserve">a) Kategoritë mutagjene 1A ose 1B; </w:t>
      </w:r>
    </w:p>
    <w:p w:rsidR="00EE0C2F" w:rsidRPr="008156BB" w:rsidRDefault="00EE0C2F" w:rsidP="00EE0C2F">
      <w:pPr>
        <w:pStyle w:val="Paragrafi"/>
        <w:rPr>
          <w:spacing w:val="-4"/>
          <w:lang w:val="sq-AL"/>
        </w:rPr>
      </w:pPr>
      <w:r w:rsidRPr="008156BB">
        <w:rPr>
          <w:spacing w:val="-4"/>
          <w:lang w:val="sq-AL"/>
        </w:rPr>
        <w:t xml:space="preserve">b) Kategoritë kancerogjene 1A ose 1B; </w:t>
      </w:r>
    </w:p>
    <w:p w:rsidR="00EE0C2F" w:rsidRPr="008156BB" w:rsidRDefault="00EE0C2F" w:rsidP="00EE0C2F">
      <w:pPr>
        <w:pStyle w:val="Paragrafi"/>
        <w:rPr>
          <w:spacing w:val="-4"/>
          <w:lang w:val="sq-AL"/>
        </w:rPr>
      </w:pPr>
      <w:r w:rsidRPr="008156BB">
        <w:rPr>
          <w:spacing w:val="-4"/>
          <w:lang w:val="sq-AL"/>
        </w:rPr>
        <w:t xml:space="preserve">c) Kategoritë toksike për riprodhueshmërinë 1A ose 1B; </w:t>
      </w:r>
    </w:p>
    <w:p w:rsidR="00EE0C2F" w:rsidRPr="008156BB" w:rsidRDefault="00EE0C2F" w:rsidP="00EE0C2F">
      <w:pPr>
        <w:pStyle w:val="Paragrafi"/>
        <w:rPr>
          <w:spacing w:val="-4"/>
          <w:lang w:val="sq-AL"/>
        </w:rPr>
      </w:pPr>
      <w:r w:rsidRPr="008156BB">
        <w:rPr>
          <w:spacing w:val="-4"/>
          <w:lang w:val="sq-AL"/>
        </w:rPr>
        <w:t xml:space="preserve">ç) Substancat që janë të qëndrueshme, të bioakumulueshme dhe toksike; </w:t>
      </w:r>
    </w:p>
    <w:p w:rsidR="00EE0C2F" w:rsidRPr="008156BB" w:rsidRDefault="00EE0C2F" w:rsidP="00EE0C2F">
      <w:pPr>
        <w:pStyle w:val="Paragrafi"/>
        <w:rPr>
          <w:spacing w:val="-4"/>
          <w:lang w:val="sq-AL"/>
        </w:rPr>
      </w:pPr>
      <w:r w:rsidRPr="008156BB">
        <w:rPr>
          <w:spacing w:val="-4"/>
          <w:lang w:val="sq-AL"/>
        </w:rPr>
        <w:t xml:space="preserve">d) Substancat që janë shumë të qëndrueshme, shumë të bioakumulueshme; </w:t>
      </w:r>
    </w:p>
    <w:p w:rsidR="00EE0C2F" w:rsidRPr="008156BB" w:rsidRDefault="00EE0C2F" w:rsidP="00EE0C2F">
      <w:pPr>
        <w:pStyle w:val="Paragrafi"/>
        <w:rPr>
          <w:spacing w:val="-4"/>
          <w:lang w:val="sq-AL"/>
        </w:rPr>
      </w:pPr>
      <w:r w:rsidRPr="008156BB">
        <w:rPr>
          <w:spacing w:val="-4"/>
          <w:lang w:val="sq-AL"/>
        </w:rPr>
        <w:t xml:space="preserve">dh) </w:t>
      </w:r>
      <w:r w:rsidRPr="008156BB">
        <w:rPr>
          <w:spacing w:val="-4"/>
          <w:lang w:val="sq-AL"/>
        </w:rPr>
        <w:tab/>
        <w:t>Substancat, të tilla si ato, që kanë veti endokrine ose ato që kanë veti të qëndrueshme, bioakumulative dhe toksike ose veti shumë të qëndrueshme dhe shumë të bioakumulueshme, të cilat nuk i plotësojnë kriteret e përcaktuara për substancat në shkronjat “ç” ose “d”, për të cilat ka të dhëna shkencore mbi efektet e mundshme të rënda për shëndetin e njeriut apo mjedisin, që çojnë në një nivel të njëjtë të rrezikut me ato të substancave të tjera të listuara në shkronjat nga “a” deri “d” dhe të cilat janë identifikuar rast pas rasti.</w:t>
      </w:r>
    </w:p>
    <w:p w:rsidR="00EE0C2F" w:rsidRPr="008156BB" w:rsidRDefault="00EE0C2F" w:rsidP="00EE0C2F">
      <w:pPr>
        <w:pStyle w:val="Paragrafi"/>
        <w:rPr>
          <w:spacing w:val="-4"/>
          <w:lang w:val="sq-AL"/>
        </w:rPr>
      </w:pPr>
      <w:r w:rsidRPr="008156BB">
        <w:rPr>
          <w:spacing w:val="-4"/>
          <w:lang w:val="sq-AL"/>
        </w:rPr>
        <w:t xml:space="preserve">2. Kriteret për klasifikimin e substancave në klasën e rrezikut për qelizat embrionale në kategoritë </w:t>
      </w:r>
      <w:r w:rsidRPr="008156BB">
        <w:rPr>
          <w:spacing w:val="-4"/>
          <w:lang w:val="sq-AL"/>
        </w:rPr>
        <w:lastRenderedPageBreak/>
        <w:t>mutagjene 1A ose 1B janë përcaktuar në tabelën nr. 1, në shtojcën 2, bashkëlidhur këtij vendimi.</w:t>
      </w:r>
    </w:p>
    <w:p w:rsidR="00EE0C2F" w:rsidRPr="008156BB" w:rsidRDefault="00EE0C2F" w:rsidP="00EE0C2F">
      <w:pPr>
        <w:pStyle w:val="Paragrafi"/>
        <w:rPr>
          <w:spacing w:val="-4"/>
          <w:lang w:val="sq-AL"/>
        </w:rPr>
      </w:pPr>
      <w:r w:rsidRPr="008156BB">
        <w:rPr>
          <w:spacing w:val="-4"/>
          <w:lang w:val="sq-AL"/>
        </w:rPr>
        <w:t>3. Kriteret për klasifikimin e substancave në klasën e rrezikut për kategoritë kancerogjene 1A ose 1B janë të përcaktuara në tabelën nr. 2, në shtojcën 2, bashkëlidhur këtij vendimi.</w:t>
      </w:r>
    </w:p>
    <w:p w:rsidR="00EE0C2F" w:rsidRPr="008156BB" w:rsidRDefault="00EE0C2F" w:rsidP="00EE0C2F">
      <w:pPr>
        <w:pStyle w:val="Paragrafi"/>
        <w:rPr>
          <w:spacing w:val="-4"/>
          <w:lang w:val="sq-AL"/>
        </w:rPr>
      </w:pPr>
      <w:r w:rsidRPr="008156BB">
        <w:rPr>
          <w:spacing w:val="-4"/>
          <w:lang w:val="sq-AL"/>
        </w:rPr>
        <w:t>4. Kriteret për klasifikimin e substancave në klasën e rrezikut për kategoritë toksike për riprodhueshmërinë 1A ose 1B, që kanë efekte negative në funksionet seksuale dhe fertilitetin apo në zhvillimin e tyre, janë të përcaktuara në tabelën nr. 3, në shtojcën 2, bashkëlidhur këtij vendimi.</w:t>
      </w:r>
    </w:p>
    <w:p w:rsidR="00EE0C2F" w:rsidRPr="008156BB" w:rsidRDefault="00EE0C2F" w:rsidP="00EE0C2F">
      <w:pPr>
        <w:pStyle w:val="Paragrafi"/>
        <w:rPr>
          <w:spacing w:val="-4"/>
          <w:lang w:val="sq-AL"/>
        </w:rPr>
      </w:pPr>
      <w:r w:rsidRPr="008156BB">
        <w:rPr>
          <w:spacing w:val="-4"/>
          <w:lang w:val="sq-AL"/>
        </w:rPr>
        <w:t>5. Substanca të qëndrueshme të bioakumu</w:t>
      </w:r>
      <w:r>
        <w:rPr>
          <w:spacing w:val="-4"/>
          <w:lang w:val="sq-AL"/>
        </w:rPr>
        <w:t>-</w:t>
      </w:r>
      <w:r w:rsidRPr="008156BB">
        <w:rPr>
          <w:spacing w:val="-4"/>
          <w:lang w:val="sq-AL"/>
        </w:rPr>
        <w:t>lueshme dhe toksike “QBT” janë ato substanca që plotësojnë kriteret e mëposhtme:</w:t>
      </w:r>
    </w:p>
    <w:p w:rsidR="00EE0C2F" w:rsidRPr="008156BB" w:rsidRDefault="00EE0C2F" w:rsidP="00EE0C2F">
      <w:pPr>
        <w:pStyle w:val="Paragrafi"/>
        <w:rPr>
          <w:spacing w:val="-4"/>
          <w:lang w:val="sq-AL"/>
        </w:rPr>
      </w:pPr>
      <w:r w:rsidRPr="008156BB">
        <w:rPr>
          <w:spacing w:val="-4"/>
          <w:lang w:val="sq-AL"/>
        </w:rPr>
        <w:t>a) Qëndrueshmërinë</w:t>
      </w:r>
    </w:p>
    <w:p w:rsidR="00EE0C2F" w:rsidRPr="008156BB" w:rsidRDefault="00EE0C2F" w:rsidP="00EE0C2F">
      <w:pPr>
        <w:pStyle w:val="Paragrafi"/>
        <w:rPr>
          <w:spacing w:val="-4"/>
          <w:lang w:val="sq-AL"/>
        </w:rPr>
      </w:pPr>
      <w:r w:rsidRPr="008156BB">
        <w:rPr>
          <w:spacing w:val="-4"/>
          <w:lang w:val="sq-AL"/>
        </w:rPr>
        <w:t>Një substancë është e qëndrueshme dhe përmbush kriterin (Q-), kur:</w:t>
      </w:r>
    </w:p>
    <w:p w:rsidR="00EE0C2F" w:rsidRPr="008156BB" w:rsidRDefault="00EE0C2F" w:rsidP="00EE0C2F">
      <w:pPr>
        <w:pStyle w:val="Paragrafi"/>
        <w:rPr>
          <w:spacing w:val="-4"/>
          <w:lang w:val="sq-AL"/>
        </w:rPr>
      </w:pPr>
      <w:r w:rsidRPr="008156BB">
        <w:rPr>
          <w:spacing w:val="-4"/>
          <w:lang w:val="sq-AL"/>
        </w:rPr>
        <w:t>i) gjysmëjeta e substancës në ujërat detare është më e madhe se 60 ditë; ose</w:t>
      </w:r>
    </w:p>
    <w:p w:rsidR="00EE0C2F" w:rsidRPr="008156BB" w:rsidRDefault="00EE0C2F" w:rsidP="00EE0C2F">
      <w:pPr>
        <w:pStyle w:val="Paragrafi"/>
        <w:rPr>
          <w:spacing w:val="-4"/>
          <w:lang w:val="sq-AL"/>
        </w:rPr>
      </w:pPr>
      <w:r w:rsidRPr="008156BB">
        <w:rPr>
          <w:spacing w:val="-4"/>
          <w:lang w:val="sq-AL"/>
        </w:rPr>
        <w:t>ii) gjysmëjeta e substancës në ujërat e ëmbla ose në grykëderdhje është më e madhe se 40 ditë; ose</w:t>
      </w:r>
    </w:p>
    <w:p w:rsidR="00EE0C2F" w:rsidRPr="008156BB" w:rsidRDefault="00EE0C2F" w:rsidP="00EE0C2F">
      <w:pPr>
        <w:pStyle w:val="Paragrafi"/>
        <w:rPr>
          <w:spacing w:val="-4"/>
          <w:lang w:val="sq-AL"/>
        </w:rPr>
      </w:pPr>
      <w:r w:rsidRPr="008156BB">
        <w:rPr>
          <w:spacing w:val="-4"/>
          <w:lang w:val="sq-AL"/>
        </w:rPr>
        <w:t>iii) gjysmëjeta e substancës në sedimentet detare është më e madhe se 180 ditë; ose</w:t>
      </w:r>
    </w:p>
    <w:p w:rsidR="00EE0C2F" w:rsidRPr="008156BB" w:rsidRDefault="00EE0C2F" w:rsidP="00EE0C2F">
      <w:pPr>
        <w:pStyle w:val="Paragrafi"/>
        <w:rPr>
          <w:spacing w:val="-4"/>
          <w:lang w:val="sq-AL"/>
        </w:rPr>
      </w:pPr>
      <w:r w:rsidRPr="008156BB">
        <w:rPr>
          <w:spacing w:val="-4"/>
          <w:lang w:val="sq-AL"/>
        </w:rPr>
        <w:t>iv) gjysmëjeta në sedimentet e ujërave të ëmbla ose të grykëderdhjeve është më e madhe se 120 ditë; ose</w:t>
      </w:r>
    </w:p>
    <w:p w:rsidR="00EE0C2F" w:rsidRPr="008156BB" w:rsidRDefault="00EE0C2F" w:rsidP="00EE0C2F">
      <w:pPr>
        <w:pStyle w:val="Paragrafi"/>
        <w:rPr>
          <w:spacing w:val="-4"/>
          <w:lang w:val="sq-AL"/>
        </w:rPr>
      </w:pPr>
      <w:r w:rsidRPr="008156BB">
        <w:rPr>
          <w:spacing w:val="-4"/>
          <w:lang w:val="sq-AL"/>
        </w:rPr>
        <w:t>v) gjysmëjeta e substancës në tokë është më e madhe se 120 ditë.</w:t>
      </w:r>
    </w:p>
    <w:p w:rsidR="00EE0C2F" w:rsidRPr="008156BB" w:rsidRDefault="00EE0C2F" w:rsidP="00EE0C2F">
      <w:pPr>
        <w:pStyle w:val="Paragrafi"/>
        <w:rPr>
          <w:spacing w:val="-4"/>
          <w:lang w:val="sq-AL"/>
        </w:rPr>
      </w:pPr>
      <w:r w:rsidRPr="008156BB">
        <w:rPr>
          <w:spacing w:val="-4"/>
          <w:lang w:val="sq-AL"/>
        </w:rPr>
        <w:t>Vlerësimi i qëndrueshmërisë në mjedis do të bazohet në të dhënat e mundshme të grumbulluara në kushte të përshtatshme për gjysmëjetën e substancës, të cilat do të përshkruhen nga regjistruesi.</w:t>
      </w:r>
    </w:p>
    <w:p w:rsidR="00EE0C2F" w:rsidRPr="008156BB" w:rsidRDefault="00EE0C2F" w:rsidP="00EE0C2F">
      <w:pPr>
        <w:pStyle w:val="Paragrafi"/>
        <w:rPr>
          <w:spacing w:val="-4"/>
          <w:lang w:val="sq-AL"/>
        </w:rPr>
      </w:pPr>
      <w:r w:rsidRPr="008156BB">
        <w:rPr>
          <w:spacing w:val="-4"/>
          <w:lang w:val="sq-AL"/>
        </w:rPr>
        <w:t xml:space="preserve">b) Bioakumulimin </w:t>
      </w:r>
    </w:p>
    <w:p w:rsidR="00EE0C2F" w:rsidRPr="008156BB" w:rsidRDefault="00EE0C2F" w:rsidP="00EE0C2F">
      <w:pPr>
        <w:pStyle w:val="Paragrafi"/>
        <w:rPr>
          <w:spacing w:val="-4"/>
          <w:lang w:val="sq-AL"/>
        </w:rPr>
      </w:pPr>
      <w:r w:rsidRPr="008156BB">
        <w:rPr>
          <w:spacing w:val="-4"/>
          <w:lang w:val="sq-AL"/>
        </w:rPr>
        <w:t xml:space="preserve">Një substancë është e bioakumulueshme dhe përmbush kriterin (B-) kur faktori i bioakumulimit (FBK) është më i lartë se 2 000. Vlerësimi i bioakumulimit do të bazohet në të dhënat e matura për biopërqendrimin në speciet ujore të ujërave të ëmbla dhe atyre detare. </w:t>
      </w:r>
    </w:p>
    <w:p w:rsidR="00EE0C2F" w:rsidRPr="008156BB" w:rsidRDefault="00EE0C2F" w:rsidP="00EE0C2F">
      <w:pPr>
        <w:pStyle w:val="Paragrafi"/>
        <w:rPr>
          <w:spacing w:val="-4"/>
          <w:lang w:val="sq-AL"/>
        </w:rPr>
      </w:pPr>
      <w:r w:rsidRPr="008156BB">
        <w:rPr>
          <w:spacing w:val="-4"/>
          <w:lang w:val="sq-AL"/>
        </w:rPr>
        <w:t>c) Toksicitetin</w:t>
      </w:r>
    </w:p>
    <w:p w:rsidR="00EE0C2F" w:rsidRPr="008156BB" w:rsidRDefault="00EE0C2F" w:rsidP="00EE0C2F">
      <w:pPr>
        <w:pStyle w:val="Paragrafi"/>
        <w:rPr>
          <w:spacing w:val="-4"/>
          <w:lang w:val="sq-AL"/>
        </w:rPr>
      </w:pPr>
      <w:r w:rsidRPr="008156BB">
        <w:rPr>
          <w:spacing w:val="-4"/>
          <w:lang w:val="sq-AL"/>
        </w:rPr>
        <w:t xml:space="preserve">Një substancë plotëson kriterin </w:t>
      </w:r>
      <w:r>
        <w:rPr>
          <w:spacing w:val="-4"/>
          <w:lang w:val="sq-AL"/>
        </w:rPr>
        <w:t>e toksicitetit (T</w:t>
      </w:r>
      <w:r w:rsidRPr="008156BB">
        <w:rPr>
          <w:spacing w:val="-4"/>
          <w:lang w:val="sq-AL"/>
        </w:rPr>
        <w:t>), kur:</w:t>
      </w:r>
    </w:p>
    <w:p w:rsidR="00EE0C2F" w:rsidRPr="008156BB" w:rsidRDefault="00EE0C2F" w:rsidP="00EE0C2F">
      <w:pPr>
        <w:pStyle w:val="Paragrafi"/>
        <w:rPr>
          <w:spacing w:val="-4"/>
          <w:lang w:val="sq-AL"/>
        </w:rPr>
      </w:pPr>
      <w:r w:rsidRPr="008156BB">
        <w:rPr>
          <w:spacing w:val="-4"/>
          <w:lang w:val="sq-AL"/>
        </w:rPr>
        <w:t>i) përqendrimi i efektit, ku nuk vërehen efekte afatgjata për organizmat e ujërave detare ose të ujërave të freskëta, është më i vogël se 0,01 mg/l; ose</w:t>
      </w:r>
    </w:p>
    <w:p w:rsidR="00EE0C2F" w:rsidRPr="008156BB" w:rsidRDefault="00EE0C2F" w:rsidP="00EE0C2F">
      <w:pPr>
        <w:pStyle w:val="Paragrafi"/>
        <w:rPr>
          <w:spacing w:val="-4"/>
          <w:lang w:val="sq-AL"/>
        </w:rPr>
      </w:pPr>
      <w:r w:rsidRPr="008156BB">
        <w:rPr>
          <w:spacing w:val="-4"/>
          <w:lang w:val="sq-AL"/>
        </w:rPr>
        <w:t>ii) substanca klasifikohet si kancerogjene (kategoritë 1A ose 1B), mutagjene për qelizat embrionale (kategoritë 1A ose 1B), ose toksike për riprodhimin (kategoritë 1A, 1B ose 2); ose</w:t>
      </w:r>
    </w:p>
    <w:p w:rsidR="00EE0C2F" w:rsidRPr="008156BB" w:rsidRDefault="00EE0C2F" w:rsidP="00EE0C2F">
      <w:pPr>
        <w:pStyle w:val="Paragrafi"/>
        <w:rPr>
          <w:spacing w:val="-4"/>
          <w:lang w:val="sq-AL"/>
        </w:rPr>
      </w:pPr>
      <w:r w:rsidRPr="008156BB">
        <w:rPr>
          <w:spacing w:val="-4"/>
          <w:lang w:val="sq-AL"/>
        </w:rPr>
        <w:t>iii) ka të dhëna të tjera të toksicitetit kronik, siç është identifikuar nga klasifikimet STOT, kategoria 1 (nëpërmjet gojës, lëkurës, thithjes nëpërmjet hundës të gazeve/avujve, thithjes nëpërmjet hundës të pluhurit/mjegullës/tymrave) ose kategoria 2 (nëpërmjet gojës, lëkurës, thithjes nëpërmjet hundës të gazeve/avujve, thithjes nëpërmjet hundës të pluhurit/mjegullës/tymrave);</w:t>
      </w:r>
    </w:p>
    <w:p w:rsidR="00EE0C2F" w:rsidRPr="008156BB" w:rsidRDefault="00EE0C2F" w:rsidP="00EE0C2F">
      <w:pPr>
        <w:pStyle w:val="Paragrafi"/>
        <w:rPr>
          <w:spacing w:val="-4"/>
          <w:lang w:val="sq-AL"/>
        </w:rPr>
      </w:pPr>
      <w:r w:rsidRPr="008156BB">
        <w:rPr>
          <w:spacing w:val="-4"/>
          <w:lang w:val="sq-AL"/>
        </w:rPr>
        <w:t>iv) kategoritë 1 (1A dhe 1B) dhe kategoria 2 për substancat kancerogjene, mutagjene për qelizat embrionale ose substancat toksike për riprodhimin janë përshkruar në shtojcën 2.</w:t>
      </w:r>
    </w:p>
    <w:p w:rsidR="00EE0C2F" w:rsidRPr="008156BB" w:rsidRDefault="00EE0C2F" w:rsidP="00EE0C2F">
      <w:pPr>
        <w:pStyle w:val="Paragrafi"/>
        <w:rPr>
          <w:spacing w:val="-4"/>
          <w:lang w:val="sq-AL"/>
        </w:rPr>
      </w:pPr>
      <w:r w:rsidRPr="008156BB">
        <w:rPr>
          <w:spacing w:val="-4"/>
          <w:lang w:val="sq-AL"/>
        </w:rPr>
        <w:t xml:space="preserve">6. Substanca shumë të qëndrueshme dhe shumë të bioakumulueshme “shQshB” janë ato substanca që plotësojnë kriteret e mëposhtme: </w:t>
      </w:r>
    </w:p>
    <w:p w:rsidR="00EE0C2F" w:rsidRPr="008156BB" w:rsidRDefault="00EE0C2F" w:rsidP="00EE0C2F">
      <w:pPr>
        <w:pStyle w:val="Paragrafi"/>
        <w:rPr>
          <w:spacing w:val="-4"/>
          <w:lang w:val="sq-AL"/>
        </w:rPr>
      </w:pPr>
      <w:r w:rsidRPr="008156BB">
        <w:rPr>
          <w:spacing w:val="-4"/>
          <w:lang w:val="sq-AL"/>
        </w:rPr>
        <w:t>a) Qëndrueshmërinë</w:t>
      </w:r>
    </w:p>
    <w:p w:rsidR="00EE0C2F" w:rsidRPr="008156BB" w:rsidRDefault="00EE0C2F" w:rsidP="00EE0C2F">
      <w:pPr>
        <w:pStyle w:val="Paragrafi"/>
        <w:rPr>
          <w:spacing w:val="-4"/>
          <w:lang w:val="sq-AL"/>
        </w:rPr>
      </w:pPr>
      <w:r w:rsidRPr="008156BB">
        <w:rPr>
          <w:spacing w:val="-4"/>
          <w:lang w:val="sq-AL"/>
        </w:rPr>
        <w:t>Një substancë është shumë e qëndrueshme dhe përmbush kriterin (shQ-) kur:</w:t>
      </w:r>
    </w:p>
    <w:p w:rsidR="00EE0C2F" w:rsidRPr="008156BB" w:rsidRDefault="00EE0C2F" w:rsidP="00EE0C2F">
      <w:pPr>
        <w:pStyle w:val="Paragrafi"/>
        <w:rPr>
          <w:spacing w:val="-4"/>
          <w:lang w:val="sq-AL"/>
        </w:rPr>
      </w:pPr>
      <w:r w:rsidRPr="008156BB">
        <w:rPr>
          <w:spacing w:val="-4"/>
          <w:lang w:val="sq-AL"/>
        </w:rPr>
        <w:t>i) gjysmëjeta e substancës në ujërat detare, të ëmbla ose në grykëderdhje është më e madhe se 60 ditë; ose</w:t>
      </w:r>
    </w:p>
    <w:p w:rsidR="00EE0C2F" w:rsidRPr="008156BB" w:rsidRDefault="00EE0C2F" w:rsidP="00EE0C2F">
      <w:pPr>
        <w:pStyle w:val="Paragrafi"/>
        <w:rPr>
          <w:spacing w:val="-4"/>
          <w:lang w:val="sq-AL"/>
        </w:rPr>
      </w:pPr>
      <w:r w:rsidRPr="008156BB">
        <w:rPr>
          <w:spacing w:val="-4"/>
          <w:lang w:val="sq-AL"/>
        </w:rPr>
        <w:t>ii) gjysmëjeta e substancës në sedimentet e ujërave detare, e ujërave të ëmbla ose e grykë</w:t>
      </w:r>
      <w:r>
        <w:rPr>
          <w:spacing w:val="-4"/>
          <w:lang w:val="sq-AL"/>
        </w:rPr>
        <w:t>-</w:t>
      </w:r>
      <w:r w:rsidRPr="008156BB">
        <w:rPr>
          <w:spacing w:val="-4"/>
          <w:lang w:val="sq-AL"/>
        </w:rPr>
        <w:t>derdhjeve është më e madhe se 180 ditë; ose</w:t>
      </w:r>
    </w:p>
    <w:p w:rsidR="00EE0C2F" w:rsidRPr="008156BB" w:rsidRDefault="00EE0C2F" w:rsidP="00EE0C2F">
      <w:pPr>
        <w:pStyle w:val="Paragrafi"/>
        <w:rPr>
          <w:spacing w:val="-4"/>
          <w:lang w:val="sq-AL"/>
        </w:rPr>
      </w:pPr>
      <w:r w:rsidRPr="008156BB">
        <w:rPr>
          <w:spacing w:val="-4"/>
          <w:lang w:val="sq-AL"/>
        </w:rPr>
        <w:t>iii) gjysmëjeta e substancës në tokë është më e madhe se 180 ditë.</w:t>
      </w:r>
    </w:p>
    <w:p w:rsidR="00EE0C2F" w:rsidRPr="008156BB" w:rsidRDefault="00EE0C2F" w:rsidP="00EE0C2F">
      <w:pPr>
        <w:pStyle w:val="Paragrafi"/>
        <w:rPr>
          <w:spacing w:val="-4"/>
          <w:lang w:val="sq-AL"/>
        </w:rPr>
      </w:pPr>
      <w:r w:rsidRPr="008156BB">
        <w:rPr>
          <w:spacing w:val="-4"/>
          <w:lang w:val="sq-AL"/>
        </w:rPr>
        <w:t>b) Bioakumulimin</w:t>
      </w:r>
    </w:p>
    <w:p w:rsidR="00EE0C2F" w:rsidRPr="008156BB" w:rsidRDefault="00EE0C2F" w:rsidP="00EE0C2F">
      <w:pPr>
        <w:pStyle w:val="Paragrafi"/>
        <w:rPr>
          <w:spacing w:val="-4"/>
          <w:lang w:val="sq-AL"/>
        </w:rPr>
      </w:pPr>
      <w:r w:rsidRPr="008156BB">
        <w:rPr>
          <w:spacing w:val="-4"/>
          <w:lang w:val="sq-AL"/>
        </w:rPr>
        <w:t>Një substancë përmbush kriterin e bioakumu</w:t>
      </w:r>
      <w:r>
        <w:rPr>
          <w:spacing w:val="-4"/>
          <w:lang w:val="sq-AL"/>
        </w:rPr>
        <w:t>-</w:t>
      </w:r>
      <w:r w:rsidRPr="008156BB">
        <w:rPr>
          <w:spacing w:val="-4"/>
          <w:lang w:val="sq-AL"/>
        </w:rPr>
        <w:t>limit (shB-) kur faktori i biopërqendrimit është më i lartë se 5 000.</w:t>
      </w:r>
    </w:p>
    <w:p w:rsidR="00EE0C2F" w:rsidRPr="008156BB" w:rsidRDefault="00EE0C2F" w:rsidP="00EE0C2F">
      <w:pPr>
        <w:pStyle w:val="Hapesira7"/>
        <w:rPr>
          <w:lang w:val="sq-AL"/>
        </w:rPr>
      </w:pPr>
    </w:p>
    <w:p w:rsidR="00EE0C2F" w:rsidRPr="008156BB" w:rsidRDefault="00EE0C2F" w:rsidP="00EE0C2F">
      <w:pPr>
        <w:pStyle w:val="NeniNr"/>
        <w:rPr>
          <w:spacing w:val="-4"/>
          <w:lang w:val="sq-AL"/>
        </w:rPr>
      </w:pPr>
      <w:r w:rsidRPr="008156BB">
        <w:rPr>
          <w:spacing w:val="-4"/>
          <w:lang w:val="sq-AL"/>
        </w:rPr>
        <w:t>KREU III</w:t>
      </w:r>
    </w:p>
    <w:p w:rsidR="00EE0C2F" w:rsidRPr="008156BB" w:rsidRDefault="00EE0C2F" w:rsidP="00EE0C2F">
      <w:pPr>
        <w:pStyle w:val="NeniNr"/>
        <w:rPr>
          <w:spacing w:val="-4"/>
          <w:lang w:val="sq-AL"/>
        </w:rPr>
      </w:pPr>
      <w:r w:rsidRPr="008156BB">
        <w:rPr>
          <w:spacing w:val="-4"/>
          <w:lang w:val="sq-AL"/>
        </w:rPr>
        <w:t>DETYRIME TË PËRGJITHSHME PËR AUTORIZIMIN E KUSHTËZUAR PËR VAZHDIMIN E PËRDORIMIT TË SVHC-ve</w:t>
      </w:r>
    </w:p>
    <w:p w:rsidR="00EE0C2F" w:rsidRPr="008156BB" w:rsidRDefault="00EE0C2F" w:rsidP="00EE0C2F">
      <w:pPr>
        <w:pStyle w:val="Hapesira7"/>
        <w:rPr>
          <w:lang w:val="sq-AL"/>
        </w:rPr>
      </w:pPr>
    </w:p>
    <w:p w:rsidR="00EE0C2F" w:rsidRPr="008156BB" w:rsidRDefault="00EE0C2F" w:rsidP="00EE0C2F">
      <w:pPr>
        <w:pStyle w:val="Paragrafi"/>
        <w:rPr>
          <w:spacing w:val="-4"/>
          <w:lang w:val="sq-AL"/>
        </w:rPr>
      </w:pPr>
      <w:r w:rsidRPr="008156BB">
        <w:rPr>
          <w:spacing w:val="-4"/>
          <w:lang w:val="sq-AL"/>
        </w:rPr>
        <w:t>1. Ndalohet vazhdimi i vendosjes në treg me qëllim vazhdimin e përdorimit të mëtejshëm të SVHC-ve që gjenden në shtojcën 1, të këtij vendimi, nga prodhuesi, importuesi ose përdoruesi profesional pas datës 1 tetor 2019. Nga afati i përcaktuar për ndalimin e vendosjes në treg përjashtohen rastet, kur:</w:t>
      </w:r>
    </w:p>
    <w:p w:rsidR="00EE0C2F" w:rsidRPr="008156BB" w:rsidRDefault="00EE0C2F" w:rsidP="00EE0C2F">
      <w:pPr>
        <w:pStyle w:val="Paragrafi"/>
        <w:rPr>
          <w:spacing w:val="-4"/>
          <w:lang w:val="sq-AL"/>
        </w:rPr>
      </w:pPr>
      <w:r w:rsidRPr="008156BB">
        <w:rPr>
          <w:spacing w:val="-4"/>
          <w:lang w:val="sq-AL"/>
        </w:rPr>
        <w:t>a) përdorimi/et e substancës në formën e saj të pastër, në përzierje ose si përbërës i një artikulli, për të cilin substanca vendoset në treg ose përdoret nga vetë prodhuesi, importuesi ose përdoruesi profe</w:t>
      </w:r>
      <w:r>
        <w:rPr>
          <w:spacing w:val="-4"/>
          <w:lang w:val="sq-AL"/>
        </w:rPr>
        <w:t>-</w:t>
      </w:r>
      <w:r w:rsidRPr="008156BB">
        <w:rPr>
          <w:spacing w:val="-4"/>
          <w:lang w:val="sq-AL"/>
        </w:rPr>
        <w:t xml:space="preserve">sional, </w:t>
      </w:r>
      <w:r w:rsidRPr="008156BB">
        <w:rPr>
          <w:spacing w:val="-4"/>
          <w:lang w:val="sq-AL"/>
        </w:rPr>
        <w:lastRenderedPageBreak/>
        <w:t xml:space="preserve">është autorizuar në mënyrë të kushtëzuar nga ministria, në përputhje me përcaktimet në pikat 2–4, të këtij kreu; </w:t>
      </w:r>
    </w:p>
    <w:p w:rsidR="00EE0C2F" w:rsidRPr="00CB0A8F" w:rsidRDefault="00EE0C2F" w:rsidP="00EE0C2F">
      <w:pPr>
        <w:pStyle w:val="Paragrafi"/>
        <w:rPr>
          <w:lang w:val="sq-AL"/>
        </w:rPr>
      </w:pPr>
      <w:r w:rsidRPr="00CB0A8F">
        <w:rPr>
          <w:lang w:val="sq-AL"/>
        </w:rPr>
        <w:t>b) përdorimi/et e kësaj substance në formën e saj të pastër, në përzierje ose si përbërës i një artikulli, për të cilin substanca vendoset në treg ose përdoret nga vetë ata, është përjashtuar nga kërkesa për autorizim në përputhje me përdori</w:t>
      </w:r>
      <w:r>
        <w:rPr>
          <w:lang w:val="sq-AL"/>
        </w:rPr>
        <w:t>-</w:t>
      </w:r>
      <w:r w:rsidRPr="00CB0A8F">
        <w:rPr>
          <w:lang w:val="sq-AL"/>
        </w:rPr>
        <w:t xml:space="preserve">met apo kategoritë e përdorimeve të përcaktuara në shtojcën 1, bashkëlidhur këtij vendimi; </w:t>
      </w:r>
    </w:p>
    <w:p w:rsidR="00EE0C2F" w:rsidRPr="008156BB" w:rsidRDefault="00EE0C2F" w:rsidP="00EE0C2F">
      <w:pPr>
        <w:pStyle w:val="Paragrafi"/>
        <w:rPr>
          <w:spacing w:val="-4"/>
          <w:lang w:val="sq-AL"/>
        </w:rPr>
      </w:pPr>
      <w:r w:rsidRPr="008156BB">
        <w:rPr>
          <w:spacing w:val="-4"/>
          <w:lang w:val="sq-AL"/>
        </w:rPr>
        <w:t>c) nuk është arritur data përfundimtare (1 tetor 2019) e përcaktuar në shtojcën 1, të këtij vendimi, që ndalon vendosjen në treg;</w:t>
      </w:r>
    </w:p>
    <w:p w:rsidR="00EE0C2F" w:rsidRPr="008156BB" w:rsidRDefault="00EE0C2F" w:rsidP="00EE0C2F">
      <w:pPr>
        <w:pStyle w:val="Paragrafi"/>
        <w:rPr>
          <w:spacing w:val="-4"/>
          <w:lang w:val="sq-AL"/>
        </w:rPr>
      </w:pPr>
      <w:r w:rsidRPr="008156BB">
        <w:rPr>
          <w:spacing w:val="-4"/>
          <w:lang w:val="sq-AL"/>
        </w:rPr>
        <w:t xml:space="preserve">ç) </w:t>
      </w:r>
      <w:r w:rsidRPr="008156BB">
        <w:rPr>
          <w:spacing w:val="-4"/>
          <w:lang w:val="sq-AL"/>
        </w:rPr>
        <w:tab/>
        <w:t xml:space="preserve">aplikimi për autorizim të kushtëzuar është bërë 12 muaj përpara datës përfundimtare (sunset) të përcaktuar në shtojcën 1 të këtij vendimi, por ende nuk është marrë një vendim mbi aplikimin për lëshimin e autorizimit të kushtëzuar; </w:t>
      </w:r>
    </w:p>
    <w:p w:rsidR="00EE0C2F" w:rsidRPr="008156BB" w:rsidRDefault="00EE0C2F" w:rsidP="00EE0C2F">
      <w:pPr>
        <w:pStyle w:val="Paragrafi"/>
        <w:rPr>
          <w:spacing w:val="-4"/>
          <w:lang w:val="sq-AL"/>
        </w:rPr>
      </w:pPr>
      <w:r w:rsidRPr="008156BB">
        <w:rPr>
          <w:spacing w:val="-4"/>
          <w:lang w:val="sq-AL"/>
        </w:rPr>
        <w:t>d) substanca është vendosur në treg dhe autorizimi i kushtëzuar për përdorimin e kërkuar i është dhënë përdoruesit të tij të drejtpërdrejtë.</w:t>
      </w:r>
    </w:p>
    <w:p w:rsidR="00EE0C2F" w:rsidRPr="008156BB" w:rsidRDefault="00EE0C2F" w:rsidP="00EE0C2F">
      <w:pPr>
        <w:pStyle w:val="Paragrafi"/>
        <w:rPr>
          <w:spacing w:val="-4"/>
          <w:lang w:val="sq-AL"/>
        </w:rPr>
      </w:pPr>
      <w:r w:rsidRPr="008156BB">
        <w:rPr>
          <w:spacing w:val="-4"/>
          <w:lang w:val="sq-AL"/>
        </w:rPr>
        <w:t>2. Përdoruesi profesional mund të vazhdojë të përdorë një substancë që përmbush kriteret e përcaktuara në pikën 1 të këtij kreu, duke siguruar që përdorimi i saj të jetë në përputhje me autorizimin e kushtëzuar, që i është lëshuar për të njëjtin përdorim prodhuesit ose importuesit që e furnizon atë.</w:t>
      </w:r>
    </w:p>
    <w:p w:rsidR="00EE0C2F" w:rsidRPr="008156BB" w:rsidRDefault="00EE0C2F" w:rsidP="00EE0C2F">
      <w:pPr>
        <w:pStyle w:val="Paragrafi"/>
        <w:rPr>
          <w:spacing w:val="-4"/>
          <w:lang w:val="sq-AL"/>
        </w:rPr>
      </w:pPr>
      <w:r w:rsidRPr="008156BB">
        <w:rPr>
          <w:spacing w:val="-4"/>
          <w:lang w:val="sq-AL"/>
        </w:rPr>
        <w:t>3. Detyrimet e përcaktuara në krerët III dhe IV të këtij vendimi, nuk zbatohen:</w:t>
      </w:r>
    </w:p>
    <w:p w:rsidR="00EE0C2F" w:rsidRPr="008156BB" w:rsidRDefault="00EE0C2F" w:rsidP="00EE0C2F">
      <w:pPr>
        <w:pStyle w:val="Paragrafi"/>
        <w:rPr>
          <w:spacing w:val="-4"/>
          <w:lang w:val="sq-AL"/>
        </w:rPr>
      </w:pPr>
      <w:r w:rsidRPr="008156BB">
        <w:rPr>
          <w:spacing w:val="-4"/>
          <w:lang w:val="sq-AL"/>
        </w:rPr>
        <w:t>a) në rastin kur substanca përdoret për qëllime kërkimore dhe zhvillime shkencore, përjashtimisht rasteve të përcaktuara në shtojcën I, për produkte dhe procese të orientuara për kërkim e zhvillim, si dhe sasinë maksimale të lejuar;</w:t>
      </w:r>
    </w:p>
    <w:p w:rsidR="00EE0C2F" w:rsidRPr="008156BB" w:rsidRDefault="00EE0C2F" w:rsidP="00EE0C2F">
      <w:pPr>
        <w:pStyle w:val="Paragrafi"/>
        <w:rPr>
          <w:spacing w:val="-4"/>
          <w:lang w:val="sq-AL"/>
        </w:rPr>
      </w:pPr>
      <w:r w:rsidRPr="008156BB">
        <w:rPr>
          <w:spacing w:val="-4"/>
          <w:lang w:val="sq-AL"/>
        </w:rPr>
        <w:t xml:space="preserve">b) në produktet e mbrojtjes së bimëve, sipas legjislacionit në fuqi për produktet e mbrojtjes së bimëve; </w:t>
      </w:r>
    </w:p>
    <w:p w:rsidR="00EE0C2F" w:rsidRPr="008156BB" w:rsidRDefault="00EE0C2F" w:rsidP="00EE0C2F">
      <w:pPr>
        <w:pStyle w:val="Paragrafi"/>
        <w:rPr>
          <w:spacing w:val="-4"/>
          <w:lang w:val="sq-AL"/>
        </w:rPr>
      </w:pPr>
      <w:r w:rsidRPr="008156BB">
        <w:rPr>
          <w:spacing w:val="-4"/>
          <w:lang w:val="sq-AL"/>
        </w:rPr>
        <w:t xml:space="preserve">c) në produktet biocide sipas legjislacionit në fuqi për produktet biocide; </w:t>
      </w:r>
    </w:p>
    <w:p w:rsidR="00EE0C2F" w:rsidRPr="008156BB" w:rsidRDefault="00EE0C2F" w:rsidP="00EE0C2F">
      <w:pPr>
        <w:pStyle w:val="Paragrafi"/>
        <w:rPr>
          <w:spacing w:val="-4"/>
          <w:lang w:val="sq-AL"/>
        </w:rPr>
      </w:pPr>
      <w:r w:rsidRPr="008156BB">
        <w:rPr>
          <w:spacing w:val="-4"/>
          <w:lang w:val="sq-AL"/>
        </w:rPr>
        <w:t>ç) në rastin e lëndëve djegëse motorike, sipas legjislacionit në fuqi për cilësinë e lëndëve djegëse, benzinë dhe diesel;</w:t>
      </w:r>
    </w:p>
    <w:p w:rsidR="00EE0C2F" w:rsidRPr="008156BB" w:rsidRDefault="00EE0C2F" w:rsidP="00EE0C2F">
      <w:pPr>
        <w:pStyle w:val="Paragrafi"/>
        <w:rPr>
          <w:spacing w:val="-4"/>
          <w:lang w:val="sq-AL"/>
        </w:rPr>
      </w:pPr>
      <w:r w:rsidRPr="008156BB">
        <w:rPr>
          <w:spacing w:val="-4"/>
          <w:lang w:val="sq-AL"/>
        </w:rPr>
        <w:t>d) në rastin e lëndëve djegëse në impiantet djegëse të lëvizshme ose fikse të produkteve të vajit mineral dhe në rastin e përdorimit si lëndë djegëse në sisteme të mbyllura.</w:t>
      </w:r>
    </w:p>
    <w:p w:rsidR="00EE0C2F" w:rsidRPr="008156BB" w:rsidRDefault="00EE0C2F" w:rsidP="00EE0C2F">
      <w:pPr>
        <w:pStyle w:val="Paragrafi"/>
        <w:rPr>
          <w:spacing w:val="-4"/>
          <w:lang w:val="sq-AL"/>
        </w:rPr>
      </w:pPr>
      <w:r w:rsidRPr="008156BB">
        <w:rPr>
          <w:spacing w:val="-4"/>
          <w:lang w:val="sq-AL"/>
        </w:rPr>
        <w:t>4. Në rastin e substancave që janë subjekt i një autorizimi të kushtëzuar sepse përmbushin kriteret e përcaktuara në shkronjat “a”, “b” dhe “c”, të pikës 1, të kreut II, të këtij vendimi ose, sepse janë identifikuar në përputhje me shkronjën “dh”, të pikës 1, të kreut II, të këtij vendimi, vetëm për rreziqet që shkaktojnë në shëndetin e njerëzve, përjashtimet sipas pikave 1 dhe 2 të këtij kreu, nuk zbatohen për përdorimet e mëposhtme:</w:t>
      </w:r>
    </w:p>
    <w:p w:rsidR="00EE0C2F" w:rsidRPr="008156BB" w:rsidRDefault="00EE0C2F" w:rsidP="00EE0C2F">
      <w:pPr>
        <w:pStyle w:val="Paragrafi"/>
        <w:rPr>
          <w:spacing w:val="-4"/>
          <w:lang w:val="sq-AL"/>
        </w:rPr>
      </w:pPr>
      <w:r w:rsidRPr="008156BB">
        <w:rPr>
          <w:spacing w:val="-4"/>
          <w:lang w:val="sq-AL"/>
        </w:rPr>
        <w:t>a) Në produktet kozmetike, sipas legjislacionit në fuqi për produktet kozmetike;</w:t>
      </w:r>
    </w:p>
    <w:p w:rsidR="00EE0C2F" w:rsidRPr="008156BB" w:rsidRDefault="00EE0C2F" w:rsidP="00EE0C2F">
      <w:pPr>
        <w:pStyle w:val="Paragrafi"/>
        <w:rPr>
          <w:spacing w:val="-4"/>
          <w:lang w:val="sq-AL"/>
        </w:rPr>
      </w:pPr>
      <w:r w:rsidRPr="008156BB">
        <w:rPr>
          <w:spacing w:val="-4"/>
          <w:lang w:val="sq-AL"/>
        </w:rPr>
        <w:t>b) Në materialet që bien në kontakt me ushqimin, sipas legjislacionit në fuqi për materialet dhe artikujt në kontakt me ushqimet.</w:t>
      </w:r>
    </w:p>
    <w:p w:rsidR="00EE0C2F" w:rsidRPr="008156BB" w:rsidRDefault="00EE0C2F" w:rsidP="00EE0C2F">
      <w:pPr>
        <w:pStyle w:val="Paragrafi"/>
        <w:rPr>
          <w:spacing w:val="-4"/>
          <w:lang w:val="sq-AL"/>
        </w:rPr>
      </w:pPr>
      <w:r w:rsidRPr="008156BB">
        <w:rPr>
          <w:spacing w:val="-4"/>
          <w:lang w:val="sq-AL"/>
        </w:rPr>
        <w:t>5. Pikat 1 dhe 2 të këtij kreu nuk zbatohen për përdorimet e substancave kur ato janë prezente në përzierjet, si më poshtë:</w:t>
      </w:r>
    </w:p>
    <w:p w:rsidR="00EE0C2F" w:rsidRPr="008156BB" w:rsidRDefault="00EE0C2F" w:rsidP="00EE0C2F">
      <w:pPr>
        <w:pStyle w:val="Paragrafi"/>
        <w:rPr>
          <w:spacing w:val="-4"/>
          <w:lang w:val="sq-AL"/>
        </w:rPr>
      </w:pPr>
      <w:r w:rsidRPr="008156BB">
        <w:rPr>
          <w:spacing w:val="-4"/>
          <w:lang w:val="sq-AL"/>
        </w:rPr>
        <w:t xml:space="preserve">a) Substancat referuar shkronjave “d”, “e” dhe “f”, të pikës 1, të kreut II, të këtij vendimi, nën limitin e përqendrimit 0,1% peshë në peshë (ë/ë); </w:t>
      </w:r>
    </w:p>
    <w:p w:rsidR="00EE0C2F" w:rsidRPr="008156BB" w:rsidRDefault="00EE0C2F" w:rsidP="00EE0C2F">
      <w:pPr>
        <w:pStyle w:val="Paragrafi"/>
        <w:rPr>
          <w:spacing w:val="-4"/>
          <w:lang w:val="sq-AL"/>
        </w:rPr>
      </w:pPr>
      <w:r w:rsidRPr="008156BB">
        <w:rPr>
          <w:spacing w:val="-4"/>
          <w:lang w:val="sq-AL"/>
        </w:rPr>
        <w:t xml:space="preserve">b) Të gjitha substancat e tjera, nën limitin e përqendrimit të specifikuar në pjesën 3, të aneksit VI, të vendimit në fuqi që rregullon klasifikimin e substancave dhe që rezultojnë si të rrezikshme mbi bazën e klasifikimit të përzierjes. </w:t>
      </w:r>
    </w:p>
    <w:p w:rsidR="00EE0C2F" w:rsidRPr="008156BB" w:rsidRDefault="00EE0C2F" w:rsidP="00EE0C2F">
      <w:pPr>
        <w:pStyle w:val="Paragrafi"/>
        <w:rPr>
          <w:spacing w:val="-4"/>
          <w:lang w:val="sq-AL"/>
        </w:rPr>
      </w:pPr>
    </w:p>
    <w:p w:rsidR="00EE0C2F" w:rsidRPr="008156BB" w:rsidRDefault="00EE0C2F" w:rsidP="00EE0C2F">
      <w:pPr>
        <w:pStyle w:val="NeniNr"/>
        <w:rPr>
          <w:spacing w:val="-4"/>
          <w:lang w:val="sq-AL"/>
        </w:rPr>
      </w:pPr>
      <w:r w:rsidRPr="008156BB">
        <w:rPr>
          <w:spacing w:val="-4"/>
          <w:lang w:val="sq-AL"/>
        </w:rPr>
        <w:t xml:space="preserve">KREU IV </w:t>
      </w:r>
    </w:p>
    <w:p w:rsidR="00EE0C2F" w:rsidRPr="008156BB" w:rsidRDefault="00EE0C2F" w:rsidP="00EE0C2F">
      <w:pPr>
        <w:pStyle w:val="NeniNr"/>
        <w:rPr>
          <w:spacing w:val="-4"/>
          <w:lang w:val="sq-AL"/>
        </w:rPr>
      </w:pPr>
      <w:r w:rsidRPr="008156BB">
        <w:rPr>
          <w:spacing w:val="-4"/>
          <w:lang w:val="sq-AL"/>
        </w:rPr>
        <w:t>DHËNIA E AUTORIZIMIT TË KUSHTËZUAR PËR VAZHDIMIN E PËRDORIMIT TË SVHC-të</w:t>
      </w:r>
    </w:p>
    <w:p w:rsidR="00EE0C2F" w:rsidRPr="008156BB" w:rsidRDefault="00EE0C2F" w:rsidP="00EE0C2F">
      <w:pPr>
        <w:pStyle w:val="Paragrafi"/>
        <w:rPr>
          <w:spacing w:val="-4"/>
          <w:lang w:val="sq-AL"/>
        </w:rPr>
      </w:pPr>
    </w:p>
    <w:p w:rsidR="00EE0C2F" w:rsidRPr="008156BB" w:rsidRDefault="00EE0C2F" w:rsidP="00EE0C2F">
      <w:pPr>
        <w:pStyle w:val="Paragrafi"/>
        <w:rPr>
          <w:spacing w:val="-4"/>
          <w:lang w:val="sq-AL"/>
        </w:rPr>
      </w:pPr>
      <w:r w:rsidRPr="008156BB">
        <w:rPr>
          <w:spacing w:val="-4"/>
          <w:lang w:val="sq-AL"/>
        </w:rPr>
        <w:t>1. Ministri përgjegjës për mjedisin i propozon Këshillit të Ministrave vendimin për lëshimin e autorizimit të kushtëzuar për vazhdimin e përdorimit të SVHC-ve dhe projektautorizimin në përputhje me përcaktimet në këtë kre.</w:t>
      </w:r>
    </w:p>
    <w:p w:rsidR="00EE0C2F" w:rsidRPr="008156BB" w:rsidRDefault="00EE0C2F" w:rsidP="00EE0C2F">
      <w:pPr>
        <w:pStyle w:val="Paragrafi"/>
        <w:rPr>
          <w:spacing w:val="-4"/>
          <w:lang w:val="sq-AL"/>
        </w:rPr>
      </w:pPr>
      <w:r w:rsidRPr="008156BB">
        <w:rPr>
          <w:spacing w:val="-4"/>
          <w:lang w:val="sq-AL"/>
        </w:rPr>
        <w:t>2. Autorizimi i kushtëzuar për vazhdimin e përdorimit të SVHC-ve lëshohet në qoftë se rreziku për shkak të vetive të brendshme të SVHC-ve të specifikuara në shtojcën 1, të këtij vendimi, për shëndetin e njeriut ose mjedisin, kontrollohet në mënyrë të përshtatshme në përputhje me kërkesat e raportit të vlerësimit të sigurisë kimike.</w:t>
      </w:r>
    </w:p>
    <w:p w:rsidR="00EE0C2F" w:rsidRPr="008156BB" w:rsidRDefault="00EE0C2F" w:rsidP="00EE0C2F">
      <w:pPr>
        <w:pStyle w:val="Paragrafi"/>
        <w:rPr>
          <w:spacing w:val="-4"/>
          <w:lang w:val="sq-AL"/>
        </w:rPr>
      </w:pPr>
      <w:r w:rsidRPr="008156BB">
        <w:rPr>
          <w:spacing w:val="-4"/>
          <w:lang w:val="sq-AL"/>
        </w:rPr>
        <w:t xml:space="preserve">3. Zyra e kimikateve për hartimin e autorizimit përcakton kushtet për vazhdimin e përdorimit të SVHC-ve, duke marrë në konsideratë të gjitha shkarkimet dhe humbjet, përfshirë risqet që lindin nga përdorimet </w:t>
      </w:r>
      <w:r w:rsidRPr="008156BB">
        <w:rPr>
          <w:spacing w:val="-4"/>
          <w:lang w:val="sq-AL"/>
        </w:rPr>
        <w:lastRenderedPageBreak/>
        <w:t>difuse ose dispersive, të njohura në kohën e përcaktimit.</w:t>
      </w:r>
    </w:p>
    <w:p w:rsidR="00EE0C2F" w:rsidRPr="008156BB" w:rsidRDefault="00EE0C2F" w:rsidP="00EE0C2F">
      <w:pPr>
        <w:pStyle w:val="Paragrafi"/>
        <w:rPr>
          <w:spacing w:val="-4"/>
          <w:lang w:val="sq-AL"/>
        </w:rPr>
      </w:pPr>
      <w:r w:rsidRPr="008156BB">
        <w:rPr>
          <w:spacing w:val="-4"/>
          <w:lang w:val="sq-AL"/>
        </w:rPr>
        <w:t>4. Përjashtim nga kjo procedurë janë risqet në shëndetin e njeriut që lindin nga përdorimi i një substance në një pajisje mjekësore, të cilat janë të rregulluara me legjislacionin në fuqi për pajisjet mjekësore.</w:t>
      </w:r>
    </w:p>
    <w:p w:rsidR="00EE0C2F" w:rsidRPr="008156BB" w:rsidRDefault="00EE0C2F" w:rsidP="00EE0C2F">
      <w:pPr>
        <w:pStyle w:val="Paragrafi"/>
        <w:rPr>
          <w:spacing w:val="-4"/>
          <w:lang w:val="sq-AL"/>
        </w:rPr>
      </w:pPr>
      <w:r w:rsidRPr="008156BB">
        <w:rPr>
          <w:spacing w:val="-4"/>
          <w:lang w:val="sq-AL"/>
        </w:rPr>
        <w:t>5. Autorizimi i kushtëzuar nuk lëshohet, për:</w:t>
      </w:r>
    </w:p>
    <w:p w:rsidR="00EE0C2F" w:rsidRPr="008156BB" w:rsidRDefault="00EE0C2F" w:rsidP="00EE0C2F">
      <w:pPr>
        <w:pStyle w:val="Paragrafi"/>
        <w:rPr>
          <w:spacing w:val="-4"/>
          <w:lang w:val="sq-AL"/>
        </w:rPr>
      </w:pPr>
      <w:r w:rsidRPr="008156BB">
        <w:rPr>
          <w:spacing w:val="-4"/>
          <w:lang w:val="sq-AL"/>
        </w:rPr>
        <w:t>a) substancat që plotësojnë kriteret e përcaktuara në shkronjat “a”, “b” dhe “c” ose “dh”, të pikës 1, të kreut II, të këtij vendimi, për të cilat nuk mund të përcaktohet pragu limit i nivelit të ekspozimit, sipas rregullave dhe metodave për kryerjen e vlerësimit të sigurisë së kimikateve;</w:t>
      </w:r>
    </w:p>
    <w:p w:rsidR="00EE0C2F" w:rsidRPr="008156BB" w:rsidRDefault="00EE0C2F" w:rsidP="00EE0C2F">
      <w:pPr>
        <w:pStyle w:val="Paragrafi"/>
        <w:rPr>
          <w:spacing w:val="-4"/>
          <w:lang w:val="sq-AL"/>
        </w:rPr>
      </w:pPr>
      <w:r w:rsidRPr="008156BB">
        <w:rPr>
          <w:spacing w:val="-4"/>
          <w:lang w:val="sq-AL"/>
        </w:rPr>
        <w:t xml:space="preserve">b) substancat që plotësojnë kriteret e përcaktuara në shkronjat “ç” dhe “d”, të pikës 1, të kreut II, të këtij vendimi; </w:t>
      </w:r>
    </w:p>
    <w:p w:rsidR="00EE0C2F" w:rsidRPr="008156BB" w:rsidRDefault="00EE0C2F" w:rsidP="00EE0C2F">
      <w:pPr>
        <w:pStyle w:val="Paragrafi"/>
        <w:rPr>
          <w:spacing w:val="-4"/>
          <w:lang w:val="sq-AL"/>
        </w:rPr>
      </w:pPr>
      <w:r w:rsidRPr="008156BB">
        <w:rPr>
          <w:spacing w:val="-4"/>
          <w:lang w:val="sq-AL"/>
        </w:rPr>
        <w:t>c) substancat e identifikuara sipas shkronjës “dh”, të pikës 1, të kreut II, të këtij vendimi, të cilat kanë veti të qëndrueshme, bioakumulative dhe toksike ose shumë të qëndrueshme dhe shumë bioakumulative;</w:t>
      </w:r>
    </w:p>
    <w:p w:rsidR="00EE0C2F" w:rsidRPr="008156BB" w:rsidRDefault="00EE0C2F" w:rsidP="00EE0C2F">
      <w:pPr>
        <w:pStyle w:val="Paragrafi"/>
        <w:rPr>
          <w:spacing w:val="-4"/>
          <w:lang w:val="sq-AL"/>
        </w:rPr>
      </w:pPr>
      <w:r w:rsidRPr="008156BB">
        <w:rPr>
          <w:spacing w:val="-4"/>
          <w:lang w:val="sq-AL"/>
        </w:rPr>
        <w:t xml:space="preserve">ç) </w:t>
      </w:r>
      <w:r w:rsidRPr="008156BB">
        <w:rPr>
          <w:spacing w:val="-4"/>
          <w:lang w:val="sq-AL"/>
        </w:rPr>
        <w:tab/>
        <w:t>Për përdorime që bien ndesh me kufizimet e përcaktuara në vendimin e referuar në pikën 2, të nenit 22, të ligjit nr. 27/2016, “Për menaxhimin e kimikateve”.</w:t>
      </w:r>
    </w:p>
    <w:p w:rsidR="00EE0C2F" w:rsidRPr="008156BB" w:rsidRDefault="00EE0C2F" w:rsidP="00EE0C2F">
      <w:pPr>
        <w:pStyle w:val="Paragrafi"/>
        <w:rPr>
          <w:spacing w:val="-4"/>
          <w:lang w:val="sq-AL"/>
        </w:rPr>
      </w:pPr>
      <w:r w:rsidRPr="008156BB">
        <w:rPr>
          <w:spacing w:val="-4"/>
          <w:lang w:val="sq-AL"/>
        </w:rPr>
        <w:t>6. Nëse referuar përcaktimeve në pikat 2, 3, 4 dhe 5, të këtij kreu, autorizimi i kushtëzuar për vazhdimin e përdorimit të SVHC-ve nuk lëshohet, atëherë një autorizim i kushtëzuar mund të lëshohet vetëm nëse tregohet se përfitimet socio-ekonomike nga përdorimi i substancës janë më të rëndësishme se risku që sjell për shëndetin e njeriut ose mjedisin dhe nëse nuk ka substanca ose teknologji alternative të tjera të mundshme. Ky vendim merret pasi të jenë marrë në konsideratë të gjitha elementet e mëposhtme:</w:t>
      </w:r>
    </w:p>
    <w:p w:rsidR="00EE0C2F" w:rsidRPr="008156BB" w:rsidRDefault="00EE0C2F" w:rsidP="00EE0C2F">
      <w:pPr>
        <w:pStyle w:val="Paragrafi"/>
        <w:rPr>
          <w:spacing w:val="-4"/>
          <w:lang w:val="sq-AL"/>
        </w:rPr>
      </w:pPr>
      <w:r w:rsidRPr="008156BB">
        <w:rPr>
          <w:spacing w:val="-4"/>
          <w:lang w:val="sq-AL"/>
        </w:rPr>
        <w:t xml:space="preserve">a) Risku i paraqitur nga përdorimi i substancës, përfshirë edhe masat e propozuara të përshtatshme dhe efikase për menaxhimin e riskut; </w:t>
      </w:r>
    </w:p>
    <w:p w:rsidR="00EE0C2F" w:rsidRPr="008156BB" w:rsidRDefault="00EE0C2F" w:rsidP="00EE0C2F">
      <w:pPr>
        <w:pStyle w:val="Paragrafi"/>
        <w:rPr>
          <w:spacing w:val="-4"/>
          <w:lang w:val="sq-AL"/>
        </w:rPr>
      </w:pPr>
      <w:r w:rsidRPr="008156BB">
        <w:rPr>
          <w:spacing w:val="-4"/>
          <w:lang w:val="sq-AL"/>
        </w:rPr>
        <w:t xml:space="preserve">b) Përfitimet socio-ekonomike që lindin nga vazhdimi i përdorimit të substancës, si dhe kostot negative social-ekonomike që rrjedhin nga refuzimi i autorizimit, siç tregohet nga aplikanti ose palë të tjera të interesuara; </w:t>
      </w:r>
    </w:p>
    <w:p w:rsidR="00EE0C2F" w:rsidRPr="008156BB" w:rsidRDefault="00EE0C2F" w:rsidP="00EE0C2F">
      <w:pPr>
        <w:pStyle w:val="Paragrafi"/>
        <w:rPr>
          <w:spacing w:val="-4"/>
          <w:lang w:val="sq-AL"/>
        </w:rPr>
      </w:pPr>
      <w:r w:rsidRPr="008156BB">
        <w:rPr>
          <w:spacing w:val="-4"/>
          <w:lang w:val="sq-AL"/>
        </w:rPr>
        <w:t xml:space="preserve">c) Analiza e alternativave të dorëzuara nga aplikanti, në përputhje me shkronjën “d”, të pikës 5, të kreut VI, të këtij vendimi, ose ndonjë plan zëvendësimi i substancës në përputhje me shkronjën “dh”, të pikës 5, të kreut VI, të këtij vendimi; </w:t>
      </w:r>
    </w:p>
    <w:p w:rsidR="00EE0C2F" w:rsidRPr="008156BB" w:rsidRDefault="00EE0C2F" w:rsidP="00EE0C2F">
      <w:pPr>
        <w:pStyle w:val="Paragrafi"/>
        <w:rPr>
          <w:spacing w:val="-4"/>
          <w:lang w:val="sq-AL"/>
        </w:rPr>
      </w:pPr>
      <w:r w:rsidRPr="008156BB">
        <w:rPr>
          <w:spacing w:val="-4"/>
          <w:lang w:val="sq-AL"/>
        </w:rPr>
        <w:t xml:space="preserve">ç) </w:t>
      </w:r>
      <w:r w:rsidRPr="008156BB">
        <w:rPr>
          <w:spacing w:val="-4"/>
          <w:lang w:val="sq-AL"/>
        </w:rPr>
        <w:tab/>
        <w:t>Informacioni që disponohet mbi risqet në shëndetin e njeriut ose mjedisin të ndonjë sub</w:t>
      </w:r>
      <w:r>
        <w:rPr>
          <w:spacing w:val="-4"/>
          <w:lang w:val="sq-AL"/>
        </w:rPr>
        <w:t>-</w:t>
      </w:r>
      <w:r w:rsidRPr="008156BB">
        <w:rPr>
          <w:spacing w:val="-4"/>
          <w:lang w:val="sq-AL"/>
        </w:rPr>
        <w:t>stance ose teknologjie alternative.</w:t>
      </w:r>
    </w:p>
    <w:p w:rsidR="00EE0C2F" w:rsidRPr="008156BB" w:rsidRDefault="00EE0C2F" w:rsidP="00EE0C2F">
      <w:pPr>
        <w:pStyle w:val="Paragrafi"/>
        <w:rPr>
          <w:spacing w:val="-4"/>
          <w:lang w:val="sq-AL"/>
        </w:rPr>
      </w:pPr>
      <w:r w:rsidRPr="008156BB">
        <w:rPr>
          <w:spacing w:val="-4"/>
          <w:lang w:val="sq-AL"/>
        </w:rPr>
        <w:t>7. Zyra e kimikateve kryen vlerësimin e substan</w:t>
      </w:r>
      <w:r>
        <w:rPr>
          <w:spacing w:val="-4"/>
          <w:lang w:val="sq-AL"/>
        </w:rPr>
        <w:t>-</w:t>
      </w:r>
      <w:r w:rsidRPr="008156BB">
        <w:rPr>
          <w:spacing w:val="-4"/>
          <w:lang w:val="sq-AL"/>
        </w:rPr>
        <w:t xml:space="preserve">cave ose teknologjive alternative të mundshme, duke marrë në konsideratë: </w:t>
      </w:r>
    </w:p>
    <w:p w:rsidR="00EE0C2F" w:rsidRPr="008156BB" w:rsidRDefault="00EE0C2F" w:rsidP="00EE0C2F">
      <w:pPr>
        <w:pStyle w:val="Paragrafi"/>
        <w:rPr>
          <w:spacing w:val="-4"/>
          <w:lang w:val="sq-AL"/>
        </w:rPr>
      </w:pPr>
      <w:r w:rsidRPr="008156BB">
        <w:rPr>
          <w:spacing w:val="-4"/>
          <w:lang w:val="sq-AL"/>
        </w:rPr>
        <w:t>a) nëse kalimi në alternativa të tjera, si dhe masat e përshtatshme e efikase për menaxhimin e riskut ndikojnë në zvogëlimin e përgjithshëm të risqeve për shëndetin e njeriut ose mjedisin;</w:t>
      </w:r>
    </w:p>
    <w:p w:rsidR="00EE0C2F" w:rsidRPr="008156BB" w:rsidRDefault="00EE0C2F" w:rsidP="00EE0C2F">
      <w:pPr>
        <w:pStyle w:val="Paragrafi"/>
        <w:rPr>
          <w:spacing w:val="-4"/>
          <w:lang w:val="sq-AL"/>
        </w:rPr>
      </w:pPr>
      <w:r w:rsidRPr="008156BB">
        <w:rPr>
          <w:spacing w:val="-4"/>
          <w:lang w:val="sq-AL"/>
        </w:rPr>
        <w:t>b) mundësitë teknike dhe ekonomike të aplikantit për zbatimin e këtyre alternativave.</w:t>
      </w:r>
    </w:p>
    <w:p w:rsidR="00EE0C2F" w:rsidRPr="008156BB" w:rsidRDefault="00EE0C2F" w:rsidP="00EE0C2F">
      <w:pPr>
        <w:pStyle w:val="Paragrafi"/>
        <w:rPr>
          <w:spacing w:val="-4"/>
          <w:lang w:val="sq-AL"/>
        </w:rPr>
      </w:pPr>
      <w:r w:rsidRPr="008156BB">
        <w:rPr>
          <w:spacing w:val="-4"/>
          <w:lang w:val="sq-AL"/>
        </w:rPr>
        <w:t>8. Shqyrtimi i aplikimit për autorizim të kushtëzuar bëhet vetëm nëse aplikimi dorëzohet në zyrën e kimikateve përpara datës 1 tetor 2018 dhe në përputhje me kërkesat e kreut VI të këtij vendimi.</w:t>
      </w:r>
    </w:p>
    <w:p w:rsidR="00EE0C2F" w:rsidRPr="008156BB" w:rsidRDefault="00EE0C2F" w:rsidP="00EE0C2F">
      <w:pPr>
        <w:pStyle w:val="Paragrafi"/>
        <w:rPr>
          <w:spacing w:val="-4"/>
          <w:lang w:val="sq-AL"/>
        </w:rPr>
      </w:pPr>
      <w:r w:rsidRPr="008156BB">
        <w:rPr>
          <w:spacing w:val="-4"/>
          <w:lang w:val="sq-AL"/>
        </w:rPr>
        <w:t>9. Autorizimi i kushtëzuar për vazhdimin e përdorimit të SVHC-ve lëshohet për një periudhë kohore të kufizuar. Afatet kohore përcaktohen rast pas rasti, duke marrë në konsideratë të gjithë informacionin e duhur, përfshirë edhe elementet e përcaktuara në pikën 6 të këtij kreu.</w:t>
      </w:r>
    </w:p>
    <w:p w:rsidR="00EE0C2F" w:rsidRPr="008156BB" w:rsidRDefault="00EE0C2F" w:rsidP="00EE0C2F">
      <w:pPr>
        <w:pStyle w:val="Paragrafi"/>
        <w:rPr>
          <w:spacing w:val="-4"/>
          <w:lang w:val="sq-AL"/>
        </w:rPr>
      </w:pPr>
      <w:r w:rsidRPr="008156BB">
        <w:rPr>
          <w:spacing w:val="-4"/>
          <w:lang w:val="sq-AL"/>
        </w:rPr>
        <w:t>10. Autorizimi i kushtëzuar për vazhdimin e përdorimit të SVHC-ve përmban të dhënat e mëposhtme:</w:t>
      </w:r>
    </w:p>
    <w:p w:rsidR="00EE0C2F" w:rsidRPr="008156BB" w:rsidRDefault="00EE0C2F" w:rsidP="00EE0C2F">
      <w:pPr>
        <w:pStyle w:val="Paragrafi"/>
        <w:rPr>
          <w:spacing w:val="-4"/>
          <w:lang w:val="sq-AL"/>
        </w:rPr>
      </w:pPr>
      <w:r w:rsidRPr="008156BB">
        <w:rPr>
          <w:spacing w:val="-4"/>
          <w:lang w:val="sq-AL"/>
        </w:rPr>
        <w:t xml:space="preserve">a) Emrin e personit/ave fizik/ë ose juridik/ë të cilit/ëve i/u lëshohet autorizimi; </w:t>
      </w:r>
    </w:p>
    <w:p w:rsidR="00EE0C2F" w:rsidRPr="008156BB" w:rsidRDefault="00EE0C2F" w:rsidP="00EE0C2F">
      <w:pPr>
        <w:pStyle w:val="Paragrafi"/>
        <w:rPr>
          <w:spacing w:val="-4"/>
          <w:lang w:val="sq-AL"/>
        </w:rPr>
      </w:pPr>
      <w:r w:rsidRPr="008156BB">
        <w:rPr>
          <w:spacing w:val="-4"/>
          <w:lang w:val="sq-AL"/>
        </w:rPr>
        <w:t xml:space="preserve">b) Identitetin e SVHC-së; </w:t>
      </w:r>
    </w:p>
    <w:p w:rsidR="00EE0C2F" w:rsidRPr="008156BB" w:rsidRDefault="00EE0C2F" w:rsidP="00EE0C2F">
      <w:pPr>
        <w:pStyle w:val="Paragrafi"/>
        <w:rPr>
          <w:spacing w:val="-4"/>
          <w:lang w:val="sq-AL"/>
        </w:rPr>
      </w:pPr>
      <w:r w:rsidRPr="008156BB">
        <w:rPr>
          <w:spacing w:val="-4"/>
          <w:lang w:val="sq-AL"/>
        </w:rPr>
        <w:t>c) Sasinë e SVHC-së;</w:t>
      </w:r>
    </w:p>
    <w:p w:rsidR="00EE0C2F" w:rsidRPr="008156BB" w:rsidRDefault="00EE0C2F" w:rsidP="00EE0C2F">
      <w:pPr>
        <w:pStyle w:val="Paragrafi"/>
        <w:rPr>
          <w:spacing w:val="-4"/>
          <w:lang w:val="sq-AL"/>
        </w:rPr>
      </w:pPr>
      <w:r w:rsidRPr="008156BB">
        <w:rPr>
          <w:spacing w:val="-4"/>
          <w:lang w:val="sq-AL"/>
        </w:rPr>
        <w:t xml:space="preserve">ç) </w:t>
      </w:r>
      <w:r w:rsidRPr="008156BB">
        <w:rPr>
          <w:spacing w:val="-4"/>
          <w:lang w:val="sq-AL"/>
        </w:rPr>
        <w:tab/>
        <w:t xml:space="preserve">Qëllimin e përdorimin dhe të dhënat për përdoruesin/it për të cilin/cilët autorizimi është lëshuar; </w:t>
      </w:r>
    </w:p>
    <w:p w:rsidR="00EE0C2F" w:rsidRPr="008156BB" w:rsidRDefault="00EE0C2F" w:rsidP="00EE0C2F">
      <w:pPr>
        <w:pStyle w:val="Paragrafi"/>
        <w:rPr>
          <w:spacing w:val="-4"/>
          <w:lang w:val="sq-AL"/>
        </w:rPr>
      </w:pPr>
      <w:r w:rsidRPr="008156BB">
        <w:rPr>
          <w:spacing w:val="-4"/>
          <w:lang w:val="sq-AL"/>
        </w:rPr>
        <w:t xml:space="preserve">d) Kushtet sipas të cilave autorizimi është lëshuar; </w:t>
      </w:r>
    </w:p>
    <w:p w:rsidR="00EE0C2F" w:rsidRPr="008156BB" w:rsidRDefault="00EE0C2F" w:rsidP="00EE0C2F">
      <w:pPr>
        <w:pStyle w:val="Paragrafi"/>
        <w:rPr>
          <w:spacing w:val="-4"/>
          <w:lang w:val="sq-AL"/>
        </w:rPr>
      </w:pPr>
      <w:r w:rsidRPr="008156BB">
        <w:rPr>
          <w:spacing w:val="-4"/>
          <w:lang w:val="sq-AL"/>
        </w:rPr>
        <w:t xml:space="preserve">dh) Periudhën e rishikimit të afateve kohore; </w:t>
      </w:r>
    </w:p>
    <w:p w:rsidR="00EE0C2F" w:rsidRPr="008156BB" w:rsidRDefault="00EE0C2F" w:rsidP="00EE0C2F">
      <w:pPr>
        <w:pStyle w:val="Paragrafi"/>
        <w:rPr>
          <w:spacing w:val="-4"/>
          <w:lang w:val="sq-AL"/>
        </w:rPr>
      </w:pPr>
      <w:r w:rsidRPr="008156BB">
        <w:rPr>
          <w:spacing w:val="-4"/>
          <w:lang w:val="sq-AL"/>
        </w:rPr>
        <w:t xml:space="preserve">e) Masat për monitorimin. </w:t>
      </w:r>
    </w:p>
    <w:p w:rsidR="00EE0C2F" w:rsidRPr="008156BB" w:rsidRDefault="00EE0C2F" w:rsidP="00EE0C2F">
      <w:pPr>
        <w:pStyle w:val="Paragrafi"/>
        <w:rPr>
          <w:spacing w:val="-4"/>
          <w:lang w:val="sq-AL"/>
        </w:rPr>
      </w:pPr>
      <w:r w:rsidRPr="008156BB">
        <w:rPr>
          <w:spacing w:val="-4"/>
          <w:lang w:val="sq-AL"/>
        </w:rPr>
        <w:t>11. Pavarësisht nga kushtet e përcaktuara në autorizimin e kushtëzuar, zotëruesi i saj merr të gjitha masat teknikisht dhe praktikisht të mundshme që sigurojnë zvogëlimin e shkallës së ekspozimit të SVHC-së.</w:t>
      </w:r>
    </w:p>
    <w:p w:rsidR="00EE0C2F" w:rsidRPr="008156BB" w:rsidRDefault="00EE0C2F" w:rsidP="00EE0C2F">
      <w:pPr>
        <w:pStyle w:val="Hapesira7"/>
        <w:rPr>
          <w:lang w:val="sq-AL"/>
        </w:rPr>
      </w:pPr>
    </w:p>
    <w:p w:rsidR="00EE0C2F" w:rsidRPr="008156BB" w:rsidRDefault="00EE0C2F" w:rsidP="00EE0C2F">
      <w:pPr>
        <w:pStyle w:val="NeniNr"/>
        <w:rPr>
          <w:spacing w:val="-4"/>
          <w:lang w:val="sq-AL"/>
        </w:rPr>
      </w:pPr>
      <w:r w:rsidRPr="008156BB">
        <w:rPr>
          <w:spacing w:val="-4"/>
          <w:lang w:val="sq-AL"/>
        </w:rPr>
        <w:t>KREU V</w:t>
      </w:r>
    </w:p>
    <w:p w:rsidR="00EE0C2F" w:rsidRPr="008156BB" w:rsidRDefault="00EE0C2F" w:rsidP="00EE0C2F">
      <w:pPr>
        <w:pStyle w:val="NeniNr"/>
        <w:rPr>
          <w:spacing w:val="-4"/>
          <w:lang w:val="sq-AL"/>
        </w:rPr>
      </w:pPr>
      <w:r w:rsidRPr="008156BB">
        <w:rPr>
          <w:spacing w:val="-4"/>
          <w:lang w:val="sq-AL"/>
        </w:rPr>
        <w:t>RISHIKIMI I AUTORIZIMIT TË KUSHTËZUAR PËR VAZHDIMIN E PËRDORIMIT TË SVHC-së</w:t>
      </w:r>
    </w:p>
    <w:p w:rsidR="00EE0C2F" w:rsidRPr="008156BB" w:rsidRDefault="00EE0C2F" w:rsidP="00EE0C2F">
      <w:pPr>
        <w:pStyle w:val="Hapesira7"/>
        <w:rPr>
          <w:lang w:val="sq-AL"/>
        </w:rPr>
      </w:pPr>
    </w:p>
    <w:p w:rsidR="00EE0C2F" w:rsidRPr="008156BB" w:rsidRDefault="00EE0C2F" w:rsidP="00EE0C2F">
      <w:pPr>
        <w:pStyle w:val="Paragrafi"/>
        <w:rPr>
          <w:spacing w:val="-4"/>
          <w:lang w:val="sq-AL"/>
        </w:rPr>
      </w:pPr>
      <w:r w:rsidRPr="008156BB">
        <w:rPr>
          <w:spacing w:val="-4"/>
          <w:lang w:val="sq-AL"/>
        </w:rPr>
        <w:t xml:space="preserve">1. Këshilli i Ministrave, me propozimin e ministrit, pezullon autorizimin e kushtëzuar për vazhdimin e </w:t>
      </w:r>
      <w:r w:rsidRPr="008156BB">
        <w:rPr>
          <w:spacing w:val="-4"/>
          <w:lang w:val="sq-AL"/>
        </w:rPr>
        <w:lastRenderedPageBreak/>
        <w:t>përdorimit të SVHC-së, në rastin kur:</w:t>
      </w:r>
    </w:p>
    <w:p w:rsidR="00EE0C2F" w:rsidRPr="008156BB" w:rsidRDefault="00EE0C2F" w:rsidP="00EE0C2F">
      <w:pPr>
        <w:pStyle w:val="Paragrafi"/>
        <w:rPr>
          <w:spacing w:val="-4"/>
          <w:lang w:val="sq-AL"/>
        </w:rPr>
      </w:pPr>
      <w:r w:rsidRPr="008156BB">
        <w:rPr>
          <w:spacing w:val="-4"/>
          <w:lang w:val="sq-AL"/>
        </w:rPr>
        <w:t>a) preken interesat kombëtare që lidhen me zhvillimin ekonomik dhe social të vendit ose kur ekziston një risk serioz e i menjëhershëm për shëndetin e njeriut apo mjedisin;</w:t>
      </w:r>
    </w:p>
    <w:p w:rsidR="00EE0C2F" w:rsidRPr="008156BB" w:rsidRDefault="00EE0C2F" w:rsidP="00EE0C2F">
      <w:pPr>
        <w:pStyle w:val="Paragrafi"/>
        <w:rPr>
          <w:spacing w:val="-4"/>
          <w:lang w:val="sq-AL"/>
        </w:rPr>
      </w:pPr>
      <w:r w:rsidRPr="008156BB">
        <w:rPr>
          <w:spacing w:val="-4"/>
          <w:lang w:val="sq-AL"/>
        </w:rPr>
        <w:t>b) përdorimi i asaj substance ndalohet ose kufizohet mbas kohës së dhënies së autorizimit, në përputhje me legjislacionin specifik mbi ndotësit organikë të qëndrueshëm.</w:t>
      </w:r>
    </w:p>
    <w:p w:rsidR="00EE0C2F" w:rsidRPr="008156BB" w:rsidRDefault="00EE0C2F" w:rsidP="00EE0C2F">
      <w:pPr>
        <w:pStyle w:val="Paragrafi"/>
        <w:rPr>
          <w:spacing w:val="-4"/>
          <w:lang w:val="sq-AL"/>
        </w:rPr>
      </w:pPr>
      <w:r w:rsidRPr="008156BB">
        <w:rPr>
          <w:spacing w:val="-4"/>
          <w:lang w:val="sq-AL"/>
        </w:rPr>
        <w:t xml:space="preserve">2. Autorizimi i kushtëzuar për vazhdimin e përdorimit të SVHC-së rishikohet në rastin kur aplikuesi nuk përmbush standardet e cilësisë së mjedisit, të përcaktuara në lejen e mjedisit në përputhje me legjislacionin në fuqi. </w:t>
      </w:r>
    </w:p>
    <w:p w:rsidR="00EE0C2F" w:rsidRDefault="00EE0C2F" w:rsidP="00EE0C2F">
      <w:pPr>
        <w:pStyle w:val="Paragrafi"/>
        <w:rPr>
          <w:spacing w:val="-4"/>
          <w:lang w:val="sq-AL"/>
        </w:rPr>
      </w:pPr>
    </w:p>
    <w:p w:rsidR="00EE0C2F" w:rsidRDefault="00EE0C2F" w:rsidP="00EE0C2F">
      <w:pPr>
        <w:pStyle w:val="Paragrafi"/>
        <w:rPr>
          <w:spacing w:val="-4"/>
          <w:lang w:val="sq-AL"/>
        </w:rPr>
      </w:pPr>
    </w:p>
    <w:p w:rsidR="00EE0C2F" w:rsidRPr="008156BB" w:rsidRDefault="00EE0C2F" w:rsidP="00EE0C2F">
      <w:pPr>
        <w:pStyle w:val="Paragrafi"/>
        <w:rPr>
          <w:spacing w:val="-4"/>
          <w:lang w:val="sq-AL"/>
        </w:rPr>
      </w:pPr>
    </w:p>
    <w:p w:rsidR="00EE0C2F" w:rsidRPr="008156BB" w:rsidRDefault="00EE0C2F" w:rsidP="00EE0C2F">
      <w:pPr>
        <w:pStyle w:val="NeniNr"/>
        <w:rPr>
          <w:spacing w:val="-4"/>
          <w:lang w:val="sq-AL"/>
        </w:rPr>
      </w:pPr>
      <w:r w:rsidRPr="008156BB">
        <w:rPr>
          <w:spacing w:val="-4"/>
          <w:lang w:val="sq-AL"/>
        </w:rPr>
        <w:t>KREU VI</w:t>
      </w:r>
    </w:p>
    <w:p w:rsidR="00EE0C2F" w:rsidRPr="008156BB" w:rsidRDefault="00EE0C2F" w:rsidP="00EE0C2F">
      <w:pPr>
        <w:pStyle w:val="NeniNr"/>
        <w:rPr>
          <w:spacing w:val="-4"/>
          <w:lang w:val="sq-AL"/>
        </w:rPr>
      </w:pPr>
      <w:r w:rsidRPr="008156BB">
        <w:rPr>
          <w:spacing w:val="-4"/>
          <w:lang w:val="sq-AL"/>
        </w:rPr>
        <w:t>PROCEDURA PËR APLIKIMIN PËR AUTORIZIM TË KUSHTËZUAR PËR VAZHDIMIN E P</w:t>
      </w:r>
      <w:r w:rsidRPr="008156BB">
        <w:rPr>
          <w:rStyle w:val="Heading8Char"/>
          <w:spacing w:val="-4"/>
          <w:lang w:val="sq-AL"/>
        </w:rPr>
        <w:t>Ë</w:t>
      </w:r>
      <w:r w:rsidRPr="008156BB">
        <w:rPr>
          <w:spacing w:val="-4"/>
          <w:lang w:val="sq-AL"/>
        </w:rPr>
        <w:t>RDORIMIT TË SVHC-së</w:t>
      </w:r>
    </w:p>
    <w:p w:rsidR="00EE0C2F" w:rsidRPr="008156BB" w:rsidRDefault="00EE0C2F" w:rsidP="00EE0C2F">
      <w:pPr>
        <w:pStyle w:val="Hapesira7"/>
        <w:rPr>
          <w:lang w:val="sq-AL"/>
        </w:rPr>
      </w:pPr>
    </w:p>
    <w:p w:rsidR="00EE0C2F" w:rsidRPr="008156BB" w:rsidRDefault="00EE0C2F" w:rsidP="00EE0C2F">
      <w:pPr>
        <w:pStyle w:val="Paragrafi"/>
        <w:rPr>
          <w:spacing w:val="-4"/>
          <w:lang w:val="sq-AL"/>
        </w:rPr>
      </w:pPr>
      <w:r w:rsidRPr="008156BB">
        <w:rPr>
          <w:spacing w:val="-4"/>
          <w:lang w:val="sq-AL"/>
        </w:rPr>
        <w:t xml:space="preserve">1. Aplikimi për autorizim të kushtëzuar për vazhdimin e përdorimit të SVHC-së kryhet nga aplikuesi që është prodhues, importues dhe/ose përdorues profesional i substancës. </w:t>
      </w:r>
    </w:p>
    <w:p w:rsidR="00EE0C2F" w:rsidRPr="008156BB" w:rsidRDefault="00EE0C2F" w:rsidP="00EE0C2F">
      <w:pPr>
        <w:pStyle w:val="Paragrafi"/>
        <w:rPr>
          <w:spacing w:val="-4"/>
          <w:lang w:val="sq-AL"/>
        </w:rPr>
      </w:pPr>
      <w:r w:rsidRPr="008156BB">
        <w:rPr>
          <w:spacing w:val="-4"/>
          <w:lang w:val="sq-AL"/>
        </w:rPr>
        <w:t>2. Aplikimi kryhet nga një ose disa aplikantë së bashku. Kërkesa bëhet për përdorimin e substancës/ave nga vetë aplikanti/tët dhe/ose për përdorime për të cilat ai synon ta vendosë në treg.</w:t>
      </w:r>
    </w:p>
    <w:p w:rsidR="00EE0C2F" w:rsidRPr="008156BB" w:rsidRDefault="00EE0C2F" w:rsidP="00EE0C2F">
      <w:pPr>
        <w:pStyle w:val="Paragrafi"/>
        <w:rPr>
          <w:spacing w:val="-4"/>
          <w:lang w:val="sq-AL"/>
        </w:rPr>
      </w:pPr>
      <w:r w:rsidRPr="008156BB">
        <w:rPr>
          <w:spacing w:val="-4"/>
          <w:lang w:val="sq-AL"/>
        </w:rPr>
        <w:t>3. Aplikuesi dorëzon në ministri kërkesën për pajisjen me autorizim të kushtëzuar për vazhdimin e përdorimit të SVHC-së, e cila shqyrtohet nga zyra e kimikateve.</w:t>
      </w:r>
    </w:p>
    <w:p w:rsidR="00EE0C2F" w:rsidRPr="008156BB" w:rsidRDefault="00EE0C2F" w:rsidP="00EE0C2F">
      <w:pPr>
        <w:pStyle w:val="Paragrafi"/>
        <w:rPr>
          <w:spacing w:val="-4"/>
          <w:lang w:val="sq-AL"/>
        </w:rPr>
      </w:pPr>
      <w:r w:rsidRPr="008156BB">
        <w:rPr>
          <w:spacing w:val="-4"/>
          <w:lang w:val="sq-AL"/>
        </w:rPr>
        <w:t xml:space="preserve"> 4. Kërkesa për autorizim të kushtëzuar mund të bëhet për një apo disa substanca që plotësojnë përkufizimin e një “grupi substancash” sipas përcaktimit në shkronjën “b”, të pikës 1, të kreut I, të këtij vendimi, si dhe për një ose disa përdorime/për një ose disa përdorues. </w:t>
      </w:r>
    </w:p>
    <w:p w:rsidR="00EE0C2F" w:rsidRPr="008156BB" w:rsidRDefault="00EE0C2F" w:rsidP="00EE0C2F">
      <w:pPr>
        <w:pStyle w:val="Paragrafi"/>
        <w:rPr>
          <w:spacing w:val="-4"/>
          <w:lang w:val="sq-AL"/>
        </w:rPr>
      </w:pPr>
      <w:r w:rsidRPr="008156BB">
        <w:rPr>
          <w:spacing w:val="-4"/>
          <w:lang w:val="sq-AL"/>
        </w:rPr>
        <w:t>5. Kërkesa për autorizim të kushtëzuar për vazhdimin e përdorimit të SVHC-së përfshin informacionin, si më poshtë vijon:</w:t>
      </w:r>
    </w:p>
    <w:p w:rsidR="00EE0C2F" w:rsidRPr="008156BB" w:rsidRDefault="00EE0C2F" w:rsidP="00EE0C2F">
      <w:pPr>
        <w:pStyle w:val="Paragrafi"/>
        <w:rPr>
          <w:spacing w:val="-4"/>
          <w:lang w:val="sq-AL"/>
        </w:rPr>
      </w:pPr>
      <w:r w:rsidRPr="008156BB">
        <w:rPr>
          <w:spacing w:val="-4"/>
          <w:lang w:val="sq-AL"/>
        </w:rPr>
        <w:t>a) Identitetin e substancës/ave, në përputhje me përcaktimet e vendimit të referuar në pikën 2, të nenit 22, të ligjit nr. 27/2016, “Për menaxhimin e kimikateve”;</w:t>
      </w:r>
    </w:p>
    <w:p w:rsidR="00EE0C2F" w:rsidRPr="008156BB" w:rsidRDefault="00EE0C2F" w:rsidP="00EE0C2F">
      <w:pPr>
        <w:pStyle w:val="Paragrafi"/>
        <w:rPr>
          <w:spacing w:val="-4"/>
          <w:lang w:val="sq-AL"/>
        </w:rPr>
      </w:pPr>
      <w:r w:rsidRPr="008156BB">
        <w:rPr>
          <w:spacing w:val="-4"/>
          <w:lang w:val="sq-AL"/>
        </w:rPr>
        <w:t xml:space="preserve">b) Emrin dhe të dhënat e kontaktit të aplikantit/ëve që bëjnë kërkesën; </w:t>
      </w:r>
    </w:p>
    <w:p w:rsidR="00EE0C2F" w:rsidRPr="008156BB" w:rsidRDefault="00EE0C2F" w:rsidP="00EE0C2F">
      <w:pPr>
        <w:pStyle w:val="Paragrafi"/>
        <w:rPr>
          <w:spacing w:val="-4"/>
          <w:lang w:val="sq-AL"/>
        </w:rPr>
      </w:pPr>
      <w:r w:rsidRPr="008156BB">
        <w:rPr>
          <w:spacing w:val="-4"/>
          <w:lang w:val="sq-AL"/>
        </w:rPr>
        <w:t>c) Sasinë dhe qëllimin e përdorimit të substancës, përzierjes apo substancës si pjesë përbërëse e një artikulli;</w:t>
      </w:r>
    </w:p>
    <w:p w:rsidR="00EE0C2F" w:rsidRPr="008156BB" w:rsidRDefault="00EE0C2F" w:rsidP="00EE0C2F">
      <w:pPr>
        <w:pStyle w:val="Paragrafi"/>
        <w:rPr>
          <w:spacing w:val="-4"/>
          <w:lang w:val="sq-AL"/>
        </w:rPr>
      </w:pPr>
      <w:r w:rsidRPr="008156BB">
        <w:rPr>
          <w:spacing w:val="-4"/>
          <w:lang w:val="sq-AL"/>
        </w:rPr>
        <w:t xml:space="preserve">ç) Raportin e vlerësimit të sigurisë kimike që mbulon rreziqet që sjell për shëndetin e njeriut dhe/ose mjedisin përdorimi i substancës; </w:t>
      </w:r>
    </w:p>
    <w:p w:rsidR="00EE0C2F" w:rsidRPr="008156BB" w:rsidRDefault="00EE0C2F" w:rsidP="00EE0C2F">
      <w:pPr>
        <w:pStyle w:val="Paragrafi"/>
        <w:rPr>
          <w:spacing w:val="-4"/>
          <w:lang w:val="sq-AL"/>
        </w:rPr>
      </w:pPr>
      <w:r w:rsidRPr="008156BB">
        <w:rPr>
          <w:spacing w:val="-4"/>
          <w:lang w:val="sq-AL"/>
        </w:rPr>
        <w:t>d) Një analizë të alternativave për zëvendësimin e SVHC-së, duke marrë në konsideratë rreziqet e tyre dhe mundësitë ekonomike e teknike për zbatimin e tyre, si dhe përfshirjen, në rast se ka, të informacionit mbi aktivitetet përkatëse kërkimore dhe zhvillimore që kryen aplikanti;</w:t>
      </w:r>
    </w:p>
    <w:p w:rsidR="00EE0C2F" w:rsidRPr="008156BB" w:rsidRDefault="00EE0C2F" w:rsidP="00EE0C2F">
      <w:pPr>
        <w:pStyle w:val="Paragrafi"/>
        <w:rPr>
          <w:spacing w:val="-4"/>
          <w:lang w:val="sq-AL"/>
        </w:rPr>
      </w:pPr>
      <w:r w:rsidRPr="008156BB">
        <w:rPr>
          <w:spacing w:val="-4"/>
          <w:lang w:val="sq-AL"/>
        </w:rPr>
        <w:t>dh) Një plan zëvendësimi të substancës/ave, ku përfshihen masat e propozuara dhe afatet kohore për realizimin e tyre nga aplikanti, në rastin kur analiza referuar në shkronjën “d”, më lart tregon se janë të mundshme alternativa të përshtatshme, duke marrë në konsideratë edhe elementet e për</w:t>
      </w:r>
      <w:r>
        <w:rPr>
          <w:spacing w:val="-4"/>
          <w:lang w:val="sq-AL"/>
        </w:rPr>
        <w:t>-</w:t>
      </w:r>
      <w:r w:rsidRPr="008156BB">
        <w:rPr>
          <w:spacing w:val="-4"/>
          <w:lang w:val="sq-AL"/>
        </w:rPr>
        <w:t xml:space="preserve">caktuara në pikën 7, të kreut IV, të këtij vendimi; </w:t>
      </w:r>
    </w:p>
    <w:p w:rsidR="00EE0C2F" w:rsidRPr="008156BB" w:rsidRDefault="00EE0C2F" w:rsidP="00EE0C2F">
      <w:pPr>
        <w:pStyle w:val="Paragrafi"/>
        <w:rPr>
          <w:spacing w:val="-4"/>
          <w:lang w:val="sq-AL"/>
        </w:rPr>
      </w:pPr>
      <w:r w:rsidRPr="008156BB">
        <w:rPr>
          <w:spacing w:val="-4"/>
          <w:lang w:val="sq-AL"/>
        </w:rPr>
        <w:t>e) Një analizë social-ekonomike të kryer në përputhje me shtojcën III, bashkëlidhur këtij vendimi;</w:t>
      </w:r>
    </w:p>
    <w:p w:rsidR="00EE0C2F" w:rsidRPr="008156BB" w:rsidRDefault="00EE0C2F" w:rsidP="00EE0C2F">
      <w:pPr>
        <w:pStyle w:val="Paragrafi"/>
        <w:rPr>
          <w:spacing w:val="-4"/>
          <w:lang w:val="sq-AL"/>
        </w:rPr>
      </w:pPr>
      <w:r w:rsidRPr="008156BB">
        <w:rPr>
          <w:spacing w:val="-4"/>
          <w:lang w:val="sq-AL"/>
        </w:rPr>
        <w:t>ë) Argumentet për marrjen ose jo në konsideratë të rreziqeve në shëndetin e njeriut dhe mjedisin që vijnë, nga:</w:t>
      </w:r>
    </w:p>
    <w:p w:rsidR="00EE0C2F" w:rsidRPr="008156BB" w:rsidRDefault="00EE0C2F" w:rsidP="00EE0C2F">
      <w:pPr>
        <w:pStyle w:val="Paragrafi"/>
        <w:rPr>
          <w:spacing w:val="-4"/>
          <w:lang w:val="sq-AL"/>
        </w:rPr>
      </w:pPr>
      <w:r w:rsidRPr="008156BB">
        <w:rPr>
          <w:spacing w:val="-4"/>
          <w:lang w:val="sq-AL"/>
        </w:rPr>
        <w:t xml:space="preserve"> i) shkarkimet e një instalimi ekzistues për të cilin është dhënë leje mjedisi në përputhje me legjislacionin në fuqi për lejet e mjedisit; ose</w:t>
      </w:r>
    </w:p>
    <w:p w:rsidR="00EE0C2F" w:rsidRPr="008156BB" w:rsidRDefault="00EE0C2F" w:rsidP="00EE0C2F">
      <w:pPr>
        <w:pStyle w:val="Paragrafi"/>
        <w:rPr>
          <w:spacing w:val="-4"/>
          <w:lang w:val="sq-AL"/>
        </w:rPr>
      </w:pPr>
      <w:r w:rsidRPr="008156BB">
        <w:rPr>
          <w:spacing w:val="-4"/>
          <w:lang w:val="sq-AL"/>
        </w:rPr>
        <w:t>ii) derdhjet e një substance nga një pikë tjetër burimore, referuar legjislacionit për menaxhimin e integruar të ujërave nga ndotja;</w:t>
      </w:r>
    </w:p>
    <w:p w:rsidR="00EE0C2F" w:rsidRPr="008156BB" w:rsidRDefault="00EE0C2F" w:rsidP="00EE0C2F">
      <w:pPr>
        <w:pStyle w:val="Paragrafi"/>
        <w:rPr>
          <w:spacing w:val="-4"/>
          <w:lang w:val="sq-AL"/>
        </w:rPr>
      </w:pPr>
      <w:r w:rsidRPr="008156BB">
        <w:rPr>
          <w:spacing w:val="-4"/>
          <w:lang w:val="sq-AL"/>
        </w:rPr>
        <w:t>f) Mandatpagesën e tarifës së aplikimit në përputhje me nenin 42, të ligjit nr. 27/2016, “Për menaxhimin e kimikateve”.</w:t>
      </w:r>
    </w:p>
    <w:p w:rsidR="00EE0C2F" w:rsidRPr="008156BB" w:rsidRDefault="00EE0C2F" w:rsidP="00EE0C2F">
      <w:pPr>
        <w:pStyle w:val="Paragrafi"/>
        <w:rPr>
          <w:spacing w:val="-4"/>
          <w:lang w:val="sq-AL"/>
        </w:rPr>
      </w:pPr>
      <w:r w:rsidRPr="008156BB">
        <w:rPr>
          <w:spacing w:val="-4"/>
          <w:lang w:val="sq-AL"/>
        </w:rPr>
        <w:t>6. Aplikimi nuk përfshin vlerësimin e rreziqeve që sjell në shëndetin e njeriut dhe mjedisin përdorimi i asaj substance në pajisjet mjekësore, e rregulluar nga legjislacioni specifik për pajisjet mjekësore.</w:t>
      </w:r>
    </w:p>
    <w:p w:rsidR="00EE0C2F" w:rsidRPr="008156BB" w:rsidRDefault="00EE0C2F" w:rsidP="00EE0C2F">
      <w:pPr>
        <w:pStyle w:val="Paragrafi"/>
        <w:rPr>
          <w:spacing w:val="-4"/>
          <w:lang w:val="sq-AL"/>
        </w:rPr>
      </w:pPr>
      <w:r w:rsidRPr="008156BB">
        <w:rPr>
          <w:spacing w:val="-4"/>
          <w:lang w:val="sq-AL"/>
        </w:rPr>
        <w:t>7. Ministria harton autorizimin e kushtëzuar dhe organizon dëgjesën me palët e interesuara sipas legjislacionit në fuqi, përpara dërgimit të projektvendimit në Këshillin e Ministrave.</w:t>
      </w:r>
    </w:p>
    <w:p w:rsidR="00EE0C2F" w:rsidRPr="008156BB" w:rsidRDefault="00EE0C2F" w:rsidP="00EE0C2F">
      <w:pPr>
        <w:pStyle w:val="Paragrafi"/>
        <w:rPr>
          <w:spacing w:val="-4"/>
          <w:lang w:val="sq-AL"/>
        </w:rPr>
      </w:pPr>
      <w:r w:rsidRPr="008156BB">
        <w:rPr>
          <w:spacing w:val="-4"/>
          <w:lang w:val="sq-AL"/>
        </w:rPr>
        <w:t xml:space="preserve">8. Ministri propozon në Këshillin e Ministrave projektvendimin për lëshimin e autorizimit të kushtëzuar </w:t>
      </w:r>
      <w:r w:rsidRPr="008156BB">
        <w:rPr>
          <w:spacing w:val="-4"/>
          <w:lang w:val="sq-AL"/>
        </w:rPr>
        <w:lastRenderedPageBreak/>
        <w:t xml:space="preserve">për vazhdimin e përdorimit të SVHC-së, brenda 10 muajve nga afati final për aplikim, duke argumentuar marrjen apo jo në konsideratë të mendimeve të palëve të interesuara. </w:t>
      </w:r>
    </w:p>
    <w:p w:rsidR="00EE0C2F" w:rsidRPr="008156BB" w:rsidRDefault="00EE0C2F" w:rsidP="00EE0C2F">
      <w:pPr>
        <w:pStyle w:val="Hapesira7"/>
        <w:rPr>
          <w:lang w:val="sq-AL"/>
        </w:rPr>
      </w:pPr>
    </w:p>
    <w:p w:rsidR="00EE0C2F" w:rsidRPr="008156BB" w:rsidRDefault="00EE0C2F" w:rsidP="00EE0C2F">
      <w:pPr>
        <w:pStyle w:val="NeniNr"/>
        <w:rPr>
          <w:spacing w:val="-4"/>
          <w:lang w:val="sq-AL"/>
        </w:rPr>
      </w:pPr>
      <w:r w:rsidRPr="008156BB">
        <w:rPr>
          <w:spacing w:val="-4"/>
          <w:lang w:val="sq-AL"/>
        </w:rPr>
        <w:t>KREU VII</w:t>
      </w:r>
    </w:p>
    <w:p w:rsidR="00EE0C2F" w:rsidRPr="008156BB" w:rsidRDefault="00EE0C2F" w:rsidP="00EE0C2F">
      <w:pPr>
        <w:pStyle w:val="NeniNr"/>
        <w:rPr>
          <w:spacing w:val="-4"/>
          <w:lang w:val="sq-AL"/>
        </w:rPr>
      </w:pPr>
      <w:r w:rsidRPr="008156BB">
        <w:rPr>
          <w:spacing w:val="-4"/>
          <w:lang w:val="sq-AL"/>
        </w:rPr>
        <w:t>DETYRIMET E ZOTËRUESIT TË AUTORIZIMIT TË KUSHTËZUAR</w:t>
      </w:r>
    </w:p>
    <w:p w:rsidR="00EE0C2F" w:rsidRPr="008156BB" w:rsidRDefault="00EE0C2F" w:rsidP="00EE0C2F">
      <w:pPr>
        <w:pStyle w:val="Hapesira7"/>
        <w:rPr>
          <w:lang w:val="sq-AL"/>
        </w:rPr>
      </w:pPr>
      <w:r w:rsidRPr="008156BB">
        <w:rPr>
          <w:lang w:val="sq-AL"/>
        </w:rPr>
        <w:t xml:space="preserve"> </w:t>
      </w:r>
    </w:p>
    <w:p w:rsidR="00EE0C2F" w:rsidRPr="008156BB" w:rsidRDefault="00EE0C2F" w:rsidP="00EE0C2F">
      <w:pPr>
        <w:pStyle w:val="Paragrafi"/>
        <w:rPr>
          <w:spacing w:val="-4"/>
          <w:lang w:val="sq-AL"/>
        </w:rPr>
      </w:pPr>
      <w:r w:rsidRPr="008156BB">
        <w:rPr>
          <w:spacing w:val="-4"/>
          <w:lang w:val="sq-AL"/>
        </w:rPr>
        <w:t>Zotëruesi/it e autorizimit të kushtëzuar të SVHC-së vendosin numrin e vendimit të autorizimit mbi etiketën e substancës ose përzierjes që e përmban atë substancë, përpara vendosjes së tyre në treg, sapo numri i vendimit të autorizimit të bëhet i disponueshëm publikisht.</w:t>
      </w:r>
    </w:p>
    <w:p w:rsidR="00EE0C2F" w:rsidRPr="008156BB" w:rsidRDefault="00EE0C2F" w:rsidP="00EE0C2F">
      <w:pPr>
        <w:pStyle w:val="Hapesira7"/>
        <w:rPr>
          <w:lang w:val="sq-AL"/>
        </w:rPr>
      </w:pPr>
    </w:p>
    <w:p w:rsidR="00EE0C2F" w:rsidRPr="008156BB" w:rsidRDefault="00EE0C2F" w:rsidP="00EE0C2F">
      <w:pPr>
        <w:pStyle w:val="NeniNr"/>
        <w:rPr>
          <w:spacing w:val="-4"/>
          <w:lang w:val="sq-AL"/>
        </w:rPr>
      </w:pPr>
      <w:r w:rsidRPr="008156BB">
        <w:rPr>
          <w:spacing w:val="-4"/>
          <w:lang w:val="sq-AL"/>
        </w:rPr>
        <w:t>KREU VIII</w:t>
      </w:r>
    </w:p>
    <w:p w:rsidR="00EE0C2F" w:rsidRPr="008156BB" w:rsidRDefault="00EE0C2F" w:rsidP="00EE0C2F">
      <w:pPr>
        <w:pStyle w:val="NeniNr"/>
        <w:rPr>
          <w:spacing w:val="-4"/>
          <w:lang w:val="sq-AL"/>
        </w:rPr>
      </w:pPr>
      <w:r w:rsidRPr="008156BB">
        <w:rPr>
          <w:spacing w:val="-4"/>
          <w:lang w:val="sq-AL"/>
        </w:rPr>
        <w:t xml:space="preserve">PËRDORUESIT    </w:t>
      </w:r>
    </w:p>
    <w:p w:rsidR="00EE0C2F" w:rsidRPr="008156BB" w:rsidRDefault="00EE0C2F" w:rsidP="00EE0C2F">
      <w:pPr>
        <w:pStyle w:val="Hapesira7"/>
        <w:rPr>
          <w:lang w:val="sq-AL"/>
        </w:rPr>
      </w:pPr>
    </w:p>
    <w:p w:rsidR="00EE0C2F" w:rsidRPr="008156BB" w:rsidRDefault="00EE0C2F" w:rsidP="00EE0C2F">
      <w:pPr>
        <w:pStyle w:val="Paragrafi"/>
        <w:rPr>
          <w:spacing w:val="-4"/>
          <w:lang w:val="sq-AL"/>
        </w:rPr>
      </w:pPr>
      <w:r w:rsidRPr="008156BB">
        <w:rPr>
          <w:spacing w:val="-4"/>
          <w:lang w:val="sq-AL"/>
        </w:rPr>
        <w:t>1. Përdoruesit profesionalë që përdorin një substancë në përputhje me pikën 2, të kreut III, të këtij vendimi, njoftojnë zyrën e kimikateve brenda tre muajve nga data e furnizimit të parë me atë substancë.</w:t>
      </w:r>
    </w:p>
    <w:p w:rsidR="00EE0C2F" w:rsidRPr="008156BB" w:rsidRDefault="00EE0C2F" w:rsidP="00EE0C2F">
      <w:pPr>
        <w:pStyle w:val="Paragrafi"/>
        <w:rPr>
          <w:spacing w:val="-4"/>
          <w:lang w:val="sq-AL"/>
        </w:rPr>
      </w:pPr>
      <w:r w:rsidRPr="008156BB">
        <w:rPr>
          <w:spacing w:val="-4"/>
          <w:lang w:val="sq-AL"/>
        </w:rPr>
        <w:t xml:space="preserve">2. Zyra e kimikateve krijon dhe përditëson regjistrin, referuar nenit 27, të ligjit nr. 27/2016, “Për menaxhimin e kimikateve”, me të dhënat e përdoruesve profesionalë, të cilët kanë bërë njoftimin në përputhje me pikën 1 të këtij kreu. Zyra e kimikateve i jep të drejtën për akses në këtë regjistër të gjitha palëve të interesuara. </w:t>
      </w:r>
    </w:p>
    <w:p w:rsidR="00EE0C2F" w:rsidRPr="008156BB" w:rsidRDefault="00EE0C2F" w:rsidP="00EE0C2F">
      <w:pPr>
        <w:pStyle w:val="Hapesira7"/>
        <w:rPr>
          <w:lang w:val="sq-AL"/>
        </w:rPr>
      </w:pPr>
    </w:p>
    <w:p w:rsidR="00EE0C2F" w:rsidRPr="008156BB" w:rsidRDefault="00EE0C2F" w:rsidP="00EE0C2F">
      <w:pPr>
        <w:pStyle w:val="NeniNr"/>
        <w:rPr>
          <w:spacing w:val="-4"/>
          <w:lang w:val="sq-AL"/>
        </w:rPr>
      </w:pPr>
      <w:r w:rsidRPr="008156BB">
        <w:rPr>
          <w:spacing w:val="-4"/>
          <w:lang w:val="sq-AL"/>
        </w:rPr>
        <w:t>KREU IX</w:t>
      </w:r>
    </w:p>
    <w:p w:rsidR="00EE0C2F" w:rsidRPr="008156BB" w:rsidRDefault="00EE0C2F" w:rsidP="00EE0C2F">
      <w:pPr>
        <w:pStyle w:val="NeniNr"/>
        <w:rPr>
          <w:spacing w:val="-4"/>
          <w:lang w:val="sq-AL"/>
        </w:rPr>
      </w:pPr>
      <w:r w:rsidRPr="008156BB">
        <w:rPr>
          <w:spacing w:val="-4"/>
          <w:lang w:val="sq-AL"/>
        </w:rPr>
        <w:t>DISPOZITA PËRFUNDIMTARE</w:t>
      </w:r>
    </w:p>
    <w:p w:rsidR="00EE0C2F" w:rsidRPr="008156BB" w:rsidRDefault="00EE0C2F" w:rsidP="00EE0C2F">
      <w:pPr>
        <w:pStyle w:val="Hapesira7"/>
        <w:rPr>
          <w:lang w:val="sq-AL"/>
        </w:rPr>
      </w:pPr>
    </w:p>
    <w:p w:rsidR="00EE0C2F" w:rsidRPr="008156BB" w:rsidRDefault="00EE0C2F" w:rsidP="00EE0C2F">
      <w:pPr>
        <w:pStyle w:val="Paragrafi"/>
        <w:rPr>
          <w:spacing w:val="-4"/>
          <w:lang w:val="sq-AL"/>
        </w:rPr>
      </w:pPr>
      <w:r w:rsidRPr="008156BB">
        <w:rPr>
          <w:spacing w:val="-4"/>
          <w:lang w:val="sq-AL"/>
        </w:rPr>
        <w:t>1. Mospërmbushja e kërkesave të këtij vendimi përbën kundërvajtje administrative dhe ndëshkohet sipas pikave 27 dhe 28, të nenit 40, të ligjit nr. 27/2016, “Për menaxhimin e kimikateve”.</w:t>
      </w:r>
    </w:p>
    <w:p w:rsidR="00EE0C2F" w:rsidRPr="008156BB" w:rsidRDefault="00EE0C2F" w:rsidP="00EE0C2F">
      <w:pPr>
        <w:pStyle w:val="Paragrafi"/>
        <w:rPr>
          <w:spacing w:val="-4"/>
          <w:lang w:val="sq-AL"/>
        </w:rPr>
      </w:pPr>
      <w:r w:rsidRPr="008156BB">
        <w:rPr>
          <w:spacing w:val="-4"/>
          <w:lang w:val="sq-AL"/>
        </w:rPr>
        <w:t>2. Ngarkohen Ministria e Mjedisit dhe institucionet e ngarkuara në ligjin nr. 27/2016, “Për menaxhimin e kimikateve”, për zbatimin e këtij vendimi.</w:t>
      </w:r>
    </w:p>
    <w:p w:rsidR="00EE0C2F" w:rsidRPr="008156BB" w:rsidRDefault="00EE0C2F" w:rsidP="00EE0C2F">
      <w:pPr>
        <w:pStyle w:val="Paragrafi"/>
        <w:rPr>
          <w:spacing w:val="-4"/>
          <w:lang w:val="sq-AL"/>
        </w:rPr>
      </w:pPr>
      <w:r w:rsidRPr="008156BB">
        <w:rPr>
          <w:spacing w:val="-4"/>
          <w:lang w:val="sq-AL"/>
        </w:rPr>
        <w:t>Ky vendim hyn në fuqi pas botimit në Fletoren Zyrtare dhe i shtrin efektet juridike me hyrjen në fuqi të ligjit nr. 27/2016, “Për menaxhimin e kimikateve”.</w:t>
      </w:r>
    </w:p>
    <w:p w:rsidR="00EE0C2F" w:rsidRPr="008156BB" w:rsidRDefault="00EE0C2F" w:rsidP="00EE0C2F">
      <w:pPr>
        <w:pStyle w:val="Hapesira7"/>
        <w:rPr>
          <w:lang w:val="sq-AL"/>
        </w:rPr>
      </w:pPr>
    </w:p>
    <w:p w:rsidR="00EE0C2F" w:rsidRPr="008156BB" w:rsidRDefault="00EE0C2F" w:rsidP="00EE0C2F">
      <w:pPr>
        <w:pStyle w:val="Paragrafi"/>
        <w:jc w:val="right"/>
        <w:rPr>
          <w:spacing w:val="-4"/>
          <w:lang w:val="sq-AL"/>
        </w:rPr>
      </w:pPr>
      <w:r w:rsidRPr="008156BB">
        <w:rPr>
          <w:spacing w:val="-4"/>
          <w:lang w:val="sq-AL"/>
        </w:rPr>
        <w:t>ZËVENDËSKRYEMINISTRI</w:t>
      </w:r>
    </w:p>
    <w:p w:rsidR="00EE0C2F" w:rsidRPr="008156BB" w:rsidRDefault="00EE0C2F" w:rsidP="00EE0C2F">
      <w:pPr>
        <w:pStyle w:val="Paragrafi"/>
        <w:jc w:val="right"/>
        <w:rPr>
          <w:b/>
          <w:spacing w:val="-4"/>
          <w:lang w:val="sq-AL"/>
        </w:rPr>
      </w:pPr>
      <w:r w:rsidRPr="008156BB">
        <w:rPr>
          <w:b/>
          <w:spacing w:val="-4"/>
          <w:lang w:val="sq-AL"/>
        </w:rPr>
        <w:t>Niko Peleshi</w:t>
      </w:r>
    </w:p>
    <w:p w:rsidR="00EE0C2F" w:rsidRDefault="00EE0C2F" w:rsidP="00EE0C2F">
      <w:pPr>
        <w:pStyle w:val="Paragrafi"/>
        <w:rPr>
          <w:lang w:val="sq-AL"/>
        </w:rPr>
        <w:sectPr w:rsidR="00EE0C2F" w:rsidSect="003B48CA">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0311"/>
          <w:cols w:space="454"/>
          <w:docGrid w:linePitch="360"/>
        </w:sectPr>
      </w:pPr>
    </w:p>
    <w:p w:rsidR="00EE0C2F" w:rsidRPr="00D657AC" w:rsidRDefault="00EE0C2F" w:rsidP="00EE0C2F">
      <w:pPr>
        <w:pStyle w:val="Paragrafi"/>
        <w:rPr>
          <w:lang w:val="sq-AL"/>
        </w:rPr>
      </w:pPr>
    </w:p>
    <w:p w:rsidR="00EE0C2F" w:rsidRDefault="00EE0C2F" w:rsidP="00EE0C2F">
      <w:pPr>
        <w:pStyle w:val="Paragrafi"/>
        <w:rPr>
          <w:lang w:val="sq-AL"/>
        </w:rPr>
      </w:pPr>
    </w:p>
    <w:p w:rsidR="00EE0C2F" w:rsidRDefault="00EE0C2F" w:rsidP="00EE0C2F">
      <w:pPr>
        <w:pStyle w:val="Paragrafi"/>
        <w:rPr>
          <w:lang w:val="sq-AL"/>
        </w:rPr>
      </w:pPr>
    </w:p>
    <w:p w:rsidR="00EE0C2F" w:rsidRDefault="00EE0C2F" w:rsidP="00EE0C2F">
      <w:pPr>
        <w:pStyle w:val="Paragrafi"/>
        <w:rPr>
          <w:lang w:val="sq-AL"/>
        </w:rPr>
      </w:pPr>
    </w:p>
    <w:p w:rsidR="00EE0C2F" w:rsidRDefault="00EE0C2F" w:rsidP="00EE0C2F">
      <w:pPr>
        <w:pStyle w:val="Paragrafi"/>
        <w:rPr>
          <w:lang w:val="sq-AL"/>
        </w:rPr>
      </w:pPr>
    </w:p>
    <w:p w:rsidR="00EE0C2F" w:rsidRDefault="00EE0C2F" w:rsidP="00EE0C2F">
      <w:pPr>
        <w:pStyle w:val="Paragrafi"/>
        <w:rPr>
          <w:lang w:val="sq-AL"/>
        </w:rPr>
      </w:pPr>
    </w:p>
    <w:p w:rsidR="00EE0C2F" w:rsidRPr="00D657AC" w:rsidRDefault="00EE0C2F" w:rsidP="00EE0C2F">
      <w:pPr>
        <w:pStyle w:val="Paragrafi"/>
        <w:rPr>
          <w:lang w:val="sq-AL"/>
        </w:rPr>
      </w:pPr>
    </w:p>
    <w:p w:rsidR="00EE0C2F" w:rsidRPr="00D657AC" w:rsidRDefault="00EE0C2F" w:rsidP="00EE0C2F">
      <w:pPr>
        <w:pStyle w:val="NeniNr"/>
        <w:rPr>
          <w:lang w:val="sq-AL"/>
        </w:rPr>
      </w:pPr>
      <w:r w:rsidRPr="00D657AC">
        <w:rPr>
          <w:lang w:val="sq-AL"/>
        </w:rPr>
        <w:t xml:space="preserve">SHTOJCA I </w:t>
      </w:r>
    </w:p>
    <w:p w:rsidR="00EE0C2F" w:rsidRPr="00D657AC" w:rsidRDefault="00EE0C2F" w:rsidP="00EE0C2F">
      <w:pPr>
        <w:pStyle w:val="NeniNr"/>
        <w:rPr>
          <w:lang w:val="sq-AL"/>
        </w:rPr>
      </w:pPr>
      <w:r w:rsidRPr="00D657AC">
        <w:rPr>
          <w:lang w:val="sq-AL"/>
        </w:rPr>
        <w:t>LISTA E SUBSTANCAVE QË I NËNSHTROHET AUTORIZIMIT (LISTA E SVHC-ve).</w:t>
      </w:r>
    </w:p>
    <w:p w:rsidR="00EE0C2F" w:rsidRPr="00D657AC" w:rsidRDefault="00EE0C2F" w:rsidP="00EE0C2F">
      <w:pPr>
        <w:pStyle w:val="NeniN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3170"/>
        <w:gridCol w:w="1660"/>
        <w:gridCol w:w="1300"/>
        <w:gridCol w:w="1524"/>
        <w:gridCol w:w="1724"/>
      </w:tblGrid>
      <w:tr w:rsidR="00EE0C2F" w:rsidRPr="00D657AC" w:rsidTr="00F245E8">
        <w:trPr>
          <w:trHeight w:val="1205"/>
        </w:trPr>
        <w:tc>
          <w:tcPr>
            <w:tcW w:w="0" w:type="auto"/>
            <w:vMerge w:val="restart"/>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center"/>
              <w:rPr>
                <w:b/>
                <w:sz w:val="18"/>
                <w:szCs w:val="18"/>
                <w:lang w:val="sq-AL"/>
              </w:rPr>
            </w:pPr>
            <w:r w:rsidRPr="00D657AC">
              <w:rPr>
                <w:b/>
                <w:sz w:val="18"/>
                <w:szCs w:val="18"/>
                <w:lang w:val="sq-AL"/>
              </w:rPr>
              <w:t>Nr.</w:t>
            </w:r>
          </w:p>
        </w:tc>
        <w:tc>
          <w:tcPr>
            <w:tcW w:w="0" w:type="auto"/>
            <w:vMerge w:val="restart"/>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center"/>
              <w:rPr>
                <w:b/>
                <w:sz w:val="18"/>
                <w:szCs w:val="18"/>
                <w:lang w:val="sq-AL"/>
              </w:rPr>
            </w:pPr>
            <w:r w:rsidRPr="00D657AC">
              <w:rPr>
                <w:b/>
                <w:sz w:val="18"/>
                <w:szCs w:val="18"/>
                <w:lang w:val="sq-AL"/>
              </w:rPr>
              <w:t>Substanca</w:t>
            </w:r>
          </w:p>
          <w:p w:rsidR="00EE0C2F" w:rsidRPr="00D657AC" w:rsidRDefault="00EE0C2F" w:rsidP="00F245E8">
            <w:pPr>
              <w:pStyle w:val="Paragrafi"/>
              <w:ind w:firstLine="0"/>
              <w:jc w:val="center"/>
              <w:rPr>
                <w:b/>
                <w:sz w:val="18"/>
                <w:szCs w:val="18"/>
                <w:lang w:val="sq-AL"/>
              </w:rPr>
            </w:pPr>
          </w:p>
          <w:p w:rsidR="00EE0C2F" w:rsidRPr="00D657AC" w:rsidRDefault="00EE0C2F" w:rsidP="00F245E8">
            <w:pPr>
              <w:pStyle w:val="Paragrafi"/>
              <w:ind w:firstLine="0"/>
              <w:jc w:val="center"/>
              <w:rPr>
                <w:b/>
                <w:sz w:val="18"/>
                <w:szCs w:val="18"/>
                <w:lang w:val="sq-AL"/>
              </w:rPr>
            </w:pPr>
          </w:p>
          <w:p w:rsidR="00EE0C2F" w:rsidRPr="00D657AC" w:rsidRDefault="00EE0C2F" w:rsidP="00F245E8">
            <w:pPr>
              <w:pStyle w:val="Paragrafi"/>
              <w:ind w:firstLine="0"/>
              <w:jc w:val="center"/>
              <w:rPr>
                <w:b/>
                <w:sz w:val="18"/>
                <w:szCs w:val="18"/>
                <w:lang w:val="sq-AL"/>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center"/>
              <w:rPr>
                <w:b/>
                <w:sz w:val="18"/>
                <w:szCs w:val="18"/>
                <w:lang w:val="sq-AL"/>
              </w:rPr>
            </w:pPr>
            <w:r w:rsidRPr="00D657AC">
              <w:rPr>
                <w:b/>
                <w:sz w:val="18"/>
                <w:szCs w:val="18"/>
                <w:lang w:val="sq-AL"/>
              </w:rPr>
              <w:t>Klasifikimi dhe vetia/të për të cilat një substancë konsiderohet si substancë me rrezikshmëri shumë të lartë</w:t>
            </w:r>
          </w:p>
        </w:tc>
        <w:tc>
          <w:tcPr>
            <w:tcW w:w="0" w:type="auto"/>
            <w:gridSpan w:val="2"/>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center"/>
              <w:rPr>
                <w:b/>
                <w:sz w:val="18"/>
                <w:szCs w:val="18"/>
                <w:lang w:val="sq-AL"/>
              </w:rPr>
            </w:pPr>
            <w:r w:rsidRPr="00D657AC">
              <w:rPr>
                <w:b/>
                <w:sz w:val="18"/>
                <w:szCs w:val="18"/>
                <w:lang w:val="sq-AL"/>
              </w:rPr>
              <w:t>Periudha transitore</w:t>
            </w:r>
          </w:p>
        </w:tc>
        <w:tc>
          <w:tcPr>
            <w:tcW w:w="0" w:type="auto"/>
            <w:vMerge w:val="restart"/>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center"/>
              <w:rPr>
                <w:b/>
                <w:sz w:val="18"/>
                <w:szCs w:val="18"/>
                <w:lang w:val="sq-AL"/>
              </w:rPr>
            </w:pPr>
            <w:r w:rsidRPr="00D657AC">
              <w:rPr>
                <w:b/>
                <w:sz w:val="18"/>
                <w:szCs w:val="18"/>
                <w:lang w:val="sq-AL"/>
              </w:rPr>
              <w:t>Përdorimet apo kategoritë e përdorimeve të përjashtuara nga kërkesa për autorizim dhe kushtet për këtë përjashtim</w:t>
            </w:r>
          </w:p>
        </w:tc>
      </w:tr>
      <w:tr w:rsidR="00EE0C2F" w:rsidRPr="00D657AC" w:rsidTr="00F245E8">
        <w:trPr>
          <w:trHeight w:val="12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0C2F" w:rsidRPr="00D657AC" w:rsidRDefault="00EE0C2F" w:rsidP="00F245E8">
            <w:pPr>
              <w:pStyle w:val="Paragrafi"/>
              <w:ind w:firstLine="0"/>
              <w:jc w:val="center"/>
              <w:rPr>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0C2F" w:rsidRPr="00D657AC" w:rsidRDefault="00EE0C2F" w:rsidP="00F245E8">
            <w:pPr>
              <w:pStyle w:val="Paragrafi"/>
              <w:ind w:firstLine="0"/>
              <w:jc w:val="center"/>
              <w:rPr>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0C2F" w:rsidRPr="00D657AC" w:rsidRDefault="00EE0C2F" w:rsidP="00F245E8">
            <w:pPr>
              <w:pStyle w:val="Paragrafi"/>
              <w:ind w:firstLine="0"/>
              <w:jc w:val="center"/>
              <w:rPr>
                <w:b/>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center"/>
              <w:rPr>
                <w:b/>
                <w:sz w:val="18"/>
                <w:szCs w:val="18"/>
                <w:lang w:val="sq-AL"/>
              </w:rPr>
            </w:pPr>
            <w:r w:rsidRPr="00D657AC">
              <w:rPr>
                <w:b/>
                <w:sz w:val="18"/>
                <w:szCs w:val="18"/>
                <w:lang w:val="sq-AL"/>
              </w:rPr>
              <w:t>Afati përfundimtar i aplikimit</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center"/>
              <w:rPr>
                <w:b/>
                <w:sz w:val="18"/>
                <w:szCs w:val="18"/>
                <w:lang w:val="sq-AL"/>
              </w:rPr>
            </w:pPr>
            <w:r w:rsidRPr="00D657AC">
              <w:rPr>
                <w:b/>
                <w:sz w:val="18"/>
                <w:szCs w:val="18"/>
                <w:lang w:val="sq-AL"/>
              </w:rPr>
              <w:t>Data përfundimtare mbas së cilës ndalohet vendosja në treg</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0C2F" w:rsidRPr="00D657AC" w:rsidRDefault="00EE0C2F" w:rsidP="00F245E8">
            <w:pPr>
              <w:pStyle w:val="Paragrafi"/>
              <w:ind w:firstLine="0"/>
              <w:jc w:val="center"/>
              <w:rPr>
                <w:b/>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1.</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5-tert-butil-2,4,6-trinitro-m-ksileni</w:t>
            </w:r>
          </w:p>
          <w:p w:rsidR="00EE0C2F" w:rsidRPr="00637FF9" w:rsidRDefault="00EE0C2F" w:rsidP="00F245E8">
            <w:pPr>
              <w:pStyle w:val="Paragrafi"/>
              <w:ind w:firstLine="0"/>
              <w:rPr>
                <w:sz w:val="18"/>
                <w:szCs w:val="18"/>
                <w:lang w:val="sq-AL"/>
              </w:rPr>
            </w:pPr>
            <w:r w:rsidRPr="00637FF9">
              <w:rPr>
                <w:sz w:val="18"/>
                <w:szCs w:val="18"/>
                <w:lang w:val="sq-AL"/>
              </w:rPr>
              <w:t>(Musk ksilen)</w:t>
            </w:r>
          </w:p>
          <w:p w:rsidR="00EE0C2F" w:rsidRPr="00D657AC" w:rsidRDefault="00EE0C2F" w:rsidP="00F245E8">
            <w:pPr>
              <w:pStyle w:val="Paragrafi"/>
              <w:ind w:firstLine="0"/>
              <w:rPr>
                <w:sz w:val="18"/>
                <w:szCs w:val="18"/>
                <w:lang w:val="sq-AL"/>
              </w:rPr>
            </w:pPr>
            <w:r w:rsidRPr="00D657AC">
              <w:rPr>
                <w:sz w:val="18"/>
                <w:szCs w:val="18"/>
                <w:lang w:val="sq-AL"/>
              </w:rPr>
              <w:t xml:space="preserve"> </w:t>
            </w:r>
          </w:p>
          <w:p w:rsidR="00EE0C2F" w:rsidRPr="00D657AC" w:rsidRDefault="00EE0C2F" w:rsidP="00F245E8">
            <w:pPr>
              <w:pStyle w:val="Paragrafi"/>
              <w:ind w:firstLine="0"/>
              <w:rPr>
                <w:sz w:val="18"/>
                <w:szCs w:val="18"/>
                <w:lang w:val="sq-AL"/>
              </w:rPr>
            </w:pPr>
            <w:r w:rsidRPr="00D657AC">
              <w:rPr>
                <w:sz w:val="18"/>
                <w:szCs w:val="18"/>
                <w:lang w:val="sq-AL"/>
              </w:rPr>
              <w:t>EC No: 201-329-4</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81-15-2</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shQshB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lastRenderedPageBreak/>
              <w:t>2.</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 xml:space="preserve">4,4’-Diaminodifenilmetani (MDA)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202-974-4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No:101-77-9</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 xml:space="preserve">Kancerogjene </w:t>
            </w:r>
          </w:p>
          <w:p w:rsidR="00EE0C2F" w:rsidRPr="00D657AC" w:rsidRDefault="00EE0C2F" w:rsidP="00F245E8">
            <w:pPr>
              <w:pStyle w:val="Paragrafi"/>
              <w:ind w:firstLine="0"/>
              <w:rPr>
                <w:sz w:val="18"/>
                <w:szCs w:val="18"/>
                <w:lang w:val="sq-AL"/>
              </w:rPr>
            </w:pPr>
            <w:r w:rsidRPr="00D657AC">
              <w:rPr>
                <w:sz w:val="18"/>
                <w:szCs w:val="18"/>
                <w:lang w:val="sq-AL"/>
              </w:rPr>
              <w:t>(kategoria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 xml:space="preserve">3. </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Hekzabromociklodo- dekani</w:t>
            </w:r>
          </w:p>
          <w:p w:rsidR="00EE0C2F" w:rsidRPr="00D657AC" w:rsidRDefault="00EE0C2F" w:rsidP="00F245E8">
            <w:pPr>
              <w:pStyle w:val="Paragrafi"/>
              <w:ind w:firstLine="0"/>
              <w:rPr>
                <w:b/>
                <w:sz w:val="18"/>
                <w:szCs w:val="18"/>
                <w:lang w:val="sq-AL"/>
              </w:rPr>
            </w:pPr>
            <w:r w:rsidRPr="00D657AC">
              <w:rPr>
                <w:b/>
                <w:sz w:val="18"/>
                <w:szCs w:val="18"/>
                <w:lang w:val="sq-AL"/>
              </w:rPr>
              <w:t xml:space="preserve">(HBCDD)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EC No: 221-695-9</w:t>
            </w:r>
          </w:p>
          <w:p w:rsidR="00EE0C2F" w:rsidRPr="00D657AC" w:rsidRDefault="00EE0C2F" w:rsidP="00F245E8">
            <w:pPr>
              <w:pStyle w:val="Paragrafi"/>
              <w:ind w:firstLine="0"/>
              <w:rPr>
                <w:sz w:val="18"/>
                <w:szCs w:val="18"/>
                <w:lang w:val="sq-AL"/>
              </w:rPr>
            </w:pPr>
            <w:r>
              <w:rPr>
                <w:sz w:val="18"/>
                <w:szCs w:val="18"/>
                <w:lang w:val="sq-AL"/>
              </w:rPr>
              <w:t xml:space="preserve">   </w:t>
            </w:r>
            <w:r w:rsidRPr="00D657AC">
              <w:rPr>
                <w:sz w:val="18"/>
                <w:szCs w:val="18"/>
                <w:lang w:val="sq-AL"/>
              </w:rPr>
              <w:t>247-148-4</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3194-55-6</w:t>
            </w:r>
          </w:p>
          <w:p w:rsidR="00EE0C2F" w:rsidRPr="00D657AC" w:rsidRDefault="00EE0C2F" w:rsidP="00F245E8">
            <w:pPr>
              <w:pStyle w:val="Paragrafi"/>
              <w:ind w:firstLine="0"/>
              <w:rPr>
                <w:sz w:val="18"/>
                <w:szCs w:val="18"/>
                <w:lang w:val="sq-AL"/>
              </w:rPr>
            </w:pPr>
            <w:r>
              <w:rPr>
                <w:sz w:val="18"/>
                <w:szCs w:val="18"/>
                <w:lang w:val="sq-AL"/>
              </w:rPr>
              <w:t xml:space="preserve">   </w:t>
            </w:r>
            <w:r w:rsidRPr="00D657AC">
              <w:rPr>
                <w:sz w:val="18"/>
                <w:szCs w:val="18"/>
                <w:lang w:val="sq-AL"/>
              </w:rPr>
              <w:t xml:space="preserve"> 25637-99-4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alpha-hekzabromociklododekani</w:t>
            </w:r>
          </w:p>
          <w:p w:rsidR="00EE0C2F" w:rsidRPr="00D657AC" w:rsidRDefault="00EE0C2F" w:rsidP="00F245E8">
            <w:pPr>
              <w:pStyle w:val="Paragrafi"/>
              <w:ind w:firstLine="0"/>
              <w:rPr>
                <w:sz w:val="18"/>
                <w:szCs w:val="18"/>
                <w:lang w:val="sq-AL"/>
              </w:rPr>
            </w:pPr>
            <w:r w:rsidRPr="00D657AC">
              <w:rPr>
                <w:sz w:val="18"/>
                <w:szCs w:val="18"/>
                <w:lang w:val="sq-AL"/>
              </w:rPr>
              <w:t>CAS No: 134237-50-6</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Betahekzabromocyklododekani</w:t>
            </w:r>
          </w:p>
          <w:p w:rsidR="00EE0C2F" w:rsidRPr="00D657AC" w:rsidRDefault="00EE0C2F" w:rsidP="00F245E8">
            <w:pPr>
              <w:pStyle w:val="Paragrafi"/>
              <w:ind w:firstLine="0"/>
              <w:rPr>
                <w:sz w:val="18"/>
                <w:szCs w:val="18"/>
                <w:lang w:val="sq-AL"/>
              </w:rPr>
            </w:pPr>
            <w:r w:rsidRPr="00D657AC">
              <w:rPr>
                <w:sz w:val="18"/>
                <w:szCs w:val="18"/>
                <w:lang w:val="sq-AL"/>
              </w:rPr>
              <w:t xml:space="preserve">CAS No: 134237-51-7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gama-hekzabromocyklododecani</w:t>
            </w:r>
          </w:p>
          <w:p w:rsidR="00EE0C2F" w:rsidRPr="00D657AC" w:rsidRDefault="00EE0C2F" w:rsidP="00F245E8">
            <w:pPr>
              <w:pStyle w:val="Paragrafi"/>
              <w:ind w:firstLine="0"/>
              <w:rPr>
                <w:sz w:val="18"/>
                <w:szCs w:val="18"/>
                <w:lang w:val="sq-AL"/>
              </w:rPr>
            </w:pPr>
            <w:r w:rsidRPr="00D657AC">
              <w:rPr>
                <w:sz w:val="18"/>
                <w:szCs w:val="18"/>
                <w:lang w:val="sq-AL"/>
              </w:rPr>
              <w:t>CAS No: 134237-52-8</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QBT</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4.</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 xml:space="preserve">Bis(2-etilhekzil) ftalati (DEHP)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204-211-0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117-81-7</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Toksik për riprodhimin</w:t>
            </w:r>
          </w:p>
          <w:p w:rsidR="00EE0C2F" w:rsidRPr="00D657AC" w:rsidRDefault="00EE0C2F" w:rsidP="00F245E8">
            <w:pPr>
              <w:pStyle w:val="Paragrafi"/>
              <w:ind w:firstLine="0"/>
              <w:rPr>
                <w:sz w:val="18"/>
                <w:szCs w:val="18"/>
                <w:lang w:val="sq-AL"/>
              </w:rPr>
            </w:pPr>
            <w:r w:rsidRPr="00D657AC">
              <w:rPr>
                <w:sz w:val="18"/>
                <w:szCs w:val="18"/>
                <w:lang w:val="sq-AL"/>
              </w:rPr>
              <w:t>(kategoria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left"/>
              <w:rPr>
                <w:sz w:val="18"/>
                <w:szCs w:val="18"/>
                <w:lang w:val="sq-AL"/>
              </w:rPr>
            </w:pPr>
            <w:r w:rsidRPr="00D657AC">
              <w:rPr>
                <w:sz w:val="18"/>
                <w:szCs w:val="18"/>
                <w:lang w:val="sq-AL"/>
              </w:rPr>
              <w:t>Përdorimet në</w:t>
            </w:r>
            <w:r w:rsidRPr="00D657AC">
              <w:rPr>
                <w:sz w:val="18"/>
                <w:szCs w:val="18"/>
                <w:lang w:val="sq-AL"/>
              </w:rPr>
              <w:br/>
              <w:t>paketimet e menjëhershme</w:t>
            </w:r>
            <w:r w:rsidRPr="00D657AC">
              <w:rPr>
                <w:sz w:val="18"/>
                <w:szCs w:val="18"/>
                <w:lang w:val="sq-AL"/>
              </w:rPr>
              <w:br/>
              <w:t>të produkteve mjekësore</w:t>
            </w:r>
            <w:r w:rsidRPr="00D657AC">
              <w:rPr>
                <w:sz w:val="18"/>
                <w:szCs w:val="18"/>
                <w:lang w:val="sq-AL"/>
              </w:rPr>
              <w:br/>
              <w:t>që mbulohen nga</w:t>
            </w:r>
            <w:r w:rsidRPr="00D657AC">
              <w:rPr>
                <w:sz w:val="18"/>
                <w:szCs w:val="18"/>
                <w:lang w:val="sq-AL"/>
              </w:rPr>
              <w:br/>
              <w:t>legjislacioni që rregullon</w:t>
            </w:r>
            <w:r w:rsidRPr="00D657AC">
              <w:rPr>
                <w:sz w:val="18"/>
                <w:szCs w:val="18"/>
                <w:lang w:val="sq-AL"/>
              </w:rPr>
              <w:br/>
              <w:t>medikamentet dhe pajisjet mjekësore.</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5.</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 xml:space="preserve">Benzil butil ftalati (BBP)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201-622-7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85-68-7</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Toksik për riprodhimin</w:t>
            </w:r>
          </w:p>
          <w:p w:rsidR="00EE0C2F" w:rsidRPr="00D657AC" w:rsidRDefault="00EE0C2F" w:rsidP="00F245E8">
            <w:pPr>
              <w:pStyle w:val="Paragrafi"/>
              <w:ind w:firstLine="0"/>
              <w:rPr>
                <w:sz w:val="18"/>
                <w:szCs w:val="18"/>
                <w:lang w:val="sq-AL"/>
              </w:rPr>
            </w:pPr>
            <w:r w:rsidRPr="00D657AC">
              <w:rPr>
                <w:sz w:val="18"/>
                <w:szCs w:val="18"/>
                <w:lang w:val="sq-AL"/>
              </w:rPr>
              <w:t>(kategoria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left"/>
              <w:rPr>
                <w:sz w:val="18"/>
                <w:szCs w:val="18"/>
                <w:lang w:val="sq-AL"/>
              </w:rPr>
            </w:pPr>
            <w:r w:rsidRPr="00D657AC">
              <w:rPr>
                <w:sz w:val="18"/>
                <w:szCs w:val="18"/>
                <w:lang w:val="sq-AL"/>
              </w:rPr>
              <w:t>Përdorimet në</w:t>
            </w:r>
            <w:r w:rsidRPr="00D657AC">
              <w:rPr>
                <w:sz w:val="18"/>
                <w:szCs w:val="18"/>
                <w:lang w:val="sq-AL"/>
              </w:rPr>
              <w:br/>
              <w:t>paketimet e menjëhershme</w:t>
            </w:r>
            <w:r w:rsidRPr="00D657AC">
              <w:rPr>
                <w:sz w:val="18"/>
                <w:szCs w:val="18"/>
                <w:lang w:val="sq-AL"/>
              </w:rPr>
              <w:br/>
              <w:t>të produkteve medicinale</w:t>
            </w:r>
            <w:r w:rsidRPr="00D657AC">
              <w:rPr>
                <w:sz w:val="18"/>
                <w:szCs w:val="18"/>
                <w:lang w:val="sq-AL"/>
              </w:rPr>
              <w:br/>
              <w:t>që mbulohen nga</w:t>
            </w:r>
            <w:r w:rsidRPr="00D657AC">
              <w:rPr>
                <w:sz w:val="18"/>
                <w:szCs w:val="18"/>
                <w:lang w:val="sq-AL"/>
              </w:rPr>
              <w:br/>
              <w:t>legjislacioni që rregullon</w:t>
            </w:r>
            <w:r w:rsidRPr="00D657AC">
              <w:rPr>
                <w:sz w:val="18"/>
                <w:szCs w:val="18"/>
                <w:lang w:val="sq-AL"/>
              </w:rPr>
              <w:br/>
              <w:t>medikamentet dhe pajisjet mjekësore.</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6.</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 xml:space="preserve">Dybutil ftalati (DBP)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201-557-4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84-74-2</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Toksik për riprodhimin</w:t>
            </w:r>
          </w:p>
          <w:p w:rsidR="00EE0C2F" w:rsidRPr="00D657AC" w:rsidRDefault="00EE0C2F" w:rsidP="00F245E8">
            <w:pPr>
              <w:pStyle w:val="Paragrafi"/>
              <w:ind w:firstLine="0"/>
              <w:rPr>
                <w:sz w:val="18"/>
                <w:szCs w:val="18"/>
                <w:lang w:val="sq-AL"/>
              </w:rPr>
            </w:pPr>
            <w:r w:rsidRPr="00D657AC">
              <w:rPr>
                <w:sz w:val="18"/>
                <w:szCs w:val="18"/>
                <w:lang w:val="sq-AL"/>
              </w:rPr>
              <w:t>(kategoria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left"/>
              <w:rPr>
                <w:sz w:val="18"/>
                <w:szCs w:val="18"/>
                <w:lang w:val="sq-AL"/>
              </w:rPr>
            </w:pPr>
            <w:r w:rsidRPr="00D657AC">
              <w:rPr>
                <w:sz w:val="18"/>
                <w:szCs w:val="18"/>
                <w:lang w:val="sq-AL"/>
              </w:rPr>
              <w:t>Përdorimet në</w:t>
            </w:r>
            <w:r w:rsidRPr="00D657AC">
              <w:rPr>
                <w:sz w:val="18"/>
                <w:szCs w:val="18"/>
                <w:lang w:val="sq-AL"/>
              </w:rPr>
              <w:br/>
              <w:t>paketimet e menjëhershme</w:t>
            </w:r>
            <w:r w:rsidRPr="00D657AC">
              <w:rPr>
                <w:sz w:val="18"/>
                <w:szCs w:val="18"/>
                <w:lang w:val="sq-AL"/>
              </w:rPr>
              <w:br/>
              <w:t>të produkteve medicinale</w:t>
            </w:r>
            <w:r w:rsidRPr="00D657AC">
              <w:rPr>
                <w:sz w:val="18"/>
                <w:szCs w:val="18"/>
                <w:lang w:val="sq-AL"/>
              </w:rPr>
              <w:br/>
              <w:t>që mbulohen nga</w:t>
            </w:r>
            <w:r w:rsidRPr="00D657AC">
              <w:rPr>
                <w:sz w:val="18"/>
                <w:szCs w:val="18"/>
                <w:lang w:val="sq-AL"/>
              </w:rPr>
              <w:br/>
              <w:t>legjislacioni që rregullon</w:t>
            </w:r>
            <w:r w:rsidRPr="00D657AC">
              <w:rPr>
                <w:sz w:val="18"/>
                <w:szCs w:val="18"/>
                <w:lang w:val="sq-AL"/>
              </w:rPr>
              <w:br/>
              <w:t>medikamentet dhe pajisjet mjekësore.</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7.</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 xml:space="preserve">Ftalat i dyisobutilit (DIBP) </w:t>
            </w:r>
          </w:p>
          <w:p w:rsidR="00EE0C2F" w:rsidRPr="00637FF9" w:rsidRDefault="00EE0C2F" w:rsidP="00F245E8">
            <w:pPr>
              <w:pStyle w:val="Paragrafi"/>
              <w:ind w:firstLine="0"/>
              <w:rPr>
                <w:i/>
                <w:sz w:val="18"/>
                <w:szCs w:val="18"/>
                <w:lang w:val="sq-AL"/>
              </w:rPr>
            </w:pPr>
            <w:r w:rsidRPr="00637FF9">
              <w:rPr>
                <w:i/>
                <w:sz w:val="18"/>
                <w:szCs w:val="18"/>
                <w:lang w:val="sq-AL"/>
              </w:rPr>
              <w:t>(Diisobutil phthalate)</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Nr: 201-553-2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Nr: 84-69-5</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Toksik për riprodhimin</w:t>
            </w:r>
          </w:p>
          <w:p w:rsidR="00EE0C2F" w:rsidRPr="00D657AC" w:rsidRDefault="00EE0C2F" w:rsidP="00F245E8">
            <w:pPr>
              <w:pStyle w:val="Paragrafi"/>
              <w:ind w:firstLine="0"/>
              <w:rPr>
                <w:sz w:val="18"/>
                <w:szCs w:val="18"/>
                <w:lang w:val="sq-AL"/>
              </w:rPr>
            </w:pPr>
            <w:r w:rsidRPr="00D657AC">
              <w:rPr>
                <w:sz w:val="18"/>
                <w:szCs w:val="18"/>
                <w:lang w:val="sq-AL"/>
              </w:rPr>
              <w:t>(kategoria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w:t>
            </w:r>
          </w:p>
        </w:tc>
      </w:tr>
      <w:tr w:rsidR="00EE0C2F" w:rsidRPr="00D657AC" w:rsidTr="00F245E8">
        <w:trPr>
          <w:trHeight w:val="431"/>
        </w:trPr>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 xml:space="preserve">8. </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 xml:space="preserve">Trioksid i dyarsenikut </w:t>
            </w:r>
          </w:p>
          <w:p w:rsidR="00EE0C2F" w:rsidRPr="00637FF9" w:rsidRDefault="00EE0C2F" w:rsidP="00F245E8">
            <w:pPr>
              <w:pStyle w:val="Paragrafi"/>
              <w:ind w:firstLine="0"/>
              <w:rPr>
                <w:i/>
                <w:sz w:val="18"/>
                <w:szCs w:val="18"/>
                <w:lang w:val="sq-AL"/>
              </w:rPr>
            </w:pPr>
            <w:r w:rsidRPr="00637FF9">
              <w:rPr>
                <w:i/>
                <w:sz w:val="18"/>
                <w:szCs w:val="18"/>
                <w:lang w:val="sq-AL"/>
              </w:rPr>
              <w:t>(Diarsenic trioxide)</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 EC Nr: 215-481-4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Nr: 1327-53-3</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Kancerogjen (kategoria 1A)</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 xml:space="preserve">9. </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Pentaoksid i dyarsenikut</w:t>
            </w:r>
          </w:p>
          <w:p w:rsidR="00EE0C2F" w:rsidRPr="00637FF9" w:rsidRDefault="00EE0C2F" w:rsidP="00F245E8">
            <w:pPr>
              <w:pStyle w:val="Paragrafi"/>
              <w:ind w:firstLine="0"/>
              <w:rPr>
                <w:i/>
                <w:sz w:val="18"/>
                <w:szCs w:val="18"/>
                <w:lang w:val="sq-AL"/>
              </w:rPr>
            </w:pPr>
            <w:r w:rsidRPr="00637FF9">
              <w:rPr>
                <w:i/>
                <w:sz w:val="18"/>
                <w:szCs w:val="18"/>
                <w:lang w:val="sq-AL"/>
              </w:rPr>
              <w:t xml:space="preserve"> (Diarsenic pentaoxide)</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Nr: 215-116-9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Nr: 1303-28-2</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lastRenderedPageBreak/>
              <w:t>Kancerogjen</w:t>
            </w:r>
          </w:p>
          <w:p w:rsidR="00EE0C2F" w:rsidRPr="00D657AC" w:rsidRDefault="00EE0C2F" w:rsidP="00F245E8">
            <w:pPr>
              <w:pStyle w:val="Paragrafi"/>
              <w:ind w:firstLine="0"/>
              <w:rPr>
                <w:sz w:val="18"/>
                <w:szCs w:val="18"/>
                <w:lang w:val="sq-AL"/>
              </w:rPr>
            </w:pPr>
            <w:r w:rsidRPr="00D657AC">
              <w:rPr>
                <w:sz w:val="18"/>
                <w:szCs w:val="18"/>
                <w:lang w:val="sq-AL"/>
              </w:rPr>
              <w:t>(kategoria 1A)</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lastRenderedPageBreak/>
              <w:t xml:space="preserve">10. </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 xml:space="preserve">Kromat Plumbi </w:t>
            </w:r>
          </w:p>
          <w:p w:rsidR="00EE0C2F" w:rsidRPr="00637FF9" w:rsidRDefault="00EE0C2F" w:rsidP="00F245E8">
            <w:pPr>
              <w:pStyle w:val="Paragrafi"/>
              <w:ind w:firstLine="0"/>
              <w:rPr>
                <w:i/>
                <w:sz w:val="18"/>
                <w:szCs w:val="18"/>
                <w:lang w:val="sq-AL"/>
              </w:rPr>
            </w:pPr>
            <w:r w:rsidRPr="00637FF9">
              <w:rPr>
                <w:i/>
                <w:sz w:val="18"/>
                <w:szCs w:val="18"/>
                <w:lang w:val="sq-AL"/>
              </w:rPr>
              <w:t>(Lead chromate)</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Nr: 231-846-0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Nr: 7758-97-6</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sz w:val="18"/>
                <w:szCs w:val="18"/>
                <w:lang w:val="sq-AL"/>
              </w:rPr>
            </w:pPr>
            <w:r w:rsidRPr="00D657AC">
              <w:rPr>
                <w:sz w:val="18"/>
                <w:szCs w:val="18"/>
                <w:lang w:val="sq-AL"/>
              </w:rPr>
              <w:t xml:space="preserve">Kancerogjen (kategoria 1B) </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 xml:space="preserve">Toksik për riprodhimin </w:t>
            </w:r>
          </w:p>
          <w:p w:rsidR="00EE0C2F" w:rsidRPr="00D657AC" w:rsidRDefault="00EE0C2F" w:rsidP="00F245E8">
            <w:pPr>
              <w:pStyle w:val="Paragrafi"/>
              <w:ind w:firstLine="0"/>
              <w:jc w:val="left"/>
              <w:rPr>
                <w:sz w:val="18"/>
                <w:szCs w:val="18"/>
                <w:lang w:val="sq-AL"/>
              </w:rPr>
            </w:pPr>
            <w:r w:rsidRPr="00D657AC">
              <w:rPr>
                <w:sz w:val="18"/>
                <w:szCs w:val="18"/>
                <w:lang w:val="sq-AL"/>
              </w:rPr>
              <w:t>(kategoria 1A)</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11.</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 xml:space="preserve">Sulfokromat plumbi i verdhë </w:t>
            </w:r>
          </w:p>
          <w:p w:rsidR="00EE0C2F" w:rsidRPr="00637FF9" w:rsidRDefault="00EE0C2F" w:rsidP="00F245E8">
            <w:pPr>
              <w:pStyle w:val="Paragrafi"/>
              <w:ind w:firstLine="0"/>
              <w:rPr>
                <w:i/>
                <w:sz w:val="18"/>
                <w:szCs w:val="18"/>
                <w:lang w:val="sq-AL"/>
              </w:rPr>
            </w:pPr>
            <w:r w:rsidRPr="00637FF9">
              <w:rPr>
                <w:i/>
                <w:sz w:val="18"/>
                <w:szCs w:val="18"/>
                <w:lang w:val="sq-AL"/>
              </w:rPr>
              <w:t xml:space="preserve">(Lead sulfochromate yellow) </w:t>
            </w:r>
          </w:p>
          <w:p w:rsidR="00EE0C2F" w:rsidRPr="00637FF9" w:rsidRDefault="00EE0C2F" w:rsidP="00F245E8">
            <w:pPr>
              <w:pStyle w:val="Paragrafi"/>
              <w:ind w:firstLine="0"/>
              <w:rPr>
                <w:sz w:val="18"/>
                <w:szCs w:val="18"/>
                <w:lang w:val="sq-AL"/>
              </w:rPr>
            </w:pPr>
            <w:r w:rsidRPr="00637FF9">
              <w:rPr>
                <w:sz w:val="18"/>
                <w:szCs w:val="18"/>
                <w:lang w:val="sq-AL"/>
              </w:rPr>
              <w:t xml:space="preserve">(C.I.Pigment i verdhë 34)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Nr: 215-693-7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Nr: 1344-37-2</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sz w:val="18"/>
                <w:szCs w:val="18"/>
                <w:lang w:val="sq-AL"/>
              </w:rPr>
            </w:pPr>
            <w:r w:rsidRPr="00D657AC">
              <w:rPr>
                <w:sz w:val="18"/>
                <w:szCs w:val="18"/>
                <w:lang w:val="sq-AL"/>
              </w:rPr>
              <w:t>Kancerogjene (kategoria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Toksik për riprodhimin (kategoria 1A)</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12.</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b/>
                <w:sz w:val="18"/>
                <w:szCs w:val="18"/>
                <w:lang w:val="sq-AL"/>
              </w:rPr>
            </w:pPr>
            <w:r w:rsidRPr="00D657AC">
              <w:rPr>
                <w:b/>
                <w:sz w:val="18"/>
                <w:szCs w:val="18"/>
                <w:lang w:val="sq-AL"/>
              </w:rPr>
              <w:t>Sulfat molibdati i kromatit të Plumbit të kuq</w:t>
            </w:r>
          </w:p>
          <w:p w:rsidR="00EE0C2F" w:rsidRPr="00637FF9" w:rsidRDefault="00EE0C2F" w:rsidP="00F245E8">
            <w:pPr>
              <w:pStyle w:val="Paragrafi"/>
              <w:ind w:firstLine="0"/>
              <w:jc w:val="left"/>
              <w:rPr>
                <w:i/>
                <w:sz w:val="18"/>
                <w:szCs w:val="18"/>
                <w:lang w:val="sq-AL"/>
              </w:rPr>
            </w:pPr>
            <w:r w:rsidRPr="00637FF9">
              <w:rPr>
                <w:i/>
                <w:sz w:val="18"/>
                <w:szCs w:val="18"/>
                <w:lang w:val="sq-AL"/>
              </w:rPr>
              <w:t xml:space="preserve">(Lead chromate molybdate sulphate red) </w:t>
            </w:r>
          </w:p>
          <w:p w:rsidR="00EE0C2F" w:rsidRPr="00637FF9" w:rsidRDefault="00EE0C2F" w:rsidP="00F245E8">
            <w:pPr>
              <w:pStyle w:val="Paragrafi"/>
              <w:ind w:firstLine="0"/>
              <w:rPr>
                <w:sz w:val="18"/>
                <w:szCs w:val="18"/>
                <w:lang w:val="sq-AL"/>
              </w:rPr>
            </w:pPr>
            <w:r w:rsidRPr="00637FF9">
              <w:rPr>
                <w:sz w:val="18"/>
                <w:szCs w:val="18"/>
                <w:lang w:val="sq-AL"/>
              </w:rPr>
              <w:t>(C.I.Pigment i kuq 104)</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Nr: 235-759-9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Nr: 12656-85-8</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sz w:val="18"/>
                <w:szCs w:val="18"/>
                <w:lang w:val="sq-AL"/>
              </w:rPr>
            </w:pPr>
            <w:r w:rsidRPr="00D657AC">
              <w:rPr>
                <w:sz w:val="18"/>
                <w:szCs w:val="18"/>
                <w:lang w:val="sq-AL"/>
              </w:rPr>
              <w:t>Kancerogjene (</w:t>
            </w:r>
            <w:r>
              <w:rPr>
                <w:sz w:val="18"/>
                <w:szCs w:val="18"/>
                <w:lang w:val="sq-AL"/>
              </w:rPr>
              <w:t>k</w:t>
            </w:r>
            <w:r w:rsidRPr="00D657AC">
              <w:rPr>
                <w:sz w:val="18"/>
                <w:szCs w:val="18"/>
                <w:lang w:val="sq-AL"/>
              </w:rPr>
              <w:t>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Toksik për riprodhimin (kategoria 1A)</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13.</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b/>
                <w:sz w:val="18"/>
                <w:szCs w:val="18"/>
                <w:lang w:val="sq-AL"/>
              </w:rPr>
            </w:pPr>
            <w:r w:rsidRPr="00D657AC">
              <w:rPr>
                <w:b/>
                <w:sz w:val="18"/>
                <w:szCs w:val="18"/>
                <w:lang w:val="sq-AL"/>
              </w:rPr>
              <w:t>Fosftat i Tris(2-kloroetil) (FTKE)</w:t>
            </w:r>
          </w:p>
          <w:p w:rsidR="00EE0C2F" w:rsidRDefault="00EE0C2F" w:rsidP="00F245E8">
            <w:pPr>
              <w:pStyle w:val="Paragrafi"/>
              <w:ind w:firstLine="0"/>
              <w:jc w:val="left"/>
              <w:rPr>
                <w:i/>
                <w:sz w:val="18"/>
                <w:szCs w:val="18"/>
                <w:lang w:val="sq-AL"/>
              </w:rPr>
            </w:pPr>
            <w:r w:rsidRPr="00D657AC">
              <w:rPr>
                <w:i/>
                <w:sz w:val="18"/>
                <w:szCs w:val="18"/>
                <w:lang w:val="sq-AL"/>
              </w:rPr>
              <w:t xml:space="preserve">(Tris(2-chloroethyl) phosphate </w:t>
            </w:r>
          </w:p>
          <w:p w:rsidR="00EE0C2F" w:rsidRPr="00637FF9" w:rsidRDefault="00EE0C2F" w:rsidP="00F245E8">
            <w:pPr>
              <w:pStyle w:val="Paragrafi"/>
              <w:ind w:firstLine="0"/>
              <w:jc w:val="left"/>
              <w:rPr>
                <w:sz w:val="18"/>
                <w:szCs w:val="18"/>
                <w:lang w:val="sq-AL"/>
              </w:rPr>
            </w:pPr>
            <w:r w:rsidRPr="00637FF9">
              <w:rPr>
                <w:sz w:val="18"/>
                <w:szCs w:val="18"/>
                <w:lang w:val="sq-AL"/>
              </w:rPr>
              <w:t>(TCEP))</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Nr: 204-118-5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Nr: 115-96-8</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left"/>
              <w:rPr>
                <w:sz w:val="18"/>
                <w:szCs w:val="18"/>
                <w:lang w:val="sq-AL"/>
              </w:rPr>
            </w:pPr>
            <w:r w:rsidRPr="00D657AC">
              <w:rPr>
                <w:sz w:val="18"/>
                <w:szCs w:val="18"/>
                <w:lang w:val="sq-AL"/>
              </w:rPr>
              <w:t>Toksik për riprodhimin (kategoria 1B)</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14.</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2,4-Dinitrotoluen</w:t>
            </w:r>
          </w:p>
          <w:p w:rsidR="00EE0C2F" w:rsidRPr="00640685" w:rsidRDefault="00EE0C2F" w:rsidP="00F245E8">
            <w:pPr>
              <w:pStyle w:val="Paragrafi"/>
              <w:ind w:firstLine="0"/>
              <w:rPr>
                <w:sz w:val="18"/>
                <w:szCs w:val="18"/>
                <w:lang w:val="sq-AL"/>
              </w:rPr>
            </w:pPr>
            <w:r w:rsidRPr="00640685">
              <w:rPr>
                <w:sz w:val="18"/>
                <w:szCs w:val="18"/>
                <w:lang w:val="sq-AL"/>
              </w:rPr>
              <w:t>(2,4-DNT)</w:t>
            </w:r>
          </w:p>
          <w:p w:rsidR="00EE0C2F" w:rsidRPr="00640685" w:rsidRDefault="00EE0C2F" w:rsidP="00F245E8">
            <w:pPr>
              <w:pStyle w:val="Paragrafi"/>
              <w:ind w:firstLine="0"/>
              <w:rPr>
                <w:i/>
                <w:sz w:val="18"/>
                <w:szCs w:val="18"/>
                <w:lang w:val="sq-AL"/>
              </w:rPr>
            </w:pPr>
            <w:r w:rsidRPr="00640685">
              <w:rPr>
                <w:i/>
                <w:sz w:val="18"/>
                <w:szCs w:val="18"/>
                <w:lang w:val="sq-AL"/>
              </w:rPr>
              <w:t xml:space="preserve">(2,4-Dinitrotoluene (2,4-DNT)) </w:t>
            </w:r>
          </w:p>
          <w:p w:rsidR="00EE0C2F" w:rsidRPr="00D657AC" w:rsidRDefault="00EE0C2F" w:rsidP="00F245E8">
            <w:pPr>
              <w:pStyle w:val="Paragrafi"/>
              <w:ind w:firstLine="0"/>
              <w:rPr>
                <w:sz w:val="18"/>
                <w:szCs w:val="18"/>
                <w:lang w:val="sq-AL"/>
              </w:rPr>
            </w:pPr>
            <w:r w:rsidRPr="00D657AC">
              <w:rPr>
                <w:sz w:val="18"/>
                <w:szCs w:val="18"/>
                <w:lang w:val="sq-AL"/>
              </w:rPr>
              <w:t>EC Nr: 204-450-0</w:t>
            </w:r>
          </w:p>
          <w:p w:rsidR="00EE0C2F" w:rsidRPr="00D657AC" w:rsidRDefault="00EE0C2F" w:rsidP="00F245E8">
            <w:pPr>
              <w:pStyle w:val="Paragrafi"/>
              <w:ind w:firstLine="0"/>
              <w:rPr>
                <w:sz w:val="18"/>
                <w:szCs w:val="18"/>
                <w:lang w:val="sq-AL"/>
              </w:rPr>
            </w:pPr>
            <w:r w:rsidRPr="00D657AC">
              <w:rPr>
                <w:sz w:val="18"/>
                <w:szCs w:val="18"/>
                <w:lang w:val="sq-AL"/>
              </w:rPr>
              <w:t xml:space="preserve"> </w:t>
            </w:r>
          </w:p>
          <w:p w:rsidR="00EE0C2F" w:rsidRPr="00D657AC" w:rsidRDefault="00EE0C2F" w:rsidP="00F245E8">
            <w:pPr>
              <w:pStyle w:val="Paragrafi"/>
              <w:ind w:firstLine="0"/>
              <w:rPr>
                <w:sz w:val="18"/>
                <w:szCs w:val="18"/>
                <w:lang w:val="sq-AL"/>
              </w:rPr>
            </w:pPr>
            <w:r w:rsidRPr="00D657AC">
              <w:rPr>
                <w:sz w:val="18"/>
                <w:szCs w:val="18"/>
                <w:lang w:val="sq-AL"/>
              </w:rPr>
              <w:t>CAS Nr: 121-14-2</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Kancerogjene (kategoria 1B)</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 xml:space="preserve">15. </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Trikloroetilene</w:t>
            </w:r>
          </w:p>
          <w:p w:rsidR="00EE0C2F" w:rsidRPr="00D657AC" w:rsidRDefault="00EE0C2F" w:rsidP="00F245E8">
            <w:pPr>
              <w:pStyle w:val="Paragrafi"/>
              <w:ind w:firstLine="0"/>
              <w:rPr>
                <w:i/>
                <w:sz w:val="18"/>
                <w:szCs w:val="18"/>
                <w:lang w:val="sq-AL"/>
              </w:rPr>
            </w:pPr>
            <w:r w:rsidRPr="00D657AC">
              <w:rPr>
                <w:i/>
                <w:sz w:val="18"/>
                <w:szCs w:val="18"/>
                <w:lang w:val="sq-AL"/>
              </w:rPr>
              <w:t xml:space="preserve">(Trichloroethylene)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201-167-4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79-01-6</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Kancerogjene (</w:t>
            </w:r>
            <w:r>
              <w:rPr>
                <w:sz w:val="18"/>
                <w:szCs w:val="18"/>
                <w:lang w:val="sq-AL"/>
              </w:rPr>
              <w:t>k</w:t>
            </w:r>
            <w:r w:rsidRPr="00D657AC">
              <w:rPr>
                <w:sz w:val="18"/>
                <w:szCs w:val="18"/>
                <w:lang w:val="sq-AL"/>
              </w:rPr>
              <w:t>ategoria 1B)</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16.</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 xml:space="preserve">Trioksid kromi </w:t>
            </w:r>
          </w:p>
          <w:p w:rsidR="00EE0C2F" w:rsidRPr="00D657AC" w:rsidRDefault="00EE0C2F" w:rsidP="00F245E8">
            <w:pPr>
              <w:pStyle w:val="Paragrafi"/>
              <w:ind w:firstLine="0"/>
              <w:rPr>
                <w:i/>
                <w:sz w:val="18"/>
                <w:szCs w:val="18"/>
                <w:lang w:val="sq-AL"/>
              </w:rPr>
            </w:pPr>
            <w:r w:rsidRPr="00D657AC">
              <w:rPr>
                <w:i/>
                <w:sz w:val="18"/>
                <w:szCs w:val="18"/>
                <w:lang w:val="sq-AL"/>
              </w:rPr>
              <w:t xml:space="preserve">Chromium trioxide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215-607-8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1333-82-0</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Kancerogjene (</w:t>
            </w:r>
            <w:r>
              <w:rPr>
                <w:sz w:val="18"/>
                <w:szCs w:val="18"/>
                <w:lang w:val="sq-AL"/>
              </w:rPr>
              <w:t>k</w:t>
            </w:r>
            <w:r w:rsidRPr="00D657AC">
              <w:rPr>
                <w:sz w:val="18"/>
                <w:szCs w:val="18"/>
                <w:lang w:val="sq-AL"/>
              </w:rPr>
              <w:t>ategoria 1A)</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Mutagjene </w:t>
            </w:r>
          </w:p>
          <w:p w:rsidR="00EE0C2F" w:rsidRPr="00D657AC" w:rsidRDefault="00EE0C2F" w:rsidP="00F245E8">
            <w:pPr>
              <w:pStyle w:val="Paragrafi"/>
              <w:ind w:firstLine="0"/>
              <w:rPr>
                <w:sz w:val="18"/>
                <w:szCs w:val="18"/>
                <w:lang w:val="sq-AL"/>
              </w:rPr>
            </w:pPr>
            <w:r w:rsidRPr="00D657AC">
              <w:rPr>
                <w:sz w:val="18"/>
                <w:szCs w:val="18"/>
                <w:lang w:val="sq-AL"/>
              </w:rPr>
              <w:t>(</w:t>
            </w:r>
            <w:r>
              <w:rPr>
                <w:sz w:val="18"/>
                <w:szCs w:val="18"/>
                <w:lang w:val="sq-AL"/>
              </w:rPr>
              <w:t>k</w:t>
            </w:r>
            <w:r w:rsidRPr="00D657AC">
              <w:rPr>
                <w:sz w:val="18"/>
                <w:szCs w:val="18"/>
                <w:lang w:val="sq-AL"/>
              </w:rPr>
              <w:t>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17.</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Acide që gjenerohen nga trioksidi i kromit dhe oligomeret e tyre</w:t>
            </w:r>
          </w:p>
          <w:p w:rsidR="00EE0C2F" w:rsidRPr="00D657AC" w:rsidRDefault="00EE0C2F" w:rsidP="00F245E8">
            <w:pPr>
              <w:pStyle w:val="Paragrafi"/>
              <w:ind w:firstLine="0"/>
              <w:rPr>
                <w:i/>
                <w:sz w:val="18"/>
                <w:szCs w:val="18"/>
                <w:lang w:val="sq-AL"/>
              </w:rPr>
            </w:pPr>
            <w:r w:rsidRPr="00D657AC">
              <w:rPr>
                <w:i/>
                <w:sz w:val="18"/>
                <w:szCs w:val="18"/>
                <w:lang w:val="sq-AL"/>
              </w:rPr>
              <w:t>(Acids generated from chromium trioxide and their oligomers)</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Grupi përmban: </w:t>
            </w:r>
          </w:p>
          <w:p w:rsidR="00EE0C2F" w:rsidRPr="00D657AC" w:rsidRDefault="00EE0C2F" w:rsidP="00F245E8">
            <w:pPr>
              <w:pStyle w:val="Paragrafi"/>
              <w:ind w:firstLine="0"/>
              <w:rPr>
                <w:sz w:val="18"/>
                <w:szCs w:val="18"/>
                <w:lang w:val="sq-AL"/>
              </w:rPr>
            </w:pPr>
            <w:r w:rsidRPr="00D657AC">
              <w:rPr>
                <w:sz w:val="18"/>
                <w:szCs w:val="18"/>
                <w:lang w:val="sq-AL"/>
              </w:rPr>
              <w:t>Acidin Kromik</w:t>
            </w:r>
          </w:p>
          <w:p w:rsidR="00EE0C2F" w:rsidRPr="00640685" w:rsidRDefault="00EE0C2F" w:rsidP="00F245E8">
            <w:pPr>
              <w:pStyle w:val="Paragrafi"/>
              <w:ind w:firstLine="0"/>
              <w:rPr>
                <w:i/>
                <w:sz w:val="18"/>
                <w:szCs w:val="18"/>
                <w:lang w:val="sq-AL"/>
              </w:rPr>
            </w:pPr>
            <w:r w:rsidRPr="00640685">
              <w:rPr>
                <w:i/>
                <w:sz w:val="18"/>
                <w:szCs w:val="18"/>
                <w:lang w:val="sq-AL"/>
              </w:rPr>
              <w:t xml:space="preserve">(Chromic acid) </w:t>
            </w:r>
          </w:p>
          <w:p w:rsidR="00EE0C2F" w:rsidRPr="00D657AC" w:rsidRDefault="00EE0C2F" w:rsidP="00F245E8">
            <w:pPr>
              <w:pStyle w:val="Paragrafi"/>
              <w:ind w:firstLine="0"/>
              <w:rPr>
                <w:sz w:val="18"/>
                <w:szCs w:val="18"/>
                <w:lang w:val="sq-AL"/>
              </w:rPr>
            </w:pPr>
            <w:r w:rsidRPr="00D657AC">
              <w:rPr>
                <w:sz w:val="18"/>
                <w:szCs w:val="18"/>
                <w:lang w:val="sq-AL"/>
              </w:rPr>
              <w:t xml:space="preserve">EC No: 231-801-5 </w:t>
            </w:r>
          </w:p>
          <w:p w:rsidR="00EE0C2F" w:rsidRPr="00D657AC" w:rsidRDefault="00EE0C2F" w:rsidP="00F245E8">
            <w:pPr>
              <w:pStyle w:val="Paragrafi"/>
              <w:ind w:firstLine="0"/>
              <w:rPr>
                <w:sz w:val="18"/>
                <w:szCs w:val="18"/>
                <w:lang w:val="sq-AL"/>
              </w:rPr>
            </w:pPr>
            <w:r w:rsidRPr="00D657AC">
              <w:rPr>
                <w:sz w:val="18"/>
                <w:szCs w:val="18"/>
                <w:lang w:val="sq-AL"/>
              </w:rPr>
              <w:t xml:space="preserve">CAS No: 7738-94-5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Acidin Dykromik</w:t>
            </w:r>
          </w:p>
          <w:p w:rsidR="00EE0C2F" w:rsidRPr="00D657AC" w:rsidRDefault="00EE0C2F" w:rsidP="00F245E8">
            <w:pPr>
              <w:pStyle w:val="Paragrafi"/>
              <w:ind w:firstLine="0"/>
              <w:rPr>
                <w:sz w:val="18"/>
                <w:szCs w:val="18"/>
                <w:lang w:val="sq-AL"/>
              </w:rPr>
            </w:pPr>
            <w:r w:rsidRPr="00D657AC">
              <w:rPr>
                <w:sz w:val="18"/>
                <w:szCs w:val="18"/>
                <w:lang w:val="sq-AL"/>
              </w:rPr>
              <w:t xml:space="preserve">(Dichromic acid) </w:t>
            </w:r>
          </w:p>
          <w:p w:rsidR="00EE0C2F" w:rsidRPr="00D657AC" w:rsidRDefault="00EE0C2F" w:rsidP="00F245E8">
            <w:pPr>
              <w:pStyle w:val="Paragrafi"/>
              <w:ind w:firstLine="0"/>
              <w:rPr>
                <w:sz w:val="18"/>
                <w:szCs w:val="18"/>
                <w:lang w:val="sq-AL"/>
              </w:rPr>
            </w:pPr>
            <w:r w:rsidRPr="00D657AC">
              <w:rPr>
                <w:sz w:val="18"/>
                <w:szCs w:val="18"/>
                <w:lang w:val="sq-AL"/>
              </w:rPr>
              <w:t xml:space="preserve">EC No: 236-881-5 </w:t>
            </w:r>
          </w:p>
          <w:p w:rsidR="00EE0C2F" w:rsidRPr="00D657AC" w:rsidRDefault="00EE0C2F" w:rsidP="00F245E8">
            <w:pPr>
              <w:pStyle w:val="Paragrafi"/>
              <w:ind w:firstLine="0"/>
              <w:rPr>
                <w:sz w:val="18"/>
                <w:szCs w:val="18"/>
                <w:lang w:val="sq-AL"/>
              </w:rPr>
            </w:pPr>
            <w:r w:rsidRPr="00D657AC">
              <w:rPr>
                <w:sz w:val="18"/>
                <w:szCs w:val="18"/>
                <w:lang w:val="sq-AL"/>
              </w:rPr>
              <w:t xml:space="preserve">CAS No: 13530-68-2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Oligomeret e acidit kromik dhe acidit dykromik</w:t>
            </w:r>
          </w:p>
          <w:p w:rsidR="00EE0C2F" w:rsidRPr="00640685" w:rsidRDefault="00EE0C2F" w:rsidP="00F245E8">
            <w:pPr>
              <w:pStyle w:val="Paragrafi"/>
              <w:ind w:firstLine="0"/>
              <w:rPr>
                <w:i/>
                <w:sz w:val="18"/>
                <w:szCs w:val="18"/>
                <w:lang w:val="sq-AL"/>
              </w:rPr>
            </w:pPr>
            <w:r w:rsidRPr="00640685">
              <w:rPr>
                <w:i/>
                <w:sz w:val="18"/>
                <w:szCs w:val="18"/>
                <w:lang w:val="sq-AL"/>
              </w:rPr>
              <w:t xml:space="preserve">(Oligomers of chromic acid and dichromic acid)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EC No: ende nuk është përcaktuar</w:t>
            </w:r>
          </w:p>
          <w:p w:rsidR="00EE0C2F" w:rsidRPr="00D657AC" w:rsidRDefault="00EE0C2F" w:rsidP="00F245E8">
            <w:pPr>
              <w:pStyle w:val="Paragrafi"/>
              <w:ind w:firstLine="0"/>
              <w:rPr>
                <w:sz w:val="18"/>
                <w:szCs w:val="18"/>
                <w:lang w:val="sq-AL"/>
              </w:rPr>
            </w:pPr>
            <w:r w:rsidRPr="00D657AC">
              <w:rPr>
                <w:sz w:val="18"/>
                <w:szCs w:val="18"/>
                <w:lang w:val="sq-AL"/>
              </w:rPr>
              <w:t xml:space="preserve"> </w:t>
            </w:r>
          </w:p>
          <w:p w:rsidR="00EE0C2F" w:rsidRPr="00D657AC" w:rsidRDefault="00EE0C2F" w:rsidP="00F245E8">
            <w:pPr>
              <w:pStyle w:val="Paragrafi"/>
              <w:ind w:firstLine="0"/>
              <w:rPr>
                <w:sz w:val="18"/>
                <w:szCs w:val="18"/>
                <w:lang w:val="sq-AL"/>
              </w:rPr>
            </w:pPr>
            <w:r w:rsidRPr="00D657AC">
              <w:rPr>
                <w:sz w:val="18"/>
                <w:szCs w:val="18"/>
                <w:lang w:val="sq-AL"/>
              </w:rPr>
              <w:t>CAS No: ende nuk është përcaktuar</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lastRenderedPageBreak/>
              <w:t>Kancerogjene (</w:t>
            </w:r>
            <w:r>
              <w:rPr>
                <w:sz w:val="18"/>
                <w:szCs w:val="18"/>
                <w:lang w:val="sq-AL"/>
              </w:rPr>
              <w:t>k</w:t>
            </w:r>
            <w:r w:rsidRPr="00D657AC">
              <w:rPr>
                <w:sz w:val="18"/>
                <w:szCs w:val="18"/>
                <w:lang w:val="sq-AL"/>
              </w:rPr>
              <w:t>ategoria 1B)</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lastRenderedPageBreak/>
              <w:t>18.</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Dykromat natriumi</w:t>
            </w:r>
          </w:p>
          <w:p w:rsidR="00EE0C2F" w:rsidRPr="00D657AC" w:rsidRDefault="00EE0C2F" w:rsidP="00F245E8">
            <w:pPr>
              <w:pStyle w:val="Paragrafi"/>
              <w:ind w:firstLine="0"/>
              <w:rPr>
                <w:i/>
                <w:sz w:val="18"/>
                <w:szCs w:val="18"/>
                <w:lang w:val="sq-AL"/>
              </w:rPr>
            </w:pPr>
            <w:r w:rsidRPr="00D657AC">
              <w:rPr>
                <w:i/>
                <w:sz w:val="18"/>
                <w:szCs w:val="18"/>
                <w:lang w:val="sq-AL"/>
              </w:rPr>
              <w:t xml:space="preserve">(Sodium dichromate)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234-190-3 </w:t>
            </w:r>
          </w:p>
          <w:p w:rsidR="00EE0C2F" w:rsidRPr="00D657AC" w:rsidRDefault="00EE0C2F" w:rsidP="00F245E8">
            <w:pPr>
              <w:pStyle w:val="Paragrafi"/>
              <w:ind w:firstLine="0"/>
              <w:rPr>
                <w:sz w:val="18"/>
                <w:szCs w:val="18"/>
                <w:lang w:val="sq-AL"/>
              </w:rPr>
            </w:pPr>
            <w:r w:rsidRPr="00D657AC">
              <w:rPr>
                <w:sz w:val="18"/>
                <w:szCs w:val="18"/>
                <w:lang w:val="sq-AL"/>
              </w:rPr>
              <w:t>CAS No: 7789-12-0 10588-01-9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sz w:val="18"/>
                <w:szCs w:val="18"/>
                <w:lang w:val="sq-AL"/>
              </w:rPr>
            </w:pPr>
            <w:r w:rsidRPr="00D657AC">
              <w:rPr>
                <w:sz w:val="18"/>
                <w:szCs w:val="18"/>
                <w:lang w:val="sq-AL"/>
              </w:rPr>
              <w:t>Kancerogjene (kategoria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 xml:space="preserve"> Mutagjene (kategoria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Toksike për riprodhimin (</w:t>
            </w:r>
            <w:r>
              <w:rPr>
                <w:sz w:val="18"/>
                <w:szCs w:val="18"/>
                <w:lang w:val="sq-AL"/>
              </w:rPr>
              <w:t>k</w:t>
            </w:r>
            <w:r w:rsidRPr="00D657AC">
              <w:rPr>
                <w:sz w:val="18"/>
                <w:szCs w:val="18"/>
                <w:lang w:val="sq-AL"/>
              </w:rPr>
              <w:t>ategoria 1B)</w:t>
            </w:r>
          </w:p>
          <w:p w:rsidR="00EE0C2F" w:rsidRPr="00D657AC" w:rsidRDefault="00EE0C2F" w:rsidP="00F245E8">
            <w:pPr>
              <w:pStyle w:val="Paragrafi"/>
              <w:ind w:firstLine="0"/>
              <w:jc w:val="left"/>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Dykromat kaliumi</w:t>
            </w:r>
          </w:p>
          <w:p w:rsidR="00EE0C2F" w:rsidRPr="00D657AC" w:rsidRDefault="00EE0C2F" w:rsidP="00F245E8">
            <w:pPr>
              <w:pStyle w:val="Paragrafi"/>
              <w:ind w:firstLine="0"/>
              <w:rPr>
                <w:i/>
                <w:sz w:val="18"/>
                <w:szCs w:val="18"/>
                <w:lang w:val="sq-AL"/>
              </w:rPr>
            </w:pPr>
            <w:r w:rsidRPr="00D657AC">
              <w:rPr>
                <w:i/>
                <w:sz w:val="18"/>
                <w:szCs w:val="18"/>
                <w:lang w:val="sq-AL"/>
              </w:rPr>
              <w:t>(Potassium dichromate)</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 EC No: 231-906-6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7778-50-9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sz w:val="18"/>
                <w:szCs w:val="18"/>
                <w:lang w:val="sq-AL"/>
              </w:rPr>
            </w:pPr>
            <w:r w:rsidRPr="00D657AC">
              <w:rPr>
                <w:sz w:val="18"/>
                <w:szCs w:val="18"/>
                <w:lang w:val="sq-AL"/>
              </w:rPr>
              <w:t>Kancerogjene (kategoria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 xml:space="preserve"> Mutagjene (kategoria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Toksike për riprodhimin (kategoria 1B)</w:t>
            </w:r>
          </w:p>
          <w:p w:rsidR="00EE0C2F" w:rsidRPr="00D657AC" w:rsidRDefault="00EE0C2F" w:rsidP="00F245E8">
            <w:pPr>
              <w:pStyle w:val="Paragrafi"/>
              <w:ind w:firstLine="0"/>
              <w:jc w:val="left"/>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w:t>
            </w: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20.</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Dykromat amoniumi</w:t>
            </w:r>
          </w:p>
          <w:p w:rsidR="00EE0C2F" w:rsidRPr="00D657AC" w:rsidRDefault="00EE0C2F" w:rsidP="00F245E8">
            <w:pPr>
              <w:pStyle w:val="Paragrafi"/>
              <w:ind w:firstLine="0"/>
              <w:rPr>
                <w:i/>
                <w:sz w:val="18"/>
                <w:szCs w:val="18"/>
                <w:lang w:val="sq-AL"/>
              </w:rPr>
            </w:pPr>
            <w:r w:rsidRPr="00D657AC">
              <w:rPr>
                <w:i/>
                <w:sz w:val="18"/>
                <w:szCs w:val="18"/>
                <w:lang w:val="sq-AL"/>
              </w:rPr>
              <w:t>(Ammonium dichromate)</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 EC No: 232-143-1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7789-09-5</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sz w:val="18"/>
                <w:szCs w:val="18"/>
                <w:lang w:val="sq-AL"/>
              </w:rPr>
            </w:pPr>
            <w:r w:rsidRPr="00D657AC">
              <w:rPr>
                <w:sz w:val="18"/>
                <w:szCs w:val="18"/>
                <w:lang w:val="sq-AL"/>
              </w:rPr>
              <w:t>Kancerogjene (kategoria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 xml:space="preserve"> Mutagjene (kategoria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Toksike për riprodhimin (</w:t>
            </w:r>
            <w:r>
              <w:rPr>
                <w:sz w:val="18"/>
                <w:szCs w:val="18"/>
                <w:lang w:val="sq-AL"/>
              </w:rPr>
              <w:t>k</w:t>
            </w:r>
            <w:r w:rsidRPr="00D657AC">
              <w:rPr>
                <w:sz w:val="18"/>
                <w:szCs w:val="18"/>
                <w:lang w:val="sq-AL"/>
              </w:rPr>
              <w:t>ategoria 1B)</w:t>
            </w:r>
          </w:p>
          <w:p w:rsidR="00EE0C2F" w:rsidRPr="00D657AC" w:rsidRDefault="00EE0C2F" w:rsidP="00F245E8">
            <w:pPr>
              <w:pStyle w:val="Paragrafi"/>
              <w:ind w:firstLine="0"/>
              <w:jc w:val="left"/>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21.</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Kromat kaliumi</w:t>
            </w:r>
          </w:p>
          <w:p w:rsidR="00EE0C2F" w:rsidRPr="00D657AC" w:rsidRDefault="00EE0C2F" w:rsidP="00F245E8">
            <w:pPr>
              <w:pStyle w:val="Paragrafi"/>
              <w:ind w:firstLine="0"/>
              <w:rPr>
                <w:i/>
                <w:sz w:val="18"/>
                <w:szCs w:val="18"/>
                <w:lang w:val="sq-AL"/>
              </w:rPr>
            </w:pPr>
            <w:r w:rsidRPr="00D657AC">
              <w:rPr>
                <w:i/>
                <w:sz w:val="18"/>
                <w:szCs w:val="18"/>
                <w:lang w:val="sq-AL"/>
              </w:rPr>
              <w:t xml:space="preserve">(Potassium chromate)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232-140-5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7789-00-6</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sz w:val="18"/>
                <w:szCs w:val="18"/>
                <w:lang w:val="sq-AL"/>
              </w:rPr>
            </w:pPr>
            <w:r w:rsidRPr="00D657AC">
              <w:rPr>
                <w:sz w:val="18"/>
                <w:szCs w:val="18"/>
                <w:lang w:val="sq-AL"/>
              </w:rPr>
              <w:t>Kancerogjene (</w:t>
            </w:r>
            <w:r>
              <w:rPr>
                <w:sz w:val="18"/>
                <w:szCs w:val="18"/>
                <w:lang w:val="sq-AL"/>
              </w:rPr>
              <w:t>k</w:t>
            </w:r>
            <w:r w:rsidRPr="00D657AC">
              <w:rPr>
                <w:sz w:val="18"/>
                <w:szCs w:val="18"/>
                <w:lang w:val="sq-AL"/>
              </w:rPr>
              <w:t>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 xml:space="preserve"> Mutagjene (kategoria 1B)</w:t>
            </w:r>
          </w:p>
          <w:p w:rsidR="00EE0C2F" w:rsidRPr="00D657AC" w:rsidRDefault="00EE0C2F" w:rsidP="00F245E8">
            <w:pPr>
              <w:pStyle w:val="Paragrafi"/>
              <w:ind w:firstLine="0"/>
              <w:jc w:val="left"/>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22.</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b/>
                <w:sz w:val="18"/>
                <w:szCs w:val="18"/>
                <w:lang w:val="sq-AL"/>
              </w:rPr>
            </w:pPr>
            <w:r w:rsidRPr="00D657AC">
              <w:rPr>
                <w:b/>
                <w:sz w:val="18"/>
                <w:szCs w:val="18"/>
                <w:lang w:val="sq-AL"/>
              </w:rPr>
              <w:t xml:space="preserve">Kromat natriumi </w:t>
            </w:r>
          </w:p>
          <w:p w:rsidR="00EE0C2F" w:rsidRPr="00D657AC" w:rsidRDefault="00EE0C2F" w:rsidP="00F245E8">
            <w:pPr>
              <w:pStyle w:val="Paragrafi"/>
              <w:ind w:firstLine="0"/>
              <w:rPr>
                <w:i/>
                <w:sz w:val="18"/>
                <w:szCs w:val="18"/>
                <w:lang w:val="sq-AL"/>
              </w:rPr>
            </w:pPr>
            <w:r w:rsidRPr="00D657AC">
              <w:rPr>
                <w:i/>
                <w:sz w:val="18"/>
                <w:szCs w:val="18"/>
                <w:lang w:val="sq-AL"/>
              </w:rPr>
              <w:t>(Sodium chromate)</w:t>
            </w:r>
          </w:p>
          <w:p w:rsidR="00EE0C2F" w:rsidRPr="00D657AC" w:rsidRDefault="00EE0C2F" w:rsidP="00F245E8">
            <w:pPr>
              <w:pStyle w:val="Paragrafi"/>
              <w:ind w:firstLine="0"/>
              <w:rPr>
                <w:sz w:val="18"/>
                <w:szCs w:val="18"/>
                <w:lang w:val="sq-AL"/>
              </w:rPr>
            </w:pPr>
            <w:r w:rsidRPr="00D657AC">
              <w:rPr>
                <w:sz w:val="18"/>
                <w:szCs w:val="18"/>
                <w:lang w:val="sq-AL"/>
              </w:rPr>
              <w:t xml:space="preserve"> </w:t>
            </w:r>
          </w:p>
          <w:p w:rsidR="00EE0C2F" w:rsidRPr="00D657AC" w:rsidRDefault="00EE0C2F" w:rsidP="00F245E8">
            <w:pPr>
              <w:pStyle w:val="Paragrafi"/>
              <w:ind w:firstLine="0"/>
              <w:rPr>
                <w:sz w:val="18"/>
                <w:szCs w:val="18"/>
                <w:lang w:val="sq-AL"/>
              </w:rPr>
            </w:pPr>
            <w:r w:rsidRPr="00D657AC">
              <w:rPr>
                <w:sz w:val="18"/>
                <w:szCs w:val="18"/>
                <w:lang w:val="sq-AL"/>
              </w:rPr>
              <w:t>EC No: 231-889-5</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CAS No: 7775-11-3</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sz w:val="18"/>
                <w:szCs w:val="18"/>
                <w:lang w:val="sq-AL"/>
              </w:rPr>
            </w:pPr>
            <w:r w:rsidRPr="00D657AC">
              <w:rPr>
                <w:sz w:val="18"/>
                <w:szCs w:val="18"/>
                <w:lang w:val="sq-AL"/>
              </w:rPr>
              <w:t>Kancerogjene (kategoria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 xml:space="preserve"> Mutagjene (kategoria 1B)</w:t>
            </w:r>
          </w:p>
          <w:p w:rsidR="00EE0C2F" w:rsidRPr="00D657AC" w:rsidRDefault="00EE0C2F" w:rsidP="00F245E8">
            <w:pPr>
              <w:pStyle w:val="Paragrafi"/>
              <w:ind w:firstLine="0"/>
              <w:jc w:val="left"/>
              <w:rPr>
                <w:sz w:val="18"/>
                <w:szCs w:val="18"/>
                <w:lang w:val="sq-AL"/>
              </w:rPr>
            </w:pPr>
          </w:p>
          <w:p w:rsidR="00EE0C2F" w:rsidRPr="00D657AC" w:rsidRDefault="00EE0C2F" w:rsidP="00F245E8">
            <w:pPr>
              <w:pStyle w:val="Paragrafi"/>
              <w:ind w:firstLine="0"/>
              <w:jc w:val="left"/>
              <w:rPr>
                <w:sz w:val="18"/>
                <w:szCs w:val="18"/>
                <w:lang w:val="sq-AL"/>
              </w:rPr>
            </w:pPr>
            <w:r w:rsidRPr="00D657AC">
              <w:rPr>
                <w:sz w:val="18"/>
                <w:szCs w:val="18"/>
                <w:lang w:val="sq-AL"/>
              </w:rPr>
              <w:t>Toksike për riprodhimin (kategoria 1B)</w:t>
            </w:r>
          </w:p>
          <w:p w:rsidR="00EE0C2F" w:rsidRPr="00CB0A8F" w:rsidRDefault="00EE0C2F" w:rsidP="00F245E8">
            <w:pPr>
              <w:pStyle w:val="Paragrafi"/>
              <w:ind w:firstLine="0"/>
              <w:jc w:val="left"/>
              <w:rPr>
                <w:sz w:val="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23.</w:t>
            </w:r>
          </w:p>
        </w:tc>
        <w:tc>
          <w:tcPr>
            <w:tcW w:w="0" w:type="auto"/>
            <w:tcBorders>
              <w:top w:val="single" w:sz="4" w:space="0" w:color="auto"/>
              <w:left w:val="single" w:sz="4" w:space="0" w:color="auto"/>
              <w:bottom w:val="single" w:sz="4" w:space="0" w:color="auto"/>
              <w:right w:val="single" w:sz="4" w:space="0" w:color="auto"/>
            </w:tcBorders>
          </w:tcPr>
          <w:p w:rsidR="00EE0C2F" w:rsidRPr="00640685" w:rsidRDefault="00EE0C2F" w:rsidP="00F245E8">
            <w:pPr>
              <w:pStyle w:val="Paragrafi"/>
              <w:ind w:firstLine="0"/>
              <w:rPr>
                <w:i/>
                <w:sz w:val="18"/>
                <w:szCs w:val="18"/>
                <w:lang w:val="sq-AL"/>
              </w:rPr>
            </w:pPr>
            <w:r w:rsidRPr="00640685">
              <w:rPr>
                <w:b/>
                <w:i/>
                <w:sz w:val="18"/>
                <w:szCs w:val="18"/>
                <w:lang w:val="sq-AL"/>
              </w:rPr>
              <w:t>Formaldehide, oligomeric reaction products with aniline (technical MDA</w:t>
            </w:r>
            <w:r w:rsidRPr="00640685">
              <w:rPr>
                <w:i/>
                <w:sz w:val="18"/>
                <w:szCs w:val="18"/>
                <w:lang w:val="sq-AL"/>
              </w:rPr>
              <w:t xml:space="preserve">) </w:t>
            </w:r>
          </w:p>
          <w:p w:rsidR="00EE0C2F" w:rsidRPr="00CB0A8F" w:rsidRDefault="00EE0C2F" w:rsidP="00F245E8">
            <w:pPr>
              <w:pStyle w:val="Paragrafi"/>
              <w:ind w:firstLine="0"/>
              <w:rPr>
                <w:sz w:val="10"/>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500-036-1 </w:t>
            </w:r>
          </w:p>
          <w:p w:rsidR="00EE0C2F" w:rsidRPr="00D657AC" w:rsidRDefault="00EE0C2F" w:rsidP="00F245E8">
            <w:pPr>
              <w:pStyle w:val="Paragrafi"/>
              <w:ind w:firstLine="0"/>
              <w:rPr>
                <w:sz w:val="18"/>
                <w:szCs w:val="18"/>
                <w:lang w:val="sq-AL"/>
              </w:rPr>
            </w:pPr>
            <w:r w:rsidRPr="00D657AC">
              <w:rPr>
                <w:sz w:val="18"/>
                <w:szCs w:val="18"/>
                <w:lang w:val="sq-AL"/>
              </w:rPr>
              <w:t>CAS No: 25214-70-4</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Kancerogjene (kategoria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24.</w:t>
            </w:r>
          </w:p>
        </w:tc>
        <w:tc>
          <w:tcPr>
            <w:tcW w:w="0" w:type="auto"/>
            <w:tcBorders>
              <w:top w:val="single" w:sz="4" w:space="0" w:color="auto"/>
              <w:left w:val="single" w:sz="4" w:space="0" w:color="auto"/>
              <w:bottom w:val="single" w:sz="4" w:space="0" w:color="auto"/>
              <w:right w:val="single" w:sz="4" w:space="0" w:color="auto"/>
            </w:tcBorders>
            <w:hideMark/>
          </w:tcPr>
          <w:p w:rsidR="00EE0C2F" w:rsidRPr="00640685" w:rsidRDefault="00EE0C2F" w:rsidP="00F245E8">
            <w:pPr>
              <w:pStyle w:val="Paragrafi"/>
              <w:ind w:firstLine="0"/>
              <w:rPr>
                <w:b/>
                <w:i/>
                <w:sz w:val="18"/>
                <w:szCs w:val="18"/>
                <w:lang w:val="sq-AL"/>
              </w:rPr>
            </w:pPr>
            <w:r w:rsidRPr="00640685">
              <w:rPr>
                <w:b/>
                <w:i/>
                <w:sz w:val="18"/>
                <w:szCs w:val="18"/>
                <w:lang w:val="sq-AL"/>
              </w:rPr>
              <w:t xml:space="preserve">Arsenic acid </w:t>
            </w:r>
          </w:p>
          <w:p w:rsidR="00EE0C2F" w:rsidRPr="00D657AC" w:rsidRDefault="00EE0C2F" w:rsidP="00F245E8">
            <w:pPr>
              <w:pStyle w:val="Paragrafi"/>
              <w:ind w:firstLine="0"/>
              <w:rPr>
                <w:sz w:val="18"/>
                <w:szCs w:val="18"/>
                <w:lang w:val="sq-AL"/>
              </w:rPr>
            </w:pPr>
            <w:r w:rsidRPr="00D657AC">
              <w:rPr>
                <w:sz w:val="18"/>
                <w:szCs w:val="18"/>
                <w:lang w:val="sq-AL"/>
              </w:rPr>
              <w:t>EC No: 231-901-9</w:t>
            </w:r>
          </w:p>
          <w:p w:rsidR="00EE0C2F" w:rsidRPr="00D657AC" w:rsidRDefault="00EE0C2F" w:rsidP="00F245E8">
            <w:pPr>
              <w:pStyle w:val="Paragrafi"/>
              <w:ind w:firstLine="0"/>
              <w:rPr>
                <w:sz w:val="18"/>
                <w:szCs w:val="18"/>
                <w:lang w:val="sq-AL"/>
              </w:rPr>
            </w:pPr>
            <w:r w:rsidRPr="00D657AC">
              <w:rPr>
                <w:sz w:val="18"/>
                <w:szCs w:val="18"/>
                <w:lang w:val="sq-AL"/>
              </w:rPr>
              <w:t xml:space="preserve"> CAS No: 7778-39-4</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Kancerogjene (kategoria 1A)</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25.</w:t>
            </w:r>
          </w:p>
        </w:tc>
        <w:tc>
          <w:tcPr>
            <w:tcW w:w="0" w:type="auto"/>
            <w:tcBorders>
              <w:top w:val="single" w:sz="4" w:space="0" w:color="auto"/>
              <w:left w:val="single" w:sz="4" w:space="0" w:color="auto"/>
              <w:bottom w:val="single" w:sz="4" w:space="0" w:color="auto"/>
              <w:right w:val="single" w:sz="4" w:space="0" w:color="auto"/>
            </w:tcBorders>
          </w:tcPr>
          <w:p w:rsidR="00EE0C2F" w:rsidRPr="00640685" w:rsidRDefault="00EE0C2F" w:rsidP="00F245E8">
            <w:pPr>
              <w:pStyle w:val="Paragrafi"/>
              <w:ind w:firstLine="0"/>
              <w:rPr>
                <w:b/>
                <w:i/>
                <w:sz w:val="18"/>
                <w:szCs w:val="18"/>
                <w:lang w:val="sq-AL"/>
              </w:rPr>
            </w:pPr>
            <w:r w:rsidRPr="00640685">
              <w:rPr>
                <w:b/>
                <w:i/>
                <w:sz w:val="18"/>
                <w:szCs w:val="18"/>
                <w:lang w:val="sq-AL"/>
              </w:rPr>
              <w:t xml:space="preserve">Bis(2-methoxyethyl) ether (diglyme)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203-924-4 </w:t>
            </w:r>
          </w:p>
          <w:p w:rsidR="00EE0C2F" w:rsidRPr="00D657AC" w:rsidRDefault="00EE0C2F" w:rsidP="00F245E8">
            <w:pPr>
              <w:pStyle w:val="Paragrafi"/>
              <w:ind w:firstLine="0"/>
              <w:rPr>
                <w:sz w:val="18"/>
                <w:szCs w:val="18"/>
                <w:lang w:val="sq-AL"/>
              </w:rPr>
            </w:pPr>
            <w:r w:rsidRPr="00D657AC">
              <w:rPr>
                <w:sz w:val="18"/>
                <w:szCs w:val="18"/>
                <w:lang w:val="sq-AL"/>
              </w:rPr>
              <w:t>CAS No: 111-96-6</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left"/>
              <w:rPr>
                <w:sz w:val="18"/>
                <w:szCs w:val="18"/>
                <w:lang w:val="sq-AL"/>
              </w:rPr>
            </w:pPr>
            <w:r w:rsidRPr="00D657AC">
              <w:rPr>
                <w:sz w:val="18"/>
                <w:szCs w:val="18"/>
                <w:lang w:val="sq-AL"/>
              </w:rPr>
              <w:t>Toksike për riprodhimin (kategoria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26.</w:t>
            </w:r>
          </w:p>
        </w:tc>
        <w:tc>
          <w:tcPr>
            <w:tcW w:w="0" w:type="auto"/>
            <w:tcBorders>
              <w:top w:val="single" w:sz="4" w:space="0" w:color="auto"/>
              <w:left w:val="single" w:sz="4" w:space="0" w:color="auto"/>
              <w:bottom w:val="single" w:sz="4" w:space="0" w:color="auto"/>
              <w:right w:val="single" w:sz="4" w:space="0" w:color="auto"/>
            </w:tcBorders>
          </w:tcPr>
          <w:p w:rsidR="00EE0C2F" w:rsidRPr="00640685" w:rsidRDefault="00EE0C2F" w:rsidP="00F245E8">
            <w:pPr>
              <w:pStyle w:val="Paragrafi"/>
              <w:ind w:firstLine="0"/>
              <w:rPr>
                <w:b/>
                <w:i/>
                <w:sz w:val="18"/>
                <w:szCs w:val="18"/>
                <w:lang w:val="sq-AL"/>
              </w:rPr>
            </w:pPr>
            <w:r w:rsidRPr="00640685">
              <w:rPr>
                <w:b/>
                <w:i/>
                <w:sz w:val="18"/>
                <w:szCs w:val="18"/>
                <w:lang w:val="sq-AL"/>
              </w:rPr>
              <w:t xml:space="preserve">1,2- dichloroethane (EDC)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EC No: 203-458-1</w:t>
            </w:r>
          </w:p>
          <w:p w:rsidR="00EE0C2F" w:rsidRPr="00D657AC" w:rsidRDefault="00EE0C2F" w:rsidP="00F245E8">
            <w:pPr>
              <w:pStyle w:val="Paragrafi"/>
              <w:ind w:firstLine="0"/>
              <w:rPr>
                <w:sz w:val="18"/>
                <w:szCs w:val="18"/>
                <w:lang w:val="sq-AL"/>
              </w:rPr>
            </w:pPr>
            <w:r w:rsidRPr="00D657AC">
              <w:rPr>
                <w:sz w:val="18"/>
                <w:szCs w:val="18"/>
                <w:lang w:val="sq-AL"/>
              </w:rPr>
              <w:lastRenderedPageBreak/>
              <w:t xml:space="preserve"> CAS No: 107-06-2</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lastRenderedPageBreak/>
              <w:t>Kancerogjene (kategoria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lastRenderedPageBreak/>
              <w:t>27.</w:t>
            </w:r>
          </w:p>
        </w:tc>
        <w:tc>
          <w:tcPr>
            <w:tcW w:w="0" w:type="auto"/>
            <w:tcBorders>
              <w:top w:val="single" w:sz="4" w:space="0" w:color="auto"/>
              <w:left w:val="single" w:sz="4" w:space="0" w:color="auto"/>
              <w:bottom w:val="single" w:sz="4" w:space="0" w:color="auto"/>
              <w:right w:val="single" w:sz="4" w:space="0" w:color="auto"/>
            </w:tcBorders>
          </w:tcPr>
          <w:p w:rsidR="00EE0C2F" w:rsidRPr="00640685" w:rsidRDefault="00EE0C2F" w:rsidP="00F245E8">
            <w:pPr>
              <w:pStyle w:val="Paragrafi"/>
              <w:ind w:firstLine="0"/>
              <w:rPr>
                <w:b/>
                <w:i/>
                <w:sz w:val="18"/>
                <w:szCs w:val="18"/>
                <w:lang w:val="sq-AL"/>
              </w:rPr>
            </w:pPr>
            <w:r w:rsidRPr="00640685">
              <w:rPr>
                <w:b/>
                <w:i/>
                <w:sz w:val="18"/>
                <w:szCs w:val="18"/>
                <w:lang w:val="sq-AL"/>
              </w:rPr>
              <w:t xml:space="preserve">2,2′-dichloro-4,4′- methylenedianiline (MOCA)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202-918-9 </w:t>
            </w:r>
          </w:p>
          <w:p w:rsidR="00EE0C2F" w:rsidRPr="00D657AC" w:rsidRDefault="00EE0C2F" w:rsidP="00F245E8">
            <w:pPr>
              <w:pStyle w:val="Paragrafi"/>
              <w:ind w:firstLine="0"/>
              <w:rPr>
                <w:sz w:val="18"/>
                <w:szCs w:val="18"/>
                <w:lang w:val="sq-AL"/>
              </w:rPr>
            </w:pPr>
            <w:r w:rsidRPr="00D657AC">
              <w:rPr>
                <w:sz w:val="18"/>
                <w:szCs w:val="18"/>
                <w:lang w:val="sq-AL"/>
              </w:rPr>
              <w:t>CAS No: 101-14-4</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Kancerogjene (kategoria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rPr>
          <w:trHeight w:val="836"/>
        </w:trPr>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28.</w:t>
            </w:r>
          </w:p>
        </w:tc>
        <w:tc>
          <w:tcPr>
            <w:tcW w:w="0" w:type="auto"/>
            <w:tcBorders>
              <w:top w:val="single" w:sz="4" w:space="0" w:color="auto"/>
              <w:left w:val="single" w:sz="4" w:space="0" w:color="auto"/>
              <w:bottom w:val="single" w:sz="4" w:space="0" w:color="auto"/>
              <w:right w:val="single" w:sz="4" w:space="0" w:color="auto"/>
            </w:tcBorders>
          </w:tcPr>
          <w:p w:rsidR="00EE0C2F" w:rsidRPr="00640685" w:rsidRDefault="00EE0C2F" w:rsidP="00F245E8">
            <w:pPr>
              <w:pStyle w:val="Paragrafi"/>
              <w:ind w:firstLine="0"/>
              <w:rPr>
                <w:i/>
                <w:sz w:val="18"/>
                <w:szCs w:val="18"/>
                <w:lang w:val="sq-AL"/>
              </w:rPr>
            </w:pPr>
            <w:r w:rsidRPr="00640685">
              <w:rPr>
                <w:b/>
                <w:i/>
                <w:sz w:val="18"/>
                <w:szCs w:val="18"/>
                <w:lang w:val="sq-AL"/>
              </w:rPr>
              <w:t>Dichromium tris (</w:t>
            </w:r>
            <w:r w:rsidRPr="00640685">
              <w:rPr>
                <w:b/>
                <w:i/>
                <w:sz w:val="18"/>
                <w:szCs w:val="18"/>
                <w:lang w:val="sq-AL"/>
              </w:rPr>
              <w:softHyphen/>
              <w:t>chromate</w:t>
            </w:r>
            <w:r w:rsidRPr="00640685">
              <w:rPr>
                <w:i/>
                <w:sz w:val="18"/>
                <w:szCs w:val="18"/>
                <w:lang w:val="sq-AL"/>
              </w:rPr>
              <w:t xml:space="preserve">)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246-356-2 </w:t>
            </w:r>
          </w:p>
          <w:p w:rsidR="00EE0C2F" w:rsidRPr="00D657AC" w:rsidRDefault="00EE0C2F" w:rsidP="00F245E8">
            <w:pPr>
              <w:pStyle w:val="Paragrafi"/>
              <w:ind w:firstLine="0"/>
              <w:rPr>
                <w:sz w:val="18"/>
                <w:szCs w:val="18"/>
                <w:lang w:val="sq-AL"/>
              </w:rPr>
            </w:pPr>
            <w:r w:rsidRPr="00D657AC">
              <w:rPr>
                <w:sz w:val="18"/>
                <w:szCs w:val="18"/>
                <w:lang w:val="sq-AL"/>
              </w:rPr>
              <w:t>CAS No: 24613-89-6</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Kancerogjene (kategoria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29.</w:t>
            </w:r>
          </w:p>
        </w:tc>
        <w:tc>
          <w:tcPr>
            <w:tcW w:w="0" w:type="auto"/>
            <w:tcBorders>
              <w:top w:val="single" w:sz="4" w:space="0" w:color="auto"/>
              <w:left w:val="single" w:sz="4" w:space="0" w:color="auto"/>
              <w:bottom w:val="single" w:sz="4" w:space="0" w:color="auto"/>
              <w:right w:val="single" w:sz="4" w:space="0" w:color="auto"/>
            </w:tcBorders>
          </w:tcPr>
          <w:p w:rsidR="00EE0C2F" w:rsidRPr="00640685" w:rsidRDefault="00EE0C2F" w:rsidP="00F245E8">
            <w:pPr>
              <w:pStyle w:val="Paragrafi"/>
              <w:ind w:firstLine="0"/>
              <w:rPr>
                <w:b/>
                <w:i/>
                <w:sz w:val="18"/>
                <w:szCs w:val="18"/>
                <w:lang w:val="sq-AL"/>
              </w:rPr>
            </w:pPr>
            <w:r w:rsidRPr="00640685">
              <w:rPr>
                <w:b/>
                <w:i/>
                <w:sz w:val="18"/>
                <w:szCs w:val="18"/>
                <w:lang w:val="sq-AL"/>
              </w:rPr>
              <w:t xml:space="preserve">Strontium chromate </w:t>
            </w:r>
          </w:p>
          <w:p w:rsidR="00EE0C2F" w:rsidRPr="00CB0A8F" w:rsidRDefault="00EE0C2F" w:rsidP="00F245E8">
            <w:pPr>
              <w:pStyle w:val="Paragrafi"/>
              <w:ind w:firstLine="0"/>
              <w:rPr>
                <w:sz w:val="12"/>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232-142-6 </w:t>
            </w:r>
          </w:p>
          <w:p w:rsidR="00EE0C2F" w:rsidRPr="00D657AC" w:rsidRDefault="00EE0C2F" w:rsidP="00F245E8">
            <w:pPr>
              <w:pStyle w:val="Paragrafi"/>
              <w:ind w:firstLine="0"/>
              <w:rPr>
                <w:sz w:val="18"/>
                <w:szCs w:val="18"/>
                <w:lang w:val="sq-AL"/>
              </w:rPr>
            </w:pPr>
            <w:r w:rsidRPr="00D657AC">
              <w:rPr>
                <w:sz w:val="18"/>
                <w:szCs w:val="18"/>
                <w:lang w:val="sq-AL"/>
              </w:rPr>
              <w:t>CAS No: 7789-06-2</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Kancerogjene (kategoria 1B)</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30.</w:t>
            </w:r>
          </w:p>
        </w:tc>
        <w:tc>
          <w:tcPr>
            <w:tcW w:w="0" w:type="auto"/>
            <w:tcBorders>
              <w:top w:val="single" w:sz="4" w:space="0" w:color="auto"/>
              <w:left w:val="single" w:sz="4" w:space="0" w:color="auto"/>
              <w:bottom w:val="single" w:sz="4" w:space="0" w:color="auto"/>
              <w:right w:val="single" w:sz="4" w:space="0" w:color="auto"/>
            </w:tcBorders>
          </w:tcPr>
          <w:p w:rsidR="00EE0C2F" w:rsidRPr="00640685" w:rsidRDefault="00EE0C2F" w:rsidP="00F245E8">
            <w:pPr>
              <w:pStyle w:val="Paragrafi"/>
              <w:ind w:firstLine="0"/>
              <w:rPr>
                <w:b/>
                <w:i/>
                <w:sz w:val="18"/>
                <w:szCs w:val="18"/>
                <w:lang w:val="sq-AL"/>
              </w:rPr>
            </w:pPr>
            <w:r w:rsidRPr="00640685">
              <w:rPr>
                <w:b/>
                <w:i/>
                <w:sz w:val="18"/>
                <w:szCs w:val="18"/>
                <w:lang w:val="sq-AL"/>
              </w:rPr>
              <w:t>Potassium hydroxyoctaoxodizincatedichromate</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EC No: 234-329-8</w:t>
            </w:r>
          </w:p>
          <w:p w:rsidR="00EE0C2F" w:rsidRPr="00D657AC" w:rsidRDefault="00EE0C2F" w:rsidP="00F245E8">
            <w:pPr>
              <w:pStyle w:val="Paragrafi"/>
              <w:ind w:firstLine="0"/>
              <w:rPr>
                <w:sz w:val="18"/>
                <w:szCs w:val="18"/>
                <w:lang w:val="sq-AL"/>
              </w:rPr>
            </w:pPr>
            <w:r w:rsidRPr="00D657AC">
              <w:rPr>
                <w:sz w:val="18"/>
                <w:szCs w:val="18"/>
                <w:lang w:val="sq-AL"/>
              </w:rPr>
              <w:t xml:space="preserve"> CAS No: 11103-86-9</w:t>
            </w:r>
          </w:p>
          <w:p w:rsidR="00EE0C2F" w:rsidRPr="00CB0A8F" w:rsidRDefault="00EE0C2F" w:rsidP="00F245E8">
            <w:pPr>
              <w:pStyle w:val="Paragrafi"/>
              <w:ind w:firstLine="0"/>
              <w:rPr>
                <w:sz w:val="10"/>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Kancerogjene (kategoria 1A)</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r w:rsidR="00EE0C2F" w:rsidRPr="00D657AC" w:rsidTr="00F245E8">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31.</w:t>
            </w:r>
          </w:p>
        </w:tc>
        <w:tc>
          <w:tcPr>
            <w:tcW w:w="0" w:type="auto"/>
            <w:tcBorders>
              <w:top w:val="single" w:sz="4" w:space="0" w:color="auto"/>
              <w:left w:val="single" w:sz="4" w:space="0" w:color="auto"/>
              <w:bottom w:val="single" w:sz="4" w:space="0" w:color="auto"/>
              <w:right w:val="single" w:sz="4" w:space="0" w:color="auto"/>
            </w:tcBorders>
          </w:tcPr>
          <w:p w:rsidR="00EE0C2F" w:rsidRPr="00640685" w:rsidRDefault="00EE0C2F" w:rsidP="00F245E8">
            <w:pPr>
              <w:pStyle w:val="Paragrafi"/>
              <w:ind w:firstLine="0"/>
              <w:rPr>
                <w:b/>
                <w:i/>
                <w:sz w:val="18"/>
                <w:szCs w:val="18"/>
                <w:lang w:val="sq-AL"/>
              </w:rPr>
            </w:pPr>
            <w:r w:rsidRPr="00640685">
              <w:rPr>
                <w:b/>
                <w:i/>
                <w:sz w:val="18"/>
                <w:szCs w:val="18"/>
                <w:lang w:val="sq-AL"/>
              </w:rPr>
              <w:t xml:space="preserve">Pentazinc chromate octahydroxide </w:t>
            </w:r>
          </w:p>
          <w:p w:rsidR="00EE0C2F" w:rsidRPr="00D657AC" w:rsidRDefault="00EE0C2F" w:rsidP="00F245E8">
            <w:pPr>
              <w:pStyle w:val="Paragrafi"/>
              <w:ind w:firstLine="0"/>
              <w:rPr>
                <w:sz w:val="18"/>
                <w:szCs w:val="18"/>
                <w:lang w:val="sq-AL"/>
              </w:rPr>
            </w:pPr>
          </w:p>
          <w:p w:rsidR="00EE0C2F" w:rsidRPr="00D657AC" w:rsidRDefault="00EE0C2F" w:rsidP="00F245E8">
            <w:pPr>
              <w:pStyle w:val="Paragrafi"/>
              <w:ind w:firstLine="0"/>
              <w:rPr>
                <w:sz w:val="18"/>
                <w:szCs w:val="18"/>
                <w:lang w:val="sq-AL"/>
              </w:rPr>
            </w:pPr>
            <w:r w:rsidRPr="00D657AC">
              <w:rPr>
                <w:sz w:val="18"/>
                <w:szCs w:val="18"/>
                <w:lang w:val="sq-AL"/>
              </w:rPr>
              <w:t xml:space="preserve">EC No: 256-418-0 </w:t>
            </w:r>
          </w:p>
          <w:p w:rsidR="00EE0C2F" w:rsidRPr="00D657AC" w:rsidRDefault="00EE0C2F" w:rsidP="00F245E8">
            <w:pPr>
              <w:pStyle w:val="Paragrafi"/>
              <w:ind w:firstLine="0"/>
              <w:rPr>
                <w:sz w:val="18"/>
                <w:szCs w:val="18"/>
                <w:lang w:val="sq-AL"/>
              </w:rPr>
            </w:pPr>
            <w:r w:rsidRPr="00D657AC">
              <w:rPr>
                <w:sz w:val="18"/>
                <w:szCs w:val="18"/>
                <w:lang w:val="sq-AL"/>
              </w:rPr>
              <w:t>CAS No: 49663-84-5</w:t>
            </w:r>
          </w:p>
          <w:p w:rsidR="00EE0C2F" w:rsidRPr="00CB0A8F" w:rsidRDefault="00EE0C2F" w:rsidP="00F245E8">
            <w:pPr>
              <w:pStyle w:val="Paragrafi"/>
              <w:ind w:firstLine="0"/>
              <w:rPr>
                <w:sz w:val="10"/>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r w:rsidRPr="00D657AC">
              <w:rPr>
                <w:sz w:val="18"/>
                <w:szCs w:val="18"/>
                <w:lang w:val="sq-AL"/>
              </w:rPr>
              <w:t>Kancerogjene (kategoria 1A)</w:t>
            </w:r>
          </w:p>
          <w:p w:rsidR="00EE0C2F" w:rsidRPr="00D657AC" w:rsidRDefault="00EE0C2F" w:rsidP="00F245E8">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18"/>
                <w:szCs w:val="18"/>
                <w:lang w:val="sq-AL"/>
              </w:rPr>
            </w:pPr>
          </w:p>
        </w:tc>
      </w:tr>
    </w:tbl>
    <w:p w:rsidR="00EE0C2F" w:rsidRPr="00D657AC" w:rsidRDefault="00EE0C2F" w:rsidP="00EE0C2F">
      <w:pPr>
        <w:pStyle w:val="Paragrafi"/>
        <w:rPr>
          <w:lang w:val="sq-AL"/>
        </w:rPr>
      </w:pPr>
    </w:p>
    <w:p w:rsidR="00EE0C2F" w:rsidRPr="00D657AC" w:rsidRDefault="00EE0C2F" w:rsidP="00EE0C2F">
      <w:pPr>
        <w:pStyle w:val="NeniNr"/>
        <w:rPr>
          <w:lang w:val="sq-AL"/>
        </w:rPr>
      </w:pPr>
      <w:r w:rsidRPr="00D657AC">
        <w:rPr>
          <w:lang w:val="sq-AL"/>
        </w:rPr>
        <w:t>SHTOJCA II</w:t>
      </w:r>
    </w:p>
    <w:p w:rsidR="00EE0C2F" w:rsidRPr="00D657AC" w:rsidRDefault="00EE0C2F" w:rsidP="00EE0C2F">
      <w:pPr>
        <w:pStyle w:val="NeniNr"/>
        <w:rPr>
          <w:lang w:val="sq-AL"/>
        </w:rPr>
      </w:pPr>
      <w:r w:rsidRPr="00D657AC">
        <w:rPr>
          <w:lang w:val="sq-AL"/>
        </w:rPr>
        <w:t>KRITERET PËR IDENTIFIKIMIN E SUBSTANCAVE TË QËNDRUESHME, BIOAKUMULUESE DHE TOKSIKE DHE SHUMË TË QËNDRUESHME DHE SHUMË BIOAKUMULUESE</w:t>
      </w:r>
    </w:p>
    <w:p w:rsidR="00EE0C2F" w:rsidRPr="00D657AC" w:rsidRDefault="00EE0C2F" w:rsidP="00EE0C2F">
      <w:pPr>
        <w:pStyle w:val="Hapesira7"/>
        <w:rPr>
          <w:lang w:val="sq-AL"/>
        </w:rPr>
      </w:pPr>
    </w:p>
    <w:p w:rsidR="00EE0C2F" w:rsidRPr="00D657AC" w:rsidRDefault="00EE0C2F" w:rsidP="00EE0C2F">
      <w:pPr>
        <w:pStyle w:val="NeniNr"/>
        <w:rPr>
          <w:lang w:val="sq-AL"/>
        </w:rPr>
      </w:pPr>
      <w:r w:rsidRPr="00D657AC">
        <w:rPr>
          <w:lang w:val="sq-AL"/>
        </w:rPr>
        <w:t>TABELA NR. 1</w:t>
      </w:r>
    </w:p>
    <w:p w:rsidR="00EE0C2F" w:rsidRPr="00D657AC" w:rsidRDefault="00EE0C2F" w:rsidP="00EE0C2F">
      <w:pPr>
        <w:pStyle w:val="NeniNr"/>
        <w:rPr>
          <w:lang w:val="sq-AL"/>
        </w:rPr>
      </w:pPr>
      <w:r w:rsidRPr="00D657AC">
        <w:rPr>
          <w:lang w:val="sq-AL"/>
        </w:rPr>
        <w:t>KATEGORITË E RREZIKUT PËR MUTAGJENET E QELIZAVE EMBRIONALE</w:t>
      </w:r>
    </w:p>
    <w:p w:rsidR="00EE0C2F" w:rsidRPr="00D657AC" w:rsidRDefault="00EE0C2F" w:rsidP="00EE0C2F">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6768"/>
      </w:tblGrid>
      <w:tr w:rsidR="00EE0C2F" w:rsidRPr="00D657AC" w:rsidTr="00F245E8">
        <w:tc>
          <w:tcPr>
            <w:tcW w:w="2808" w:type="dxa"/>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center"/>
              <w:rPr>
                <w:b/>
                <w:sz w:val="20"/>
                <w:szCs w:val="20"/>
                <w:lang w:val="sq-AL"/>
              </w:rPr>
            </w:pPr>
          </w:p>
          <w:p w:rsidR="00EE0C2F" w:rsidRPr="00D657AC" w:rsidRDefault="00EE0C2F" w:rsidP="00F245E8">
            <w:pPr>
              <w:pStyle w:val="Paragrafi"/>
              <w:ind w:firstLine="0"/>
              <w:jc w:val="center"/>
              <w:rPr>
                <w:b/>
                <w:sz w:val="20"/>
                <w:szCs w:val="20"/>
                <w:lang w:val="sq-AL"/>
              </w:rPr>
            </w:pPr>
            <w:r w:rsidRPr="00D657AC">
              <w:rPr>
                <w:b/>
                <w:sz w:val="20"/>
                <w:szCs w:val="20"/>
                <w:lang w:val="sq-AL"/>
              </w:rPr>
              <w:t>Kategoritë</w:t>
            </w:r>
          </w:p>
          <w:p w:rsidR="00EE0C2F" w:rsidRPr="00D657AC" w:rsidRDefault="00EE0C2F" w:rsidP="00F245E8">
            <w:pPr>
              <w:pStyle w:val="Paragrafi"/>
              <w:ind w:firstLine="0"/>
              <w:jc w:val="center"/>
              <w:rPr>
                <w:b/>
                <w:sz w:val="20"/>
                <w:szCs w:val="20"/>
                <w:lang w:val="sq-AL"/>
              </w:rPr>
            </w:pPr>
          </w:p>
        </w:tc>
        <w:tc>
          <w:tcPr>
            <w:tcW w:w="6768" w:type="dxa"/>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center"/>
              <w:rPr>
                <w:b/>
                <w:sz w:val="20"/>
                <w:szCs w:val="20"/>
                <w:lang w:val="sq-AL"/>
              </w:rPr>
            </w:pPr>
          </w:p>
          <w:p w:rsidR="00EE0C2F" w:rsidRPr="00D657AC" w:rsidRDefault="00EE0C2F" w:rsidP="00F245E8">
            <w:pPr>
              <w:pStyle w:val="Paragrafi"/>
              <w:ind w:firstLine="0"/>
              <w:jc w:val="center"/>
              <w:rPr>
                <w:b/>
                <w:sz w:val="20"/>
                <w:szCs w:val="20"/>
                <w:lang w:val="sq-AL"/>
              </w:rPr>
            </w:pPr>
            <w:r w:rsidRPr="00D657AC">
              <w:rPr>
                <w:b/>
                <w:sz w:val="20"/>
                <w:szCs w:val="20"/>
                <w:lang w:val="sq-AL"/>
              </w:rPr>
              <w:t>Kriteret</w:t>
            </w:r>
          </w:p>
        </w:tc>
      </w:tr>
      <w:tr w:rsidR="00EE0C2F" w:rsidRPr="00D657AC" w:rsidTr="00F245E8">
        <w:trPr>
          <w:trHeight w:val="431"/>
        </w:trPr>
        <w:tc>
          <w:tcPr>
            <w:tcW w:w="2808" w:type="dxa"/>
            <w:tcBorders>
              <w:top w:val="single" w:sz="4" w:space="0" w:color="auto"/>
              <w:left w:val="single" w:sz="4" w:space="0" w:color="auto"/>
              <w:bottom w:val="single" w:sz="4" w:space="0" w:color="auto"/>
              <w:right w:val="single" w:sz="4" w:space="0" w:color="auto"/>
            </w:tcBorders>
          </w:tcPr>
          <w:p w:rsidR="00EE0C2F" w:rsidRPr="00BD39D2" w:rsidRDefault="00EE0C2F" w:rsidP="00F245E8">
            <w:pPr>
              <w:pStyle w:val="Paragrafi"/>
              <w:ind w:firstLine="0"/>
              <w:rPr>
                <w:b/>
                <w:sz w:val="20"/>
                <w:szCs w:val="20"/>
                <w:lang w:val="sq-AL"/>
              </w:rPr>
            </w:pPr>
            <w:r w:rsidRPr="00BD39D2">
              <w:rPr>
                <w:b/>
                <w:sz w:val="20"/>
                <w:szCs w:val="20"/>
                <w:lang w:val="sq-AL"/>
              </w:rPr>
              <w:t xml:space="preserve">Kategoria 1: </w:t>
            </w: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r w:rsidRPr="00BD39D2">
              <w:rPr>
                <w:b/>
                <w:sz w:val="20"/>
                <w:szCs w:val="20"/>
                <w:lang w:val="sq-AL"/>
              </w:rPr>
              <w:t>Kategoria 1A:</w:t>
            </w: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D657AC" w:rsidRDefault="00EE0C2F" w:rsidP="00F245E8">
            <w:pPr>
              <w:pStyle w:val="Paragrafi"/>
              <w:ind w:firstLine="0"/>
              <w:rPr>
                <w:sz w:val="20"/>
                <w:szCs w:val="20"/>
                <w:lang w:val="sq-AL"/>
              </w:rPr>
            </w:pPr>
            <w:r w:rsidRPr="00BD39D2">
              <w:rPr>
                <w:b/>
                <w:sz w:val="20"/>
                <w:szCs w:val="20"/>
                <w:lang w:val="sq-AL"/>
              </w:rPr>
              <w:t>Kategoria 1B:</w:t>
            </w:r>
          </w:p>
        </w:tc>
        <w:tc>
          <w:tcPr>
            <w:tcW w:w="6768" w:type="dxa"/>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20"/>
                <w:szCs w:val="20"/>
                <w:lang w:val="sq-AL"/>
              </w:rPr>
            </w:pPr>
            <w:r w:rsidRPr="00D657AC">
              <w:rPr>
                <w:sz w:val="20"/>
                <w:szCs w:val="20"/>
                <w:lang w:val="sq-AL"/>
              </w:rPr>
              <w:t xml:space="preserve">Substancat e njohura që mund të </w:t>
            </w:r>
            <w:r w:rsidRPr="00BD39D2">
              <w:rPr>
                <w:b/>
                <w:sz w:val="20"/>
                <w:szCs w:val="20"/>
                <w:lang w:val="sq-AL"/>
              </w:rPr>
              <w:t>shkaktojnë mutacione të trashëgueshme</w:t>
            </w:r>
            <w:r w:rsidRPr="00D657AC">
              <w:rPr>
                <w:sz w:val="20"/>
                <w:szCs w:val="20"/>
                <w:lang w:val="sq-AL"/>
              </w:rPr>
              <w:t xml:space="preserve"> ose që konsiderohen të tilla, nëse mund të shkaktojnë mutacione të trashëgueshme në qelizat embrionale te njerëzit.</w:t>
            </w:r>
          </w:p>
          <w:p w:rsidR="00EE0C2F" w:rsidRPr="00D657AC" w:rsidRDefault="00EE0C2F" w:rsidP="00F245E8">
            <w:pPr>
              <w:pStyle w:val="Paragrafi"/>
              <w:ind w:firstLine="0"/>
              <w:rPr>
                <w:sz w:val="20"/>
                <w:szCs w:val="20"/>
                <w:lang w:val="sq-AL"/>
              </w:rPr>
            </w:pPr>
            <w:r w:rsidRPr="00D657AC">
              <w:rPr>
                <w:sz w:val="20"/>
                <w:szCs w:val="20"/>
                <w:lang w:val="sq-AL"/>
              </w:rPr>
              <w:t>Substancat e njohura që mund të shkaktojnë mutacione të trashëgueshme në qelizat embrionale te njerëzit.</w:t>
            </w:r>
          </w:p>
          <w:p w:rsidR="00EE0C2F" w:rsidRPr="00D657AC" w:rsidRDefault="00EE0C2F" w:rsidP="00F245E8">
            <w:pPr>
              <w:pStyle w:val="Paragrafi"/>
              <w:ind w:firstLine="0"/>
              <w:rPr>
                <w:sz w:val="20"/>
                <w:szCs w:val="20"/>
                <w:lang w:val="sq-AL"/>
              </w:rPr>
            </w:pPr>
          </w:p>
          <w:p w:rsidR="00EE0C2F" w:rsidRPr="00D657AC" w:rsidRDefault="00EE0C2F" w:rsidP="00F245E8">
            <w:pPr>
              <w:pStyle w:val="Paragrafi"/>
              <w:ind w:firstLine="0"/>
              <w:rPr>
                <w:sz w:val="20"/>
                <w:szCs w:val="20"/>
                <w:lang w:val="sq-AL"/>
              </w:rPr>
            </w:pPr>
            <w:r w:rsidRPr="00D657AC">
              <w:rPr>
                <w:sz w:val="20"/>
                <w:szCs w:val="20"/>
                <w:lang w:val="sq-AL"/>
              </w:rPr>
              <w:t xml:space="preserve">Klasifikimi në </w:t>
            </w:r>
            <w:r w:rsidRPr="00BD39D2">
              <w:rPr>
                <w:b/>
                <w:sz w:val="20"/>
                <w:szCs w:val="20"/>
                <w:lang w:val="sq-AL"/>
              </w:rPr>
              <w:t>kategorinë 1A</w:t>
            </w:r>
            <w:r w:rsidRPr="00D657AC">
              <w:rPr>
                <w:sz w:val="20"/>
                <w:szCs w:val="20"/>
                <w:lang w:val="sq-AL"/>
              </w:rPr>
              <w:t xml:space="preserve"> është i bazuar në rezultatet pozitive të studi</w:t>
            </w:r>
            <w:r>
              <w:rPr>
                <w:sz w:val="20"/>
                <w:szCs w:val="20"/>
                <w:lang w:val="sq-AL"/>
              </w:rPr>
              <w:t>meve epidemiologjike të bëra te</w:t>
            </w:r>
            <w:r w:rsidRPr="00D657AC">
              <w:rPr>
                <w:sz w:val="20"/>
                <w:szCs w:val="20"/>
                <w:lang w:val="sq-AL"/>
              </w:rPr>
              <w:t xml:space="preserve"> njerëzit.</w:t>
            </w:r>
          </w:p>
          <w:p w:rsidR="00EE0C2F" w:rsidRPr="00D657AC" w:rsidRDefault="00EE0C2F" w:rsidP="00F245E8">
            <w:pPr>
              <w:pStyle w:val="Paragrafi"/>
              <w:ind w:firstLine="0"/>
              <w:rPr>
                <w:sz w:val="20"/>
                <w:szCs w:val="20"/>
                <w:lang w:val="sq-AL"/>
              </w:rPr>
            </w:pPr>
            <w:r w:rsidRPr="00D657AC">
              <w:rPr>
                <w:sz w:val="20"/>
                <w:szCs w:val="20"/>
                <w:lang w:val="sq-AL"/>
              </w:rPr>
              <w:t>Substancat që konsiderohen si të tilla, nëse shkakton mutacione të trashëgueshme në qelizat embrionale te njerëzit.</w:t>
            </w:r>
          </w:p>
          <w:p w:rsidR="00EE0C2F" w:rsidRPr="00D657AC" w:rsidRDefault="00EE0C2F" w:rsidP="00F245E8">
            <w:pPr>
              <w:pStyle w:val="Paragrafi"/>
              <w:ind w:firstLine="0"/>
              <w:rPr>
                <w:sz w:val="20"/>
                <w:szCs w:val="20"/>
                <w:lang w:val="sq-AL"/>
              </w:rPr>
            </w:pPr>
          </w:p>
          <w:p w:rsidR="00EE0C2F" w:rsidRPr="00D657AC" w:rsidRDefault="00EE0C2F" w:rsidP="00F245E8">
            <w:pPr>
              <w:pStyle w:val="Paragrafi"/>
              <w:ind w:firstLine="0"/>
              <w:rPr>
                <w:sz w:val="20"/>
                <w:szCs w:val="20"/>
                <w:lang w:val="sq-AL"/>
              </w:rPr>
            </w:pPr>
            <w:r w:rsidRPr="00D657AC">
              <w:rPr>
                <w:sz w:val="20"/>
                <w:szCs w:val="20"/>
                <w:lang w:val="sq-AL"/>
              </w:rPr>
              <w:t xml:space="preserve">Klasifikimi në </w:t>
            </w:r>
            <w:r w:rsidRPr="00BD39D2">
              <w:rPr>
                <w:b/>
                <w:sz w:val="20"/>
                <w:szCs w:val="20"/>
                <w:lang w:val="sq-AL"/>
              </w:rPr>
              <w:t>kategorinë 1B</w:t>
            </w:r>
            <w:r w:rsidRPr="00D657AC">
              <w:rPr>
                <w:sz w:val="20"/>
                <w:szCs w:val="20"/>
                <w:lang w:val="sq-AL"/>
              </w:rPr>
              <w:t xml:space="preserve"> është i bazuar në:</w:t>
            </w:r>
          </w:p>
          <w:p w:rsidR="00EE0C2F" w:rsidRPr="00D657AC" w:rsidRDefault="00EE0C2F" w:rsidP="00F245E8">
            <w:pPr>
              <w:pStyle w:val="Paragrafi"/>
              <w:ind w:firstLine="0"/>
              <w:rPr>
                <w:sz w:val="20"/>
                <w:szCs w:val="20"/>
                <w:lang w:val="sq-AL"/>
              </w:rPr>
            </w:pPr>
            <w:r w:rsidRPr="00D657AC">
              <w:rPr>
                <w:sz w:val="20"/>
                <w:szCs w:val="20"/>
                <w:lang w:val="sq-AL"/>
              </w:rPr>
              <w:t xml:space="preserve">- rezultatet pozitive të testimeve </w:t>
            </w:r>
            <w:r w:rsidRPr="00D657AC">
              <w:rPr>
                <w:i/>
                <w:sz w:val="20"/>
                <w:szCs w:val="20"/>
                <w:lang w:val="sq-AL"/>
              </w:rPr>
              <w:t>in vivo</w:t>
            </w:r>
            <w:r w:rsidRPr="00D657AC">
              <w:rPr>
                <w:sz w:val="20"/>
                <w:szCs w:val="20"/>
                <w:lang w:val="sq-AL"/>
              </w:rPr>
              <w:t xml:space="preserve"> të bëra për mutacionet e trashëgueshme në </w:t>
            </w:r>
            <w:r>
              <w:rPr>
                <w:sz w:val="20"/>
                <w:szCs w:val="20"/>
                <w:lang w:val="sq-AL"/>
              </w:rPr>
              <w:t>qelizat embrionale te</w:t>
            </w:r>
            <w:r w:rsidRPr="00D657AC">
              <w:rPr>
                <w:sz w:val="20"/>
                <w:szCs w:val="20"/>
                <w:lang w:val="sq-AL"/>
              </w:rPr>
              <w:t xml:space="preserve"> gjitarët;</w:t>
            </w:r>
          </w:p>
          <w:p w:rsidR="00EE0C2F" w:rsidRPr="00D657AC" w:rsidRDefault="00EE0C2F" w:rsidP="00F245E8">
            <w:pPr>
              <w:pStyle w:val="Paragrafi"/>
              <w:ind w:firstLine="0"/>
              <w:rPr>
                <w:sz w:val="20"/>
                <w:szCs w:val="20"/>
                <w:lang w:val="sq-AL"/>
              </w:rPr>
            </w:pPr>
          </w:p>
          <w:p w:rsidR="00EE0C2F" w:rsidRPr="00D657AC" w:rsidRDefault="00EE0C2F" w:rsidP="00F245E8">
            <w:pPr>
              <w:pStyle w:val="Paragrafi"/>
              <w:ind w:firstLine="0"/>
              <w:rPr>
                <w:sz w:val="20"/>
                <w:szCs w:val="20"/>
                <w:lang w:val="sq-AL"/>
              </w:rPr>
            </w:pPr>
            <w:r w:rsidRPr="00D657AC">
              <w:rPr>
                <w:sz w:val="20"/>
                <w:szCs w:val="20"/>
                <w:lang w:val="sq-AL"/>
              </w:rPr>
              <w:t xml:space="preserve">- rezultatet pozitive nga testimet e bëra </w:t>
            </w:r>
            <w:r w:rsidRPr="00D657AC">
              <w:rPr>
                <w:i/>
                <w:sz w:val="20"/>
                <w:szCs w:val="20"/>
                <w:lang w:val="sq-AL"/>
              </w:rPr>
              <w:t>in vivo</w:t>
            </w:r>
            <w:r w:rsidRPr="00D657AC">
              <w:rPr>
                <w:sz w:val="20"/>
                <w:szCs w:val="20"/>
                <w:lang w:val="sq-AL"/>
              </w:rPr>
              <w:t>, në qelizat somatike mutagjenike në gjitarë, të kombinuara me të dhëna që tregojnë se substanca mund të shkaktojë mutacione në qelizat embrionale.</w:t>
            </w:r>
          </w:p>
          <w:p w:rsidR="00EE0C2F" w:rsidRPr="00D657AC" w:rsidRDefault="00EE0C2F" w:rsidP="00F245E8">
            <w:pPr>
              <w:pStyle w:val="Paragrafi"/>
              <w:ind w:firstLine="0"/>
              <w:rPr>
                <w:sz w:val="20"/>
                <w:szCs w:val="20"/>
                <w:lang w:val="sq-AL"/>
              </w:rPr>
            </w:pPr>
          </w:p>
          <w:p w:rsidR="00EE0C2F" w:rsidRPr="00D657AC" w:rsidRDefault="00EE0C2F" w:rsidP="00F245E8">
            <w:pPr>
              <w:pStyle w:val="Paragrafi"/>
              <w:ind w:firstLine="0"/>
              <w:rPr>
                <w:sz w:val="20"/>
                <w:szCs w:val="20"/>
                <w:lang w:val="sq-AL"/>
              </w:rPr>
            </w:pPr>
            <w:r>
              <w:rPr>
                <w:sz w:val="20"/>
                <w:szCs w:val="20"/>
                <w:lang w:val="sq-AL"/>
              </w:rPr>
              <w:t xml:space="preserve"> </w:t>
            </w:r>
            <w:r w:rsidRPr="00D657AC">
              <w:rPr>
                <w:sz w:val="20"/>
                <w:szCs w:val="20"/>
                <w:lang w:val="sq-AL"/>
              </w:rPr>
              <w:t xml:space="preserve">Kjo dëshmi mbështetëse është e mundur që të nxirret nga testet </w:t>
            </w:r>
            <w:r w:rsidRPr="00D657AC">
              <w:rPr>
                <w:i/>
                <w:sz w:val="20"/>
                <w:szCs w:val="20"/>
                <w:lang w:val="sq-AL"/>
              </w:rPr>
              <w:t>in vivo</w:t>
            </w:r>
            <w:r w:rsidRPr="00D657AC">
              <w:rPr>
                <w:sz w:val="20"/>
                <w:szCs w:val="20"/>
                <w:lang w:val="sq-AL"/>
              </w:rPr>
              <w:t xml:space="preserve"> mutagjenike/gjenotoksike në qelizat embrionale ose duke treguar aftësinë e substancës ose metabolitit të saj/tij për të bashkëvepruar me materialin gjenetik të qelizave apo embrionit, ose</w:t>
            </w:r>
          </w:p>
          <w:p w:rsidR="00EE0C2F" w:rsidRPr="00D657AC" w:rsidRDefault="00EE0C2F" w:rsidP="00F245E8">
            <w:pPr>
              <w:pStyle w:val="Paragrafi"/>
              <w:ind w:firstLine="0"/>
              <w:rPr>
                <w:sz w:val="20"/>
                <w:szCs w:val="20"/>
                <w:lang w:val="sq-AL"/>
              </w:rPr>
            </w:pPr>
            <w:r>
              <w:rPr>
                <w:sz w:val="20"/>
                <w:szCs w:val="20"/>
                <w:lang w:val="sq-AL"/>
              </w:rPr>
              <w:t>- r</w:t>
            </w:r>
            <w:r w:rsidRPr="00D657AC">
              <w:rPr>
                <w:sz w:val="20"/>
                <w:szCs w:val="20"/>
                <w:lang w:val="sq-AL"/>
              </w:rPr>
              <w:t xml:space="preserve">ezultatet pozitive nga testet që tregojnë efektet mutagjenike në qelizat embrionale te njerëzit, edhe në rastet kur kemi mungesë të provave për transmetimin te pasardhësit, për shembull, një rritje në frekuencën e numrit të kromozomeve </w:t>
            </w:r>
            <w:r w:rsidRPr="00D657AC">
              <w:rPr>
                <w:sz w:val="20"/>
                <w:szCs w:val="20"/>
                <w:lang w:val="sq-AL"/>
              </w:rPr>
              <w:lastRenderedPageBreak/>
              <w:t>aneuploide në qelizat spermatike të personave të ekspozuar.</w:t>
            </w:r>
          </w:p>
        </w:tc>
      </w:tr>
      <w:tr w:rsidR="00EE0C2F" w:rsidRPr="00D657AC" w:rsidTr="00F245E8">
        <w:tc>
          <w:tcPr>
            <w:tcW w:w="2808" w:type="dxa"/>
            <w:tcBorders>
              <w:top w:val="single" w:sz="4" w:space="0" w:color="auto"/>
              <w:left w:val="single" w:sz="4" w:space="0" w:color="auto"/>
              <w:bottom w:val="single" w:sz="4" w:space="0" w:color="auto"/>
              <w:right w:val="single" w:sz="4" w:space="0" w:color="auto"/>
            </w:tcBorders>
            <w:hideMark/>
          </w:tcPr>
          <w:p w:rsidR="00EE0C2F" w:rsidRPr="00BD39D2" w:rsidRDefault="00EE0C2F" w:rsidP="00F245E8">
            <w:pPr>
              <w:pStyle w:val="Paragrafi"/>
              <w:ind w:firstLine="0"/>
              <w:rPr>
                <w:b/>
                <w:sz w:val="20"/>
                <w:szCs w:val="20"/>
                <w:lang w:val="sq-AL"/>
              </w:rPr>
            </w:pPr>
            <w:r w:rsidRPr="00BD39D2">
              <w:rPr>
                <w:b/>
                <w:sz w:val="20"/>
                <w:szCs w:val="20"/>
                <w:lang w:val="sq-AL"/>
              </w:rPr>
              <w:lastRenderedPageBreak/>
              <w:t>Kategoria 2:</w:t>
            </w:r>
          </w:p>
        </w:tc>
        <w:tc>
          <w:tcPr>
            <w:tcW w:w="6768" w:type="dxa"/>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20"/>
                <w:szCs w:val="20"/>
                <w:lang w:val="sq-AL"/>
              </w:rPr>
            </w:pPr>
            <w:r w:rsidRPr="00D657AC">
              <w:rPr>
                <w:sz w:val="20"/>
                <w:szCs w:val="20"/>
                <w:lang w:val="sq-AL"/>
              </w:rPr>
              <w:t xml:space="preserve">Substancat që </w:t>
            </w:r>
            <w:r w:rsidRPr="00BD39D2">
              <w:rPr>
                <w:b/>
                <w:sz w:val="20"/>
                <w:szCs w:val="20"/>
                <w:lang w:val="sq-AL"/>
              </w:rPr>
              <w:t>shkaktojnë shqetësim te njerëzit</w:t>
            </w:r>
            <w:r w:rsidRPr="00D657AC">
              <w:rPr>
                <w:sz w:val="20"/>
                <w:szCs w:val="20"/>
                <w:lang w:val="sq-AL"/>
              </w:rPr>
              <w:t>, për arsye se mund të shkaktojnë mutacione të trashëgueshme në qelizat embrionale te njeriu.</w:t>
            </w:r>
          </w:p>
          <w:p w:rsidR="00EE0C2F" w:rsidRPr="00D657AC" w:rsidRDefault="00EE0C2F" w:rsidP="00F245E8">
            <w:pPr>
              <w:pStyle w:val="Paragrafi"/>
              <w:ind w:firstLine="0"/>
              <w:rPr>
                <w:sz w:val="20"/>
                <w:szCs w:val="20"/>
                <w:lang w:val="sq-AL"/>
              </w:rPr>
            </w:pPr>
            <w:r w:rsidRPr="00D657AC">
              <w:rPr>
                <w:sz w:val="20"/>
                <w:szCs w:val="20"/>
                <w:lang w:val="sq-AL"/>
              </w:rPr>
              <w:t>Klasifikimi në kategorinë 2 është i bazuar, në:</w:t>
            </w:r>
          </w:p>
          <w:p w:rsidR="00EE0C2F" w:rsidRPr="00D657AC" w:rsidRDefault="00EE0C2F" w:rsidP="00F245E8">
            <w:pPr>
              <w:pStyle w:val="Paragrafi"/>
              <w:ind w:firstLine="0"/>
              <w:rPr>
                <w:sz w:val="20"/>
                <w:szCs w:val="20"/>
                <w:lang w:val="sq-AL"/>
              </w:rPr>
            </w:pPr>
            <w:r w:rsidRPr="00D657AC">
              <w:rPr>
                <w:sz w:val="20"/>
                <w:szCs w:val="20"/>
                <w:lang w:val="sq-AL"/>
              </w:rPr>
              <w:t xml:space="preserve">- rezultatet pozitive të dala nga eksperimentet e bëra në gjitarë dhe/ose në disa raste në eksperimentet </w:t>
            </w:r>
            <w:r w:rsidRPr="00D657AC">
              <w:rPr>
                <w:i/>
                <w:sz w:val="20"/>
                <w:szCs w:val="20"/>
                <w:lang w:val="sq-AL"/>
              </w:rPr>
              <w:t>in vitro</w:t>
            </w:r>
            <w:r w:rsidRPr="00D657AC">
              <w:rPr>
                <w:sz w:val="20"/>
                <w:szCs w:val="20"/>
                <w:lang w:val="sq-AL"/>
              </w:rPr>
              <w:t xml:space="preserve">, të marra nga: </w:t>
            </w:r>
          </w:p>
          <w:p w:rsidR="00EE0C2F" w:rsidRPr="00D657AC" w:rsidRDefault="00EE0C2F" w:rsidP="00F245E8">
            <w:pPr>
              <w:pStyle w:val="Paragrafi"/>
              <w:ind w:firstLine="0"/>
              <w:rPr>
                <w:sz w:val="20"/>
                <w:szCs w:val="20"/>
                <w:lang w:val="sq-AL"/>
              </w:rPr>
            </w:pPr>
            <w:r w:rsidRPr="00D657AC">
              <w:rPr>
                <w:sz w:val="20"/>
                <w:szCs w:val="20"/>
                <w:lang w:val="sq-AL"/>
              </w:rPr>
              <w:t xml:space="preserve">- testet </w:t>
            </w:r>
            <w:r w:rsidRPr="00D657AC">
              <w:rPr>
                <w:i/>
                <w:sz w:val="20"/>
                <w:szCs w:val="20"/>
                <w:lang w:val="sq-AL"/>
              </w:rPr>
              <w:t>in vivo</w:t>
            </w:r>
            <w:r w:rsidRPr="00D657AC">
              <w:rPr>
                <w:sz w:val="20"/>
                <w:szCs w:val="20"/>
                <w:lang w:val="sq-AL"/>
              </w:rPr>
              <w:t xml:space="preserve"> të bëra në qelizat mutagjenike somatike në gjitarë; ose</w:t>
            </w:r>
          </w:p>
          <w:p w:rsidR="00EE0C2F" w:rsidRPr="00D657AC" w:rsidRDefault="00EE0C2F" w:rsidP="00F245E8">
            <w:pPr>
              <w:pStyle w:val="Paragrafi"/>
              <w:ind w:firstLine="0"/>
              <w:rPr>
                <w:sz w:val="20"/>
                <w:szCs w:val="20"/>
                <w:lang w:val="sq-AL"/>
              </w:rPr>
            </w:pPr>
            <w:r w:rsidRPr="00D657AC">
              <w:rPr>
                <w:sz w:val="20"/>
                <w:szCs w:val="20"/>
                <w:lang w:val="sq-AL"/>
              </w:rPr>
              <w:t xml:space="preserve">- teste të tjera </w:t>
            </w:r>
            <w:r w:rsidRPr="00D657AC">
              <w:rPr>
                <w:i/>
                <w:sz w:val="20"/>
                <w:szCs w:val="20"/>
                <w:lang w:val="sq-AL"/>
              </w:rPr>
              <w:t>in vivo</w:t>
            </w:r>
            <w:r w:rsidRPr="00D657AC">
              <w:rPr>
                <w:sz w:val="20"/>
                <w:szCs w:val="20"/>
                <w:lang w:val="sq-AL"/>
              </w:rPr>
              <w:t xml:space="preserve"> të bëra në qelizat gjenotoksike somatike, të cilat mbështeten nga rezulatet pozitive të dala nga testet </w:t>
            </w:r>
            <w:r w:rsidRPr="00D657AC">
              <w:rPr>
                <w:i/>
                <w:sz w:val="20"/>
                <w:szCs w:val="20"/>
                <w:lang w:val="sq-AL"/>
              </w:rPr>
              <w:t>in vitro</w:t>
            </w:r>
            <w:r w:rsidRPr="00D657AC">
              <w:rPr>
                <w:sz w:val="20"/>
                <w:szCs w:val="20"/>
                <w:lang w:val="sq-AL"/>
              </w:rPr>
              <w:t xml:space="preserve"> mutagjenike. </w:t>
            </w:r>
          </w:p>
          <w:p w:rsidR="00EE0C2F" w:rsidRPr="00D657AC" w:rsidRDefault="00EE0C2F" w:rsidP="00F245E8">
            <w:pPr>
              <w:pStyle w:val="Paragrafi"/>
              <w:ind w:firstLine="0"/>
              <w:rPr>
                <w:sz w:val="20"/>
                <w:szCs w:val="20"/>
                <w:lang w:val="sq-AL"/>
              </w:rPr>
            </w:pPr>
          </w:p>
          <w:p w:rsidR="00EE0C2F" w:rsidRPr="00D657AC" w:rsidRDefault="00EE0C2F" w:rsidP="00F245E8">
            <w:pPr>
              <w:pStyle w:val="Paragrafi"/>
              <w:ind w:firstLine="0"/>
              <w:rPr>
                <w:sz w:val="20"/>
                <w:szCs w:val="20"/>
                <w:lang w:val="sq-AL"/>
              </w:rPr>
            </w:pPr>
            <w:r w:rsidRPr="00D657AC">
              <w:rPr>
                <w:sz w:val="20"/>
                <w:szCs w:val="20"/>
                <w:lang w:val="sq-AL"/>
              </w:rPr>
              <w:t xml:space="preserve">Shënim. Substancat që janë pozitive në testet </w:t>
            </w:r>
            <w:r w:rsidRPr="00046BD8">
              <w:rPr>
                <w:i/>
                <w:sz w:val="20"/>
                <w:szCs w:val="20"/>
                <w:lang w:val="sq-AL"/>
              </w:rPr>
              <w:t xml:space="preserve">in vitro </w:t>
            </w:r>
            <w:r w:rsidRPr="00D657AC">
              <w:rPr>
                <w:sz w:val="20"/>
                <w:szCs w:val="20"/>
                <w:lang w:val="sq-AL"/>
              </w:rPr>
              <w:t>mutagjenike të bëra në gjitarë, dhe që, gjithashtu, tregojnë një marrëdhënie të aktivitetit të strukturës kimike në qelizat embrionale mutagjenike, do të merren në konsideratë për klasifikimin në kategorinë mutagjenike 2.</w:t>
            </w:r>
          </w:p>
        </w:tc>
      </w:tr>
    </w:tbl>
    <w:p w:rsidR="00EE0C2F" w:rsidRPr="00D657AC" w:rsidRDefault="00EE0C2F" w:rsidP="00EE0C2F">
      <w:pPr>
        <w:pStyle w:val="Paragrafi"/>
        <w:rPr>
          <w:lang w:val="sq-AL"/>
        </w:rPr>
      </w:pPr>
    </w:p>
    <w:p w:rsidR="00EE0C2F" w:rsidRDefault="00EE0C2F" w:rsidP="00EE0C2F">
      <w:pPr>
        <w:pStyle w:val="NeniNr"/>
        <w:rPr>
          <w:lang w:val="sq-AL"/>
        </w:rPr>
      </w:pPr>
    </w:p>
    <w:p w:rsidR="00EE0C2F" w:rsidRDefault="00EE0C2F" w:rsidP="00EE0C2F">
      <w:pPr>
        <w:rPr>
          <w:lang w:val="sq-AL"/>
        </w:rPr>
      </w:pPr>
    </w:p>
    <w:p w:rsidR="00EE0C2F" w:rsidRPr="00CB0A8F" w:rsidRDefault="00EE0C2F" w:rsidP="00EE0C2F">
      <w:pPr>
        <w:rPr>
          <w:lang w:val="sq-AL"/>
        </w:rPr>
      </w:pPr>
    </w:p>
    <w:p w:rsidR="00EE0C2F" w:rsidRPr="00D657AC" w:rsidRDefault="00EE0C2F" w:rsidP="00EE0C2F">
      <w:pPr>
        <w:pStyle w:val="NeniNr"/>
        <w:rPr>
          <w:lang w:val="sq-AL"/>
        </w:rPr>
      </w:pPr>
      <w:r w:rsidRPr="00D657AC">
        <w:rPr>
          <w:lang w:val="sq-AL"/>
        </w:rPr>
        <w:t>TABELA NR. 26</w:t>
      </w:r>
    </w:p>
    <w:p w:rsidR="00EE0C2F" w:rsidRPr="00D657AC" w:rsidRDefault="00EE0C2F" w:rsidP="00EE0C2F">
      <w:pPr>
        <w:pStyle w:val="NeniNr"/>
        <w:rPr>
          <w:lang w:val="sq-AL"/>
        </w:rPr>
      </w:pPr>
      <w:r w:rsidRPr="00D657AC">
        <w:rPr>
          <w:lang w:val="sq-AL"/>
        </w:rPr>
        <w:t xml:space="preserve">KATEGORITË E RREZIKUT NGA KANCEROGJENET </w:t>
      </w:r>
    </w:p>
    <w:p w:rsidR="00EE0C2F" w:rsidRPr="00D657AC" w:rsidRDefault="00EE0C2F" w:rsidP="00EE0C2F">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038"/>
      </w:tblGrid>
      <w:tr w:rsidR="00EE0C2F" w:rsidRPr="00D657AC" w:rsidTr="00F245E8">
        <w:tc>
          <w:tcPr>
            <w:tcW w:w="2538" w:type="dxa"/>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center"/>
              <w:rPr>
                <w:b/>
                <w:sz w:val="20"/>
                <w:szCs w:val="20"/>
                <w:lang w:val="sq-AL"/>
              </w:rPr>
            </w:pPr>
            <w:r w:rsidRPr="00D657AC">
              <w:rPr>
                <w:b/>
                <w:sz w:val="20"/>
                <w:szCs w:val="20"/>
                <w:lang w:val="sq-AL"/>
              </w:rPr>
              <w:t>Kategoritë</w:t>
            </w:r>
          </w:p>
        </w:tc>
        <w:tc>
          <w:tcPr>
            <w:tcW w:w="7038" w:type="dxa"/>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center"/>
              <w:rPr>
                <w:b/>
                <w:sz w:val="20"/>
                <w:szCs w:val="20"/>
                <w:lang w:val="sq-AL"/>
              </w:rPr>
            </w:pPr>
            <w:r w:rsidRPr="00D657AC">
              <w:rPr>
                <w:b/>
                <w:sz w:val="20"/>
                <w:szCs w:val="20"/>
                <w:lang w:val="sq-AL"/>
              </w:rPr>
              <w:t>Kriteret</w:t>
            </w:r>
          </w:p>
        </w:tc>
      </w:tr>
      <w:tr w:rsidR="00EE0C2F" w:rsidRPr="00D657AC" w:rsidTr="00F245E8">
        <w:tc>
          <w:tcPr>
            <w:tcW w:w="2538" w:type="dxa"/>
            <w:tcBorders>
              <w:top w:val="single" w:sz="4" w:space="0" w:color="auto"/>
              <w:left w:val="single" w:sz="4" w:space="0" w:color="auto"/>
              <w:bottom w:val="single" w:sz="4" w:space="0" w:color="auto"/>
              <w:right w:val="single" w:sz="4" w:space="0" w:color="auto"/>
            </w:tcBorders>
          </w:tcPr>
          <w:p w:rsidR="00EE0C2F" w:rsidRPr="00BD39D2" w:rsidRDefault="00EE0C2F" w:rsidP="00F245E8">
            <w:pPr>
              <w:pStyle w:val="Paragrafi"/>
              <w:ind w:firstLine="0"/>
              <w:rPr>
                <w:b/>
                <w:sz w:val="20"/>
                <w:szCs w:val="20"/>
                <w:lang w:val="sq-AL"/>
              </w:rPr>
            </w:pPr>
            <w:r w:rsidRPr="00BD39D2">
              <w:rPr>
                <w:b/>
                <w:sz w:val="20"/>
                <w:szCs w:val="20"/>
                <w:lang w:val="sq-AL"/>
              </w:rPr>
              <w:t xml:space="preserve">Kategoria 1: </w:t>
            </w: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r w:rsidRPr="00BD39D2">
              <w:rPr>
                <w:b/>
                <w:sz w:val="20"/>
                <w:szCs w:val="20"/>
                <w:lang w:val="sq-AL"/>
              </w:rPr>
              <w:t>Kategoria 1A:</w:t>
            </w: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r w:rsidRPr="00BD39D2">
              <w:rPr>
                <w:b/>
                <w:sz w:val="20"/>
                <w:szCs w:val="20"/>
                <w:lang w:val="sq-AL"/>
              </w:rPr>
              <w:t>Kategoria 1B:</w:t>
            </w:r>
          </w:p>
        </w:tc>
        <w:tc>
          <w:tcPr>
            <w:tcW w:w="7038" w:type="dxa"/>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20"/>
                <w:szCs w:val="20"/>
                <w:lang w:val="sq-AL"/>
              </w:rPr>
            </w:pPr>
            <w:r w:rsidRPr="00D657AC">
              <w:rPr>
                <w:sz w:val="20"/>
                <w:szCs w:val="20"/>
                <w:lang w:val="sq-AL"/>
              </w:rPr>
              <w:t>Substanca kancerogjene të njohura ose që mendohen të kenë efekt te njeriu,.</w:t>
            </w:r>
          </w:p>
          <w:p w:rsidR="00EE0C2F" w:rsidRPr="00D657AC" w:rsidRDefault="00EE0C2F" w:rsidP="00F245E8">
            <w:pPr>
              <w:pStyle w:val="Paragrafi"/>
              <w:ind w:firstLine="0"/>
              <w:rPr>
                <w:sz w:val="20"/>
                <w:szCs w:val="20"/>
                <w:lang w:val="sq-AL"/>
              </w:rPr>
            </w:pPr>
            <w:r w:rsidRPr="00D657AC">
              <w:rPr>
                <w:sz w:val="20"/>
                <w:szCs w:val="20"/>
                <w:lang w:val="sq-AL"/>
              </w:rPr>
              <w:t>Një substancë klasifikohet në kategorinë 1, për kancerogjenet, bazuar në të dhënat epidemiologjike dhe/ose të kafshëve. Një substancë mund të dallohet më tej, si:</w:t>
            </w:r>
          </w:p>
          <w:p w:rsidR="00EE0C2F" w:rsidRPr="00D657AC" w:rsidRDefault="00EE0C2F" w:rsidP="00F245E8">
            <w:pPr>
              <w:pStyle w:val="Paragrafi"/>
              <w:ind w:firstLine="0"/>
              <w:rPr>
                <w:sz w:val="20"/>
                <w:szCs w:val="20"/>
                <w:lang w:val="sq-AL"/>
              </w:rPr>
            </w:pPr>
            <w:r w:rsidRPr="00D657AC">
              <w:rPr>
                <w:sz w:val="20"/>
                <w:szCs w:val="20"/>
                <w:lang w:val="sq-AL"/>
              </w:rPr>
              <w:t>Kategoria 1A është e njohur për potencialin kancerogjen te njerëzit. Klasifikimi në këtë kategori është bazuar gjerësisht në të dhënat nga studimet te njeriu; ose</w:t>
            </w:r>
          </w:p>
          <w:p w:rsidR="00EE0C2F" w:rsidRPr="00D657AC" w:rsidRDefault="00EE0C2F" w:rsidP="00F245E8">
            <w:pPr>
              <w:pStyle w:val="Paragrafi"/>
              <w:ind w:firstLine="0"/>
              <w:rPr>
                <w:sz w:val="20"/>
                <w:szCs w:val="20"/>
                <w:lang w:val="sq-AL"/>
              </w:rPr>
            </w:pPr>
            <w:r w:rsidRPr="00D657AC">
              <w:rPr>
                <w:sz w:val="20"/>
                <w:szCs w:val="20"/>
                <w:lang w:val="sq-AL"/>
              </w:rPr>
              <w:t>Kategoria 1B supozohet të ketë potencial kancerogjen te njerëzit. Klasifikimi në këtë kategori është bazuar gjerësi</w:t>
            </w:r>
            <w:r>
              <w:rPr>
                <w:sz w:val="20"/>
                <w:szCs w:val="20"/>
                <w:lang w:val="sq-AL"/>
              </w:rPr>
              <w:t>sht në të dhëna nga studimet te</w:t>
            </w:r>
            <w:r w:rsidRPr="00D657AC">
              <w:rPr>
                <w:sz w:val="20"/>
                <w:szCs w:val="20"/>
                <w:lang w:val="sq-AL"/>
              </w:rPr>
              <w:t xml:space="preserve"> njeriu.</w:t>
            </w:r>
          </w:p>
          <w:p w:rsidR="00EE0C2F" w:rsidRPr="00D657AC" w:rsidRDefault="00EE0C2F" w:rsidP="00F245E8">
            <w:pPr>
              <w:pStyle w:val="Paragrafi"/>
              <w:ind w:firstLine="0"/>
              <w:rPr>
                <w:sz w:val="20"/>
                <w:szCs w:val="20"/>
                <w:lang w:val="sq-AL"/>
              </w:rPr>
            </w:pPr>
            <w:r w:rsidRPr="00D657AC">
              <w:rPr>
                <w:sz w:val="20"/>
                <w:szCs w:val="20"/>
                <w:lang w:val="sq-AL"/>
              </w:rPr>
              <w:t xml:space="preserve">Klasifikimi në kategoritë 1A dhe 1B bazohet në prova të forta dhe në të dhëna shtesë </w:t>
            </w:r>
            <w:r w:rsidRPr="00BD39D2">
              <w:rPr>
                <w:b/>
                <w:sz w:val="20"/>
                <w:szCs w:val="20"/>
                <w:lang w:val="sq-AL"/>
              </w:rPr>
              <w:t>(shiko shënimin 1 dhe 2 më poshtë)</w:t>
            </w:r>
            <w:r w:rsidRPr="00D657AC">
              <w:rPr>
                <w:sz w:val="20"/>
                <w:szCs w:val="20"/>
                <w:lang w:val="sq-AL"/>
              </w:rPr>
              <w:t xml:space="preserve">. Këto prova mund të rrjedhin nga: </w:t>
            </w:r>
          </w:p>
          <w:p w:rsidR="00EE0C2F" w:rsidRPr="00D657AC" w:rsidRDefault="00EE0C2F" w:rsidP="00F245E8">
            <w:pPr>
              <w:pStyle w:val="Paragrafi"/>
              <w:ind w:firstLine="0"/>
              <w:rPr>
                <w:sz w:val="20"/>
                <w:szCs w:val="20"/>
                <w:lang w:val="sq-AL"/>
              </w:rPr>
            </w:pPr>
            <w:r w:rsidRPr="00D657AC">
              <w:rPr>
                <w:sz w:val="20"/>
                <w:szCs w:val="20"/>
                <w:lang w:val="sq-AL"/>
              </w:rPr>
              <w:t xml:space="preserve"> - studimet e bëra te njeriu, që vendosin një marrëdhënie rastësore midis ekspozimit të njeriut ndaj një substance dhe zhvillimit të kancerit (substancë e njohur kancerogjene te njerëzit); ose</w:t>
            </w:r>
          </w:p>
          <w:p w:rsidR="00EE0C2F" w:rsidRPr="00D657AC" w:rsidRDefault="00EE0C2F" w:rsidP="00F245E8">
            <w:pPr>
              <w:pStyle w:val="Paragrafi"/>
              <w:ind w:firstLine="0"/>
              <w:rPr>
                <w:sz w:val="20"/>
                <w:szCs w:val="20"/>
                <w:lang w:val="sq-AL"/>
              </w:rPr>
            </w:pPr>
            <w:r w:rsidRPr="00D657AC">
              <w:rPr>
                <w:sz w:val="20"/>
                <w:szCs w:val="20"/>
                <w:lang w:val="sq-AL"/>
              </w:rPr>
              <w:t xml:space="preserve">- eksperimentet e bëra te kafshët, për të cilat ka prova të mjaftueshme </w:t>
            </w:r>
            <w:r w:rsidRPr="00BD39D2">
              <w:rPr>
                <w:b/>
                <w:sz w:val="20"/>
                <w:szCs w:val="20"/>
                <w:lang w:val="sq-AL"/>
              </w:rPr>
              <w:t>(shiko shënimin 1 dhe 2 më poshtë)</w:t>
            </w:r>
            <w:r w:rsidRPr="00D657AC">
              <w:rPr>
                <w:sz w:val="20"/>
                <w:szCs w:val="20"/>
                <w:lang w:val="sq-AL"/>
              </w:rPr>
              <w:t xml:space="preserve"> që tregojnë që këto substanca janë kancerogjene për kafshët (substancat kancerogjene të supozuara për njeriun).</w:t>
            </w:r>
          </w:p>
          <w:p w:rsidR="00EE0C2F" w:rsidRPr="00D657AC" w:rsidRDefault="00EE0C2F" w:rsidP="00F245E8">
            <w:pPr>
              <w:pStyle w:val="Paragrafi"/>
              <w:ind w:firstLine="0"/>
              <w:rPr>
                <w:sz w:val="20"/>
                <w:szCs w:val="20"/>
                <w:lang w:val="sq-AL"/>
              </w:rPr>
            </w:pPr>
            <w:r w:rsidRPr="00D657AC">
              <w:rPr>
                <w:sz w:val="20"/>
                <w:szCs w:val="20"/>
                <w:lang w:val="sq-AL"/>
              </w:rPr>
              <w:t>Përveç kësaj, rast pas rasti, të dhënat shkencore mund të justifikojnë një vendim mbi substancat që mendohen të kenë efekt kancerogjen te njeriu, bazuar në studimet që kanë të dhëna të kufizuara të substancave kancerogjene te njeriu së bashku me prova të kufizuara të bëra në kafshët eksperimentuese për substancat kancerogjene.</w:t>
            </w:r>
          </w:p>
        </w:tc>
      </w:tr>
      <w:tr w:rsidR="00EE0C2F" w:rsidRPr="00D657AC" w:rsidTr="00F245E8">
        <w:tc>
          <w:tcPr>
            <w:tcW w:w="2538" w:type="dxa"/>
            <w:tcBorders>
              <w:top w:val="single" w:sz="4" w:space="0" w:color="auto"/>
              <w:left w:val="single" w:sz="4" w:space="0" w:color="auto"/>
              <w:bottom w:val="single" w:sz="4" w:space="0" w:color="auto"/>
              <w:right w:val="single" w:sz="4" w:space="0" w:color="auto"/>
            </w:tcBorders>
          </w:tcPr>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r w:rsidRPr="00BD39D2">
              <w:rPr>
                <w:b/>
                <w:sz w:val="20"/>
                <w:szCs w:val="20"/>
                <w:lang w:val="sq-AL"/>
              </w:rPr>
              <w:t>Kategoria 2:</w:t>
            </w:r>
          </w:p>
        </w:tc>
        <w:tc>
          <w:tcPr>
            <w:tcW w:w="7038" w:type="dxa"/>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20"/>
                <w:szCs w:val="20"/>
                <w:lang w:val="sq-AL"/>
              </w:rPr>
            </w:pPr>
            <w:r w:rsidRPr="00D657AC">
              <w:rPr>
                <w:sz w:val="20"/>
                <w:szCs w:val="20"/>
                <w:lang w:val="sq-AL"/>
              </w:rPr>
              <w:t xml:space="preserve">Substancat kancerogjene që mendohen të kenë efekt te njeriu. </w:t>
            </w:r>
          </w:p>
          <w:p w:rsidR="00EE0C2F" w:rsidRPr="00D657AC" w:rsidRDefault="00EE0C2F" w:rsidP="00F245E8">
            <w:pPr>
              <w:pStyle w:val="Paragrafi"/>
              <w:ind w:firstLine="0"/>
              <w:rPr>
                <w:sz w:val="20"/>
                <w:szCs w:val="20"/>
                <w:lang w:val="sq-AL"/>
              </w:rPr>
            </w:pPr>
            <w:r w:rsidRPr="00D657AC">
              <w:rPr>
                <w:sz w:val="20"/>
                <w:szCs w:val="20"/>
                <w:lang w:val="sq-AL"/>
              </w:rPr>
              <w:t xml:space="preserve">Futja e një substance në kategorinë 2 bëhet duke u bazuar në të dhënat e marra nga studimet e bëra te njeriu dhe/ose te kafshët, por që nuk janë mjaft/aq bindëse sa për ta futur substancën në kategorinë 1A ose 1B, bazuar në provat e bëra së bashku me të dhëna shtesë </w:t>
            </w:r>
            <w:r w:rsidRPr="00BD39D2">
              <w:rPr>
                <w:b/>
                <w:sz w:val="20"/>
                <w:szCs w:val="20"/>
                <w:lang w:val="sq-AL"/>
              </w:rPr>
              <w:t>(shiko shënimin 1 dhe 2 më poshtë)</w:t>
            </w:r>
            <w:r w:rsidRPr="00D657AC">
              <w:rPr>
                <w:sz w:val="20"/>
                <w:szCs w:val="20"/>
                <w:lang w:val="sq-AL"/>
              </w:rPr>
              <w:t xml:space="preserve">. Këto të dhëna mund të rrjedhin ose nga prova të kufizuara </w:t>
            </w:r>
            <w:r w:rsidRPr="00BD39D2">
              <w:rPr>
                <w:b/>
                <w:sz w:val="20"/>
                <w:szCs w:val="20"/>
                <w:lang w:val="sq-AL"/>
              </w:rPr>
              <w:t>(shiko shënimin 1 më poshtë</w:t>
            </w:r>
            <w:r w:rsidRPr="00D657AC">
              <w:rPr>
                <w:sz w:val="20"/>
                <w:szCs w:val="20"/>
                <w:lang w:val="sq-AL"/>
              </w:rPr>
              <w:t>). Për substancat kancerogjene,</w:t>
            </w:r>
            <w:r>
              <w:rPr>
                <w:sz w:val="20"/>
                <w:szCs w:val="20"/>
                <w:lang w:val="sq-AL"/>
              </w:rPr>
              <w:t xml:space="preserve"> bazuar në studime të bëra te</w:t>
            </w:r>
            <w:r w:rsidRPr="00D657AC">
              <w:rPr>
                <w:sz w:val="20"/>
                <w:szCs w:val="20"/>
                <w:lang w:val="sq-AL"/>
              </w:rPr>
              <w:t xml:space="preserve"> njeriu ose nga prova të kufizuara për substancat kancerogjene, bazuar në studime të bëra te kafshët.</w:t>
            </w:r>
          </w:p>
        </w:tc>
      </w:tr>
    </w:tbl>
    <w:p w:rsidR="00EE0C2F" w:rsidRPr="00D657AC" w:rsidRDefault="00EE0C2F" w:rsidP="00EE0C2F">
      <w:pPr>
        <w:pStyle w:val="Hapesira7"/>
        <w:rPr>
          <w:lang w:val="sq-AL"/>
        </w:rPr>
      </w:pPr>
    </w:p>
    <w:p w:rsidR="00EE0C2F" w:rsidRPr="00D657AC" w:rsidRDefault="00EE0C2F" w:rsidP="00EE0C2F">
      <w:pPr>
        <w:pStyle w:val="Paragrafi"/>
        <w:rPr>
          <w:lang w:val="sq-AL"/>
        </w:rPr>
      </w:pPr>
      <w:r w:rsidRPr="00D657AC">
        <w:rPr>
          <w:lang w:val="sq-AL"/>
        </w:rPr>
        <w:t>Shënim 1. Të dhëna shtesë</w:t>
      </w:r>
    </w:p>
    <w:p w:rsidR="00EE0C2F" w:rsidRPr="00D657AC" w:rsidRDefault="00EE0C2F" w:rsidP="00EE0C2F">
      <w:pPr>
        <w:pStyle w:val="Paragrafi"/>
        <w:rPr>
          <w:lang w:val="sq-AL"/>
        </w:rPr>
      </w:pPr>
      <w:r w:rsidRPr="00D657AC">
        <w:rPr>
          <w:lang w:val="sq-AL"/>
        </w:rPr>
        <w:t xml:space="preserve">Përtej përcaktimit të provave të forta për substancat kancerogjene, duhet të merren parasysh një numër faktorësh të tjerë që ndikojnë në mundësitë e përgjithshme që një substancë të përbëjë një rrezik kancerogjen për njerëzit. Lista e plotë e faktorëve që ndikojnë në këtë vendim do të jetë shumë e gjatë, por në shënimin 2 më poshtë janë konsideruar disa nga faktorët më të rëndësishëm. </w:t>
      </w:r>
    </w:p>
    <w:p w:rsidR="00EE0C2F" w:rsidRPr="00D657AC" w:rsidRDefault="00EE0C2F" w:rsidP="00EE0C2F">
      <w:pPr>
        <w:pStyle w:val="Hapesira7"/>
        <w:rPr>
          <w:lang w:val="sq-AL"/>
        </w:rPr>
      </w:pPr>
    </w:p>
    <w:p w:rsidR="00EE0C2F" w:rsidRPr="00D657AC" w:rsidRDefault="00EE0C2F" w:rsidP="00EE0C2F">
      <w:pPr>
        <w:pStyle w:val="Paragrafi"/>
        <w:rPr>
          <w:lang w:val="sq-AL"/>
        </w:rPr>
      </w:pPr>
      <w:r w:rsidRPr="00D657AC">
        <w:rPr>
          <w:lang w:val="sq-AL"/>
        </w:rPr>
        <w:t xml:space="preserve">Shënim 2. Disa faktorë të rëndësishëm që duhen marrë në konsideratë, kur bëhet vlerësimi i përgjithshëm i nivelit të rrezikut, janë: lloji i tumorit; përgjigjet në shumë zona; zhvillimi i plagëve me natyrë malinje; ulja e tumorit që zhvillohet në fshehtësi; nëse përgjigjet janë vetëm për një apo për dy </w:t>
      </w:r>
      <w:r w:rsidRPr="00D657AC">
        <w:rPr>
          <w:lang w:val="sq-AL"/>
        </w:rPr>
        <w:lastRenderedPageBreak/>
        <w:t>gjini; nëse përgjigjet janë vetëm për një apo për disa specie; ngjashmëria strukturore e një substance për të cilën ka prova se ka veti kancerogjene; rrugët e ekspozimit; krahasimi i thithjes, shpërndarjes, metabolizmit dhe nxjerrjes midis testeve të bëra te njerëzit dhe te kafshët; mundësia e një efekti të ngatërruar nga toksiciteti i tepruar në dozat e provës; mënyra e veprimit dhe rëndësia e tij për njerëzit, siç është efekti toksik me stimulimin e rritjes, mitogens, imunosupresioni, mutagjenim etj.</w:t>
      </w:r>
    </w:p>
    <w:p w:rsidR="00EE0C2F" w:rsidRDefault="00EE0C2F" w:rsidP="00EE0C2F">
      <w:pPr>
        <w:pStyle w:val="Paragrafi"/>
        <w:rPr>
          <w:lang w:val="sq-AL"/>
        </w:rPr>
      </w:pPr>
    </w:p>
    <w:p w:rsidR="00EE0C2F" w:rsidRDefault="00EE0C2F" w:rsidP="00EE0C2F">
      <w:pPr>
        <w:pStyle w:val="Paragrafi"/>
        <w:rPr>
          <w:lang w:val="sq-AL"/>
        </w:rPr>
      </w:pPr>
    </w:p>
    <w:p w:rsidR="00EE0C2F" w:rsidRDefault="00EE0C2F" w:rsidP="00EE0C2F">
      <w:pPr>
        <w:pStyle w:val="Paragrafi"/>
        <w:rPr>
          <w:lang w:val="sq-AL"/>
        </w:rPr>
      </w:pPr>
    </w:p>
    <w:p w:rsidR="00EE0C2F" w:rsidRDefault="00EE0C2F" w:rsidP="00EE0C2F">
      <w:pPr>
        <w:pStyle w:val="Paragrafi"/>
        <w:rPr>
          <w:lang w:val="sq-AL"/>
        </w:rPr>
      </w:pPr>
    </w:p>
    <w:p w:rsidR="00EE0C2F" w:rsidRDefault="00EE0C2F" w:rsidP="00EE0C2F">
      <w:pPr>
        <w:pStyle w:val="Paragrafi"/>
        <w:rPr>
          <w:lang w:val="sq-AL"/>
        </w:rPr>
      </w:pPr>
    </w:p>
    <w:p w:rsidR="00EE0C2F" w:rsidRDefault="00EE0C2F" w:rsidP="00EE0C2F">
      <w:pPr>
        <w:pStyle w:val="Paragrafi"/>
        <w:rPr>
          <w:lang w:val="sq-AL"/>
        </w:rPr>
      </w:pPr>
    </w:p>
    <w:p w:rsidR="00EE0C2F" w:rsidRPr="00D657AC" w:rsidRDefault="00EE0C2F" w:rsidP="00EE0C2F">
      <w:pPr>
        <w:pStyle w:val="Paragrafi"/>
        <w:rPr>
          <w:lang w:val="sq-AL"/>
        </w:rPr>
      </w:pPr>
    </w:p>
    <w:p w:rsidR="00EE0C2F" w:rsidRPr="00D657AC" w:rsidRDefault="00EE0C2F" w:rsidP="00EE0C2F">
      <w:pPr>
        <w:pStyle w:val="NeniNr"/>
        <w:rPr>
          <w:lang w:val="sq-AL"/>
        </w:rPr>
      </w:pPr>
      <w:r w:rsidRPr="00D657AC">
        <w:rPr>
          <w:lang w:val="sq-AL"/>
        </w:rPr>
        <w:t>TABELA NR. 3</w:t>
      </w:r>
    </w:p>
    <w:p w:rsidR="00EE0C2F" w:rsidRPr="00D657AC" w:rsidRDefault="00EE0C2F" w:rsidP="00EE0C2F">
      <w:pPr>
        <w:pStyle w:val="NeniNr"/>
        <w:rPr>
          <w:lang w:val="sq-AL"/>
        </w:rPr>
      </w:pPr>
      <w:r w:rsidRPr="00D657AC">
        <w:rPr>
          <w:lang w:val="sq-AL"/>
        </w:rPr>
        <w:t>KATEGORITË E RREZIKUT PËR QELIZAT TOKSIKE PËR RIPRODHIMIN DHE PËR EFEKTE NGA USHQIMI ME GJI</w:t>
      </w:r>
    </w:p>
    <w:p w:rsidR="00EE0C2F" w:rsidRPr="00D657AC" w:rsidRDefault="00EE0C2F" w:rsidP="00EE0C2F">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6228"/>
      </w:tblGrid>
      <w:tr w:rsidR="00EE0C2F" w:rsidRPr="00D657AC" w:rsidTr="00F245E8">
        <w:tc>
          <w:tcPr>
            <w:tcW w:w="3348" w:type="dxa"/>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jc w:val="center"/>
              <w:rPr>
                <w:b/>
                <w:sz w:val="20"/>
                <w:szCs w:val="20"/>
                <w:lang w:val="sq-AL"/>
              </w:rPr>
            </w:pPr>
            <w:r w:rsidRPr="00D657AC">
              <w:rPr>
                <w:b/>
                <w:sz w:val="20"/>
                <w:szCs w:val="20"/>
                <w:lang w:val="sq-AL"/>
              </w:rPr>
              <w:t>Kategoritë</w:t>
            </w:r>
          </w:p>
          <w:p w:rsidR="00EE0C2F" w:rsidRPr="00D657AC" w:rsidRDefault="00EE0C2F" w:rsidP="00F245E8">
            <w:pPr>
              <w:pStyle w:val="Paragrafi"/>
              <w:ind w:firstLine="0"/>
              <w:jc w:val="center"/>
              <w:rPr>
                <w:b/>
                <w:sz w:val="20"/>
                <w:szCs w:val="20"/>
                <w:lang w:val="sq-AL"/>
              </w:rPr>
            </w:pPr>
          </w:p>
        </w:tc>
        <w:tc>
          <w:tcPr>
            <w:tcW w:w="6228" w:type="dxa"/>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jc w:val="center"/>
              <w:rPr>
                <w:b/>
                <w:sz w:val="20"/>
                <w:szCs w:val="20"/>
                <w:lang w:val="sq-AL"/>
              </w:rPr>
            </w:pPr>
            <w:r w:rsidRPr="00D657AC">
              <w:rPr>
                <w:b/>
                <w:sz w:val="20"/>
                <w:szCs w:val="20"/>
                <w:lang w:val="sq-AL"/>
              </w:rPr>
              <w:t>Kriteret</w:t>
            </w:r>
          </w:p>
        </w:tc>
      </w:tr>
      <w:tr w:rsidR="00EE0C2F" w:rsidRPr="00D657AC" w:rsidTr="00F245E8">
        <w:tc>
          <w:tcPr>
            <w:tcW w:w="3348" w:type="dxa"/>
            <w:tcBorders>
              <w:top w:val="single" w:sz="4" w:space="0" w:color="auto"/>
              <w:left w:val="single" w:sz="4" w:space="0" w:color="auto"/>
              <w:bottom w:val="single" w:sz="4" w:space="0" w:color="auto"/>
              <w:right w:val="single" w:sz="4" w:space="0" w:color="auto"/>
            </w:tcBorders>
          </w:tcPr>
          <w:p w:rsidR="00EE0C2F" w:rsidRPr="00BD39D2" w:rsidRDefault="00EE0C2F" w:rsidP="00F245E8">
            <w:pPr>
              <w:pStyle w:val="Paragrafi"/>
              <w:ind w:firstLine="0"/>
              <w:rPr>
                <w:b/>
                <w:sz w:val="20"/>
                <w:szCs w:val="20"/>
                <w:lang w:val="sq-AL"/>
              </w:rPr>
            </w:pPr>
            <w:r w:rsidRPr="00BD39D2">
              <w:rPr>
                <w:b/>
                <w:sz w:val="20"/>
                <w:szCs w:val="20"/>
                <w:lang w:val="sq-AL"/>
              </w:rPr>
              <w:t xml:space="preserve">Kategoria 1: </w:t>
            </w: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r w:rsidRPr="00BD39D2">
              <w:rPr>
                <w:b/>
                <w:sz w:val="20"/>
                <w:szCs w:val="20"/>
                <w:lang w:val="sq-AL"/>
              </w:rPr>
              <w:t>Kategoria 1A:</w:t>
            </w: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tabs>
                <w:tab w:val="left" w:pos="814"/>
              </w:tabs>
              <w:ind w:firstLine="0"/>
              <w:rPr>
                <w:b/>
                <w:sz w:val="20"/>
                <w:szCs w:val="20"/>
                <w:lang w:val="sq-AL"/>
              </w:rPr>
            </w:pPr>
            <w:r w:rsidRPr="00BD39D2">
              <w:rPr>
                <w:b/>
                <w:sz w:val="20"/>
                <w:szCs w:val="20"/>
                <w:lang w:val="sq-AL"/>
              </w:rPr>
              <w:tab/>
            </w:r>
          </w:p>
          <w:p w:rsidR="00EE0C2F" w:rsidRPr="00BD39D2" w:rsidRDefault="00EE0C2F" w:rsidP="00F245E8">
            <w:pPr>
              <w:pStyle w:val="Paragrafi"/>
              <w:ind w:firstLine="0"/>
              <w:rPr>
                <w:b/>
                <w:sz w:val="20"/>
                <w:szCs w:val="20"/>
                <w:lang w:val="sq-AL"/>
              </w:rPr>
            </w:pPr>
          </w:p>
          <w:p w:rsidR="00EE0C2F" w:rsidRPr="00BD39D2" w:rsidRDefault="00EE0C2F" w:rsidP="00F245E8">
            <w:pPr>
              <w:pStyle w:val="Paragrafi"/>
              <w:ind w:firstLine="0"/>
              <w:rPr>
                <w:b/>
                <w:sz w:val="20"/>
                <w:szCs w:val="20"/>
                <w:lang w:val="sq-AL"/>
              </w:rPr>
            </w:pPr>
            <w:r w:rsidRPr="00BD39D2">
              <w:rPr>
                <w:b/>
                <w:sz w:val="20"/>
                <w:szCs w:val="20"/>
                <w:lang w:val="sq-AL"/>
              </w:rPr>
              <w:t>Kategoria 1B:</w:t>
            </w:r>
          </w:p>
        </w:tc>
        <w:tc>
          <w:tcPr>
            <w:tcW w:w="6228" w:type="dxa"/>
            <w:tcBorders>
              <w:top w:val="single" w:sz="4" w:space="0" w:color="auto"/>
              <w:left w:val="single" w:sz="4" w:space="0" w:color="auto"/>
              <w:bottom w:val="single" w:sz="4" w:space="0" w:color="auto"/>
              <w:right w:val="single" w:sz="4" w:space="0" w:color="auto"/>
            </w:tcBorders>
          </w:tcPr>
          <w:p w:rsidR="00EE0C2F" w:rsidRPr="00D657AC" w:rsidRDefault="00EE0C2F" w:rsidP="00F245E8">
            <w:pPr>
              <w:pStyle w:val="Paragrafi"/>
              <w:ind w:firstLine="0"/>
              <w:rPr>
                <w:sz w:val="20"/>
                <w:szCs w:val="20"/>
                <w:lang w:val="sq-AL"/>
              </w:rPr>
            </w:pPr>
            <w:r w:rsidRPr="00D657AC">
              <w:rPr>
                <w:sz w:val="20"/>
                <w:szCs w:val="20"/>
                <w:lang w:val="sq-AL"/>
              </w:rPr>
              <w:t>Substancat e njohura ose që mendohen të jenë toksike për riprodhimin te njeriu janë klasifikuar në kategorinë 1, kur njihen se mund të japin një efekt negativ mbi funksionin seksual dhe fertilitetin apo në zhvillimin e njeriut ose kur ka të dhëna nga studimet e bëra te kafshët, mundësisht këto të dhëna të plotësohen me të dhëna të tjera për të pasur një ide me të qartë se substanca ka aftësinë për të ndërhyrë në aftësinë riprodhuese të njeriut.</w:t>
            </w:r>
          </w:p>
          <w:p w:rsidR="00EE0C2F" w:rsidRPr="00D657AC" w:rsidRDefault="00EE0C2F" w:rsidP="00F245E8">
            <w:pPr>
              <w:pStyle w:val="Paragrafi"/>
              <w:ind w:firstLine="0"/>
              <w:rPr>
                <w:sz w:val="20"/>
                <w:szCs w:val="20"/>
                <w:lang w:val="sq-AL"/>
              </w:rPr>
            </w:pPr>
            <w:r w:rsidRPr="00D657AC">
              <w:rPr>
                <w:sz w:val="20"/>
                <w:szCs w:val="20"/>
                <w:lang w:val="sq-AL"/>
              </w:rPr>
              <w:t>Klasifikimi i një substance dallohet edhe më tej nëse prova për klasifikimin kryesisht është nga të dhënat për njeriun (kategoria 1A) ose nga të dhënat për kafshët (kategoria 1B).</w:t>
            </w:r>
          </w:p>
          <w:p w:rsidR="00EE0C2F" w:rsidRPr="00D657AC" w:rsidRDefault="00EE0C2F" w:rsidP="00F245E8">
            <w:pPr>
              <w:pStyle w:val="Paragrafi"/>
              <w:ind w:firstLine="0"/>
              <w:rPr>
                <w:sz w:val="20"/>
                <w:szCs w:val="20"/>
                <w:lang w:val="sq-AL"/>
              </w:rPr>
            </w:pPr>
            <w:r w:rsidRPr="00D657AC">
              <w:rPr>
                <w:sz w:val="20"/>
                <w:szCs w:val="20"/>
                <w:lang w:val="sq-AL"/>
              </w:rPr>
              <w:t>Substancat që njihen për efektin toksik në riprodhimin te njeriu.</w:t>
            </w:r>
          </w:p>
          <w:p w:rsidR="00EE0C2F" w:rsidRPr="00D657AC" w:rsidRDefault="00EE0C2F" w:rsidP="00F245E8">
            <w:pPr>
              <w:pStyle w:val="Paragrafi"/>
              <w:ind w:firstLine="0"/>
              <w:rPr>
                <w:sz w:val="20"/>
                <w:szCs w:val="20"/>
                <w:lang w:val="sq-AL"/>
              </w:rPr>
            </w:pPr>
            <w:r w:rsidRPr="00D657AC">
              <w:rPr>
                <w:sz w:val="20"/>
                <w:szCs w:val="20"/>
                <w:lang w:val="sq-AL"/>
              </w:rPr>
              <w:t>Klasifikimi i një substance në kategorinë 1 është bazuar gjerësisht në të dhënat e marra nga njeriu.</w:t>
            </w:r>
          </w:p>
          <w:p w:rsidR="00EE0C2F" w:rsidRPr="00D657AC" w:rsidRDefault="00EE0C2F" w:rsidP="00F245E8">
            <w:pPr>
              <w:pStyle w:val="Paragrafi"/>
              <w:ind w:firstLine="0"/>
              <w:rPr>
                <w:sz w:val="20"/>
                <w:szCs w:val="20"/>
                <w:lang w:val="sq-AL"/>
              </w:rPr>
            </w:pPr>
          </w:p>
          <w:p w:rsidR="00EE0C2F" w:rsidRPr="00D657AC" w:rsidRDefault="00EE0C2F" w:rsidP="00F245E8">
            <w:pPr>
              <w:pStyle w:val="Paragrafi"/>
              <w:ind w:firstLine="0"/>
              <w:rPr>
                <w:sz w:val="20"/>
                <w:szCs w:val="20"/>
                <w:lang w:val="sq-AL"/>
              </w:rPr>
            </w:pPr>
            <w:r w:rsidRPr="00D657AC">
              <w:rPr>
                <w:sz w:val="20"/>
                <w:szCs w:val="20"/>
                <w:lang w:val="sq-AL"/>
              </w:rPr>
              <w:t>Substancat që mendohen të jenë toksike për riprodhimin te njeriu.</w:t>
            </w:r>
          </w:p>
          <w:p w:rsidR="00EE0C2F" w:rsidRPr="00D657AC" w:rsidRDefault="00EE0C2F" w:rsidP="00F245E8">
            <w:pPr>
              <w:pStyle w:val="Paragrafi"/>
              <w:ind w:firstLine="0"/>
              <w:rPr>
                <w:sz w:val="20"/>
                <w:szCs w:val="20"/>
                <w:lang w:val="sq-AL"/>
              </w:rPr>
            </w:pPr>
            <w:r w:rsidRPr="00D657AC">
              <w:rPr>
                <w:sz w:val="20"/>
                <w:szCs w:val="20"/>
                <w:lang w:val="sq-AL"/>
              </w:rPr>
              <w:t xml:space="preserve">Klasifikimi i një substance në </w:t>
            </w:r>
            <w:r w:rsidRPr="00BD39D2">
              <w:rPr>
                <w:b/>
                <w:sz w:val="20"/>
                <w:szCs w:val="20"/>
                <w:lang w:val="sq-AL"/>
              </w:rPr>
              <w:t>kategorinë 1B</w:t>
            </w:r>
            <w:r w:rsidRPr="00D657AC">
              <w:rPr>
                <w:sz w:val="20"/>
                <w:szCs w:val="20"/>
                <w:lang w:val="sq-AL"/>
              </w:rPr>
              <w:t xml:space="preserve"> bazohet kryesisht në të dhënat e marra nga studimet e bëra te kafshët. </w:t>
            </w:r>
          </w:p>
          <w:p w:rsidR="00EE0C2F" w:rsidRPr="00D657AC" w:rsidRDefault="00EE0C2F" w:rsidP="00F245E8">
            <w:pPr>
              <w:pStyle w:val="Paragrafi"/>
              <w:ind w:firstLine="0"/>
              <w:rPr>
                <w:sz w:val="20"/>
                <w:szCs w:val="20"/>
                <w:lang w:val="sq-AL"/>
              </w:rPr>
            </w:pPr>
          </w:p>
          <w:p w:rsidR="00EE0C2F" w:rsidRPr="00D657AC" w:rsidRDefault="00EE0C2F" w:rsidP="00F245E8">
            <w:pPr>
              <w:pStyle w:val="Paragrafi"/>
              <w:ind w:firstLine="0"/>
              <w:rPr>
                <w:sz w:val="20"/>
                <w:szCs w:val="20"/>
                <w:lang w:val="sq-AL"/>
              </w:rPr>
            </w:pPr>
            <w:r w:rsidRPr="00D657AC">
              <w:rPr>
                <w:sz w:val="20"/>
                <w:szCs w:val="20"/>
                <w:lang w:val="sq-AL"/>
              </w:rPr>
              <w:t>Këto të dhëna do të sigurojnë një ide të qartë të efektit negativ në funksionin seksual dhe pjellorinë apo në zhvillimin në mungesë të efekteve të tjera toksike ose nëse ndodhin së bashku me efektet e tjera toksike efekti negativ mbi riprodhimin do të konsiderohet që të mos jetë një pasojë dytësore jospecifike e efekteve të tjera toksike.</w:t>
            </w:r>
          </w:p>
          <w:p w:rsidR="00EE0C2F" w:rsidRDefault="00EE0C2F" w:rsidP="00F245E8">
            <w:pPr>
              <w:pStyle w:val="Paragrafi"/>
              <w:ind w:firstLine="0"/>
              <w:rPr>
                <w:sz w:val="20"/>
                <w:szCs w:val="20"/>
                <w:lang w:val="sq-AL"/>
              </w:rPr>
            </w:pPr>
            <w:r w:rsidRPr="00D657AC">
              <w:rPr>
                <w:sz w:val="20"/>
                <w:szCs w:val="20"/>
                <w:lang w:val="sq-AL"/>
              </w:rPr>
              <w:t>Megjithatë, kur informacioni është mekanistik që ngre dyshime në lidhje me rëndësinë e efektit/ndikimit te njerëzit, klasifikimi në kategorinë 2 mund të jetë më e përshtatshme.</w:t>
            </w:r>
          </w:p>
          <w:p w:rsidR="00EE0C2F" w:rsidRPr="00D657AC" w:rsidRDefault="00EE0C2F" w:rsidP="00F245E8">
            <w:pPr>
              <w:pStyle w:val="Paragrafi"/>
              <w:ind w:firstLine="0"/>
              <w:rPr>
                <w:sz w:val="20"/>
                <w:szCs w:val="20"/>
                <w:lang w:val="sq-AL"/>
              </w:rPr>
            </w:pPr>
          </w:p>
        </w:tc>
      </w:tr>
      <w:tr w:rsidR="00EE0C2F" w:rsidRPr="00D657AC" w:rsidTr="00F245E8">
        <w:tc>
          <w:tcPr>
            <w:tcW w:w="3348" w:type="dxa"/>
            <w:tcBorders>
              <w:top w:val="single" w:sz="4" w:space="0" w:color="auto"/>
              <w:left w:val="single" w:sz="4" w:space="0" w:color="auto"/>
              <w:bottom w:val="single" w:sz="4" w:space="0" w:color="auto"/>
              <w:right w:val="single" w:sz="4" w:space="0" w:color="auto"/>
            </w:tcBorders>
            <w:hideMark/>
          </w:tcPr>
          <w:p w:rsidR="00EE0C2F" w:rsidRPr="00BD39D2" w:rsidRDefault="00EE0C2F" w:rsidP="00F245E8">
            <w:pPr>
              <w:pStyle w:val="Paragrafi"/>
              <w:ind w:firstLine="0"/>
              <w:rPr>
                <w:b/>
                <w:sz w:val="20"/>
                <w:szCs w:val="20"/>
                <w:lang w:val="sq-AL"/>
              </w:rPr>
            </w:pPr>
            <w:r w:rsidRPr="00BD39D2">
              <w:rPr>
                <w:b/>
                <w:sz w:val="20"/>
                <w:szCs w:val="20"/>
                <w:lang w:val="sq-AL"/>
              </w:rPr>
              <w:t>Kategoria 2:</w:t>
            </w:r>
          </w:p>
        </w:tc>
        <w:tc>
          <w:tcPr>
            <w:tcW w:w="6228" w:type="dxa"/>
            <w:tcBorders>
              <w:top w:val="single" w:sz="4" w:space="0" w:color="auto"/>
              <w:left w:val="single" w:sz="4" w:space="0" w:color="auto"/>
              <w:bottom w:val="single" w:sz="4" w:space="0" w:color="auto"/>
              <w:right w:val="single" w:sz="4" w:space="0" w:color="auto"/>
            </w:tcBorders>
            <w:hideMark/>
          </w:tcPr>
          <w:p w:rsidR="00EE0C2F" w:rsidRPr="00D657AC" w:rsidRDefault="00EE0C2F" w:rsidP="00F245E8">
            <w:pPr>
              <w:pStyle w:val="Paragrafi"/>
              <w:ind w:firstLine="0"/>
              <w:rPr>
                <w:sz w:val="20"/>
                <w:szCs w:val="20"/>
                <w:lang w:val="sq-AL"/>
              </w:rPr>
            </w:pPr>
            <w:r w:rsidRPr="00D657AC">
              <w:rPr>
                <w:sz w:val="20"/>
                <w:szCs w:val="20"/>
                <w:lang w:val="sq-AL"/>
              </w:rPr>
              <w:t>Substancat që mendohen të jenë toksike për riprodhimin te njeriu janë klasifikuar në kategorinë 2 për ndikimin e toksicitetit në riprodhim, kur ka disa të dhëna për njeriun ose kafshët eksperimentale, mundësisht të plotësohet me të dhëna shtesë për një efekt negativ mbi funksionin seksual dhe fertilitetin, apo në zhvillim dhe ku të dhënat nuk janë aq bindëse sa ta klasifikojnë substancën në kategorinë 1.</w:t>
            </w:r>
          </w:p>
          <w:p w:rsidR="00EE0C2F" w:rsidRPr="00D657AC" w:rsidRDefault="00EE0C2F" w:rsidP="00F245E8">
            <w:pPr>
              <w:pStyle w:val="Paragrafi"/>
              <w:ind w:firstLine="0"/>
              <w:rPr>
                <w:sz w:val="20"/>
                <w:szCs w:val="20"/>
                <w:lang w:val="sq-AL"/>
              </w:rPr>
            </w:pPr>
            <w:r w:rsidRPr="00D657AC">
              <w:rPr>
                <w:sz w:val="20"/>
                <w:szCs w:val="20"/>
                <w:lang w:val="sq-AL"/>
              </w:rPr>
              <w:t>Nëse mungesat në studim e bëjnë cilësinë e provave më pak bindëse, klasifikimi më i përshtatshëm mund të jetë kategoria 2.</w:t>
            </w:r>
          </w:p>
          <w:p w:rsidR="00EE0C2F" w:rsidRDefault="00EE0C2F" w:rsidP="00F245E8">
            <w:pPr>
              <w:pStyle w:val="Paragrafi"/>
              <w:ind w:firstLine="0"/>
              <w:rPr>
                <w:sz w:val="20"/>
                <w:szCs w:val="20"/>
                <w:lang w:val="sq-AL"/>
              </w:rPr>
            </w:pPr>
            <w:r w:rsidRPr="00D657AC">
              <w:rPr>
                <w:sz w:val="20"/>
                <w:szCs w:val="20"/>
                <w:lang w:val="sq-AL"/>
              </w:rPr>
              <w:t>Efektet e tilla mund të jenë vërejtur në mungesë të efekteve të tjera toksike ose në qoftë se ndodhin së bashku me efektet tjera toksike efekti negativ mbi riprodhimin do të konsiderohet që të mos jetë një pasojë dytësore jospecifike e efekteve të tjera toksike.</w:t>
            </w:r>
          </w:p>
          <w:p w:rsidR="00EE0C2F" w:rsidRPr="00D657AC" w:rsidRDefault="00EE0C2F" w:rsidP="00F245E8">
            <w:pPr>
              <w:pStyle w:val="Paragrafi"/>
              <w:ind w:firstLine="0"/>
              <w:rPr>
                <w:sz w:val="20"/>
                <w:szCs w:val="20"/>
                <w:lang w:val="sq-AL"/>
              </w:rPr>
            </w:pPr>
          </w:p>
        </w:tc>
      </w:tr>
    </w:tbl>
    <w:p w:rsidR="00EE0C2F" w:rsidRPr="00D657AC" w:rsidRDefault="00EE0C2F" w:rsidP="00EE0C2F">
      <w:pPr>
        <w:pStyle w:val="Paragrafi"/>
        <w:rPr>
          <w:lang w:val="sq-AL"/>
        </w:rPr>
      </w:pPr>
    </w:p>
    <w:p w:rsidR="00EE0C2F" w:rsidRDefault="00EE0C2F" w:rsidP="00EE0C2F">
      <w:pPr>
        <w:pStyle w:val="Hapesira7"/>
        <w:rPr>
          <w:lang w:val="sq-AL"/>
        </w:rPr>
        <w:sectPr w:rsidR="00EE0C2F" w:rsidSect="00BE6EBC">
          <w:type w:val="continuous"/>
          <w:pgSz w:w="11907" w:h="16840" w:code="9"/>
          <w:pgMar w:top="720" w:right="1134" w:bottom="720" w:left="1134" w:header="851" w:footer="851" w:gutter="0"/>
          <w:cols w:space="720"/>
          <w:docGrid w:linePitch="360"/>
        </w:sectPr>
      </w:pPr>
    </w:p>
    <w:p w:rsidR="00EE0C2F" w:rsidRPr="00E95B49" w:rsidRDefault="00EE0C2F" w:rsidP="00EE0C2F">
      <w:pPr>
        <w:pStyle w:val="Paragrafi"/>
        <w:ind w:firstLine="0"/>
        <w:jc w:val="center"/>
        <w:rPr>
          <w:spacing w:val="-4"/>
          <w:lang w:val="sq-AL"/>
        </w:rPr>
      </w:pPr>
      <w:r w:rsidRPr="00E95B49">
        <w:rPr>
          <w:spacing w:val="-4"/>
          <w:lang w:val="sq-AL"/>
        </w:rPr>
        <w:lastRenderedPageBreak/>
        <w:t>SHTOJCA III</w:t>
      </w:r>
    </w:p>
    <w:p w:rsidR="00EE0C2F" w:rsidRPr="00E95B49" w:rsidRDefault="00EE0C2F" w:rsidP="00EE0C2F">
      <w:pPr>
        <w:pStyle w:val="Paragrafi"/>
        <w:ind w:firstLine="0"/>
        <w:jc w:val="center"/>
        <w:rPr>
          <w:spacing w:val="-4"/>
          <w:lang w:val="sq-AL"/>
        </w:rPr>
      </w:pPr>
      <w:r w:rsidRPr="00E95B49">
        <w:rPr>
          <w:spacing w:val="-4"/>
          <w:lang w:val="sq-AL"/>
        </w:rPr>
        <w:t>ANALIZA SOCIAL-EKONOMIKE</w:t>
      </w:r>
    </w:p>
    <w:p w:rsidR="00EE0C2F" w:rsidRPr="00E95B49" w:rsidRDefault="00EE0C2F" w:rsidP="00EE0C2F">
      <w:pPr>
        <w:pStyle w:val="Hapesira7"/>
        <w:rPr>
          <w:spacing w:val="-4"/>
          <w:lang w:val="sq-AL"/>
        </w:rPr>
      </w:pPr>
    </w:p>
    <w:p w:rsidR="00EE0C2F" w:rsidRPr="00E95B49" w:rsidRDefault="00EE0C2F" w:rsidP="00EE0C2F">
      <w:pPr>
        <w:pStyle w:val="Paragrafi"/>
        <w:rPr>
          <w:spacing w:val="-4"/>
          <w:lang w:val="sq-AL"/>
        </w:rPr>
      </w:pPr>
      <w:r w:rsidRPr="00E95B49">
        <w:rPr>
          <w:spacing w:val="-4"/>
          <w:lang w:val="sq-AL"/>
        </w:rPr>
        <w:t xml:space="preserve">Kjo shtojcë paraqet informacionin që mund të adresohet nga ata që paraqesin një analizë social-ekonomike (SEA) me një kërkesë për autorizim të kushtëzuar, sipas pikës 4.5, të kreut II, të këtij vendimi. </w:t>
      </w:r>
    </w:p>
    <w:p w:rsidR="00EE0C2F" w:rsidRPr="00E95B49" w:rsidRDefault="00EE0C2F" w:rsidP="00EE0C2F">
      <w:pPr>
        <w:pStyle w:val="Paragrafi"/>
        <w:rPr>
          <w:spacing w:val="-4"/>
          <w:lang w:val="sq-AL"/>
        </w:rPr>
      </w:pPr>
      <w:r w:rsidRPr="00E95B49">
        <w:rPr>
          <w:spacing w:val="-4"/>
          <w:lang w:val="sq-AL"/>
        </w:rPr>
        <w:t xml:space="preserve">Një SEA mund të përfshijë elementet e mëposhtme: </w:t>
      </w:r>
    </w:p>
    <w:p w:rsidR="00EE0C2F" w:rsidRDefault="00EE0C2F" w:rsidP="00EE0C2F">
      <w:pPr>
        <w:pStyle w:val="Paragrafi"/>
        <w:rPr>
          <w:spacing w:val="-4"/>
          <w:lang w:val="sq-AL"/>
        </w:rPr>
      </w:pPr>
    </w:p>
    <w:p w:rsidR="00EE0C2F" w:rsidRPr="00E95B49" w:rsidRDefault="00EE0C2F" w:rsidP="00EE0C2F">
      <w:pPr>
        <w:pStyle w:val="Paragrafi"/>
        <w:rPr>
          <w:spacing w:val="-4"/>
          <w:lang w:val="sq-AL"/>
        </w:rPr>
      </w:pPr>
      <w:r>
        <w:rPr>
          <w:spacing w:val="-4"/>
          <w:lang w:val="sq-AL"/>
        </w:rPr>
        <w:t xml:space="preserve">1. </w:t>
      </w:r>
      <w:r w:rsidRPr="00E95B49">
        <w:rPr>
          <w:spacing w:val="-4"/>
          <w:lang w:val="sq-AL"/>
        </w:rPr>
        <w:t>Ndikimin e një autorizimi të dhënë ose të refuzuar për aplikantin/ët ose në rastin e një kufizimi të propozuar, ndikimi në industri (p.sh. prodhuesit dhe importuesit). Ndikimi mbi të gjithë aktorët e tjerë në zinxhirin e furnizimit, përdoruesit profesionalë dhe biznese të lidhura në aspektin e pasojave komerciale, të tilla si: ndikimi në investime, hulumtim dhe zhvillim, risi, shpenzimet kapitale dhe operacionale (p.sh., përputhshmëria, marrëveshjet tranzicionale, ndryshime të proceseve ekzistuese, sistemet e raportimit dhe të monito</w:t>
      </w:r>
      <w:r>
        <w:rPr>
          <w:spacing w:val="-4"/>
          <w:lang w:val="sq-AL"/>
        </w:rPr>
        <w:t>-</w:t>
      </w:r>
      <w:r w:rsidRPr="00E95B49">
        <w:rPr>
          <w:spacing w:val="-4"/>
          <w:lang w:val="sq-AL"/>
        </w:rPr>
        <w:t>rimit, instalimi i teknologjisë së re etj.) duke marrë parasysh tendencat e përgjithshme në treg dhe të teknologjisë.</w:t>
      </w:r>
    </w:p>
    <w:p w:rsidR="00EE0C2F" w:rsidRPr="00E95B49" w:rsidRDefault="00EE0C2F" w:rsidP="00EE0C2F">
      <w:pPr>
        <w:pStyle w:val="Paragrafi"/>
        <w:rPr>
          <w:spacing w:val="-4"/>
          <w:lang w:val="sq-AL"/>
        </w:rPr>
      </w:pPr>
      <w:r>
        <w:rPr>
          <w:spacing w:val="-4"/>
          <w:lang w:val="sq-AL"/>
        </w:rPr>
        <w:t xml:space="preserve">2. </w:t>
      </w:r>
      <w:r w:rsidRPr="00E95B49">
        <w:rPr>
          <w:spacing w:val="-4"/>
          <w:lang w:val="sq-AL"/>
        </w:rPr>
        <w:t>Ndikimet e një autorizimi të dhënë ose të refuzuar ose një kufizim të propozuar për konsumatorët. Për shembull, çmimet e prodhimit, ndryshimet në përbërjen ose cilësinë e produkteve, disponueshmëria e produkteve, zgjedhja e konsumatorit, si dhe efektet në shëndetin e njeriut dhe mjedisin në masën që këto ndikojnë te konsumatorët.</w:t>
      </w:r>
    </w:p>
    <w:p w:rsidR="00EE0C2F" w:rsidRPr="00E95B49" w:rsidRDefault="00EE0C2F" w:rsidP="00EE0C2F">
      <w:pPr>
        <w:pStyle w:val="Paragrafi"/>
        <w:rPr>
          <w:spacing w:val="-4"/>
          <w:lang w:val="sq-AL"/>
        </w:rPr>
      </w:pPr>
      <w:r>
        <w:rPr>
          <w:spacing w:val="-4"/>
          <w:lang w:val="sq-AL"/>
        </w:rPr>
        <w:t xml:space="preserve">3. </w:t>
      </w:r>
      <w:r w:rsidRPr="00E95B49">
        <w:rPr>
          <w:spacing w:val="-4"/>
          <w:lang w:val="sq-AL"/>
        </w:rPr>
        <w:t xml:space="preserve">Implikimet shoqërore të një autorizimi të dhënë ose të refuzuar ose një kufizim të propozuar. Për shembull, të sigurisë në punë dhe punësimit. </w:t>
      </w:r>
    </w:p>
    <w:p w:rsidR="00EE0C2F" w:rsidRPr="00E95B49" w:rsidRDefault="00EE0C2F" w:rsidP="00EE0C2F">
      <w:pPr>
        <w:pStyle w:val="Paragrafi"/>
        <w:rPr>
          <w:spacing w:val="-4"/>
          <w:lang w:val="sq-AL"/>
        </w:rPr>
      </w:pPr>
      <w:r>
        <w:rPr>
          <w:spacing w:val="-4"/>
          <w:lang w:val="sq-AL"/>
        </w:rPr>
        <w:t xml:space="preserve">4. </w:t>
      </w:r>
      <w:r w:rsidRPr="00E95B49">
        <w:rPr>
          <w:spacing w:val="-4"/>
          <w:lang w:val="sq-AL"/>
        </w:rPr>
        <w:t>Disponueshmërinë, përshtatshmërinë dhe fizibiliteti teknik i substancave dhe/ose teknologjive alternative dhe pasojat ekonomike të tyre e informacione mbi normat dhe potencialin për ndryshim teknologjik në sektorin/ët në fjalë. Në rastin e kërkesës për autorizim, ndikimet sociale dhe/ose ekonomike mbi përdorimin e ndonjë alternative të mundshme.</w:t>
      </w:r>
    </w:p>
    <w:p w:rsidR="00EE0C2F" w:rsidRPr="00E95B49" w:rsidRDefault="00EE0C2F" w:rsidP="00EE0C2F">
      <w:pPr>
        <w:pStyle w:val="Paragrafi"/>
        <w:rPr>
          <w:spacing w:val="-4"/>
          <w:lang w:val="sq-AL"/>
        </w:rPr>
      </w:pPr>
      <w:r>
        <w:rPr>
          <w:spacing w:val="-4"/>
          <w:lang w:val="sq-AL"/>
        </w:rPr>
        <w:t xml:space="preserve">5. </w:t>
      </w:r>
      <w:r w:rsidRPr="00E95B49">
        <w:rPr>
          <w:spacing w:val="-4"/>
          <w:lang w:val="sq-AL"/>
        </w:rPr>
        <w:t>Implikimet më të gjera mbi tregtinë, konkurrencën dhe zhvillimin ekonomik (në veçanti për SME-të dhe në raport me vendet e treta) e autorizimit të dhënë ose të refuzuar ose një kufizim të propozuar. Kjo mund të përfshijë konsideratat e aspekteve loka</w:t>
      </w:r>
      <w:r>
        <w:rPr>
          <w:spacing w:val="-4"/>
          <w:lang w:val="sq-AL"/>
        </w:rPr>
        <w:t>le, rajonale, kombëtare ose ndër-</w:t>
      </w:r>
      <w:r w:rsidRPr="00E95B49">
        <w:rPr>
          <w:spacing w:val="-4"/>
          <w:lang w:val="sq-AL"/>
        </w:rPr>
        <w:t>kombëtare.</w:t>
      </w:r>
    </w:p>
    <w:p w:rsidR="00EE0C2F" w:rsidRPr="00E95B49" w:rsidRDefault="00EE0C2F" w:rsidP="00EE0C2F">
      <w:pPr>
        <w:pStyle w:val="Paragrafi"/>
        <w:rPr>
          <w:spacing w:val="-4"/>
          <w:lang w:val="sq-AL"/>
        </w:rPr>
      </w:pPr>
      <w:r>
        <w:rPr>
          <w:spacing w:val="-4"/>
          <w:lang w:val="sq-AL"/>
        </w:rPr>
        <w:t xml:space="preserve">6. </w:t>
      </w:r>
      <w:r w:rsidRPr="00E95B49">
        <w:rPr>
          <w:spacing w:val="-4"/>
          <w:lang w:val="sq-AL"/>
        </w:rPr>
        <w:t>Në rastin e një kufizimi të propozuar, propozimet për masa të tjera rregullatore apo jorregullatore që mund të përmbushin qëllimin e kufizimit të propozuar (kjo duhet të marrë parasysh legjislacionin ekzistues). Kjo duhet të përfshijë një vlerësim të efektivitetit dhe kostot në lidhje me masat alternative të menaxhimit të riskut.</w:t>
      </w:r>
    </w:p>
    <w:p w:rsidR="00EE0C2F" w:rsidRPr="00E95B49" w:rsidRDefault="00EE0C2F" w:rsidP="00EE0C2F">
      <w:pPr>
        <w:pStyle w:val="Paragrafi"/>
        <w:rPr>
          <w:spacing w:val="-4"/>
          <w:lang w:val="sq-AL"/>
        </w:rPr>
      </w:pPr>
      <w:r>
        <w:rPr>
          <w:spacing w:val="-4"/>
          <w:lang w:val="sq-AL"/>
        </w:rPr>
        <w:t xml:space="preserve">7. </w:t>
      </w:r>
      <w:r w:rsidRPr="00E95B49">
        <w:rPr>
          <w:spacing w:val="-4"/>
          <w:lang w:val="sq-AL"/>
        </w:rPr>
        <w:t>Në rastin e një kufizimi të propozuar ose autorizimit të refuzuar, përfitimet për shëndetin e njeriut dhe mjedisin, si dhe përfitimet sociale e ekonomike të kufizimit të propozuar. Për shembull, shëndetin e punëtorëve, performancën mjedisore dhe shpërndarjen e këtyre përfitimeve, për shembull, gjeografikisht, grupet e popullsisë.</w:t>
      </w:r>
    </w:p>
    <w:p w:rsidR="00EE0C2F" w:rsidRPr="00E95B49" w:rsidRDefault="00EE0C2F" w:rsidP="00EE0C2F">
      <w:pPr>
        <w:pStyle w:val="Paragrafi"/>
        <w:rPr>
          <w:spacing w:val="-4"/>
          <w:lang w:val="sq-AL"/>
        </w:rPr>
      </w:pPr>
      <w:r>
        <w:rPr>
          <w:spacing w:val="-4"/>
          <w:lang w:val="sq-AL"/>
        </w:rPr>
        <w:t xml:space="preserve">8. </w:t>
      </w:r>
      <w:r w:rsidRPr="00E95B49">
        <w:rPr>
          <w:spacing w:val="-4"/>
          <w:lang w:val="sq-AL"/>
        </w:rPr>
        <w:t>Një SEA mund të adresojë çdo çështje tjetër që është konsideruar të jetë relevante nga aplikanti/ët ose palët e interesuara.</w:t>
      </w:r>
    </w:p>
    <w:p w:rsidR="00EE0C2F" w:rsidRDefault="00EE0C2F" w:rsidP="00EE0C2F">
      <w:pPr>
        <w:pStyle w:val="Paragrafi"/>
        <w:rPr>
          <w:spacing w:val="-4"/>
          <w:lang w:val="sq-AL"/>
        </w:rPr>
      </w:pPr>
    </w:p>
    <w:p w:rsidR="005935EA" w:rsidRDefault="005935EA"/>
    <w:sectPr w:rsidR="005935E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C2F" w:rsidRDefault="00EE0C2F" w:rsidP="00EE0C2F">
      <w:pPr>
        <w:spacing w:after="0" w:line="240" w:lineRule="auto"/>
      </w:pPr>
      <w:r>
        <w:separator/>
      </w:r>
    </w:p>
  </w:endnote>
  <w:endnote w:type="continuationSeparator" w:id="0">
    <w:p w:rsidR="00EE0C2F" w:rsidRDefault="00EE0C2F" w:rsidP="00EE0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EE0C2F" w:rsidRPr="00B4283E" w:rsidRDefault="00EE0C2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10326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2F" w:rsidRPr="005B4361" w:rsidRDefault="00EE0C2F"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EE0C2F" w:rsidRPr="00833610" w:rsidRDefault="00EE0C2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E0C2F" w:rsidRDefault="00EE0C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C2F" w:rsidRDefault="00EE0C2F" w:rsidP="00EE0C2F">
      <w:pPr>
        <w:spacing w:after="0" w:line="240" w:lineRule="auto"/>
      </w:pPr>
      <w:r>
        <w:separator/>
      </w:r>
    </w:p>
  </w:footnote>
  <w:footnote w:type="continuationSeparator" w:id="0">
    <w:p w:rsidR="00EE0C2F" w:rsidRDefault="00EE0C2F" w:rsidP="00EE0C2F">
      <w:pPr>
        <w:spacing w:after="0" w:line="240" w:lineRule="auto"/>
      </w:pPr>
      <w:r>
        <w:continuationSeparator/>
      </w:r>
    </w:p>
  </w:footnote>
  <w:footnote w:id="1">
    <w:p w:rsidR="00EE0C2F" w:rsidRPr="002D29CD" w:rsidRDefault="00EE0C2F" w:rsidP="00EE0C2F">
      <w:pPr>
        <w:autoSpaceDE w:val="0"/>
        <w:autoSpaceDN w:val="0"/>
        <w:adjustRightInd w:val="0"/>
        <w:spacing w:after="0" w:line="240" w:lineRule="auto"/>
        <w:ind w:firstLine="0"/>
        <w:rPr>
          <w:rFonts w:ascii="Garamond" w:hAnsi="Garamond"/>
          <w:sz w:val="18"/>
          <w:szCs w:val="18"/>
          <w:lang w:val="sq-AL"/>
        </w:rPr>
      </w:pPr>
      <w:r w:rsidRPr="002D29CD">
        <w:rPr>
          <w:rStyle w:val="FootnoteReference"/>
          <w:rFonts w:ascii="Garamond" w:hAnsi="Garamond"/>
          <w:sz w:val="20"/>
          <w:szCs w:val="20"/>
          <w:lang w:val="sq-AL"/>
        </w:rPr>
        <w:footnoteRef/>
      </w:r>
      <w:r>
        <w:rPr>
          <w:rFonts w:ascii="Garamond" w:hAnsi="Garamond"/>
          <w:sz w:val="20"/>
          <w:szCs w:val="20"/>
          <w:lang w:val="sq-AL"/>
        </w:rPr>
        <w:t xml:space="preserve"> </w:t>
      </w:r>
      <w:r w:rsidRPr="002D29CD">
        <w:rPr>
          <w:rFonts w:ascii="Garamond" w:hAnsi="Garamond"/>
          <w:sz w:val="18"/>
          <w:szCs w:val="18"/>
          <w:lang w:val="sq-AL"/>
        </w:rPr>
        <w:t xml:space="preserve">Ky vendim përafron plotësisht shtojcat XIII, XIV dhe XVI të rregullores (KE) </w:t>
      </w:r>
      <w:r>
        <w:rPr>
          <w:rFonts w:ascii="Garamond" w:hAnsi="Garamond"/>
          <w:sz w:val="18"/>
          <w:szCs w:val="18"/>
          <w:lang w:val="sq-AL"/>
        </w:rPr>
        <w:t xml:space="preserve">nr. </w:t>
      </w:r>
      <w:r w:rsidRPr="002D29CD">
        <w:rPr>
          <w:rFonts w:ascii="Garamond" w:hAnsi="Garamond"/>
          <w:b/>
          <w:bCs/>
          <w:sz w:val="18"/>
          <w:szCs w:val="18"/>
          <w:lang w:val="sq-AL"/>
        </w:rPr>
        <w:t>1907/2006</w:t>
      </w:r>
      <w:r w:rsidRPr="002D29CD">
        <w:rPr>
          <w:rFonts w:ascii="Garamond" w:hAnsi="Garamond"/>
          <w:sz w:val="18"/>
          <w:szCs w:val="18"/>
          <w:lang w:val="sq-AL"/>
        </w:rPr>
        <w:t xml:space="preserve"> të Parlamentit dhe të Këshillit Evropian</w:t>
      </w:r>
      <w:r>
        <w:rPr>
          <w:rFonts w:ascii="Garamond" w:hAnsi="Garamond"/>
          <w:sz w:val="18"/>
          <w:szCs w:val="18"/>
          <w:lang w:val="sq-AL"/>
        </w:rPr>
        <w:t>,</w:t>
      </w:r>
      <w:r w:rsidRPr="002D29CD">
        <w:rPr>
          <w:rFonts w:ascii="Garamond" w:hAnsi="Garamond"/>
          <w:sz w:val="18"/>
          <w:szCs w:val="18"/>
          <w:lang w:val="sq-AL"/>
        </w:rPr>
        <w:t xml:space="preserve"> të datës 18 dhjetor 2006</w:t>
      </w:r>
      <w:r>
        <w:rPr>
          <w:rFonts w:ascii="Garamond" w:hAnsi="Garamond"/>
          <w:sz w:val="18"/>
          <w:szCs w:val="18"/>
          <w:lang w:val="sq-AL"/>
        </w:rPr>
        <w:t>,</w:t>
      </w:r>
      <w:r w:rsidRPr="002D29CD">
        <w:rPr>
          <w:rFonts w:ascii="Garamond" w:hAnsi="Garamond"/>
          <w:sz w:val="18"/>
          <w:szCs w:val="18"/>
          <w:lang w:val="sq-AL"/>
        </w:rPr>
        <w:t xml:space="preserve"> në lidhje me regjistrimin, vlerësimin, autorizimin dhe kufizimin e kimikateve </w:t>
      </w:r>
      <w:r w:rsidRPr="002D29CD">
        <w:rPr>
          <w:rFonts w:ascii="Garamond" w:hAnsi="Garamond"/>
          <w:b/>
          <w:bCs/>
          <w:sz w:val="18"/>
          <w:szCs w:val="18"/>
          <w:lang w:val="sq-AL"/>
        </w:rPr>
        <w:t>(REACH)</w:t>
      </w:r>
      <w:r w:rsidRPr="002D29CD">
        <w:rPr>
          <w:rFonts w:ascii="Garamond" w:hAnsi="Garamond"/>
          <w:bCs/>
          <w:sz w:val="18"/>
          <w:szCs w:val="18"/>
          <w:lang w:val="sq-AL"/>
        </w:rPr>
        <w:t>,</w:t>
      </w:r>
      <w:r w:rsidRPr="002D29CD">
        <w:rPr>
          <w:rFonts w:ascii="Garamond" w:hAnsi="Garamond"/>
          <w:sz w:val="18"/>
          <w:szCs w:val="18"/>
          <w:lang w:val="sq-AL"/>
        </w:rPr>
        <w:t xml:space="preserve"> krijimin e Agjencisë Evropiane të Kimikateve</w:t>
      </w:r>
      <w:r>
        <w:rPr>
          <w:rFonts w:ascii="Garamond" w:hAnsi="Garamond"/>
          <w:sz w:val="18"/>
          <w:szCs w:val="18"/>
          <w:lang w:val="sq-AL"/>
        </w:rPr>
        <w:t>,</w:t>
      </w:r>
      <w:r w:rsidRPr="002D29CD">
        <w:rPr>
          <w:rFonts w:ascii="Garamond" w:hAnsi="Garamond"/>
          <w:sz w:val="18"/>
          <w:szCs w:val="18"/>
          <w:lang w:val="sq-AL"/>
        </w:rPr>
        <w:t xml:space="preserve"> ECHA, që amen</w:t>
      </w:r>
      <w:r>
        <w:rPr>
          <w:rFonts w:ascii="Garamond" w:hAnsi="Garamond"/>
          <w:sz w:val="18"/>
          <w:szCs w:val="18"/>
          <w:lang w:val="sq-AL"/>
        </w:rPr>
        <w:t>-</w:t>
      </w:r>
      <w:r w:rsidRPr="002D29CD">
        <w:rPr>
          <w:rFonts w:ascii="Garamond" w:hAnsi="Garamond"/>
          <w:sz w:val="18"/>
          <w:szCs w:val="18"/>
          <w:lang w:val="sq-AL"/>
        </w:rPr>
        <w:t>don direktivën 1999/45/KE dhe shfuqizon rregulloren e Këshi</w:t>
      </w:r>
      <w:r>
        <w:rPr>
          <w:rFonts w:ascii="Garamond" w:hAnsi="Garamond"/>
          <w:sz w:val="18"/>
          <w:szCs w:val="18"/>
          <w:lang w:val="sq-AL"/>
        </w:rPr>
        <w:t>-</w:t>
      </w:r>
      <w:r w:rsidRPr="002D29CD">
        <w:rPr>
          <w:rFonts w:ascii="Garamond" w:hAnsi="Garamond"/>
          <w:sz w:val="18"/>
          <w:szCs w:val="18"/>
          <w:lang w:val="sq-AL"/>
        </w:rPr>
        <w:t xml:space="preserve">llit (KEE) </w:t>
      </w:r>
      <w:r>
        <w:rPr>
          <w:rFonts w:ascii="Garamond" w:hAnsi="Garamond"/>
          <w:sz w:val="18"/>
          <w:szCs w:val="18"/>
          <w:lang w:val="sq-AL"/>
        </w:rPr>
        <w:t xml:space="preserve">nr. </w:t>
      </w:r>
      <w:r w:rsidRPr="002D29CD">
        <w:rPr>
          <w:rFonts w:ascii="Garamond" w:hAnsi="Garamond"/>
          <w:sz w:val="18"/>
          <w:szCs w:val="18"/>
          <w:lang w:val="sq-AL"/>
        </w:rPr>
        <w:t xml:space="preserve">793/93, si dhe direktivën e Këshillit 76/769/KEE dhe direktivat e Komisionit 91/155/KEE, 93/67/KEE, 93/105/KE dhe 2000/21/KE, CELEX </w:t>
      </w:r>
      <w:r w:rsidRPr="002D29CD">
        <w:rPr>
          <w:rFonts w:ascii="Garamond" w:hAnsi="Garamond"/>
          <w:color w:val="000000"/>
          <w:sz w:val="18"/>
          <w:szCs w:val="18"/>
          <w:shd w:val="clear" w:color="auto" w:fill="FFFFFF"/>
          <w:lang w:val="sq-AL"/>
        </w:rPr>
        <w:t>32006R1907.</w:t>
      </w:r>
    </w:p>
    <w:p w:rsidR="00EE0C2F" w:rsidRPr="002D29CD" w:rsidRDefault="00EE0C2F" w:rsidP="00EE0C2F">
      <w:pPr>
        <w:spacing w:line="240" w:lineRule="auto"/>
        <w:rPr>
          <w:sz w:val="18"/>
          <w:szCs w:val="18"/>
          <w:lang w:val="sq-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E0C2F" w:rsidRPr="00EB260B" w:rsidTr="003315A4">
      <w:trPr>
        <w:trHeight w:val="936"/>
        <w:jc w:val="center"/>
      </w:trPr>
      <w:tc>
        <w:tcPr>
          <w:tcW w:w="2811" w:type="dxa"/>
          <w:shd w:val="pct5" w:color="auto" w:fill="F2F2F2"/>
          <w:vAlign w:val="center"/>
        </w:tcPr>
        <w:p w:rsidR="00EE0C2F" w:rsidRPr="00EB260B" w:rsidRDefault="00EE0C2F" w:rsidP="003315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E0C2F" w:rsidRPr="00EB260B" w:rsidRDefault="00EE0C2F" w:rsidP="003315A4">
          <w:pPr>
            <w:pStyle w:val="NoSpacing"/>
            <w:spacing w:before="100" w:after="100"/>
            <w:jc w:val="center"/>
            <w:rPr>
              <w:rFonts w:ascii="Garamond" w:hAnsi="Garamond"/>
              <w:b/>
              <w:sz w:val="28"/>
              <w:szCs w:val="28"/>
            </w:rPr>
          </w:pPr>
          <w:r>
            <w:rPr>
              <w:noProof/>
              <w:lang w:val="en-US"/>
            </w:rPr>
            <w:drawing>
              <wp:inline distT="0" distB="0" distL="0" distR="0" wp14:anchorId="5ED9ADB3" wp14:editId="5FE9A76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E0C2F" w:rsidRPr="00EB260B" w:rsidRDefault="00EE0C2F" w:rsidP="003315A4">
          <w:pPr>
            <w:pStyle w:val="NoSpacing"/>
            <w:spacing w:before="100" w:after="100"/>
            <w:jc w:val="center"/>
            <w:rPr>
              <w:rFonts w:ascii="Garamond" w:hAnsi="Garamond"/>
              <w:b/>
              <w:sz w:val="28"/>
              <w:szCs w:val="28"/>
            </w:rPr>
          </w:pPr>
          <w:r>
            <w:rPr>
              <w:rFonts w:ascii="Garamond" w:hAnsi="Garamond"/>
              <w:b/>
              <w:sz w:val="28"/>
              <w:szCs w:val="28"/>
            </w:rPr>
            <w:t xml:space="preserve"> Viti 2016 – Numri 126</w:t>
          </w:r>
        </w:p>
      </w:tc>
    </w:tr>
  </w:tbl>
  <w:p w:rsidR="00EE0C2F" w:rsidRPr="00385E2C" w:rsidRDefault="00EE0C2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2F" w:rsidRDefault="00EE0C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2F" w:rsidRDefault="00EE0C2F"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0000B25"/>
    <w:multiLevelType w:val="hybridMultilevel"/>
    <w:tmpl w:val="CEDA333A"/>
    <w:lvl w:ilvl="0" w:tplc="86C84D90">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2E262FF"/>
    <w:multiLevelType w:val="hybridMultilevel"/>
    <w:tmpl w:val="8D1E2810"/>
    <w:lvl w:ilvl="0" w:tplc="420053AE">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BD12EF"/>
    <w:multiLevelType w:val="hybridMultilevel"/>
    <w:tmpl w:val="FE8E12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5E629D1"/>
    <w:multiLevelType w:val="hybridMultilevel"/>
    <w:tmpl w:val="D424D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5FA271E"/>
    <w:multiLevelType w:val="hybridMultilevel"/>
    <w:tmpl w:val="110EA110"/>
    <w:lvl w:ilvl="0" w:tplc="EE7CD528">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6AE1CE6"/>
    <w:multiLevelType w:val="hybridMultilevel"/>
    <w:tmpl w:val="1DF8F2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6E42A71"/>
    <w:multiLevelType w:val="hybridMultilevel"/>
    <w:tmpl w:val="A5DA26AC"/>
    <w:lvl w:ilvl="0" w:tplc="FB360E0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C062F01"/>
    <w:multiLevelType w:val="hybridMultilevel"/>
    <w:tmpl w:val="B116082C"/>
    <w:lvl w:ilvl="0" w:tplc="CD4A06BC">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7E0543"/>
    <w:multiLevelType w:val="hybridMultilevel"/>
    <w:tmpl w:val="1F3487E8"/>
    <w:lvl w:ilvl="0" w:tplc="4D983C38">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CF761E"/>
    <w:multiLevelType w:val="hybridMultilevel"/>
    <w:tmpl w:val="2706938E"/>
    <w:lvl w:ilvl="0" w:tplc="2196D6DE">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CE447E"/>
    <w:multiLevelType w:val="hybridMultilevel"/>
    <w:tmpl w:val="A25C1EC6"/>
    <w:lvl w:ilvl="0" w:tplc="EDBAB82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011444"/>
    <w:multiLevelType w:val="hybridMultilevel"/>
    <w:tmpl w:val="219CC81E"/>
    <w:lvl w:ilvl="0" w:tplc="E4C60D7A">
      <w:start w:val="1"/>
      <w:numFmt w:val="lowerLetter"/>
      <w:lvlText w:val="%1)"/>
      <w:lvlJc w:val="left"/>
      <w:pPr>
        <w:ind w:left="720" w:hanging="360"/>
      </w:pPr>
      <w:rPr>
        <w:rFonts w:ascii="Times New Roman" w:eastAsia="Calibri" w:hAnsi="Times New Roman" w:cs="Times New Roman"/>
      </w:rPr>
    </w:lvl>
    <w:lvl w:ilvl="1" w:tplc="86F83D2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0A2335"/>
    <w:multiLevelType w:val="hybridMultilevel"/>
    <w:tmpl w:val="C05C188A"/>
    <w:styleLink w:val="WWNum2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791816"/>
    <w:multiLevelType w:val="hybridMultilevel"/>
    <w:tmpl w:val="28301E3C"/>
    <w:lvl w:ilvl="0" w:tplc="4B5A2984">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B03A05"/>
    <w:multiLevelType w:val="hybridMultilevel"/>
    <w:tmpl w:val="37A8B76A"/>
    <w:lvl w:ilvl="0" w:tplc="0478EAB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110501E"/>
    <w:multiLevelType w:val="hybridMultilevel"/>
    <w:tmpl w:val="617EB028"/>
    <w:lvl w:ilvl="0" w:tplc="0409000F">
      <w:start w:val="1"/>
      <w:numFmt w:val="decimal"/>
      <w:lvlText w:val="%1."/>
      <w:lvlJc w:val="left"/>
      <w:pPr>
        <w:ind w:left="502" w:hanging="360"/>
      </w:pPr>
    </w:lvl>
    <w:lvl w:ilvl="1" w:tplc="0409001B">
      <w:start w:val="1"/>
      <w:numFmt w:val="lowerRoman"/>
      <w:lvlText w:val="%2."/>
      <w:lvlJc w:val="right"/>
      <w:pPr>
        <w:ind w:left="1582" w:hanging="720"/>
      </w:pPr>
      <w:rPr>
        <w:rFonts w:hint="default"/>
      </w:rPr>
    </w:lvl>
    <w:lvl w:ilvl="2" w:tplc="0409001B">
      <w:start w:val="1"/>
      <w:numFmt w:val="lowerRoman"/>
      <w:lvlText w:val="%3."/>
      <w:lvlJc w:val="right"/>
      <w:pPr>
        <w:ind w:left="1942" w:hanging="180"/>
      </w:pPr>
    </w:lvl>
    <w:lvl w:ilvl="3" w:tplc="09FEAAAE">
      <w:start w:val="1"/>
      <w:numFmt w:val="decimal"/>
      <w:lvlText w:val="%4."/>
      <w:lvlJc w:val="left"/>
      <w:pPr>
        <w:ind w:left="360" w:hanging="360"/>
      </w:pPr>
      <w:rPr>
        <w:color w:val="auto"/>
      </w:r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nsid w:val="4535373D"/>
    <w:multiLevelType w:val="hybridMultilevel"/>
    <w:tmpl w:val="CC1005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62834A7"/>
    <w:multiLevelType w:val="hybridMultilevel"/>
    <w:tmpl w:val="624C73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67D78CD"/>
    <w:multiLevelType w:val="hybridMultilevel"/>
    <w:tmpl w:val="7A241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70C5FD5"/>
    <w:multiLevelType w:val="hybridMultilevel"/>
    <w:tmpl w:val="81AC2F9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7304608"/>
    <w:multiLevelType w:val="hybridMultilevel"/>
    <w:tmpl w:val="D65E87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4F46274"/>
    <w:multiLevelType w:val="hybridMultilevel"/>
    <w:tmpl w:val="6BECC416"/>
    <w:lvl w:ilvl="0" w:tplc="36BAC64C">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A72C07"/>
    <w:multiLevelType w:val="hybridMultilevel"/>
    <w:tmpl w:val="A9E89980"/>
    <w:lvl w:ilvl="0" w:tplc="534E4082">
      <w:start w:val="1"/>
      <w:numFmt w:val="lowerLetter"/>
      <w:lvlText w:val="%1)"/>
      <w:lvlJc w:val="left"/>
      <w:pPr>
        <w:ind w:left="720" w:hanging="360"/>
      </w:pPr>
      <w:rPr>
        <w:rFonts w:ascii="Times New Roman" w:eastAsia="Calibri" w:hAnsi="Times New Roman" w:cs="Times New Roman"/>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9F5336"/>
    <w:multiLevelType w:val="hybridMultilevel"/>
    <w:tmpl w:val="D5D6042A"/>
    <w:lvl w:ilvl="0" w:tplc="0409000F">
      <w:start w:val="1"/>
      <w:numFmt w:val="decimal"/>
      <w:lvlText w:val="%1."/>
      <w:lvlJc w:val="left"/>
      <w:pPr>
        <w:ind w:left="360" w:hanging="360"/>
      </w:pPr>
    </w:lvl>
    <w:lvl w:ilvl="1" w:tplc="2A4AC986">
      <w:start w:val="1"/>
      <w:numFmt w:val="lowerLetter"/>
      <w:lvlText w:val="%2)"/>
      <w:lvlJc w:val="left"/>
      <w:pPr>
        <w:ind w:left="928"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1FF4FD3"/>
    <w:multiLevelType w:val="hybridMultilevel"/>
    <w:tmpl w:val="C8B692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0429AF"/>
    <w:multiLevelType w:val="hybridMultilevel"/>
    <w:tmpl w:val="F93E6368"/>
    <w:lvl w:ilvl="0" w:tplc="0409000F">
      <w:start w:val="1"/>
      <w:numFmt w:val="decimal"/>
      <w:lvlText w:val="%1."/>
      <w:lvlJc w:val="left"/>
      <w:pPr>
        <w:ind w:left="360" w:hanging="360"/>
      </w:pPr>
    </w:lvl>
    <w:lvl w:ilvl="1" w:tplc="11229B6A">
      <w:start w:val="1"/>
      <w:numFmt w:val="lowerLetter"/>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CB063DC"/>
    <w:multiLevelType w:val="hybridMultilevel"/>
    <w:tmpl w:val="3A3C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C0519C"/>
    <w:multiLevelType w:val="hybridMultilevel"/>
    <w:tmpl w:val="49AA727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ED65D72"/>
    <w:multiLevelType w:val="hybridMultilevel"/>
    <w:tmpl w:val="D04ED236"/>
    <w:lvl w:ilvl="0" w:tplc="F77E5E36">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9"/>
  </w:num>
  <w:num w:numId="2">
    <w:abstractNumId w:val="3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44"/>
  </w:num>
  <w:num w:numId="16">
    <w:abstractNumId w:val="43"/>
  </w:num>
  <w:num w:numId="17">
    <w:abstractNumId w:val="24"/>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37"/>
  </w:num>
  <w:num w:numId="45">
    <w:abstractNumId w:val="11"/>
  </w:num>
  <w:num w:numId="46">
    <w:abstractNumId w:val="35"/>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C2F"/>
    <w:rsid w:val="003B48CA"/>
    <w:rsid w:val="005935EA"/>
    <w:rsid w:val="00EE0C2F"/>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E0C2F"/>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EE0C2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EE0C2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EE0C2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E0C2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EE0C2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E0C2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E0C2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E0C2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E0C2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EE0C2F"/>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EE0C2F"/>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EE0C2F"/>
    <w:rPr>
      <w:rFonts w:ascii="Cambria" w:eastAsia="MS Mincho" w:hAnsi="Cambria" w:cs="Cambria"/>
      <w:b/>
      <w:bCs/>
      <w:sz w:val="24"/>
      <w:szCs w:val="24"/>
      <w:lang w:val="en-US"/>
    </w:rPr>
  </w:style>
  <w:style w:type="character" w:customStyle="1" w:styleId="Heading4Char">
    <w:name w:val="Heading 4 Char"/>
    <w:basedOn w:val="DefaultParagraphFont"/>
    <w:link w:val="Heading4"/>
    <w:rsid w:val="00EE0C2F"/>
    <w:rPr>
      <w:rFonts w:ascii="Cambria" w:eastAsia="MS Mincho" w:hAnsi="Cambria" w:cs="Cambria"/>
      <w:b/>
      <w:bCs/>
      <w:i/>
      <w:iCs/>
      <w:sz w:val="24"/>
      <w:szCs w:val="24"/>
      <w:lang w:val="en-US"/>
    </w:rPr>
  </w:style>
  <w:style w:type="character" w:customStyle="1" w:styleId="Heading5Char">
    <w:name w:val="Heading 5 Char"/>
    <w:basedOn w:val="DefaultParagraphFont"/>
    <w:link w:val="Heading5"/>
    <w:uiPriority w:val="9"/>
    <w:rsid w:val="00EE0C2F"/>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EE0C2F"/>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EE0C2F"/>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EE0C2F"/>
    <w:rPr>
      <w:rFonts w:ascii="Cambria" w:eastAsia="MS Mincho" w:hAnsi="Cambria" w:cs="Cambria"/>
      <w:sz w:val="20"/>
      <w:szCs w:val="20"/>
      <w:lang w:val="en-US"/>
    </w:rPr>
  </w:style>
  <w:style w:type="character" w:customStyle="1" w:styleId="Heading9Char">
    <w:name w:val="Heading 9 Char"/>
    <w:basedOn w:val="DefaultParagraphFont"/>
    <w:link w:val="Heading9"/>
    <w:rsid w:val="00EE0C2F"/>
    <w:rPr>
      <w:rFonts w:ascii="Cambria" w:eastAsia="MS Mincho" w:hAnsi="Cambria" w:cs="Cambria"/>
      <w:i/>
      <w:iCs/>
      <w:spacing w:val="5"/>
      <w:sz w:val="20"/>
      <w:szCs w:val="20"/>
      <w:lang w:val="en-US"/>
    </w:rPr>
  </w:style>
  <w:style w:type="paragraph" w:styleId="NoSpacing">
    <w:name w:val="No Spacing"/>
    <w:link w:val="NoSpacingChar"/>
    <w:uiPriority w:val="1"/>
    <w:qFormat/>
    <w:rsid w:val="00EE0C2F"/>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EE0C2F"/>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EE0C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E0C2F"/>
    <w:rPr>
      <w:rFonts w:ascii="Tahoma" w:eastAsia="Calibri" w:hAnsi="Tahoma" w:cs="Tahoma"/>
      <w:sz w:val="16"/>
      <w:szCs w:val="16"/>
      <w:lang w:val="en-US"/>
    </w:rPr>
  </w:style>
  <w:style w:type="paragraph" w:styleId="Header">
    <w:name w:val="header"/>
    <w:basedOn w:val="Normal"/>
    <w:link w:val="HeaderChar"/>
    <w:uiPriority w:val="99"/>
    <w:unhideWhenUsed/>
    <w:rsid w:val="00EE0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C2F"/>
    <w:rPr>
      <w:rFonts w:ascii="Calibri" w:eastAsia="Calibri" w:hAnsi="Calibri" w:cs="Times New Roman"/>
      <w:lang w:val="en-US"/>
    </w:rPr>
  </w:style>
  <w:style w:type="paragraph" w:styleId="Footer">
    <w:name w:val="footer"/>
    <w:basedOn w:val="Normal"/>
    <w:link w:val="FooterChar"/>
    <w:uiPriority w:val="99"/>
    <w:unhideWhenUsed/>
    <w:rsid w:val="00EE0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C2F"/>
    <w:rPr>
      <w:rFonts w:ascii="Calibri" w:eastAsia="Calibri" w:hAnsi="Calibri" w:cs="Times New Roman"/>
      <w:lang w:val="en-US"/>
    </w:rPr>
  </w:style>
  <w:style w:type="paragraph" w:customStyle="1" w:styleId="Akti">
    <w:name w:val="Akti"/>
    <w:link w:val="AktiChar"/>
    <w:rsid w:val="00EE0C2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E0C2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E0C2F"/>
    <w:rPr>
      <w:rFonts w:ascii="Garamond" w:eastAsia="MS Mincho" w:hAnsi="Garamond" w:cs="CG Times"/>
      <w:b/>
      <w:bCs/>
      <w:sz w:val="24"/>
      <w:lang w:val="en-GB"/>
    </w:rPr>
  </w:style>
  <w:style w:type="paragraph" w:customStyle="1" w:styleId="Paragrafi">
    <w:name w:val="Paragrafi"/>
    <w:link w:val="ParagrafiChar"/>
    <w:rsid w:val="00EE0C2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E0C2F"/>
    <w:rPr>
      <w:rFonts w:ascii="Garamond" w:eastAsia="MS Mincho" w:hAnsi="Garamond" w:cs="CG Times"/>
      <w:sz w:val="24"/>
      <w:lang w:val="en-US"/>
    </w:rPr>
  </w:style>
  <w:style w:type="paragraph" w:customStyle="1" w:styleId="Titulli">
    <w:name w:val="Titulli"/>
    <w:next w:val="Normal"/>
    <w:link w:val="TitulliChar"/>
    <w:rsid w:val="00EE0C2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E0C2F"/>
    <w:rPr>
      <w:rFonts w:ascii="Garamond" w:eastAsia="MS Mincho" w:hAnsi="Garamond" w:cs="CG Times"/>
      <w:b/>
      <w:bCs/>
      <w:caps/>
      <w:sz w:val="24"/>
      <w:lang w:val="en-GB"/>
    </w:rPr>
  </w:style>
  <w:style w:type="character" w:customStyle="1" w:styleId="AktiChar">
    <w:name w:val="Akti Char"/>
    <w:basedOn w:val="DefaultParagraphFont"/>
    <w:link w:val="Akti"/>
    <w:rsid w:val="00EE0C2F"/>
    <w:rPr>
      <w:rFonts w:ascii="Garamond" w:eastAsia="MS Mincho" w:hAnsi="Garamond" w:cs="CG Times"/>
      <w:b/>
      <w:bCs/>
      <w:caps/>
      <w:color w:val="000000"/>
      <w:sz w:val="24"/>
      <w:lang w:val="en-GB"/>
    </w:rPr>
  </w:style>
  <w:style w:type="paragraph" w:customStyle="1" w:styleId="NeniNr">
    <w:name w:val="Neni_Nr"/>
    <w:next w:val="Normal"/>
    <w:link w:val="NeniNrChar"/>
    <w:rsid w:val="00EE0C2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E0C2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E0C2F"/>
    <w:rPr>
      <w:rFonts w:ascii="Garamond" w:eastAsia="MS Mincho" w:hAnsi="Garamond" w:cs="CG Times"/>
      <w:sz w:val="24"/>
      <w:lang w:val="en-GB"/>
    </w:rPr>
  </w:style>
  <w:style w:type="paragraph" w:customStyle="1" w:styleId="Autoriteti">
    <w:name w:val="Autoriteti"/>
    <w:next w:val="Normal"/>
    <w:link w:val="AutoritetiChar"/>
    <w:rsid w:val="00EE0C2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E0C2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E0C2F"/>
    <w:rPr>
      <w:rFonts w:ascii="Garamond" w:eastAsia="MS Mincho" w:hAnsi="Garamond" w:cs="CG Times"/>
      <w:caps/>
      <w:sz w:val="24"/>
      <w:lang w:val="en-GB"/>
    </w:rPr>
  </w:style>
  <w:style w:type="character" w:customStyle="1" w:styleId="AutoritetiEmerChar">
    <w:name w:val="Autoriteti_Emer Char"/>
    <w:link w:val="AutoritetiEmer"/>
    <w:locked/>
    <w:rsid w:val="00EE0C2F"/>
    <w:rPr>
      <w:rFonts w:ascii="Garamond" w:eastAsia="MS Mincho" w:hAnsi="Garamond" w:cs="Times New Roman"/>
      <w:b/>
      <w:bCs/>
      <w:sz w:val="24"/>
      <w:lang w:val="en-GB"/>
    </w:rPr>
  </w:style>
  <w:style w:type="paragraph" w:customStyle="1" w:styleId="Titull-Titull">
    <w:name w:val="Titull-Titull"/>
    <w:basedOn w:val="Paragrafi"/>
    <w:qFormat/>
    <w:rsid w:val="00EE0C2F"/>
    <w:pPr>
      <w:ind w:firstLine="0"/>
      <w:jc w:val="center"/>
    </w:pPr>
    <w:rPr>
      <w:caps/>
      <w:szCs w:val="24"/>
    </w:rPr>
  </w:style>
  <w:style w:type="paragraph" w:customStyle="1" w:styleId="Vendosi">
    <w:name w:val="Vendosi"/>
    <w:basedOn w:val="Titull-Titull"/>
    <w:qFormat/>
    <w:rsid w:val="00EE0C2F"/>
  </w:style>
  <w:style w:type="paragraph" w:customStyle="1" w:styleId="Hapesira7">
    <w:name w:val="Hapesira 7"/>
    <w:basedOn w:val="Paragrafi"/>
    <w:qFormat/>
    <w:rsid w:val="00EE0C2F"/>
    <w:rPr>
      <w:sz w:val="14"/>
      <w:szCs w:val="24"/>
    </w:rPr>
  </w:style>
  <w:style w:type="paragraph" w:styleId="ListParagraph">
    <w:name w:val="List Paragraph"/>
    <w:aliases w:val="List Paragraph2"/>
    <w:basedOn w:val="Normal"/>
    <w:link w:val="ListParagraphChar"/>
    <w:uiPriority w:val="34"/>
    <w:qFormat/>
    <w:rsid w:val="00EE0C2F"/>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34"/>
    <w:locked/>
    <w:rsid w:val="00EE0C2F"/>
    <w:rPr>
      <w:rFonts w:ascii="Calibri" w:eastAsia="Times New Roman" w:hAnsi="Calibri" w:cs="Times New Roman"/>
      <w:lang/>
    </w:rPr>
  </w:style>
  <w:style w:type="paragraph" w:customStyle="1" w:styleId="Style1">
    <w:name w:val="Style1"/>
    <w:basedOn w:val="Akti"/>
    <w:qFormat/>
    <w:rsid w:val="00EE0C2F"/>
  </w:style>
  <w:style w:type="character" w:customStyle="1" w:styleId="Heading2Char1">
    <w:name w:val="Heading 2 Char1"/>
    <w:link w:val="Heading2"/>
    <w:uiPriority w:val="9"/>
    <w:locked/>
    <w:rsid w:val="00EE0C2F"/>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EE0C2F"/>
    <w:rPr>
      <w:rFonts w:ascii="Cambria" w:eastAsia="MS Mincho" w:hAnsi="Cambria" w:cs="Cambria"/>
      <w:b/>
      <w:bCs/>
      <w:sz w:val="24"/>
      <w:szCs w:val="24"/>
      <w:lang w:val="en-US"/>
    </w:rPr>
  </w:style>
  <w:style w:type="paragraph" w:customStyle="1" w:styleId="ADDRESS">
    <w:name w:val="ADDRESS"/>
    <w:basedOn w:val="Normal"/>
    <w:rsid w:val="00EE0C2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E0C2F"/>
    <w:pPr>
      <w:spacing w:after="0" w:line="240" w:lineRule="auto"/>
      <w:jc w:val="both"/>
    </w:pPr>
    <w:rPr>
      <w:rFonts w:ascii="CG Times" w:eastAsia="MS Mincho" w:hAnsi="CG Times" w:cs="CG Times"/>
      <w:sz w:val="21"/>
      <w:lang w:val="en-GB"/>
    </w:rPr>
  </w:style>
  <w:style w:type="paragraph" w:customStyle="1" w:styleId="AneksiNr">
    <w:name w:val="Aneksi_Nr"/>
    <w:next w:val="Normal"/>
    <w:rsid w:val="00EE0C2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E0C2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EE0C2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EE0C2F"/>
    <w:rPr>
      <w:rFonts w:ascii="Arial" w:eastAsia="Times New Roman" w:hAnsi="Arial" w:cs="Arial"/>
      <w:color w:val="000000"/>
      <w:sz w:val="24"/>
      <w:szCs w:val="24"/>
      <w:lang w:val="en-US"/>
    </w:rPr>
  </w:style>
  <w:style w:type="paragraph" w:customStyle="1" w:styleId="BazLigjPropozues">
    <w:name w:val="Baz_Ligj_Propozues"/>
    <w:rsid w:val="00EE0C2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E0C2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E0C2F"/>
    <w:rPr>
      <w:rFonts w:ascii="Times New Roman" w:eastAsia="Times New Roman" w:hAnsi="Times New Roman" w:cs="Times New Roman"/>
      <w:caps/>
      <w:sz w:val="26"/>
      <w:szCs w:val="26"/>
      <w:lang w:val="en-GB"/>
    </w:rPr>
  </w:style>
  <w:style w:type="character" w:customStyle="1" w:styleId="apple-converted-space">
    <w:name w:val="apple-converted-space"/>
    <w:rsid w:val="00EE0C2F"/>
  </w:style>
  <w:style w:type="character" w:styleId="Hyperlink">
    <w:name w:val="Hyperlink"/>
    <w:uiPriority w:val="99"/>
    <w:unhideWhenUsed/>
    <w:rsid w:val="00EE0C2F"/>
    <w:rPr>
      <w:color w:val="0000FF"/>
      <w:u w:val="single"/>
    </w:rPr>
  </w:style>
  <w:style w:type="character" w:styleId="FollowedHyperlink">
    <w:name w:val="FollowedHyperlink"/>
    <w:uiPriority w:val="99"/>
    <w:unhideWhenUsed/>
    <w:rsid w:val="00EE0C2F"/>
    <w:rPr>
      <w:color w:val="800080"/>
      <w:u w:val="single"/>
    </w:rPr>
  </w:style>
  <w:style w:type="paragraph" w:customStyle="1" w:styleId="font5">
    <w:name w:val="font5"/>
    <w:basedOn w:val="Normal"/>
    <w:rsid w:val="00EE0C2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E0C2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E0C2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E0C2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E0C2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E0C2F"/>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EE0C2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E0C2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E0C2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E0C2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E0C2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E0C2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E0C2F"/>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EE0C2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E0C2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E0C2F"/>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EE0C2F"/>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EE0C2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E0C2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E0C2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E0C2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E0C2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E0C2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E0C2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E0C2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E0C2F"/>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EE0C2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E0C2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E0C2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E0C2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E0C2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E0C2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E0C2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E0C2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E0C2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E0C2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E0C2F"/>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EE0C2F"/>
  </w:style>
  <w:style w:type="paragraph" w:customStyle="1" w:styleId="PjesaNr">
    <w:name w:val="Pjesa_Nr"/>
    <w:next w:val="Normal"/>
    <w:rsid w:val="00EE0C2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E0C2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E0C2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E0C2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E0C2F"/>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EE0C2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E0C2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E0C2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E0C2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E0C2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E0C2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E0C2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E0C2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E0C2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E0C2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E0C2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E0C2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E0C2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E0C2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E0C2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E0C2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E0C2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E0C2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E0C2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E0C2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E0C2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E0C2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E0C2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E0C2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E0C2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E0C2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E0C2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EE0C2F"/>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E0C2F"/>
    <w:rPr>
      <w:b/>
      <w:bCs/>
    </w:rPr>
  </w:style>
  <w:style w:type="paragraph" w:customStyle="1" w:styleId="xl136">
    <w:name w:val="xl136"/>
    <w:basedOn w:val="Normal"/>
    <w:rsid w:val="00EE0C2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E0C2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E0C2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E0C2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E0C2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E0C2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E0C2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E0C2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E0C2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E0C2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E0C2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E0C2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E0C2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E0C2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E0C2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E0C2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E0C2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E0C2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E0C2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E0C2F"/>
  </w:style>
  <w:style w:type="paragraph" w:styleId="Title">
    <w:name w:val="Title"/>
    <w:basedOn w:val="Heading1"/>
    <w:next w:val="Normal"/>
    <w:link w:val="TitleChar"/>
    <w:qFormat/>
    <w:rsid w:val="00EE0C2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E0C2F"/>
    <w:rPr>
      <w:rFonts w:ascii="Calibri" w:eastAsia="Times New Roman" w:hAnsi="Calibri" w:cs="Arial"/>
      <w:b/>
      <w:caps/>
      <w:spacing w:val="10"/>
      <w:sz w:val="40"/>
      <w:szCs w:val="40"/>
    </w:rPr>
  </w:style>
  <w:style w:type="paragraph" w:customStyle="1" w:styleId="articlebody">
    <w:name w:val="articlebody"/>
    <w:basedOn w:val="Normal"/>
    <w:uiPriority w:val="99"/>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E0C2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E0C2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E0C2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E0C2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E0C2F"/>
    <w:pPr>
      <w:spacing w:after="100"/>
      <w:ind w:left="660" w:firstLine="0"/>
      <w:jc w:val="left"/>
    </w:pPr>
    <w:rPr>
      <w:rFonts w:eastAsia="Times New Roman"/>
    </w:rPr>
  </w:style>
  <w:style w:type="paragraph" w:styleId="TOC5">
    <w:name w:val="toc 5"/>
    <w:basedOn w:val="Normal"/>
    <w:next w:val="Normal"/>
    <w:autoRedefine/>
    <w:unhideWhenUsed/>
    <w:rsid w:val="00EE0C2F"/>
    <w:pPr>
      <w:spacing w:after="100"/>
      <w:ind w:left="880" w:firstLine="0"/>
      <w:jc w:val="left"/>
    </w:pPr>
    <w:rPr>
      <w:rFonts w:eastAsia="Times New Roman"/>
    </w:rPr>
  </w:style>
  <w:style w:type="paragraph" w:styleId="TOC6">
    <w:name w:val="toc 6"/>
    <w:basedOn w:val="Normal"/>
    <w:next w:val="Normal"/>
    <w:autoRedefine/>
    <w:unhideWhenUsed/>
    <w:rsid w:val="00EE0C2F"/>
    <w:pPr>
      <w:spacing w:after="100"/>
      <w:ind w:left="1100" w:firstLine="0"/>
      <w:jc w:val="left"/>
    </w:pPr>
    <w:rPr>
      <w:rFonts w:eastAsia="Times New Roman"/>
    </w:rPr>
  </w:style>
  <w:style w:type="paragraph" w:styleId="TOC7">
    <w:name w:val="toc 7"/>
    <w:basedOn w:val="Normal"/>
    <w:next w:val="Normal"/>
    <w:autoRedefine/>
    <w:unhideWhenUsed/>
    <w:rsid w:val="00EE0C2F"/>
    <w:pPr>
      <w:spacing w:after="100"/>
      <w:ind w:left="1320" w:firstLine="0"/>
      <w:jc w:val="left"/>
    </w:pPr>
    <w:rPr>
      <w:rFonts w:eastAsia="Times New Roman"/>
    </w:rPr>
  </w:style>
  <w:style w:type="paragraph" w:styleId="TOC8">
    <w:name w:val="toc 8"/>
    <w:basedOn w:val="Normal"/>
    <w:next w:val="Normal"/>
    <w:autoRedefine/>
    <w:unhideWhenUsed/>
    <w:rsid w:val="00EE0C2F"/>
    <w:pPr>
      <w:spacing w:after="100"/>
      <w:ind w:left="1540" w:firstLine="0"/>
      <w:jc w:val="left"/>
    </w:pPr>
    <w:rPr>
      <w:rFonts w:eastAsia="Times New Roman"/>
    </w:rPr>
  </w:style>
  <w:style w:type="paragraph" w:styleId="TOC9">
    <w:name w:val="toc 9"/>
    <w:basedOn w:val="Normal"/>
    <w:next w:val="Normal"/>
    <w:autoRedefine/>
    <w:unhideWhenUsed/>
    <w:rsid w:val="00EE0C2F"/>
    <w:pPr>
      <w:spacing w:after="100"/>
      <w:ind w:left="1760" w:firstLine="0"/>
      <w:jc w:val="left"/>
    </w:pPr>
    <w:rPr>
      <w:rFonts w:eastAsia="Times New Roman"/>
    </w:rPr>
  </w:style>
  <w:style w:type="paragraph" w:styleId="BodyTextIndent">
    <w:name w:val="Body Text Indent"/>
    <w:basedOn w:val="Normal"/>
    <w:link w:val="BodyTextIndentChar"/>
    <w:unhideWhenUsed/>
    <w:rsid w:val="00EE0C2F"/>
    <w:pPr>
      <w:spacing w:after="120"/>
      <w:ind w:left="360"/>
    </w:pPr>
  </w:style>
  <w:style w:type="character" w:customStyle="1" w:styleId="BodyTextIndentChar">
    <w:name w:val="Body Text Indent Char"/>
    <w:basedOn w:val="DefaultParagraphFont"/>
    <w:link w:val="BodyTextIndent"/>
    <w:rsid w:val="00EE0C2F"/>
    <w:rPr>
      <w:rFonts w:ascii="Calibri" w:eastAsia="Calibri" w:hAnsi="Calibri" w:cs="Times New Roman"/>
      <w:lang w:val="en-US"/>
    </w:rPr>
  </w:style>
  <w:style w:type="paragraph" w:customStyle="1" w:styleId="numridata0">
    <w:name w:val="numridata"/>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E0C2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E0C2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E0C2F"/>
    <w:rPr>
      <w:rFonts w:ascii="Times New Roman" w:eastAsia="Times New Roman" w:hAnsi="Times New Roman" w:cs="Times New Roman"/>
      <w:sz w:val="16"/>
      <w:szCs w:val="16"/>
      <w:lang w:val="en-US"/>
    </w:rPr>
  </w:style>
  <w:style w:type="paragraph" w:customStyle="1" w:styleId="s32b251d">
    <w:name w:val="s32b251d"/>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E0C2F"/>
  </w:style>
  <w:style w:type="paragraph" w:customStyle="1" w:styleId="s30eec3f8">
    <w:name w:val="s30eec3f8"/>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E0C2F"/>
    <w:rPr>
      <w:sz w:val="24"/>
      <w:lang w:val="en-GB" w:eastAsia="fr-FR"/>
    </w:rPr>
  </w:style>
  <w:style w:type="paragraph" w:customStyle="1" w:styleId="JuPara">
    <w:name w:val="Ju_Para"/>
    <w:basedOn w:val="Normal"/>
    <w:link w:val="JuParaCar"/>
    <w:rsid w:val="00EE0C2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E0C2F"/>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EE0C2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E0C2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E0C2F"/>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EE0C2F"/>
    <w:rPr>
      <w:vertAlign w:val="superscript"/>
    </w:rPr>
  </w:style>
  <w:style w:type="paragraph" w:customStyle="1" w:styleId="ju-005fpara">
    <w:name w:val="ju-005fpara"/>
    <w:basedOn w:val="Normal"/>
    <w:rsid w:val="00EE0C2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E0C2F"/>
  </w:style>
  <w:style w:type="character" w:customStyle="1" w:styleId="s7d2086b4">
    <w:name w:val="s7d2086b4"/>
    <w:basedOn w:val="DefaultParagraphFont"/>
    <w:uiPriority w:val="99"/>
    <w:rsid w:val="00EE0C2F"/>
  </w:style>
  <w:style w:type="character" w:customStyle="1" w:styleId="hps">
    <w:name w:val="hps"/>
    <w:basedOn w:val="DefaultParagraphFont"/>
    <w:uiPriority w:val="99"/>
    <w:rsid w:val="00EE0C2F"/>
  </w:style>
  <w:style w:type="paragraph" w:customStyle="1" w:styleId="paragrafi0">
    <w:name w:val="paragrafi"/>
    <w:basedOn w:val="Normal"/>
    <w:rsid w:val="00EE0C2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E0C2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E0C2F"/>
    <w:rPr>
      <w:rFonts w:cs="Times New Roman"/>
    </w:rPr>
  </w:style>
  <w:style w:type="paragraph" w:customStyle="1" w:styleId="titulli0">
    <w:name w:val="titulli"/>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E0C2F"/>
  </w:style>
  <w:style w:type="paragraph" w:customStyle="1" w:styleId="akti0">
    <w:name w:val="akti"/>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E0C2F"/>
  </w:style>
  <w:style w:type="paragraph" w:customStyle="1" w:styleId="CM49">
    <w:name w:val="CM49"/>
    <w:basedOn w:val="Normal"/>
    <w:next w:val="Normal"/>
    <w:rsid w:val="00EE0C2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E0C2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E0C2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E0C2F"/>
    <w:pPr>
      <w:widowControl w:val="0"/>
    </w:pPr>
    <w:rPr>
      <w:rFonts w:ascii="Helvetica" w:eastAsia="Times New Roman" w:hAnsi="Helvetica" w:cs="Helvetica"/>
      <w:lang w:val="sq-AL"/>
    </w:rPr>
  </w:style>
  <w:style w:type="paragraph" w:customStyle="1" w:styleId="CM57">
    <w:name w:val="CM57"/>
    <w:basedOn w:val="Normal"/>
    <w:next w:val="Normal"/>
    <w:rsid w:val="00EE0C2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E0C2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E0C2F"/>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EE0C2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E0C2F"/>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EE0C2F"/>
  </w:style>
  <w:style w:type="character" w:customStyle="1" w:styleId="StyleHeading6BoldChar">
    <w:name w:val="Style Heading 6 + Bold Char"/>
    <w:link w:val="StyleHeading6Bold"/>
    <w:rsid w:val="00EE0C2F"/>
    <w:rPr>
      <w:rFonts w:ascii="Cambria" w:eastAsia="MS Mincho" w:hAnsi="Cambria" w:cs="Cambria"/>
      <w:b/>
      <w:bCs/>
      <w:i/>
      <w:iCs/>
      <w:color w:val="7F7F7F"/>
      <w:sz w:val="24"/>
      <w:szCs w:val="24"/>
      <w:lang w:val="en-US"/>
    </w:rPr>
  </w:style>
  <w:style w:type="paragraph" w:customStyle="1" w:styleId="tableheaders">
    <w:name w:val="table headers"/>
    <w:rsid w:val="00EE0C2F"/>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EE0C2F"/>
    <w:rPr>
      <w:b w:val="0"/>
    </w:rPr>
  </w:style>
  <w:style w:type="paragraph" w:styleId="PlainText">
    <w:name w:val="Plain Text"/>
    <w:basedOn w:val="Normal"/>
    <w:link w:val="PlainTextChar"/>
    <w:uiPriority w:val="99"/>
    <w:unhideWhenUsed/>
    <w:rsid w:val="00EE0C2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E0C2F"/>
    <w:rPr>
      <w:rFonts w:ascii="Consolas" w:eastAsia="Calibri" w:hAnsi="Consolas" w:cs="Times New Roman"/>
      <w:sz w:val="21"/>
      <w:szCs w:val="21"/>
      <w:lang/>
    </w:rPr>
  </w:style>
  <w:style w:type="paragraph" w:customStyle="1" w:styleId="StyleStyle1Bold">
    <w:name w:val="Style Style1 + Bold"/>
    <w:basedOn w:val="Style1"/>
    <w:rsid w:val="00EE0C2F"/>
  </w:style>
  <w:style w:type="paragraph" w:customStyle="1" w:styleId="CM1">
    <w:name w:val="CM1"/>
    <w:basedOn w:val="Default"/>
    <w:next w:val="Default"/>
    <w:uiPriority w:val="99"/>
    <w:rsid w:val="00EE0C2F"/>
    <w:rPr>
      <w:rFonts w:ascii="EUAlbertina" w:hAnsi="EUAlbertina"/>
      <w:color w:val="auto"/>
    </w:rPr>
  </w:style>
  <w:style w:type="paragraph" w:customStyle="1" w:styleId="CM4">
    <w:name w:val="CM4"/>
    <w:basedOn w:val="Normal"/>
    <w:next w:val="Normal"/>
    <w:uiPriority w:val="99"/>
    <w:rsid w:val="00EE0C2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E0C2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E0C2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E0C2F"/>
    <w:rPr>
      <w:rFonts w:ascii="Tahoma" w:eastAsia="Times New Roman" w:hAnsi="Tahoma" w:cs="Times New Roman"/>
      <w:sz w:val="16"/>
      <w:szCs w:val="16"/>
      <w:lang/>
    </w:rPr>
  </w:style>
  <w:style w:type="numbering" w:customStyle="1" w:styleId="NoList3">
    <w:name w:val="No List3"/>
    <w:next w:val="NoList"/>
    <w:semiHidden/>
    <w:rsid w:val="00EE0C2F"/>
  </w:style>
  <w:style w:type="numbering" w:customStyle="1" w:styleId="NoList4">
    <w:name w:val="No List4"/>
    <w:next w:val="NoList"/>
    <w:semiHidden/>
    <w:rsid w:val="00EE0C2F"/>
  </w:style>
  <w:style w:type="paragraph" w:customStyle="1" w:styleId="Point1">
    <w:name w:val="Point 1"/>
    <w:basedOn w:val="Normal"/>
    <w:link w:val="Point1Char"/>
    <w:rsid w:val="00EE0C2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E0C2F"/>
    <w:rPr>
      <w:rFonts w:ascii="Calibri" w:eastAsia="Times New Roman" w:hAnsi="Calibri" w:cs="Times New Roman"/>
      <w:sz w:val="24"/>
      <w:szCs w:val="24"/>
      <w:lang w:val="en-GB" w:eastAsia="en-GB"/>
    </w:rPr>
  </w:style>
  <w:style w:type="character" w:customStyle="1" w:styleId="longtext">
    <w:name w:val="long_text"/>
    <w:rsid w:val="00EE0C2F"/>
    <w:rPr>
      <w:rFonts w:ascii="Comic Sans MS" w:hAnsi="Comic Sans MS"/>
      <w:b/>
      <w:sz w:val="96"/>
      <w:szCs w:val="24"/>
      <w:lang w:val="pl-PL" w:eastAsia="pl-PL" w:bidi="ar-SA"/>
    </w:rPr>
  </w:style>
  <w:style w:type="paragraph" w:customStyle="1" w:styleId="Text1">
    <w:name w:val="Text 1"/>
    <w:basedOn w:val="Normal"/>
    <w:link w:val="Text1Char"/>
    <w:rsid w:val="00EE0C2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E0C2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E0C2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E0C2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E0C2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E0C2F"/>
  </w:style>
  <w:style w:type="character" w:customStyle="1" w:styleId="SectionTitleCharCharChar">
    <w:name w:val="SectionTitle Char Char Char"/>
    <w:link w:val="SectionTitleCharChar"/>
    <w:rsid w:val="00EE0C2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E0C2F"/>
    <w:rPr>
      <w:rFonts w:ascii="Calibri" w:eastAsia="Times New Roman" w:hAnsi="Calibri" w:cs="Times New Roman"/>
      <w:b/>
      <w:bCs/>
      <w:smallCaps/>
      <w:sz w:val="28"/>
      <w:szCs w:val="28"/>
      <w:lang w:val="en-GB" w:eastAsia="en-GB"/>
    </w:rPr>
  </w:style>
  <w:style w:type="character" w:customStyle="1" w:styleId="Text1Char">
    <w:name w:val="Text 1 Char"/>
    <w:link w:val="Text1"/>
    <w:rsid w:val="00EE0C2F"/>
    <w:rPr>
      <w:rFonts w:ascii="Calibri" w:eastAsia="Times New Roman" w:hAnsi="Calibri" w:cs="Times New Roman"/>
      <w:sz w:val="24"/>
      <w:szCs w:val="24"/>
      <w:lang w:val="en-GB" w:eastAsia="en-GB"/>
    </w:rPr>
  </w:style>
  <w:style w:type="character" w:customStyle="1" w:styleId="Point1CharChar">
    <w:name w:val="Point 1 Char Char"/>
    <w:rsid w:val="00EE0C2F"/>
    <w:rPr>
      <w:sz w:val="24"/>
      <w:szCs w:val="24"/>
      <w:lang w:val="en-GB" w:eastAsia="en-GB" w:bidi="ar-SA"/>
    </w:rPr>
  </w:style>
  <w:style w:type="paragraph" w:customStyle="1" w:styleId="Point0">
    <w:name w:val="Point 0"/>
    <w:basedOn w:val="Normal"/>
    <w:rsid w:val="00EE0C2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E0C2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E0C2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E0C2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E0C2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E0C2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E0C2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E0C2F"/>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EE0C2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E0C2F"/>
    <w:rPr>
      <w:rFonts w:ascii="CG Times" w:hAnsi="CG Times"/>
      <w:sz w:val="22"/>
      <w:lang w:val="en-US" w:eastAsia="en-US" w:bidi="ar-SA"/>
    </w:rPr>
  </w:style>
  <w:style w:type="paragraph" w:customStyle="1" w:styleId="SectionTitle">
    <w:name w:val="SectionTitle"/>
    <w:basedOn w:val="Normal"/>
    <w:next w:val="Heading1"/>
    <w:rsid w:val="00EE0C2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E0C2F"/>
  </w:style>
  <w:style w:type="paragraph" w:styleId="TableofFigures">
    <w:name w:val="table of figures"/>
    <w:basedOn w:val="Normal"/>
    <w:next w:val="Normal"/>
    <w:rsid w:val="00EE0C2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E0C2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E0C2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E0C2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E0C2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E0C2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E0C2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E0C2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E0C2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E0C2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E0C2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E0C2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E0C2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E0C2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E0C2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E0C2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E0C2F"/>
    <w:pPr>
      <w:spacing w:after="0" w:line="360" w:lineRule="auto"/>
      <w:ind w:firstLine="0"/>
      <w:jc w:val="left"/>
    </w:pPr>
    <w:rPr>
      <w:rFonts w:ascii="Tahoma" w:eastAsia="Times New Roman" w:hAnsi="Tahoma"/>
      <w:lang w:val="de-AT" w:eastAsia="de-DE"/>
    </w:rPr>
  </w:style>
  <w:style w:type="paragraph" w:styleId="List">
    <w:name w:val="List"/>
    <w:basedOn w:val="Normal"/>
    <w:rsid w:val="00EE0C2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E0C2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E0C2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E0C2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E0C2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E0C2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E0C2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E0C2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E0C2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E0C2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E0C2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E0C2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E0C2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EE0C2F"/>
    <w:rPr>
      <w:sz w:val="16"/>
      <w:szCs w:val="16"/>
    </w:rPr>
  </w:style>
  <w:style w:type="paragraph" w:styleId="CommentText">
    <w:name w:val="annotation text"/>
    <w:aliases w:val=" Char"/>
    <w:basedOn w:val="Normal"/>
    <w:link w:val="CommentTextChar"/>
    <w:uiPriority w:val="99"/>
    <w:unhideWhenUsed/>
    <w:rsid w:val="00EE0C2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E0C2F"/>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EE0C2F"/>
    <w:rPr>
      <w:b/>
      <w:bCs/>
    </w:rPr>
  </w:style>
  <w:style w:type="character" w:customStyle="1" w:styleId="CommentSubjectChar">
    <w:name w:val="Comment Subject Char"/>
    <w:basedOn w:val="CommentTextChar"/>
    <w:link w:val="CommentSubject"/>
    <w:uiPriority w:val="99"/>
    <w:rsid w:val="00EE0C2F"/>
    <w:rPr>
      <w:rFonts w:ascii="Calibri" w:eastAsia="MS Mincho" w:hAnsi="Calibri" w:cs="Times New Roman"/>
      <w:b/>
      <w:bCs/>
      <w:sz w:val="20"/>
      <w:szCs w:val="20"/>
    </w:rPr>
  </w:style>
  <w:style w:type="paragraph" w:styleId="ListNumber4">
    <w:name w:val="List Number 4"/>
    <w:basedOn w:val="Normal"/>
    <w:rsid w:val="00EE0C2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E0C2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E0C2F"/>
  </w:style>
  <w:style w:type="paragraph" w:styleId="MacroText">
    <w:name w:val="macro"/>
    <w:link w:val="MacroTextChar"/>
    <w:semiHidden/>
    <w:rsid w:val="00EE0C2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E0C2F"/>
    <w:rPr>
      <w:rFonts w:ascii="Courier New" w:eastAsia="Times New Roman" w:hAnsi="Courier New" w:cs="Times New Roman"/>
      <w:lang w:val="de-DE" w:eastAsia="de-DE"/>
    </w:rPr>
  </w:style>
  <w:style w:type="paragraph" w:styleId="NormalIndent">
    <w:name w:val="Normal Indent"/>
    <w:basedOn w:val="Normal"/>
    <w:link w:val="NormalIndentChar"/>
    <w:rsid w:val="00EE0C2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E0C2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E0C2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E0C2F"/>
    <w:rPr>
      <w:rFonts w:ascii="Tahoma" w:hAnsi="Tahoma"/>
      <w:sz w:val="22"/>
    </w:rPr>
  </w:style>
  <w:style w:type="paragraph" w:styleId="BlockText">
    <w:name w:val="Block Text"/>
    <w:basedOn w:val="Normal"/>
    <w:rsid w:val="00EE0C2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E0C2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E0C2F"/>
    <w:rPr>
      <w:rFonts w:ascii="Tahoma" w:eastAsia="Times New Roman" w:hAnsi="Tahoma" w:cs="Times New Roman"/>
      <w:lang w:val="de-AT" w:eastAsia="de-DE"/>
    </w:rPr>
  </w:style>
  <w:style w:type="character" w:customStyle="1" w:styleId="Emphasis1">
    <w:name w:val="Emphasis1"/>
    <w:semiHidden/>
    <w:rsid w:val="00EE0C2F"/>
  </w:style>
  <w:style w:type="paragraph" w:styleId="NoteHeading">
    <w:name w:val="Note Heading"/>
    <w:basedOn w:val="Normal"/>
    <w:next w:val="Normal"/>
    <w:link w:val="NoteHeadingChar"/>
    <w:rsid w:val="00EE0C2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E0C2F"/>
    <w:rPr>
      <w:rFonts w:ascii="Tahoma" w:eastAsia="Times New Roman" w:hAnsi="Tahoma" w:cs="Times New Roman"/>
      <w:lang w:val="de-AT" w:eastAsia="de-DE"/>
    </w:rPr>
  </w:style>
  <w:style w:type="paragraph" w:styleId="MessageHeader">
    <w:name w:val="Message Header"/>
    <w:basedOn w:val="Normal"/>
    <w:link w:val="MessageHeaderChar"/>
    <w:semiHidden/>
    <w:rsid w:val="00EE0C2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E0C2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E0C2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E0C2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E0C2F"/>
    <w:rPr>
      <w:rFonts w:ascii="Tahoma" w:eastAsia="Times New Roman" w:hAnsi="Tahoma" w:cs="Times New Roman"/>
      <w:sz w:val="20"/>
      <w:szCs w:val="20"/>
      <w:lang w:val="en-US"/>
    </w:rPr>
  </w:style>
  <w:style w:type="character" w:styleId="EndnoteReference">
    <w:name w:val="endnote reference"/>
    <w:uiPriority w:val="99"/>
    <w:semiHidden/>
    <w:unhideWhenUsed/>
    <w:rsid w:val="00EE0C2F"/>
    <w:rPr>
      <w:vertAlign w:val="superscript"/>
    </w:rPr>
  </w:style>
  <w:style w:type="paragraph" w:styleId="BodyTextFirstIndent2">
    <w:name w:val="Body Text First Indent 2"/>
    <w:basedOn w:val="BodyTextIndent"/>
    <w:link w:val="BodyTextFirstIndent2Char"/>
    <w:semiHidden/>
    <w:rsid w:val="00EE0C2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E0C2F"/>
    <w:rPr>
      <w:rFonts w:ascii="Tahoma" w:eastAsia="Times New Roman" w:hAnsi="Tahoma" w:cs="Times New Roman"/>
      <w:lang w:val="de-AT" w:eastAsia="de-DE"/>
    </w:rPr>
  </w:style>
  <w:style w:type="numbering" w:styleId="111111">
    <w:name w:val="Outline List 2"/>
    <w:basedOn w:val="NoList"/>
    <w:semiHidden/>
    <w:rsid w:val="00EE0C2F"/>
    <w:pPr>
      <w:numPr>
        <w:numId w:val="14"/>
      </w:numPr>
    </w:pPr>
  </w:style>
  <w:style w:type="paragraph" w:customStyle="1" w:styleId="Zusatz2">
    <w:name w:val="Zusatz 2"/>
    <w:basedOn w:val="Normal"/>
    <w:next w:val="Normal"/>
    <w:semiHidden/>
    <w:rsid w:val="00EE0C2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E0C2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E0C2F"/>
    <w:pPr>
      <w:numPr>
        <w:numId w:val="15"/>
      </w:numPr>
    </w:pPr>
  </w:style>
  <w:style w:type="paragraph" w:styleId="Salutation">
    <w:name w:val="Salutation"/>
    <w:basedOn w:val="Normal"/>
    <w:next w:val="Normal"/>
    <w:link w:val="SalutationChar"/>
    <w:semiHidden/>
    <w:rsid w:val="00EE0C2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E0C2F"/>
    <w:rPr>
      <w:rFonts w:ascii="Tahoma" w:eastAsia="Times New Roman" w:hAnsi="Tahoma" w:cs="Times New Roman"/>
      <w:lang w:val="de-AT" w:eastAsia="de-DE"/>
    </w:rPr>
  </w:style>
  <w:style w:type="numbering" w:styleId="ArticleSection">
    <w:name w:val="Outline List 3"/>
    <w:basedOn w:val="NoList"/>
    <w:semiHidden/>
    <w:rsid w:val="00EE0C2F"/>
    <w:pPr>
      <w:numPr>
        <w:numId w:val="16"/>
      </w:numPr>
    </w:pPr>
  </w:style>
  <w:style w:type="paragraph" w:styleId="Closing">
    <w:name w:val="Closing"/>
    <w:basedOn w:val="Normal"/>
    <w:link w:val="ClosingChar"/>
    <w:semiHidden/>
    <w:rsid w:val="00EE0C2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E0C2F"/>
    <w:rPr>
      <w:rFonts w:ascii="Tahoma" w:eastAsia="Times New Roman" w:hAnsi="Tahoma" w:cs="Times New Roman"/>
      <w:lang w:val="de-AT" w:eastAsia="de-DE"/>
    </w:rPr>
  </w:style>
  <w:style w:type="character" w:styleId="Emphasis">
    <w:name w:val="Emphasis"/>
    <w:uiPriority w:val="20"/>
    <w:qFormat/>
    <w:rsid w:val="00EE0C2F"/>
    <w:rPr>
      <w:i/>
      <w:iCs/>
    </w:rPr>
  </w:style>
  <w:style w:type="paragraph" w:styleId="HTMLAddress">
    <w:name w:val="HTML Address"/>
    <w:basedOn w:val="Normal"/>
    <w:link w:val="HTMLAddressChar"/>
    <w:semiHidden/>
    <w:rsid w:val="00EE0C2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E0C2F"/>
    <w:rPr>
      <w:rFonts w:ascii="Tahoma" w:eastAsia="Times New Roman" w:hAnsi="Tahoma" w:cs="Times New Roman"/>
      <w:i/>
      <w:iCs/>
      <w:lang w:val="de-AT" w:eastAsia="de-DE"/>
    </w:rPr>
  </w:style>
  <w:style w:type="character" w:styleId="HTMLAcronym">
    <w:name w:val="HTML Acronym"/>
    <w:semiHidden/>
    <w:rsid w:val="00EE0C2F"/>
  </w:style>
  <w:style w:type="character" w:styleId="HTMLSample">
    <w:name w:val="HTML Sample"/>
    <w:semiHidden/>
    <w:rsid w:val="00EE0C2F"/>
    <w:rPr>
      <w:rFonts w:ascii="Courier New" w:hAnsi="Courier New" w:cs="Courier New"/>
    </w:rPr>
  </w:style>
  <w:style w:type="character" w:styleId="HTMLCode">
    <w:name w:val="HTML Code"/>
    <w:semiHidden/>
    <w:rsid w:val="00EE0C2F"/>
    <w:rPr>
      <w:rFonts w:ascii="Courier New" w:hAnsi="Courier New" w:cs="Courier New"/>
      <w:sz w:val="20"/>
      <w:szCs w:val="20"/>
    </w:rPr>
  </w:style>
  <w:style w:type="character" w:styleId="HTMLDefinition">
    <w:name w:val="HTML Definition"/>
    <w:semiHidden/>
    <w:rsid w:val="00EE0C2F"/>
    <w:rPr>
      <w:i/>
      <w:iCs/>
    </w:rPr>
  </w:style>
  <w:style w:type="character" w:styleId="HTMLTypewriter">
    <w:name w:val="HTML Typewriter"/>
    <w:semiHidden/>
    <w:rsid w:val="00EE0C2F"/>
    <w:rPr>
      <w:rFonts w:ascii="Courier New" w:hAnsi="Courier New" w:cs="Courier New"/>
      <w:sz w:val="20"/>
      <w:szCs w:val="20"/>
    </w:rPr>
  </w:style>
  <w:style w:type="character" w:styleId="HTMLKeyboard">
    <w:name w:val="HTML Keyboard"/>
    <w:semiHidden/>
    <w:rsid w:val="00EE0C2F"/>
    <w:rPr>
      <w:rFonts w:ascii="Courier New" w:hAnsi="Courier New" w:cs="Courier New"/>
      <w:sz w:val="20"/>
      <w:szCs w:val="20"/>
    </w:rPr>
  </w:style>
  <w:style w:type="character" w:styleId="HTMLVariable">
    <w:name w:val="HTML Variable"/>
    <w:semiHidden/>
    <w:rsid w:val="00EE0C2F"/>
    <w:rPr>
      <w:i/>
      <w:iCs/>
    </w:rPr>
  </w:style>
  <w:style w:type="paragraph" w:styleId="HTMLPreformatted">
    <w:name w:val="HTML Preformatted"/>
    <w:basedOn w:val="Normal"/>
    <w:link w:val="HTMLPreformattedChar"/>
    <w:semiHidden/>
    <w:rsid w:val="00EE0C2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E0C2F"/>
    <w:rPr>
      <w:rFonts w:ascii="Courier New" w:eastAsia="Times New Roman" w:hAnsi="Courier New" w:cs="Times New Roman"/>
      <w:sz w:val="20"/>
      <w:lang w:val="de-AT" w:eastAsia="de-DE"/>
    </w:rPr>
  </w:style>
  <w:style w:type="character" w:styleId="HTMLCite">
    <w:name w:val="HTML Cite"/>
    <w:semiHidden/>
    <w:rsid w:val="00EE0C2F"/>
    <w:rPr>
      <w:i/>
      <w:iCs/>
    </w:rPr>
  </w:style>
  <w:style w:type="table" w:styleId="Table3Deffects1">
    <w:name w:val="Table 3D effects 1"/>
    <w:basedOn w:val="TableNormal"/>
    <w:semiHidden/>
    <w:rsid w:val="00EE0C2F"/>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E0C2F"/>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E0C2F"/>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E0C2F"/>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E0C2F"/>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E0C2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E0C2F"/>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E0C2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E0C2F"/>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E0C2F"/>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E0C2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E0C2F"/>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E0C2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E0C2F"/>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E0C2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E0C2F"/>
    <w:rPr>
      <w:rFonts w:ascii="Tahoma" w:eastAsia="Times New Roman" w:hAnsi="Tahoma" w:cs="Times New Roman"/>
      <w:lang w:val="de-AT" w:eastAsia="de-DE"/>
    </w:rPr>
  </w:style>
  <w:style w:type="paragraph" w:styleId="E-mailSignature">
    <w:name w:val="E-mail Signature"/>
    <w:basedOn w:val="Normal"/>
    <w:link w:val="E-mailSignatureChar"/>
    <w:rsid w:val="00EE0C2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E0C2F"/>
    <w:rPr>
      <w:rFonts w:ascii="Tahoma" w:eastAsia="Times New Roman" w:hAnsi="Tahoma" w:cs="Times New Roman"/>
      <w:lang w:val="de-AT" w:eastAsia="de-DE"/>
    </w:rPr>
  </w:style>
  <w:style w:type="paragraph" w:styleId="BodyText2">
    <w:name w:val="Body Text 2"/>
    <w:basedOn w:val="Normal"/>
    <w:link w:val="BodyText2Char"/>
    <w:rsid w:val="00EE0C2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E0C2F"/>
    <w:rPr>
      <w:rFonts w:ascii="Tahoma" w:eastAsia="Times New Roman" w:hAnsi="Tahoma" w:cs="Times New Roman"/>
      <w:lang w:val="de-AT" w:eastAsia="de-DE"/>
    </w:rPr>
  </w:style>
  <w:style w:type="paragraph" w:styleId="BodyTextIndent2">
    <w:name w:val="Body Text Indent 2"/>
    <w:basedOn w:val="Normal"/>
    <w:link w:val="BodyTextIndent2Char"/>
    <w:rsid w:val="00EE0C2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E0C2F"/>
    <w:rPr>
      <w:rFonts w:ascii="Tahoma" w:eastAsia="Times New Roman" w:hAnsi="Tahoma" w:cs="Times New Roman"/>
      <w:lang w:val="de-AT" w:eastAsia="de-DE"/>
    </w:rPr>
  </w:style>
  <w:style w:type="paragraph" w:styleId="BodyTextIndent3">
    <w:name w:val="Body Text Indent 3"/>
    <w:basedOn w:val="Normal"/>
    <w:link w:val="BodyTextIndent3Char"/>
    <w:rsid w:val="00EE0C2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E0C2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E0C2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E0C2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E0C2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E0C2F"/>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EE0C2F"/>
    <w:rPr>
      <w:rFonts w:ascii="CG Times" w:eastAsia="Times New Roman" w:hAnsi="CG Times" w:cs="Times New Roman"/>
      <w:b/>
      <w:szCs w:val="24"/>
      <w:lang w:val="en-US"/>
    </w:rPr>
  </w:style>
  <w:style w:type="character" w:customStyle="1" w:styleId="SubtitleChar1">
    <w:name w:val="Subtitle Char1"/>
    <w:locked/>
    <w:rsid w:val="00EE0C2F"/>
    <w:rPr>
      <w:rFonts w:ascii="Cambria" w:hAnsi="Cambria"/>
      <w:sz w:val="24"/>
      <w:szCs w:val="24"/>
    </w:rPr>
  </w:style>
  <w:style w:type="paragraph" w:customStyle="1" w:styleId="Char1">
    <w:name w:val="Char1"/>
    <w:basedOn w:val="Normal"/>
    <w:rsid w:val="00EE0C2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E0C2F"/>
    <w:rPr>
      <w:rFonts w:ascii="Tahoma" w:hAnsi="Tahoma" w:cs="Tahoma"/>
      <w:i/>
      <w:iCs/>
      <w:sz w:val="22"/>
      <w:szCs w:val="22"/>
      <w:lang w:val="de-AT" w:eastAsia="de-DE" w:bidi="ar-SA"/>
    </w:rPr>
  </w:style>
  <w:style w:type="character" w:customStyle="1" w:styleId="CharChar36">
    <w:name w:val="Char Char36"/>
    <w:locked/>
    <w:rsid w:val="00EE0C2F"/>
    <w:rPr>
      <w:rFonts w:ascii="Arial" w:hAnsi="Arial" w:cs="Arial"/>
      <w:b/>
      <w:bCs/>
      <w:kern w:val="32"/>
      <w:sz w:val="32"/>
      <w:szCs w:val="32"/>
      <w:lang w:val="sq-AL" w:eastAsia="en-US" w:bidi="ar-SA"/>
    </w:rPr>
  </w:style>
  <w:style w:type="character" w:customStyle="1" w:styleId="CharChar35">
    <w:name w:val="Char Char35"/>
    <w:locked/>
    <w:rsid w:val="00EE0C2F"/>
    <w:rPr>
      <w:rFonts w:ascii="Arial" w:hAnsi="Arial" w:cs="Arial"/>
      <w:b/>
      <w:bCs/>
      <w:i/>
      <w:iCs/>
      <w:sz w:val="28"/>
      <w:szCs w:val="28"/>
      <w:lang w:val="sq-AL" w:eastAsia="en-US" w:bidi="ar-SA"/>
    </w:rPr>
  </w:style>
  <w:style w:type="character" w:customStyle="1" w:styleId="CharChar34">
    <w:name w:val="Char Char34"/>
    <w:locked/>
    <w:rsid w:val="00EE0C2F"/>
    <w:rPr>
      <w:rFonts w:ascii="Tahoma" w:hAnsi="Tahoma"/>
      <w:b/>
      <w:kern w:val="28"/>
      <w:sz w:val="24"/>
      <w:szCs w:val="28"/>
      <w:lang w:val="de-AT" w:eastAsia="de-DE" w:bidi="ar-SA"/>
    </w:rPr>
  </w:style>
  <w:style w:type="character" w:customStyle="1" w:styleId="CharChar33">
    <w:name w:val="Char Char33"/>
    <w:locked/>
    <w:rsid w:val="00EE0C2F"/>
    <w:rPr>
      <w:rFonts w:ascii="Tahoma" w:hAnsi="Tahoma"/>
      <w:b/>
      <w:i/>
      <w:kern w:val="28"/>
      <w:sz w:val="22"/>
      <w:szCs w:val="22"/>
      <w:lang w:val="de-AT" w:eastAsia="de-DE" w:bidi="ar-SA"/>
    </w:rPr>
  </w:style>
  <w:style w:type="character" w:customStyle="1" w:styleId="CharChar32">
    <w:name w:val="Char Char32"/>
    <w:locked/>
    <w:rsid w:val="00EE0C2F"/>
    <w:rPr>
      <w:rFonts w:ascii="Tahoma" w:hAnsi="Tahoma"/>
      <w:b/>
      <w:i/>
      <w:kern w:val="28"/>
      <w:sz w:val="22"/>
      <w:szCs w:val="22"/>
      <w:lang w:val="de-AT" w:eastAsia="de-DE" w:bidi="ar-SA"/>
    </w:rPr>
  </w:style>
  <w:style w:type="character" w:customStyle="1" w:styleId="CharChar31">
    <w:name w:val="Char Char31"/>
    <w:locked/>
    <w:rsid w:val="00EE0C2F"/>
    <w:rPr>
      <w:rFonts w:ascii="Tahoma" w:hAnsi="Tahoma"/>
      <w:b/>
      <w:i/>
      <w:kern w:val="28"/>
      <w:sz w:val="22"/>
      <w:szCs w:val="22"/>
      <w:lang w:val="de-AT" w:eastAsia="de-DE" w:bidi="ar-SA"/>
    </w:rPr>
  </w:style>
  <w:style w:type="character" w:customStyle="1" w:styleId="CharChar10">
    <w:name w:val="Char Char10"/>
    <w:semiHidden/>
    <w:locked/>
    <w:rsid w:val="00EE0C2F"/>
    <w:rPr>
      <w:rFonts w:ascii="Courier New" w:hAnsi="Courier New" w:cs="Courier New"/>
      <w:szCs w:val="22"/>
      <w:lang w:val="de-AT" w:eastAsia="de-DE" w:bidi="ar-SA"/>
    </w:rPr>
  </w:style>
  <w:style w:type="character" w:customStyle="1" w:styleId="CharChar30">
    <w:name w:val="Char Char30"/>
    <w:locked/>
    <w:rsid w:val="00EE0C2F"/>
    <w:rPr>
      <w:rFonts w:ascii="Tahoma" w:hAnsi="Tahoma"/>
      <w:b/>
      <w:i/>
      <w:kern w:val="28"/>
      <w:sz w:val="22"/>
      <w:szCs w:val="22"/>
      <w:lang w:val="de-AT" w:eastAsia="de-DE" w:bidi="ar-SA"/>
    </w:rPr>
  </w:style>
  <w:style w:type="character" w:customStyle="1" w:styleId="CharChar29">
    <w:name w:val="Char Char29"/>
    <w:locked/>
    <w:rsid w:val="00EE0C2F"/>
    <w:rPr>
      <w:rFonts w:ascii="Tahoma" w:hAnsi="Tahoma"/>
      <w:b/>
      <w:i/>
      <w:kern w:val="28"/>
      <w:sz w:val="22"/>
      <w:szCs w:val="22"/>
      <w:lang w:val="de-AT" w:eastAsia="de-DE" w:bidi="ar-SA"/>
    </w:rPr>
  </w:style>
  <w:style w:type="character" w:customStyle="1" w:styleId="CharChar28">
    <w:name w:val="Char Char28"/>
    <w:locked/>
    <w:rsid w:val="00EE0C2F"/>
    <w:rPr>
      <w:rFonts w:ascii="Tahoma" w:hAnsi="Tahoma"/>
      <w:b/>
      <w:i/>
      <w:kern w:val="28"/>
      <w:sz w:val="22"/>
      <w:szCs w:val="22"/>
      <w:lang w:val="de-AT" w:eastAsia="de-DE" w:bidi="ar-SA"/>
    </w:rPr>
  </w:style>
  <w:style w:type="character" w:customStyle="1" w:styleId="CharChar27">
    <w:name w:val="Char Char27"/>
    <w:locked/>
    <w:rsid w:val="00EE0C2F"/>
    <w:rPr>
      <w:rFonts w:ascii="Calibri" w:eastAsia="Calibri" w:hAnsi="Calibri"/>
      <w:lang w:val="sq-AL" w:eastAsia="en-US" w:bidi="ar-SA"/>
    </w:rPr>
  </w:style>
  <w:style w:type="character" w:customStyle="1" w:styleId="CharChar24">
    <w:name w:val="Char Char24"/>
    <w:locked/>
    <w:rsid w:val="00EE0C2F"/>
    <w:rPr>
      <w:rFonts w:ascii="Tahoma" w:hAnsi="Tahoma" w:cs="Tahoma"/>
      <w:sz w:val="22"/>
      <w:szCs w:val="22"/>
      <w:lang w:val="de-AT" w:eastAsia="de-DE" w:bidi="ar-SA"/>
    </w:rPr>
  </w:style>
  <w:style w:type="character" w:customStyle="1" w:styleId="CharChar23">
    <w:name w:val="Char Char23"/>
    <w:locked/>
    <w:rsid w:val="00EE0C2F"/>
    <w:rPr>
      <w:rFonts w:ascii="Tahoma" w:hAnsi="Tahoma" w:cs="Tahoma"/>
      <w:sz w:val="22"/>
      <w:szCs w:val="22"/>
      <w:lang w:val="de-AT" w:eastAsia="de-DE" w:bidi="ar-SA"/>
    </w:rPr>
  </w:style>
  <w:style w:type="character" w:customStyle="1" w:styleId="CharChar22">
    <w:name w:val="Char Char22"/>
    <w:semiHidden/>
    <w:locked/>
    <w:rsid w:val="00EE0C2F"/>
    <w:rPr>
      <w:rFonts w:ascii="Courier New" w:hAnsi="Courier New" w:cs="Courier New"/>
      <w:sz w:val="22"/>
      <w:szCs w:val="22"/>
      <w:lang w:val="de-DE" w:eastAsia="de-DE" w:bidi="ar-SA"/>
    </w:rPr>
  </w:style>
  <w:style w:type="character" w:customStyle="1" w:styleId="CharChar21">
    <w:name w:val="Char Char21"/>
    <w:locked/>
    <w:rsid w:val="00EE0C2F"/>
    <w:rPr>
      <w:rFonts w:ascii="Tahoma" w:hAnsi="Tahoma" w:cs="Tahoma"/>
      <w:b/>
      <w:kern w:val="28"/>
      <w:sz w:val="36"/>
      <w:szCs w:val="36"/>
      <w:lang w:val="de-AT" w:eastAsia="de-DE" w:bidi="ar-SA"/>
    </w:rPr>
  </w:style>
  <w:style w:type="character" w:customStyle="1" w:styleId="CharChar12">
    <w:name w:val="Char Char12"/>
    <w:semiHidden/>
    <w:locked/>
    <w:rsid w:val="00EE0C2F"/>
    <w:rPr>
      <w:rFonts w:ascii="Tahoma" w:hAnsi="Tahoma" w:cs="Tahoma"/>
      <w:sz w:val="22"/>
      <w:szCs w:val="22"/>
      <w:lang w:val="de-AT" w:eastAsia="de-DE" w:bidi="ar-SA"/>
    </w:rPr>
  </w:style>
  <w:style w:type="character" w:customStyle="1" w:styleId="CharChar9">
    <w:name w:val="Char Char9"/>
    <w:semiHidden/>
    <w:locked/>
    <w:rsid w:val="00EE0C2F"/>
    <w:rPr>
      <w:rFonts w:ascii="Tahoma" w:hAnsi="Tahoma" w:cs="Tahoma"/>
      <w:sz w:val="22"/>
      <w:szCs w:val="22"/>
      <w:lang w:val="de-AT" w:eastAsia="de-DE" w:bidi="ar-SA"/>
    </w:rPr>
  </w:style>
  <w:style w:type="character" w:customStyle="1" w:styleId="CharChar25">
    <w:name w:val="Char Char25"/>
    <w:semiHidden/>
    <w:locked/>
    <w:rsid w:val="00EE0C2F"/>
    <w:rPr>
      <w:rFonts w:ascii="Tahoma" w:hAnsi="Tahoma" w:cs="Tahoma"/>
      <w:sz w:val="22"/>
      <w:szCs w:val="22"/>
      <w:lang w:val="de-AT" w:eastAsia="de-DE" w:bidi="ar-SA"/>
    </w:rPr>
  </w:style>
  <w:style w:type="character" w:customStyle="1" w:styleId="CharChar15">
    <w:name w:val="Char Char15"/>
    <w:semiHidden/>
    <w:locked/>
    <w:rsid w:val="00EE0C2F"/>
    <w:rPr>
      <w:rFonts w:ascii="Tahoma" w:hAnsi="Tahoma" w:cs="Tahoma"/>
      <w:sz w:val="22"/>
      <w:szCs w:val="22"/>
      <w:lang w:val="de-AT" w:eastAsia="de-DE" w:bidi="ar-SA"/>
    </w:rPr>
  </w:style>
  <w:style w:type="character" w:customStyle="1" w:styleId="CharChar16">
    <w:name w:val="Char Char16"/>
    <w:semiHidden/>
    <w:locked/>
    <w:rsid w:val="00EE0C2F"/>
    <w:rPr>
      <w:rFonts w:ascii="Tahoma" w:hAnsi="Tahoma" w:cs="Arial"/>
      <w:sz w:val="24"/>
      <w:szCs w:val="24"/>
      <w:lang w:val="de-AT" w:eastAsia="de-DE" w:bidi="ar-SA"/>
    </w:rPr>
  </w:style>
  <w:style w:type="character" w:customStyle="1" w:styleId="CharChar20">
    <w:name w:val="Char Char20"/>
    <w:locked/>
    <w:rsid w:val="00EE0C2F"/>
    <w:rPr>
      <w:rFonts w:ascii="Tahoma" w:hAnsi="Tahoma" w:cs="Tahoma"/>
      <w:b/>
      <w:kern w:val="28"/>
      <w:sz w:val="32"/>
      <w:szCs w:val="36"/>
      <w:lang w:val="de-AT" w:eastAsia="de-DE" w:bidi="ar-SA"/>
    </w:rPr>
  </w:style>
  <w:style w:type="character" w:customStyle="1" w:styleId="CharChar13">
    <w:name w:val="Char Char13"/>
    <w:semiHidden/>
    <w:locked/>
    <w:rsid w:val="00EE0C2F"/>
    <w:rPr>
      <w:rFonts w:ascii="Tahoma" w:hAnsi="Tahoma" w:cs="Tahoma"/>
      <w:sz w:val="22"/>
      <w:szCs w:val="22"/>
      <w:lang w:val="de-AT" w:eastAsia="de-DE" w:bidi="ar-SA"/>
    </w:rPr>
  </w:style>
  <w:style w:type="character" w:customStyle="1" w:styleId="CharChar19">
    <w:name w:val="Char Char19"/>
    <w:semiHidden/>
    <w:locked/>
    <w:rsid w:val="00EE0C2F"/>
    <w:rPr>
      <w:rFonts w:ascii="Tahoma" w:hAnsi="Tahoma" w:cs="Tahoma"/>
      <w:sz w:val="22"/>
      <w:szCs w:val="22"/>
      <w:lang w:val="de-AT" w:eastAsia="de-DE" w:bidi="ar-SA"/>
    </w:rPr>
  </w:style>
  <w:style w:type="character" w:customStyle="1" w:styleId="CharChar3">
    <w:name w:val="Char Char3"/>
    <w:semiHidden/>
    <w:locked/>
    <w:rsid w:val="00EE0C2F"/>
  </w:style>
  <w:style w:type="character" w:customStyle="1" w:styleId="CharChar14">
    <w:name w:val="Char Char14"/>
    <w:semiHidden/>
    <w:locked/>
    <w:rsid w:val="00EE0C2F"/>
  </w:style>
  <w:style w:type="character" w:customStyle="1" w:styleId="CharChar17">
    <w:name w:val="Char Char17"/>
    <w:locked/>
    <w:rsid w:val="00EE0C2F"/>
    <w:rPr>
      <w:rFonts w:ascii="Tahoma" w:hAnsi="Tahoma" w:cs="Tahoma"/>
      <w:sz w:val="22"/>
      <w:szCs w:val="22"/>
      <w:lang w:val="de-AT" w:eastAsia="de-DE" w:bidi="ar-SA"/>
    </w:rPr>
  </w:style>
  <w:style w:type="character" w:customStyle="1" w:styleId="CharChar7">
    <w:name w:val="Char Char7"/>
    <w:semiHidden/>
    <w:locked/>
    <w:rsid w:val="00EE0C2F"/>
    <w:rPr>
      <w:rFonts w:ascii="Tahoma" w:hAnsi="Tahoma" w:cs="Tahoma"/>
      <w:sz w:val="22"/>
      <w:szCs w:val="22"/>
      <w:lang w:val="de-AT" w:eastAsia="de-DE" w:bidi="ar-SA"/>
    </w:rPr>
  </w:style>
  <w:style w:type="character" w:customStyle="1" w:styleId="CharChar6">
    <w:name w:val="Char Char6"/>
    <w:semiHidden/>
    <w:locked/>
    <w:rsid w:val="00EE0C2F"/>
    <w:rPr>
      <w:rFonts w:ascii="Tahoma" w:hAnsi="Tahoma" w:cs="Tahoma"/>
      <w:sz w:val="16"/>
      <w:szCs w:val="16"/>
      <w:lang w:val="de-AT" w:eastAsia="de-DE" w:bidi="ar-SA"/>
    </w:rPr>
  </w:style>
  <w:style w:type="character" w:customStyle="1" w:styleId="CharChar5">
    <w:name w:val="Char Char5"/>
    <w:semiHidden/>
    <w:locked/>
    <w:rsid w:val="00EE0C2F"/>
    <w:rPr>
      <w:rFonts w:ascii="Tahoma" w:hAnsi="Tahoma" w:cs="Tahoma"/>
      <w:sz w:val="22"/>
      <w:szCs w:val="22"/>
      <w:lang w:val="de-AT" w:eastAsia="de-DE" w:bidi="ar-SA"/>
    </w:rPr>
  </w:style>
  <w:style w:type="character" w:customStyle="1" w:styleId="CharChar4">
    <w:name w:val="Char Char4"/>
    <w:semiHidden/>
    <w:locked/>
    <w:rsid w:val="00EE0C2F"/>
    <w:rPr>
      <w:rFonts w:ascii="Tahoma" w:hAnsi="Tahoma" w:cs="Tahoma"/>
      <w:sz w:val="16"/>
      <w:szCs w:val="16"/>
      <w:lang w:val="de-AT" w:eastAsia="de-DE" w:bidi="ar-SA"/>
    </w:rPr>
  </w:style>
  <w:style w:type="character" w:customStyle="1" w:styleId="CharChar18">
    <w:name w:val="Char Char18"/>
    <w:semiHidden/>
    <w:locked/>
    <w:rsid w:val="00EE0C2F"/>
    <w:rPr>
      <w:rFonts w:ascii="Tahoma" w:hAnsi="Tahoma" w:cs="Tahoma"/>
      <w:sz w:val="22"/>
      <w:szCs w:val="22"/>
      <w:lang w:val="de-AT" w:eastAsia="de-DE" w:bidi="ar-SA"/>
    </w:rPr>
  </w:style>
  <w:style w:type="character" w:customStyle="1" w:styleId="CharChar8">
    <w:name w:val="Char Char8"/>
    <w:locked/>
    <w:rsid w:val="00EE0C2F"/>
    <w:rPr>
      <w:rFonts w:ascii="Tahoma" w:hAnsi="Tahoma" w:cs="Tahoma"/>
      <w:sz w:val="22"/>
      <w:szCs w:val="22"/>
      <w:lang w:val="de-AT" w:eastAsia="de-DE" w:bidi="ar-SA"/>
    </w:rPr>
  </w:style>
  <w:style w:type="character" w:customStyle="1" w:styleId="CharChar2">
    <w:name w:val="Char Char2"/>
    <w:locked/>
    <w:rsid w:val="00EE0C2F"/>
    <w:rPr>
      <w:rFonts w:ascii="Calibri" w:eastAsia="Calibri" w:hAnsi="Calibri" w:cs="Times New Roman"/>
      <w:b/>
      <w:bCs/>
      <w:sz w:val="20"/>
      <w:szCs w:val="20"/>
      <w:lang w:val="sq-AL" w:eastAsia="en-US" w:bidi="ar-SA"/>
    </w:rPr>
  </w:style>
  <w:style w:type="character" w:customStyle="1" w:styleId="CharChar26">
    <w:name w:val="Char Char26"/>
    <w:semiHidden/>
    <w:locked/>
    <w:rsid w:val="00EE0C2F"/>
    <w:rPr>
      <w:rFonts w:ascii="Tahoma" w:hAnsi="Tahoma" w:cs="Tahoma"/>
      <w:sz w:val="16"/>
      <w:szCs w:val="16"/>
      <w:lang w:val="sq-AL" w:eastAsia="en-US" w:bidi="ar-SA"/>
    </w:rPr>
  </w:style>
  <w:style w:type="character" w:customStyle="1" w:styleId="CommentTextChar11">
    <w:name w:val="Comment Text Char11"/>
    <w:aliases w:val="Char Char37"/>
    <w:semiHidden/>
    <w:rsid w:val="00EE0C2F"/>
    <w:rPr>
      <w:rFonts w:ascii="Calibri" w:hAnsi="Calibri" w:hint="default"/>
      <w:lang w:val="sq-AL"/>
    </w:rPr>
  </w:style>
  <w:style w:type="character" w:customStyle="1" w:styleId="NormalIndentChar">
    <w:name w:val="Normal Indent Char"/>
    <w:link w:val="NormalIndent"/>
    <w:rsid w:val="00EE0C2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E0C2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E0C2F"/>
    <w:pPr>
      <w:tabs>
        <w:tab w:val="num" w:pos="360"/>
        <w:tab w:val="num" w:pos="1935"/>
        <w:tab w:val="num" w:pos="2563"/>
        <w:tab w:val="num" w:pos="3474"/>
      </w:tabs>
      <w:ind w:left="1935" w:hanging="360"/>
      <w:outlineLvl w:val="6"/>
    </w:pPr>
  </w:style>
  <w:style w:type="character" w:customStyle="1" w:styleId="AODefHeadChar">
    <w:name w:val="AODefHead Char"/>
    <w:link w:val="AODefHead"/>
    <w:rsid w:val="00EE0C2F"/>
    <w:rPr>
      <w:rFonts w:ascii="Times New Roman" w:eastAsia="Times New Roman" w:hAnsi="Times New Roman" w:cs="Times New Roman"/>
      <w:szCs w:val="20"/>
      <w:lang w:eastAsia="sq-AL" w:bidi="sq-AL"/>
    </w:rPr>
  </w:style>
  <w:style w:type="paragraph" w:customStyle="1" w:styleId="PARA">
    <w:name w:val="PARA"/>
    <w:basedOn w:val="Normal"/>
    <w:locked/>
    <w:rsid w:val="00EE0C2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E0C2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E0C2F"/>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EE0C2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E0C2F"/>
    <w:rPr>
      <w:rFonts w:ascii="Arial" w:eastAsia="Times New Roman" w:hAnsi="Arial" w:cs="Times New Roman"/>
      <w:sz w:val="20"/>
      <w:szCs w:val="20"/>
      <w:lang w:eastAsia="sq-AL" w:bidi="sq-AL"/>
    </w:rPr>
  </w:style>
  <w:style w:type="character" w:customStyle="1" w:styleId="DeltaViewInsertion">
    <w:name w:val="DeltaView Insertion"/>
    <w:uiPriority w:val="99"/>
    <w:rsid w:val="00EE0C2F"/>
    <w:rPr>
      <w:color w:val="0000FF"/>
      <w:spacing w:val="0"/>
      <w:u w:val="double"/>
    </w:rPr>
  </w:style>
  <w:style w:type="paragraph" w:customStyle="1" w:styleId="dia">
    <w:name w:val="di(a)"/>
    <w:basedOn w:val="Normal"/>
    <w:rsid w:val="00EE0C2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E0C2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E0C2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E0C2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E0C2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E0C2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E0C2F"/>
    <w:rPr>
      <w:rFonts w:cs="Times New Roman"/>
      <w:color w:val="808080"/>
    </w:rPr>
  </w:style>
  <w:style w:type="character" w:customStyle="1" w:styleId="az12">
    <w:name w:val="az12"/>
    <w:uiPriority w:val="99"/>
    <w:rsid w:val="00EE0C2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E0C2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E0C2F"/>
    <w:rPr>
      <w:rFonts w:ascii="Calibri" w:eastAsia="Times New Roman" w:hAnsi="Calibri" w:cs="Times New Roman"/>
      <w:sz w:val="24"/>
      <w:szCs w:val="24"/>
      <w:lang w:val="en-GB" w:eastAsia="en-GB"/>
    </w:rPr>
  </w:style>
  <w:style w:type="paragraph" w:customStyle="1" w:styleId="Paragraf02">
    <w:name w:val="Paragraf 0.2"/>
    <w:basedOn w:val="Paragrafi"/>
    <w:qFormat/>
    <w:rsid w:val="00EE0C2F"/>
    <w:pPr>
      <w:tabs>
        <w:tab w:val="left" w:pos="6575"/>
      </w:tabs>
    </w:pPr>
    <w:rPr>
      <w:spacing w:val="-4"/>
    </w:rPr>
  </w:style>
  <w:style w:type="table" w:customStyle="1" w:styleId="TableGrid30">
    <w:name w:val="Table Grid3"/>
    <w:basedOn w:val="TableNormal"/>
    <w:next w:val="TableGrid"/>
    <w:uiPriority w:val="59"/>
    <w:rsid w:val="00EE0C2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E0C2F"/>
  </w:style>
  <w:style w:type="character" w:styleId="BookTitle">
    <w:name w:val="Book Title"/>
    <w:uiPriority w:val="33"/>
    <w:qFormat/>
    <w:rsid w:val="00EE0C2F"/>
    <w:rPr>
      <w:b/>
      <w:bCs/>
      <w:smallCaps/>
      <w:spacing w:val="5"/>
    </w:rPr>
  </w:style>
  <w:style w:type="paragraph" w:customStyle="1" w:styleId="Cover1">
    <w:name w:val="Cover1"/>
    <w:basedOn w:val="Normal"/>
    <w:next w:val="Normal"/>
    <w:rsid w:val="00EE0C2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E0C2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E0C2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E0C2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E0C2F"/>
    <w:rPr>
      <w:rFonts w:ascii="Times New Roman" w:eastAsia="Times New Roman" w:hAnsi="Times New Roman" w:cs="Times New Roman"/>
      <w:szCs w:val="20"/>
    </w:rPr>
  </w:style>
  <w:style w:type="character" w:customStyle="1" w:styleId="Bodytext0">
    <w:name w:val="Body text_"/>
    <w:link w:val="BodyText1"/>
    <w:rsid w:val="00EE0C2F"/>
    <w:rPr>
      <w:rFonts w:ascii="Times New Roman" w:hAnsi="Times New Roman"/>
      <w:sz w:val="21"/>
      <w:szCs w:val="21"/>
      <w:shd w:val="clear" w:color="auto" w:fill="FFFFFF"/>
    </w:rPr>
  </w:style>
  <w:style w:type="paragraph" w:customStyle="1" w:styleId="BodyText1">
    <w:name w:val="Body Text1"/>
    <w:basedOn w:val="Normal"/>
    <w:link w:val="Bodytext0"/>
    <w:rsid w:val="00EE0C2F"/>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EE0C2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E0C2F"/>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E0C2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E0C2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E0C2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E0C2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E0C2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E0C2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E0C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MessageHeaderLabel">
    <w:name w:val="Message Header Label"/>
    <w:rsid w:val="00EE0C2F"/>
    <w:rPr>
      <w:b/>
      <w:sz w:val="18"/>
    </w:rPr>
  </w:style>
  <w:style w:type="paragraph" w:customStyle="1" w:styleId="ALB-Lawparagraph">
    <w:name w:val="ALB-Law paragraph"/>
    <w:rsid w:val="00EE0C2F"/>
    <w:pPr>
      <w:tabs>
        <w:tab w:val="left" w:pos="397"/>
      </w:tabs>
      <w:suppressAutoHyphens/>
      <w:spacing w:after="240" w:line="280" w:lineRule="exact"/>
      <w:jc w:val="both"/>
    </w:pPr>
    <w:rPr>
      <w:rFonts w:ascii="Times New Roman" w:eastAsia="Arial" w:hAnsi="Times New Roman" w:cs="Times New Roman"/>
      <w:color w:val="000000"/>
      <w:sz w:val="24"/>
      <w:szCs w:val="20"/>
      <w:lang w:val="en-US" w:eastAsia="ar-SA"/>
    </w:rPr>
  </w:style>
  <w:style w:type="numbering" w:customStyle="1" w:styleId="WWNum211">
    <w:name w:val="WWNum211"/>
    <w:basedOn w:val="NoList"/>
    <w:rsid w:val="00EE0C2F"/>
    <w:pPr>
      <w:numPr>
        <w:numId w:val="17"/>
      </w:numPr>
    </w:pPr>
  </w:style>
  <w:style w:type="character" w:customStyle="1" w:styleId="hpsatn">
    <w:name w:val="hps atn"/>
    <w:basedOn w:val="DefaultParagraphFont"/>
    <w:uiPriority w:val="99"/>
    <w:rsid w:val="00EE0C2F"/>
  </w:style>
  <w:style w:type="character" w:customStyle="1" w:styleId="shorttext">
    <w:name w:val="short_text"/>
    <w:basedOn w:val="DefaultParagraphFont"/>
    <w:rsid w:val="00EE0C2F"/>
  </w:style>
  <w:style w:type="paragraph" w:customStyle="1" w:styleId="CM42">
    <w:name w:val="CM4+2"/>
    <w:basedOn w:val="Normal"/>
    <w:next w:val="Normal"/>
    <w:uiPriority w:val="99"/>
    <w:rsid w:val="00EE0C2F"/>
    <w:pPr>
      <w:autoSpaceDE w:val="0"/>
      <w:autoSpaceDN w:val="0"/>
      <w:adjustRightInd w:val="0"/>
      <w:spacing w:after="0" w:line="240" w:lineRule="auto"/>
      <w:ind w:firstLine="0"/>
      <w:jc w:val="left"/>
    </w:pPr>
    <w:rPr>
      <w:rFonts w:ascii="Times New Roman" w:hAnsi="Times New Roman"/>
      <w:sz w:val="24"/>
      <w:szCs w:val="24"/>
    </w:rPr>
  </w:style>
  <w:style w:type="paragraph" w:customStyle="1" w:styleId="CM43">
    <w:name w:val="CM4+3"/>
    <w:basedOn w:val="Default"/>
    <w:next w:val="Default"/>
    <w:uiPriority w:val="99"/>
    <w:rsid w:val="00EE0C2F"/>
    <w:pPr>
      <w:spacing w:before="60" w:after="60"/>
    </w:pPr>
    <w:rPr>
      <w:rFonts w:eastAsiaTheme="minorHAns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E0C2F"/>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EE0C2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EE0C2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EE0C2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E0C2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EE0C2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E0C2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E0C2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E0C2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E0C2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EE0C2F"/>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EE0C2F"/>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EE0C2F"/>
    <w:rPr>
      <w:rFonts w:ascii="Cambria" w:eastAsia="MS Mincho" w:hAnsi="Cambria" w:cs="Cambria"/>
      <w:b/>
      <w:bCs/>
      <w:sz w:val="24"/>
      <w:szCs w:val="24"/>
      <w:lang w:val="en-US"/>
    </w:rPr>
  </w:style>
  <w:style w:type="character" w:customStyle="1" w:styleId="Heading4Char">
    <w:name w:val="Heading 4 Char"/>
    <w:basedOn w:val="DefaultParagraphFont"/>
    <w:link w:val="Heading4"/>
    <w:rsid w:val="00EE0C2F"/>
    <w:rPr>
      <w:rFonts w:ascii="Cambria" w:eastAsia="MS Mincho" w:hAnsi="Cambria" w:cs="Cambria"/>
      <w:b/>
      <w:bCs/>
      <w:i/>
      <w:iCs/>
      <w:sz w:val="24"/>
      <w:szCs w:val="24"/>
      <w:lang w:val="en-US"/>
    </w:rPr>
  </w:style>
  <w:style w:type="character" w:customStyle="1" w:styleId="Heading5Char">
    <w:name w:val="Heading 5 Char"/>
    <w:basedOn w:val="DefaultParagraphFont"/>
    <w:link w:val="Heading5"/>
    <w:uiPriority w:val="9"/>
    <w:rsid w:val="00EE0C2F"/>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EE0C2F"/>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EE0C2F"/>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EE0C2F"/>
    <w:rPr>
      <w:rFonts w:ascii="Cambria" w:eastAsia="MS Mincho" w:hAnsi="Cambria" w:cs="Cambria"/>
      <w:sz w:val="20"/>
      <w:szCs w:val="20"/>
      <w:lang w:val="en-US"/>
    </w:rPr>
  </w:style>
  <w:style w:type="character" w:customStyle="1" w:styleId="Heading9Char">
    <w:name w:val="Heading 9 Char"/>
    <w:basedOn w:val="DefaultParagraphFont"/>
    <w:link w:val="Heading9"/>
    <w:rsid w:val="00EE0C2F"/>
    <w:rPr>
      <w:rFonts w:ascii="Cambria" w:eastAsia="MS Mincho" w:hAnsi="Cambria" w:cs="Cambria"/>
      <w:i/>
      <w:iCs/>
      <w:spacing w:val="5"/>
      <w:sz w:val="20"/>
      <w:szCs w:val="20"/>
      <w:lang w:val="en-US"/>
    </w:rPr>
  </w:style>
  <w:style w:type="paragraph" w:styleId="NoSpacing">
    <w:name w:val="No Spacing"/>
    <w:link w:val="NoSpacingChar"/>
    <w:uiPriority w:val="1"/>
    <w:qFormat/>
    <w:rsid w:val="00EE0C2F"/>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EE0C2F"/>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EE0C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E0C2F"/>
    <w:rPr>
      <w:rFonts w:ascii="Tahoma" w:eastAsia="Calibri" w:hAnsi="Tahoma" w:cs="Tahoma"/>
      <w:sz w:val="16"/>
      <w:szCs w:val="16"/>
      <w:lang w:val="en-US"/>
    </w:rPr>
  </w:style>
  <w:style w:type="paragraph" w:styleId="Header">
    <w:name w:val="header"/>
    <w:basedOn w:val="Normal"/>
    <w:link w:val="HeaderChar"/>
    <w:uiPriority w:val="99"/>
    <w:unhideWhenUsed/>
    <w:rsid w:val="00EE0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C2F"/>
    <w:rPr>
      <w:rFonts w:ascii="Calibri" w:eastAsia="Calibri" w:hAnsi="Calibri" w:cs="Times New Roman"/>
      <w:lang w:val="en-US"/>
    </w:rPr>
  </w:style>
  <w:style w:type="paragraph" w:styleId="Footer">
    <w:name w:val="footer"/>
    <w:basedOn w:val="Normal"/>
    <w:link w:val="FooterChar"/>
    <w:uiPriority w:val="99"/>
    <w:unhideWhenUsed/>
    <w:rsid w:val="00EE0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C2F"/>
    <w:rPr>
      <w:rFonts w:ascii="Calibri" w:eastAsia="Calibri" w:hAnsi="Calibri" w:cs="Times New Roman"/>
      <w:lang w:val="en-US"/>
    </w:rPr>
  </w:style>
  <w:style w:type="paragraph" w:customStyle="1" w:styleId="Akti">
    <w:name w:val="Akti"/>
    <w:link w:val="AktiChar"/>
    <w:rsid w:val="00EE0C2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E0C2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E0C2F"/>
    <w:rPr>
      <w:rFonts w:ascii="Garamond" w:eastAsia="MS Mincho" w:hAnsi="Garamond" w:cs="CG Times"/>
      <w:b/>
      <w:bCs/>
      <w:sz w:val="24"/>
      <w:lang w:val="en-GB"/>
    </w:rPr>
  </w:style>
  <w:style w:type="paragraph" w:customStyle="1" w:styleId="Paragrafi">
    <w:name w:val="Paragrafi"/>
    <w:link w:val="ParagrafiChar"/>
    <w:rsid w:val="00EE0C2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E0C2F"/>
    <w:rPr>
      <w:rFonts w:ascii="Garamond" w:eastAsia="MS Mincho" w:hAnsi="Garamond" w:cs="CG Times"/>
      <w:sz w:val="24"/>
      <w:lang w:val="en-US"/>
    </w:rPr>
  </w:style>
  <w:style w:type="paragraph" w:customStyle="1" w:styleId="Titulli">
    <w:name w:val="Titulli"/>
    <w:next w:val="Normal"/>
    <w:link w:val="TitulliChar"/>
    <w:rsid w:val="00EE0C2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E0C2F"/>
    <w:rPr>
      <w:rFonts w:ascii="Garamond" w:eastAsia="MS Mincho" w:hAnsi="Garamond" w:cs="CG Times"/>
      <w:b/>
      <w:bCs/>
      <w:caps/>
      <w:sz w:val="24"/>
      <w:lang w:val="en-GB"/>
    </w:rPr>
  </w:style>
  <w:style w:type="character" w:customStyle="1" w:styleId="AktiChar">
    <w:name w:val="Akti Char"/>
    <w:basedOn w:val="DefaultParagraphFont"/>
    <w:link w:val="Akti"/>
    <w:rsid w:val="00EE0C2F"/>
    <w:rPr>
      <w:rFonts w:ascii="Garamond" w:eastAsia="MS Mincho" w:hAnsi="Garamond" w:cs="CG Times"/>
      <w:b/>
      <w:bCs/>
      <w:caps/>
      <w:color w:val="000000"/>
      <w:sz w:val="24"/>
      <w:lang w:val="en-GB"/>
    </w:rPr>
  </w:style>
  <w:style w:type="paragraph" w:customStyle="1" w:styleId="NeniNr">
    <w:name w:val="Neni_Nr"/>
    <w:next w:val="Normal"/>
    <w:link w:val="NeniNrChar"/>
    <w:rsid w:val="00EE0C2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E0C2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E0C2F"/>
    <w:rPr>
      <w:rFonts w:ascii="Garamond" w:eastAsia="MS Mincho" w:hAnsi="Garamond" w:cs="CG Times"/>
      <w:sz w:val="24"/>
      <w:lang w:val="en-GB"/>
    </w:rPr>
  </w:style>
  <w:style w:type="paragraph" w:customStyle="1" w:styleId="Autoriteti">
    <w:name w:val="Autoriteti"/>
    <w:next w:val="Normal"/>
    <w:link w:val="AutoritetiChar"/>
    <w:rsid w:val="00EE0C2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E0C2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E0C2F"/>
    <w:rPr>
      <w:rFonts w:ascii="Garamond" w:eastAsia="MS Mincho" w:hAnsi="Garamond" w:cs="CG Times"/>
      <w:caps/>
      <w:sz w:val="24"/>
      <w:lang w:val="en-GB"/>
    </w:rPr>
  </w:style>
  <w:style w:type="character" w:customStyle="1" w:styleId="AutoritetiEmerChar">
    <w:name w:val="Autoriteti_Emer Char"/>
    <w:link w:val="AutoritetiEmer"/>
    <w:locked/>
    <w:rsid w:val="00EE0C2F"/>
    <w:rPr>
      <w:rFonts w:ascii="Garamond" w:eastAsia="MS Mincho" w:hAnsi="Garamond" w:cs="Times New Roman"/>
      <w:b/>
      <w:bCs/>
      <w:sz w:val="24"/>
      <w:lang w:val="en-GB"/>
    </w:rPr>
  </w:style>
  <w:style w:type="paragraph" w:customStyle="1" w:styleId="Titull-Titull">
    <w:name w:val="Titull-Titull"/>
    <w:basedOn w:val="Paragrafi"/>
    <w:qFormat/>
    <w:rsid w:val="00EE0C2F"/>
    <w:pPr>
      <w:ind w:firstLine="0"/>
      <w:jc w:val="center"/>
    </w:pPr>
    <w:rPr>
      <w:caps/>
      <w:szCs w:val="24"/>
    </w:rPr>
  </w:style>
  <w:style w:type="paragraph" w:customStyle="1" w:styleId="Vendosi">
    <w:name w:val="Vendosi"/>
    <w:basedOn w:val="Titull-Titull"/>
    <w:qFormat/>
    <w:rsid w:val="00EE0C2F"/>
  </w:style>
  <w:style w:type="paragraph" w:customStyle="1" w:styleId="Hapesira7">
    <w:name w:val="Hapesira 7"/>
    <w:basedOn w:val="Paragrafi"/>
    <w:qFormat/>
    <w:rsid w:val="00EE0C2F"/>
    <w:rPr>
      <w:sz w:val="14"/>
      <w:szCs w:val="24"/>
    </w:rPr>
  </w:style>
  <w:style w:type="paragraph" w:styleId="ListParagraph">
    <w:name w:val="List Paragraph"/>
    <w:aliases w:val="List Paragraph2"/>
    <w:basedOn w:val="Normal"/>
    <w:link w:val="ListParagraphChar"/>
    <w:uiPriority w:val="34"/>
    <w:qFormat/>
    <w:rsid w:val="00EE0C2F"/>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34"/>
    <w:locked/>
    <w:rsid w:val="00EE0C2F"/>
    <w:rPr>
      <w:rFonts w:ascii="Calibri" w:eastAsia="Times New Roman" w:hAnsi="Calibri" w:cs="Times New Roman"/>
      <w:lang/>
    </w:rPr>
  </w:style>
  <w:style w:type="paragraph" w:customStyle="1" w:styleId="Style1">
    <w:name w:val="Style1"/>
    <w:basedOn w:val="Akti"/>
    <w:qFormat/>
    <w:rsid w:val="00EE0C2F"/>
  </w:style>
  <w:style w:type="character" w:customStyle="1" w:styleId="Heading2Char1">
    <w:name w:val="Heading 2 Char1"/>
    <w:link w:val="Heading2"/>
    <w:uiPriority w:val="9"/>
    <w:locked/>
    <w:rsid w:val="00EE0C2F"/>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EE0C2F"/>
    <w:rPr>
      <w:rFonts w:ascii="Cambria" w:eastAsia="MS Mincho" w:hAnsi="Cambria" w:cs="Cambria"/>
      <w:b/>
      <w:bCs/>
      <w:sz w:val="24"/>
      <w:szCs w:val="24"/>
      <w:lang w:val="en-US"/>
    </w:rPr>
  </w:style>
  <w:style w:type="paragraph" w:customStyle="1" w:styleId="ADDRESS">
    <w:name w:val="ADDRESS"/>
    <w:basedOn w:val="Normal"/>
    <w:rsid w:val="00EE0C2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E0C2F"/>
    <w:pPr>
      <w:spacing w:after="0" w:line="240" w:lineRule="auto"/>
      <w:jc w:val="both"/>
    </w:pPr>
    <w:rPr>
      <w:rFonts w:ascii="CG Times" w:eastAsia="MS Mincho" w:hAnsi="CG Times" w:cs="CG Times"/>
      <w:sz w:val="21"/>
      <w:lang w:val="en-GB"/>
    </w:rPr>
  </w:style>
  <w:style w:type="paragraph" w:customStyle="1" w:styleId="AneksiNr">
    <w:name w:val="Aneksi_Nr"/>
    <w:next w:val="Normal"/>
    <w:rsid w:val="00EE0C2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E0C2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EE0C2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EE0C2F"/>
    <w:rPr>
      <w:rFonts w:ascii="Arial" w:eastAsia="Times New Roman" w:hAnsi="Arial" w:cs="Arial"/>
      <w:color w:val="000000"/>
      <w:sz w:val="24"/>
      <w:szCs w:val="24"/>
      <w:lang w:val="en-US"/>
    </w:rPr>
  </w:style>
  <w:style w:type="paragraph" w:customStyle="1" w:styleId="BazLigjPropozues">
    <w:name w:val="Baz_Ligj_Propozues"/>
    <w:rsid w:val="00EE0C2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E0C2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E0C2F"/>
    <w:rPr>
      <w:rFonts w:ascii="Times New Roman" w:eastAsia="Times New Roman" w:hAnsi="Times New Roman" w:cs="Times New Roman"/>
      <w:caps/>
      <w:sz w:val="26"/>
      <w:szCs w:val="26"/>
      <w:lang w:val="en-GB"/>
    </w:rPr>
  </w:style>
  <w:style w:type="character" w:customStyle="1" w:styleId="apple-converted-space">
    <w:name w:val="apple-converted-space"/>
    <w:rsid w:val="00EE0C2F"/>
  </w:style>
  <w:style w:type="character" w:styleId="Hyperlink">
    <w:name w:val="Hyperlink"/>
    <w:uiPriority w:val="99"/>
    <w:unhideWhenUsed/>
    <w:rsid w:val="00EE0C2F"/>
    <w:rPr>
      <w:color w:val="0000FF"/>
      <w:u w:val="single"/>
    </w:rPr>
  </w:style>
  <w:style w:type="character" w:styleId="FollowedHyperlink">
    <w:name w:val="FollowedHyperlink"/>
    <w:uiPriority w:val="99"/>
    <w:unhideWhenUsed/>
    <w:rsid w:val="00EE0C2F"/>
    <w:rPr>
      <w:color w:val="800080"/>
      <w:u w:val="single"/>
    </w:rPr>
  </w:style>
  <w:style w:type="paragraph" w:customStyle="1" w:styleId="font5">
    <w:name w:val="font5"/>
    <w:basedOn w:val="Normal"/>
    <w:rsid w:val="00EE0C2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E0C2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E0C2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E0C2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E0C2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E0C2F"/>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EE0C2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E0C2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E0C2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E0C2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E0C2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E0C2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E0C2F"/>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EE0C2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E0C2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E0C2F"/>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EE0C2F"/>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EE0C2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E0C2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E0C2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E0C2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E0C2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E0C2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E0C2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E0C2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E0C2F"/>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EE0C2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E0C2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E0C2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E0C2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E0C2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E0C2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E0C2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E0C2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E0C2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E0C2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E0C2F"/>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EE0C2F"/>
  </w:style>
  <w:style w:type="paragraph" w:customStyle="1" w:styleId="PjesaNr">
    <w:name w:val="Pjesa_Nr"/>
    <w:next w:val="Normal"/>
    <w:rsid w:val="00EE0C2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E0C2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E0C2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E0C2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E0C2F"/>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EE0C2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E0C2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E0C2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E0C2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E0C2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E0C2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E0C2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E0C2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E0C2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E0C2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E0C2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E0C2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E0C2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E0C2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E0C2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E0C2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E0C2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E0C2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E0C2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E0C2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E0C2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E0C2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E0C2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E0C2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E0C2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E0C2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E0C2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EE0C2F"/>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E0C2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E0C2F"/>
    <w:rPr>
      <w:b/>
      <w:bCs/>
    </w:rPr>
  </w:style>
  <w:style w:type="paragraph" w:customStyle="1" w:styleId="xl136">
    <w:name w:val="xl136"/>
    <w:basedOn w:val="Normal"/>
    <w:rsid w:val="00EE0C2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E0C2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E0C2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E0C2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E0C2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E0C2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E0C2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E0C2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E0C2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E0C2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E0C2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E0C2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E0C2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E0C2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E0C2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E0C2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E0C2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E0C2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E0C2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E0C2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E0C2F"/>
  </w:style>
  <w:style w:type="paragraph" w:styleId="Title">
    <w:name w:val="Title"/>
    <w:basedOn w:val="Heading1"/>
    <w:next w:val="Normal"/>
    <w:link w:val="TitleChar"/>
    <w:qFormat/>
    <w:rsid w:val="00EE0C2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E0C2F"/>
    <w:rPr>
      <w:rFonts w:ascii="Calibri" w:eastAsia="Times New Roman" w:hAnsi="Calibri" w:cs="Arial"/>
      <w:b/>
      <w:caps/>
      <w:spacing w:val="10"/>
      <w:sz w:val="40"/>
      <w:szCs w:val="40"/>
    </w:rPr>
  </w:style>
  <w:style w:type="paragraph" w:customStyle="1" w:styleId="articlebody">
    <w:name w:val="articlebody"/>
    <w:basedOn w:val="Normal"/>
    <w:uiPriority w:val="99"/>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E0C2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E0C2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E0C2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E0C2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E0C2F"/>
    <w:pPr>
      <w:spacing w:after="100"/>
      <w:ind w:left="660" w:firstLine="0"/>
      <w:jc w:val="left"/>
    </w:pPr>
    <w:rPr>
      <w:rFonts w:eastAsia="Times New Roman"/>
    </w:rPr>
  </w:style>
  <w:style w:type="paragraph" w:styleId="TOC5">
    <w:name w:val="toc 5"/>
    <w:basedOn w:val="Normal"/>
    <w:next w:val="Normal"/>
    <w:autoRedefine/>
    <w:unhideWhenUsed/>
    <w:rsid w:val="00EE0C2F"/>
    <w:pPr>
      <w:spacing w:after="100"/>
      <w:ind w:left="880" w:firstLine="0"/>
      <w:jc w:val="left"/>
    </w:pPr>
    <w:rPr>
      <w:rFonts w:eastAsia="Times New Roman"/>
    </w:rPr>
  </w:style>
  <w:style w:type="paragraph" w:styleId="TOC6">
    <w:name w:val="toc 6"/>
    <w:basedOn w:val="Normal"/>
    <w:next w:val="Normal"/>
    <w:autoRedefine/>
    <w:unhideWhenUsed/>
    <w:rsid w:val="00EE0C2F"/>
    <w:pPr>
      <w:spacing w:after="100"/>
      <w:ind w:left="1100" w:firstLine="0"/>
      <w:jc w:val="left"/>
    </w:pPr>
    <w:rPr>
      <w:rFonts w:eastAsia="Times New Roman"/>
    </w:rPr>
  </w:style>
  <w:style w:type="paragraph" w:styleId="TOC7">
    <w:name w:val="toc 7"/>
    <w:basedOn w:val="Normal"/>
    <w:next w:val="Normal"/>
    <w:autoRedefine/>
    <w:unhideWhenUsed/>
    <w:rsid w:val="00EE0C2F"/>
    <w:pPr>
      <w:spacing w:after="100"/>
      <w:ind w:left="1320" w:firstLine="0"/>
      <w:jc w:val="left"/>
    </w:pPr>
    <w:rPr>
      <w:rFonts w:eastAsia="Times New Roman"/>
    </w:rPr>
  </w:style>
  <w:style w:type="paragraph" w:styleId="TOC8">
    <w:name w:val="toc 8"/>
    <w:basedOn w:val="Normal"/>
    <w:next w:val="Normal"/>
    <w:autoRedefine/>
    <w:unhideWhenUsed/>
    <w:rsid w:val="00EE0C2F"/>
    <w:pPr>
      <w:spacing w:after="100"/>
      <w:ind w:left="1540" w:firstLine="0"/>
      <w:jc w:val="left"/>
    </w:pPr>
    <w:rPr>
      <w:rFonts w:eastAsia="Times New Roman"/>
    </w:rPr>
  </w:style>
  <w:style w:type="paragraph" w:styleId="TOC9">
    <w:name w:val="toc 9"/>
    <w:basedOn w:val="Normal"/>
    <w:next w:val="Normal"/>
    <w:autoRedefine/>
    <w:unhideWhenUsed/>
    <w:rsid w:val="00EE0C2F"/>
    <w:pPr>
      <w:spacing w:after="100"/>
      <w:ind w:left="1760" w:firstLine="0"/>
      <w:jc w:val="left"/>
    </w:pPr>
    <w:rPr>
      <w:rFonts w:eastAsia="Times New Roman"/>
    </w:rPr>
  </w:style>
  <w:style w:type="paragraph" w:styleId="BodyTextIndent">
    <w:name w:val="Body Text Indent"/>
    <w:basedOn w:val="Normal"/>
    <w:link w:val="BodyTextIndentChar"/>
    <w:unhideWhenUsed/>
    <w:rsid w:val="00EE0C2F"/>
    <w:pPr>
      <w:spacing w:after="120"/>
      <w:ind w:left="360"/>
    </w:pPr>
  </w:style>
  <w:style w:type="character" w:customStyle="1" w:styleId="BodyTextIndentChar">
    <w:name w:val="Body Text Indent Char"/>
    <w:basedOn w:val="DefaultParagraphFont"/>
    <w:link w:val="BodyTextIndent"/>
    <w:rsid w:val="00EE0C2F"/>
    <w:rPr>
      <w:rFonts w:ascii="Calibri" w:eastAsia="Calibri" w:hAnsi="Calibri" w:cs="Times New Roman"/>
      <w:lang w:val="en-US"/>
    </w:rPr>
  </w:style>
  <w:style w:type="paragraph" w:customStyle="1" w:styleId="numridata0">
    <w:name w:val="numridata"/>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E0C2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E0C2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E0C2F"/>
    <w:rPr>
      <w:rFonts w:ascii="Times New Roman" w:eastAsia="Times New Roman" w:hAnsi="Times New Roman" w:cs="Times New Roman"/>
      <w:sz w:val="16"/>
      <w:szCs w:val="16"/>
      <w:lang w:val="en-US"/>
    </w:rPr>
  </w:style>
  <w:style w:type="paragraph" w:customStyle="1" w:styleId="s32b251d">
    <w:name w:val="s32b251d"/>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E0C2F"/>
  </w:style>
  <w:style w:type="paragraph" w:customStyle="1" w:styleId="s30eec3f8">
    <w:name w:val="s30eec3f8"/>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E0C2F"/>
    <w:rPr>
      <w:sz w:val="24"/>
      <w:lang w:val="en-GB" w:eastAsia="fr-FR"/>
    </w:rPr>
  </w:style>
  <w:style w:type="paragraph" w:customStyle="1" w:styleId="JuPara">
    <w:name w:val="Ju_Para"/>
    <w:basedOn w:val="Normal"/>
    <w:link w:val="JuParaCar"/>
    <w:rsid w:val="00EE0C2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E0C2F"/>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EE0C2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E0C2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E0C2F"/>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EE0C2F"/>
    <w:rPr>
      <w:vertAlign w:val="superscript"/>
    </w:rPr>
  </w:style>
  <w:style w:type="paragraph" w:customStyle="1" w:styleId="ju-005fpara">
    <w:name w:val="ju-005fpara"/>
    <w:basedOn w:val="Normal"/>
    <w:rsid w:val="00EE0C2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E0C2F"/>
  </w:style>
  <w:style w:type="character" w:customStyle="1" w:styleId="s7d2086b4">
    <w:name w:val="s7d2086b4"/>
    <w:basedOn w:val="DefaultParagraphFont"/>
    <w:uiPriority w:val="99"/>
    <w:rsid w:val="00EE0C2F"/>
  </w:style>
  <w:style w:type="character" w:customStyle="1" w:styleId="hps">
    <w:name w:val="hps"/>
    <w:basedOn w:val="DefaultParagraphFont"/>
    <w:uiPriority w:val="99"/>
    <w:rsid w:val="00EE0C2F"/>
  </w:style>
  <w:style w:type="paragraph" w:customStyle="1" w:styleId="paragrafi0">
    <w:name w:val="paragrafi"/>
    <w:basedOn w:val="Normal"/>
    <w:rsid w:val="00EE0C2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E0C2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E0C2F"/>
    <w:rPr>
      <w:rFonts w:cs="Times New Roman"/>
    </w:rPr>
  </w:style>
  <w:style w:type="paragraph" w:customStyle="1" w:styleId="titulli0">
    <w:name w:val="titulli"/>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E0C2F"/>
  </w:style>
  <w:style w:type="paragraph" w:customStyle="1" w:styleId="akti0">
    <w:name w:val="akti"/>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E0C2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E0C2F"/>
  </w:style>
  <w:style w:type="paragraph" w:customStyle="1" w:styleId="CM49">
    <w:name w:val="CM49"/>
    <w:basedOn w:val="Normal"/>
    <w:next w:val="Normal"/>
    <w:rsid w:val="00EE0C2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E0C2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E0C2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E0C2F"/>
    <w:pPr>
      <w:widowControl w:val="0"/>
    </w:pPr>
    <w:rPr>
      <w:rFonts w:ascii="Helvetica" w:eastAsia="Times New Roman" w:hAnsi="Helvetica" w:cs="Helvetica"/>
      <w:lang w:val="sq-AL"/>
    </w:rPr>
  </w:style>
  <w:style w:type="paragraph" w:customStyle="1" w:styleId="CM57">
    <w:name w:val="CM57"/>
    <w:basedOn w:val="Normal"/>
    <w:next w:val="Normal"/>
    <w:rsid w:val="00EE0C2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E0C2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E0C2F"/>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EE0C2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E0C2F"/>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EE0C2F"/>
  </w:style>
  <w:style w:type="character" w:customStyle="1" w:styleId="StyleHeading6BoldChar">
    <w:name w:val="Style Heading 6 + Bold Char"/>
    <w:link w:val="StyleHeading6Bold"/>
    <w:rsid w:val="00EE0C2F"/>
    <w:rPr>
      <w:rFonts w:ascii="Cambria" w:eastAsia="MS Mincho" w:hAnsi="Cambria" w:cs="Cambria"/>
      <w:b/>
      <w:bCs/>
      <w:i/>
      <w:iCs/>
      <w:color w:val="7F7F7F"/>
      <w:sz w:val="24"/>
      <w:szCs w:val="24"/>
      <w:lang w:val="en-US"/>
    </w:rPr>
  </w:style>
  <w:style w:type="paragraph" w:customStyle="1" w:styleId="tableheaders">
    <w:name w:val="table headers"/>
    <w:rsid w:val="00EE0C2F"/>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EE0C2F"/>
    <w:rPr>
      <w:b w:val="0"/>
    </w:rPr>
  </w:style>
  <w:style w:type="paragraph" w:styleId="PlainText">
    <w:name w:val="Plain Text"/>
    <w:basedOn w:val="Normal"/>
    <w:link w:val="PlainTextChar"/>
    <w:uiPriority w:val="99"/>
    <w:unhideWhenUsed/>
    <w:rsid w:val="00EE0C2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E0C2F"/>
    <w:rPr>
      <w:rFonts w:ascii="Consolas" w:eastAsia="Calibri" w:hAnsi="Consolas" w:cs="Times New Roman"/>
      <w:sz w:val="21"/>
      <w:szCs w:val="21"/>
      <w:lang/>
    </w:rPr>
  </w:style>
  <w:style w:type="paragraph" w:customStyle="1" w:styleId="StyleStyle1Bold">
    <w:name w:val="Style Style1 + Bold"/>
    <w:basedOn w:val="Style1"/>
    <w:rsid w:val="00EE0C2F"/>
  </w:style>
  <w:style w:type="paragraph" w:customStyle="1" w:styleId="CM1">
    <w:name w:val="CM1"/>
    <w:basedOn w:val="Default"/>
    <w:next w:val="Default"/>
    <w:uiPriority w:val="99"/>
    <w:rsid w:val="00EE0C2F"/>
    <w:rPr>
      <w:rFonts w:ascii="EUAlbertina" w:hAnsi="EUAlbertina"/>
      <w:color w:val="auto"/>
    </w:rPr>
  </w:style>
  <w:style w:type="paragraph" w:customStyle="1" w:styleId="CM4">
    <w:name w:val="CM4"/>
    <w:basedOn w:val="Normal"/>
    <w:next w:val="Normal"/>
    <w:uiPriority w:val="99"/>
    <w:rsid w:val="00EE0C2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E0C2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E0C2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E0C2F"/>
    <w:rPr>
      <w:rFonts w:ascii="Tahoma" w:eastAsia="Times New Roman" w:hAnsi="Tahoma" w:cs="Times New Roman"/>
      <w:sz w:val="16"/>
      <w:szCs w:val="16"/>
      <w:lang/>
    </w:rPr>
  </w:style>
  <w:style w:type="numbering" w:customStyle="1" w:styleId="NoList3">
    <w:name w:val="No List3"/>
    <w:next w:val="NoList"/>
    <w:semiHidden/>
    <w:rsid w:val="00EE0C2F"/>
  </w:style>
  <w:style w:type="numbering" w:customStyle="1" w:styleId="NoList4">
    <w:name w:val="No List4"/>
    <w:next w:val="NoList"/>
    <w:semiHidden/>
    <w:rsid w:val="00EE0C2F"/>
  </w:style>
  <w:style w:type="paragraph" w:customStyle="1" w:styleId="Point1">
    <w:name w:val="Point 1"/>
    <w:basedOn w:val="Normal"/>
    <w:link w:val="Point1Char"/>
    <w:rsid w:val="00EE0C2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E0C2F"/>
    <w:rPr>
      <w:rFonts w:ascii="Calibri" w:eastAsia="Times New Roman" w:hAnsi="Calibri" w:cs="Times New Roman"/>
      <w:sz w:val="24"/>
      <w:szCs w:val="24"/>
      <w:lang w:val="en-GB" w:eastAsia="en-GB"/>
    </w:rPr>
  </w:style>
  <w:style w:type="character" w:customStyle="1" w:styleId="longtext">
    <w:name w:val="long_text"/>
    <w:rsid w:val="00EE0C2F"/>
    <w:rPr>
      <w:rFonts w:ascii="Comic Sans MS" w:hAnsi="Comic Sans MS"/>
      <w:b/>
      <w:sz w:val="96"/>
      <w:szCs w:val="24"/>
      <w:lang w:val="pl-PL" w:eastAsia="pl-PL" w:bidi="ar-SA"/>
    </w:rPr>
  </w:style>
  <w:style w:type="paragraph" w:customStyle="1" w:styleId="Text1">
    <w:name w:val="Text 1"/>
    <w:basedOn w:val="Normal"/>
    <w:link w:val="Text1Char"/>
    <w:rsid w:val="00EE0C2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E0C2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E0C2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E0C2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E0C2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E0C2F"/>
  </w:style>
  <w:style w:type="character" w:customStyle="1" w:styleId="SectionTitleCharCharChar">
    <w:name w:val="SectionTitle Char Char Char"/>
    <w:link w:val="SectionTitleCharChar"/>
    <w:rsid w:val="00EE0C2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E0C2F"/>
    <w:rPr>
      <w:rFonts w:ascii="Calibri" w:eastAsia="Times New Roman" w:hAnsi="Calibri" w:cs="Times New Roman"/>
      <w:b/>
      <w:bCs/>
      <w:smallCaps/>
      <w:sz w:val="28"/>
      <w:szCs w:val="28"/>
      <w:lang w:val="en-GB" w:eastAsia="en-GB"/>
    </w:rPr>
  </w:style>
  <w:style w:type="character" w:customStyle="1" w:styleId="Text1Char">
    <w:name w:val="Text 1 Char"/>
    <w:link w:val="Text1"/>
    <w:rsid w:val="00EE0C2F"/>
    <w:rPr>
      <w:rFonts w:ascii="Calibri" w:eastAsia="Times New Roman" w:hAnsi="Calibri" w:cs="Times New Roman"/>
      <w:sz w:val="24"/>
      <w:szCs w:val="24"/>
      <w:lang w:val="en-GB" w:eastAsia="en-GB"/>
    </w:rPr>
  </w:style>
  <w:style w:type="character" w:customStyle="1" w:styleId="Point1CharChar">
    <w:name w:val="Point 1 Char Char"/>
    <w:rsid w:val="00EE0C2F"/>
    <w:rPr>
      <w:sz w:val="24"/>
      <w:szCs w:val="24"/>
      <w:lang w:val="en-GB" w:eastAsia="en-GB" w:bidi="ar-SA"/>
    </w:rPr>
  </w:style>
  <w:style w:type="paragraph" w:customStyle="1" w:styleId="Point0">
    <w:name w:val="Point 0"/>
    <w:basedOn w:val="Normal"/>
    <w:rsid w:val="00EE0C2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E0C2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E0C2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E0C2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E0C2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E0C2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E0C2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E0C2F"/>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EE0C2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E0C2F"/>
    <w:rPr>
      <w:rFonts w:ascii="CG Times" w:hAnsi="CG Times"/>
      <w:sz w:val="22"/>
      <w:lang w:val="en-US" w:eastAsia="en-US" w:bidi="ar-SA"/>
    </w:rPr>
  </w:style>
  <w:style w:type="paragraph" w:customStyle="1" w:styleId="SectionTitle">
    <w:name w:val="SectionTitle"/>
    <w:basedOn w:val="Normal"/>
    <w:next w:val="Heading1"/>
    <w:rsid w:val="00EE0C2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E0C2F"/>
  </w:style>
  <w:style w:type="paragraph" w:styleId="TableofFigures">
    <w:name w:val="table of figures"/>
    <w:basedOn w:val="Normal"/>
    <w:next w:val="Normal"/>
    <w:rsid w:val="00EE0C2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E0C2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E0C2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E0C2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E0C2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E0C2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E0C2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E0C2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E0C2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E0C2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E0C2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E0C2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E0C2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E0C2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E0C2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E0C2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E0C2F"/>
    <w:pPr>
      <w:spacing w:after="0" w:line="360" w:lineRule="auto"/>
      <w:ind w:firstLine="0"/>
      <w:jc w:val="left"/>
    </w:pPr>
    <w:rPr>
      <w:rFonts w:ascii="Tahoma" w:eastAsia="Times New Roman" w:hAnsi="Tahoma"/>
      <w:lang w:val="de-AT" w:eastAsia="de-DE"/>
    </w:rPr>
  </w:style>
  <w:style w:type="paragraph" w:styleId="List">
    <w:name w:val="List"/>
    <w:basedOn w:val="Normal"/>
    <w:rsid w:val="00EE0C2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E0C2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E0C2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E0C2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E0C2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E0C2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E0C2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E0C2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E0C2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E0C2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E0C2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E0C2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E0C2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EE0C2F"/>
    <w:rPr>
      <w:sz w:val="16"/>
      <w:szCs w:val="16"/>
    </w:rPr>
  </w:style>
  <w:style w:type="paragraph" w:styleId="CommentText">
    <w:name w:val="annotation text"/>
    <w:aliases w:val=" Char"/>
    <w:basedOn w:val="Normal"/>
    <w:link w:val="CommentTextChar"/>
    <w:uiPriority w:val="99"/>
    <w:unhideWhenUsed/>
    <w:rsid w:val="00EE0C2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E0C2F"/>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EE0C2F"/>
    <w:rPr>
      <w:b/>
      <w:bCs/>
    </w:rPr>
  </w:style>
  <w:style w:type="character" w:customStyle="1" w:styleId="CommentSubjectChar">
    <w:name w:val="Comment Subject Char"/>
    <w:basedOn w:val="CommentTextChar"/>
    <w:link w:val="CommentSubject"/>
    <w:uiPriority w:val="99"/>
    <w:rsid w:val="00EE0C2F"/>
    <w:rPr>
      <w:rFonts w:ascii="Calibri" w:eastAsia="MS Mincho" w:hAnsi="Calibri" w:cs="Times New Roman"/>
      <w:b/>
      <w:bCs/>
      <w:sz w:val="20"/>
      <w:szCs w:val="20"/>
    </w:rPr>
  </w:style>
  <w:style w:type="paragraph" w:styleId="ListNumber4">
    <w:name w:val="List Number 4"/>
    <w:basedOn w:val="Normal"/>
    <w:rsid w:val="00EE0C2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E0C2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E0C2F"/>
  </w:style>
  <w:style w:type="paragraph" w:styleId="MacroText">
    <w:name w:val="macro"/>
    <w:link w:val="MacroTextChar"/>
    <w:semiHidden/>
    <w:rsid w:val="00EE0C2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E0C2F"/>
    <w:rPr>
      <w:rFonts w:ascii="Courier New" w:eastAsia="Times New Roman" w:hAnsi="Courier New" w:cs="Times New Roman"/>
      <w:lang w:val="de-DE" w:eastAsia="de-DE"/>
    </w:rPr>
  </w:style>
  <w:style w:type="paragraph" w:styleId="NormalIndent">
    <w:name w:val="Normal Indent"/>
    <w:basedOn w:val="Normal"/>
    <w:link w:val="NormalIndentChar"/>
    <w:rsid w:val="00EE0C2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E0C2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E0C2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E0C2F"/>
    <w:rPr>
      <w:rFonts w:ascii="Tahoma" w:hAnsi="Tahoma"/>
      <w:sz w:val="22"/>
    </w:rPr>
  </w:style>
  <w:style w:type="paragraph" w:styleId="BlockText">
    <w:name w:val="Block Text"/>
    <w:basedOn w:val="Normal"/>
    <w:rsid w:val="00EE0C2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E0C2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E0C2F"/>
    <w:rPr>
      <w:rFonts w:ascii="Tahoma" w:eastAsia="Times New Roman" w:hAnsi="Tahoma" w:cs="Times New Roman"/>
      <w:lang w:val="de-AT" w:eastAsia="de-DE"/>
    </w:rPr>
  </w:style>
  <w:style w:type="character" w:customStyle="1" w:styleId="Emphasis1">
    <w:name w:val="Emphasis1"/>
    <w:semiHidden/>
    <w:rsid w:val="00EE0C2F"/>
  </w:style>
  <w:style w:type="paragraph" w:styleId="NoteHeading">
    <w:name w:val="Note Heading"/>
    <w:basedOn w:val="Normal"/>
    <w:next w:val="Normal"/>
    <w:link w:val="NoteHeadingChar"/>
    <w:rsid w:val="00EE0C2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E0C2F"/>
    <w:rPr>
      <w:rFonts w:ascii="Tahoma" w:eastAsia="Times New Roman" w:hAnsi="Tahoma" w:cs="Times New Roman"/>
      <w:lang w:val="de-AT" w:eastAsia="de-DE"/>
    </w:rPr>
  </w:style>
  <w:style w:type="paragraph" w:styleId="MessageHeader">
    <w:name w:val="Message Header"/>
    <w:basedOn w:val="Normal"/>
    <w:link w:val="MessageHeaderChar"/>
    <w:semiHidden/>
    <w:rsid w:val="00EE0C2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E0C2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E0C2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E0C2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E0C2F"/>
    <w:rPr>
      <w:rFonts w:ascii="Tahoma" w:eastAsia="Times New Roman" w:hAnsi="Tahoma" w:cs="Times New Roman"/>
      <w:sz w:val="20"/>
      <w:szCs w:val="20"/>
      <w:lang w:val="en-US"/>
    </w:rPr>
  </w:style>
  <w:style w:type="character" w:styleId="EndnoteReference">
    <w:name w:val="endnote reference"/>
    <w:uiPriority w:val="99"/>
    <w:semiHidden/>
    <w:unhideWhenUsed/>
    <w:rsid w:val="00EE0C2F"/>
    <w:rPr>
      <w:vertAlign w:val="superscript"/>
    </w:rPr>
  </w:style>
  <w:style w:type="paragraph" w:styleId="BodyTextFirstIndent2">
    <w:name w:val="Body Text First Indent 2"/>
    <w:basedOn w:val="BodyTextIndent"/>
    <w:link w:val="BodyTextFirstIndent2Char"/>
    <w:semiHidden/>
    <w:rsid w:val="00EE0C2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E0C2F"/>
    <w:rPr>
      <w:rFonts w:ascii="Tahoma" w:eastAsia="Times New Roman" w:hAnsi="Tahoma" w:cs="Times New Roman"/>
      <w:lang w:val="de-AT" w:eastAsia="de-DE"/>
    </w:rPr>
  </w:style>
  <w:style w:type="numbering" w:styleId="111111">
    <w:name w:val="Outline List 2"/>
    <w:basedOn w:val="NoList"/>
    <w:semiHidden/>
    <w:rsid w:val="00EE0C2F"/>
    <w:pPr>
      <w:numPr>
        <w:numId w:val="14"/>
      </w:numPr>
    </w:pPr>
  </w:style>
  <w:style w:type="paragraph" w:customStyle="1" w:styleId="Zusatz2">
    <w:name w:val="Zusatz 2"/>
    <w:basedOn w:val="Normal"/>
    <w:next w:val="Normal"/>
    <w:semiHidden/>
    <w:rsid w:val="00EE0C2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E0C2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E0C2F"/>
    <w:pPr>
      <w:numPr>
        <w:numId w:val="15"/>
      </w:numPr>
    </w:pPr>
  </w:style>
  <w:style w:type="paragraph" w:styleId="Salutation">
    <w:name w:val="Salutation"/>
    <w:basedOn w:val="Normal"/>
    <w:next w:val="Normal"/>
    <w:link w:val="SalutationChar"/>
    <w:semiHidden/>
    <w:rsid w:val="00EE0C2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E0C2F"/>
    <w:rPr>
      <w:rFonts w:ascii="Tahoma" w:eastAsia="Times New Roman" w:hAnsi="Tahoma" w:cs="Times New Roman"/>
      <w:lang w:val="de-AT" w:eastAsia="de-DE"/>
    </w:rPr>
  </w:style>
  <w:style w:type="numbering" w:styleId="ArticleSection">
    <w:name w:val="Outline List 3"/>
    <w:basedOn w:val="NoList"/>
    <w:semiHidden/>
    <w:rsid w:val="00EE0C2F"/>
    <w:pPr>
      <w:numPr>
        <w:numId w:val="16"/>
      </w:numPr>
    </w:pPr>
  </w:style>
  <w:style w:type="paragraph" w:styleId="Closing">
    <w:name w:val="Closing"/>
    <w:basedOn w:val="Normal"/>
    <w:link w:val="ClosingChar"/>
    <w:semiHidden/>
    <w:rsid w:val="00EE0C2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E0C2F"/>
    <w:rPr>
      <w:rFonts w:ascii="Tahoma" w:eastAsia="Times New Roman" w:hAnsi="Tahoma" w:cs="Times New Roman"/>
      <w:lang w:val="de-AT" w:eastAsia="de-DE"/>
    </w:rPr>
  </w:style>
  <w:style w:type="character" w:styleId="Emphasis">
    <w:name w:val="Emphasis"/>
    <w:uiPriority w:val="20"/>
    <w:qFormat/>
    <w:rsid w:val="00EE0C2F"/>
    <w:rPr>
      <w:i/>
      <w:iCs/>
    </w:rPr>
  </w:style>
  <w:style w:type="paragraph" w:styleId="HTMLAddress">
    <w:name w:val="HTML Address"/>
    <w:basedOn w:val="Normal"/>
    <w:link w:val="HTMLAddressChar"/>
    <w:semiHidden/>
    <w:rsid w:val="00EE0C2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E0C2F"/>
    <w:rPr>
      <w:rFonts w:ascii="Tahoma" w:eastAsia="Times New Roman" w:hAnsi="Tahoma" w:cs="Times New Roman"/>
      <w:i/>
      <w:iCs/>
      <w:lang w:val="de-AT" w:eastAsia="de-DE"/>
    </w:rPr>
  </w:style>
  <w:style w:type="character" w:styleId="HTMLAcronym">
    <w:name w:val="HTML Acronym"/>
    <w:semiHidden/>
    <w:rsid w:val="00EE0C2F"/>
  </w:style>
  <w:style w:type="character" w:styleId="HTMLSample">
    <w:name w:val="HTML Sample"/>
    <w:semiHidden/>
    <w:rsid w:val="00EE0C2F"/>
    <w:rPr>
      <w:rFonts w:ascii="Courier New" w:hAnsi="Courier New" w:cs="Courier New"/>
    </w:rPr>
  </w:style>
  <w:style w:type="character" w:styleId="HTMLCode">
    <w:name w:val="HTML Code"/>
    <w:semiHidden/>
    <w:rsid w:val="00EE0C2F"/>
    <w:rPr>
      <w:rFonts w:ascii="Courier New" w:hAnsi="Courier New" w:cs="Courier New"/>
      <w:sz w:val="20"/>
      <w:szCs w:val="20"/>
    </w:rPr>
  </w:style>
  <w:style w:type="character" w:styleId="HTMLDefinition">
    <w:name w:val="HTML Definition"/>
    <w:semiHidden/>
    <w:rsid w:val="00EE0C2F"/>
    <w:rPr>
      <w:i/>
      <w:iCs/>
    </w:rPr>
  </w:style>
  <w:style w:type="character" w:styleId="HTMLTypewriter">
    <w:name w:val="HTML Typewriter"/>
    <w:semiHidden/>
    <w:rsid w:val="00EE0C2F"/>
    <w:rPr>
      <w:rFonts w:ascii="Courier New" w:hAnsi="Courier New" w:cs="Courier New"/>
      <w:sz w:val="20"/>
      <w:szCs w:val="20"/>
    </w:rPr>
  </w:style>
  <w:style w:type="character" w:styleId="HTMLKeyboard">
    <w:name w:val="HTML Keyboard"/>
    <w:semiHidden/>
    <w:rsid w:val="00EE0C2F"/>
    <w:rPr>
      <w:rFonts w:ascii="Courier New" w:hAnsi="Courier New" w:cs="Courier New"/>
      <w:sz w:val="20"/>
      <w:szCs w:val="20"/>
    </w:rPr>
  </w:style>
  <w:style w:type="character" w:styleId="HTMLVariable">
    <w:name w:val="HTML Variable"/>
    <w:semiHidden/>
    <w:rsid w:val="00EE0C2F"/>
    <w:rPr>
      <w:i/>
      <w:iCs/>
    </w:rPr>
  </w:style>
  <w:style w:type="paragraph" w:styleId="HTMLPreformatted">
    <w:name w:val="HTML Preformatted"/>
    <w:basedOn w:val="Normal"/>
    <w:link w:val="HTMLPreformattedChar"/>
    <w:semiHidden/>
    <w:rsid w:val="00EE0C2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E0C2F"/>
    <w:rPr>
      <w:rFonts w:ascii="Courier New" w:eastAsia="Times New Roman" w:hAnsi="Courier New" w:cs="Times New Roman"/>
      <w:sz w:val="20"/>
      <w:lang w:val="de-AT" w:eastAsia="de-DE"/>
    </w:rPr>
  </w:style>
  <w:style w:type="character" w:styleId="HTMLCite">
    <w:name w:val="HTML Cite"/>
    <w:semiHidden/>
    <w:rsid w:val="00EE0C2F"/>
    <w:rPr>
      <w:i/>
      <w:iCs/>
    </w:rPr>
  </w:style>
  <w:style w:type="table" w:styleId="Table3Deffects1">
    <w:name w:val="Table 3D effects 1"/>
    <w:basedOn w:val="TableNormal"/>
    <w:semiHidden/>
    <w:rsid w:val="00EE0C2F"/>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E0C2F"/>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E0C2F"/>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E0C2F"/>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E0C2F"/>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E0C2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E0C2F"/>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E0C2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E0C2F"/>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E0C2F"/>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E0C2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E0C2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E0C2F"/>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E0C2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E0C2F"/>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E0C2F"/>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E0C2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E0C2F"/>
    <w:rPr>
      <w:rFonts w:ascii="Tahoma" w:eastAsia="Times New Roman" w:hAnsi="Tahoma" w:cs="Times New Roman"/>
      <w:lang w:val="de-AT" w:eastAsia="de-DE"/>
    </w:rPr>
  </w:style>
  <w:style w:type="paragraph" w:styleId="E-mailSignature">
    <w:name w:val="E-mail Signature"/>
    <w:basedOn w:val="Normal"/>
    <w:link w:val="E-mailSignatureChar"/>
    <w:rsid w:val="00EE0C2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E0C2F"/>
    <w:rPr>
      <w:rFonts w:ascii="Tahoma" w:eastAsia="Times New Roman" w:hAnsi="Tahoma" w:cs="Times New Roman"/>
      <w:lang w:val="de-AT" w:eastAsia="de-DE"/>
    </w:rPr>
  </w:style>
  <w:style w:type="paragraph" w:styleId="BodyText2">
    <w:name w:val="Body Text 2"/>
    <w:basedOn w:val="Normal"/>
    <w:link w:val="BodyText2Char"/>
    <w:rsid w:val="00EE0C2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E0C2F"/>
    <w:rPr>
      <w:rFonts w:ascii="Tahoma" w:eastAsia="Times New Roman" w:hAnsi="Tahoma" w:cs="Times New Roman"/>
      <w:lang w:val="de-AT" w:eastAsia="de-DE"/>
    </w:rPr>
  </w:style>
  <w:style w:type="paragraph" w:styleId="BodyTextIndent2">
    <w:name w:val="Body Text Indent 2"/>
    <w:basedOn w:val="Normal"/>
    <w:link w:val="BodyTextIndent2Char"/>
    <w:rsid w:val="00EE0C2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E0C2F"/>
    <w:rPr>
      <w:rFonts w:ascii="Tahoma" w:eastAsia="Times New Roman" w:hAnsi="Tahoma" w:cs="Times New Roman"/>
      <w:lang w:val="de-AT" w:eastAsia="de-DE"/>
    </w:rPr>
  </w:style>
  <w:style w:type="paragraph" w:styleId="BodyTextIndent3">
    <w:name w:val="Body Text Indent 3"/>
    <w:basedOn w:val="Normal"/>
    <w:link w:val="BodyTextIndent3Char"/>
    <w:rsid w:val="00EE0C2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E0C2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E0C2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E0C2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E0C2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E0C2F"/>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EE0C2F"/>
    <w:rPr>
      <w:rFonts w:ascii="CG Times" w:eastAsia="Times New Roman" w:hAnsi="CG Times" w:cs="Times New Roman"/>
      <w:b/>
      <w:szCs w:val="24"/>
      <w:lang w:val="en-US"/>
    </w:rPr>
  </w:style>
  <w:style w:type="character" w:customStyle="1" w:styleId="SubtitleChar1">
    <w:name w:val="Subtitle Char1"/>
    <w:locked/>
    <w:rsid w:val="00EE0C2F"/>
    <w:rPr>
      <w:rFonts w:ascii="Cambria" w:hAnsi="Cambria"/>
      <w:sz w:val="24"/>
      <w:szCs w:val="24"/>
    </w:rPr>
  </w:style>
  <w:style w:type="paragraph" w:customStyle="1" w:styleId="Char1">
    <w:name w:val="Char1"/>
    <w:basedOn w:val="Normal"/>
    <w:rsid w:val="00EE0C2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E0C2F"/>
    <w:rPr>
      <w:rFonts w:ascii="Tahoma" w:hAnsi="Tahoma" w:cs="Tahoma"/>
      <w:i/>
      <w:iCs/>
      <w:sz w:val="22"/>
      <w:szCs w:val="22"/>
      <w:lang w:val="de-AT" w:eastAsia="de-DE" w:bidi="ar-SA"/>
    </w:rPr>
  </w:style>
  <w:style w:type="character" w:customStyle="1" w:styleId="CharChar36">
    <w:name w:val="Char Char36"/>
    <w:locked/>
    <w:rsid w:val="00EE0C2F"/>
    <w:rPr>
      <w:rFonts w:ascii="Arial" w:hAnsi="Arial" w:cs="Arial"/>
      <w:b/>
      <w:bCs/>
      <w:kern w:val="32"/>
      <w:sz w:val="32"/>
      <w:szCs w:val="32"/>
      <w:lang w:val="sq-AL" w:eastAsia="en-US" w:bidi="ar-SA"/>
    </w:rPr>
  </w:style>
  <w:style w:type="character" w:customStyle="1" w:styleId="CharChar35">
    <w:name w:val="Char Char35"/>
    <w:locked/>
    <w:rsid w:val="00EE0C2F"/>
    <w:rPr>
      <w:rFonts w:ascii="Arial" w:hAnsi="Arial" w:cs="Arial"/>
      <w:b/>
      <w:bCs/>
      <w:i/>
      <w:iCs/>
      <w:sz w:val="28"/>
      <w:szCs w:val="28"/>
      <w:lang w:val="sq-AL" w:eastAsia="en-US" w:bidi="ar-SA"/>
    </w:rPr>
  </w:style>
  <w:style w:type="character" w:customStyle="1" w:styleId="CharChar34">
    <w:name w:val="Char Char34"/>
    <w:locked/>
    <w:rsid w:val="00EE0C2F"/>
    <w:rPr>
      <w:rFonts w:ascii="Tahoma" w:hAnsi="Tahoma"/>
      <w:b/>
      <w:kern w:val="28"/>
      <w:sz w:val="24"/>
      <w:szCs w:val="28"/>
      <w:lang w:val="de-AT" w:eastAsia="de-DE" w:bidi="ar-SA"/>
    </w:rPr>
  </w:style>
  <w:style w:type="character" w:customStyle="1" w:styleId="CharChar33">
    <w:name w:val="Char Char33"/>
    <w:locked/>
    <w:rsid w:val="00EE0C2F"/>
    <w:rPr>
      <w:rFonts w:ascii="Tahoma" w:hAnsi="Tahoma"/>
      <w:b/>
      <w:i/>
      <w:kern w:val="28"/>
      <w:sz w:val="22"/>
      <w:szCs w:val="22"/>
      <w:lang w:val="de-AT" w:eastAsia="de-DE" w:bidi="ar-SA"/>
    </w:rPr>
  </w:style>
  <w:style w:type="character" w:customStyle="1" w:styleId="CharChar32">
    <w:name w:val="Char Char32"/>
    <w:locked/>
    <w:rsid w:val="00EE0C2F"/>
    <w:rPr>
      <w:rFonts w:ascii="Tahoma" w:hAnsi="Tahoma"/>
      <w:b/>
      <w:i/>
      <w:kern w:val="28"/>
      <w:sz w:val="22"/>
      <w:szCs w:val="22"/>
      <w:lang w:val="de-AT" w:eastAsia="de-DE" w:bidi="ar-SA"/>
    </w:rPr>
  </w:style>
  <w:style w:type="character" w:customStyle="1" w:styleId="CharChar31">
    <w:name w:val="Char Char31"/>
    <w:locked/>
    <w:rsid w:val="00EE0C2F"/>
    <w:rPr>
      <w:rFonts w:ascii="Tahoma" w:hAnsi="Tahoma"/>
      <w:b/>
      <w:i/>
      <w:kern w:val="28"/>
      <w:sz w:val="22"/>
      <w:szCs w:val="22"/>
      <w:lang w:val="de-AT" w:eastAsia="de-DE" w:bidi="ar-SA"/>
    </w:rPr>
  </w:style>
  <w:style w:type="character" w:customStyle="1" w:styleId="CharChar10">
    <w:name w:val="Char Char10"/>
    <w:semiHidden/>
    <w:locked/>
    <w:rsid w:val="00EE0C2F"/>
    <w:rPr>
      <w:rFonts w:ascii="Courier New" w:hAnsi="Courier New" w:cs="Courier New"/>
      <w:szCs w:val="22"/>
      <w:lang w:val="de-AT" w:eastAsia="de-DE" w:bidi="ar-SA"/>
    </w:rPr>
  </w:style>
  <w:style w:type="character" w:customStyle="1" w:styleId="CharChar30">
    <w:name w:val="Char Char30"/>
    <w:locked/>
    <w:rsid w:val="00EE0C2F"/>
    <w:rPr>
      <w:rFonts w:ascii="Tahoma" w:hAnsi="Tahoma"/>
      <w:b/>
      <w:i/>
      <w:kern w:val="28"/>
      <w:sz w:val="22"/>
      <w:szCs w:val="22"/>
      <w:lang w:val="de-AT" w:eastAsia="de-DE" w:bidi="ar-SA"/>
    </w:rPr>
  </w:style>
  <w:style w:type="character" w:customStyle="1" w:styleId="CharChar29">
    <w:name w:val="Char Char29"/>
    <w:locked/>
    <w:rsid w:val="00EE0C2F"/>
    <w:rPr>
      <w:rFonts w:ascii="Tahoma" w:hAnsi="Tahoma"/>
      <w:b/>
      <w:i/>
      <w:kern w:val="28"/>
      <w:sz w:val="22"/>
      <w:szCs w:val="22"/>
      <w:lang w:val="de-AT" w:eastAsia="de-DE" w:bidi="ar-SA"/>
    </w:rPr>
  </w:style>
  <w:style w:type="character" w:customStyle="1" w:styleId="CharChar28">
    <w:name w:val="Char Char28"/>
    <w:locked/>
    <w:rsid w:val="00EE0C2F"/>
    <w:rPr>
      <w:rFonts w:ascii="Tahoma" w:hAnsi="Tahoma"/>
      <w:b/>
      <w:i/>
      <w:kern w:val="28"/>
      <w:sz w:val="22"/>
      <w:szCs w:val="22"/>
      <w:lang w:val="de-AT" w:eastAsia="de-DE" w:bidi="ar-SA"/>
    </w:rPr>
  </w:style>
  <w:style w:type="character" w:customStyle="1" w:styleId="CharChar27">
    <w:name w:val="Char Char27"/>
    <w:locked/>
    <w:rsid w:val="00EE0C2F"/>
    <w:rPr>
      <w:rFonts w:ascii="Calibri" w:eastAsia="Calibri" w:hAnsi="Calibri"/>
      <w:lang w:val="sq-AL" w:eastAsia="en-US" w:bidi="ar-SA"/>
    </w:rPr>
  </w:style>
  <w:style w:type="character" w:customStyle="1" w:styleId="CharChar24">
    <w:name w:val="Char Char24"/>
    <w:locked/>
    <w:rsid w:val="00EE0C2F"/>
    <w:rPr>
      <w:rFonts w:ascii="Tahoma" w:hAnsi="Tahoma" w:cs="Tahoma"/>
      <w:sz w:val="22"/>
      <w:szCs w:val="22"/>
      <w:lang w:val="de-AT" w:eastAsia="de-DE" w:bidi="ar-SA"/>
    </w:rPr>
  </w:style>
  <w:style w:type="character" w:customStyle="1" w:styleId="CharChar23">
    <w:name w:val="Char Char23"/>
    <w:locked/>
    <w:rsid w:val="00EE0C2F"/>
    <w:rPr>
      <w:rFonts w:ascii="Tahoma" w:hAnsi="Tahoma" w:cs="Tahoma"/>
      <w:sz w:val="22"/>
      <w:szCs w:val="22"/>
      <w:lang w:val="de-AT" w:eastAsia="de-DE" w:bidi="ar-SA"/>
    </w:rPr>
  </w:style>
  <w:style w:type="character" w:customStyle="1" w:styleId="CharChar22">
    <w:name w:val="Char Char22"/>
    <w:semiHidden/>
    <w:locked/>
    <w:rsid w:val="00EE0C2F"/>
    <w:rPr>
      <w:rFonts w:ascii="Courier New" w:hAnsi="Courier New" w:cs="Courier New"/>
      <w:sz w:val="22"/>
      <w:szCs w:val="22"/>
      <w:lang w:val="de-DE" w:eastAsia="de-DE" w:bidi="ar-SA"/>
    </w:rPr>
  </w:style>
  <w:style w:type="character" w:customStyle="1" w:styleId="CharChar21">
    <w:name w:val="Char Char21"/>
    <w:locked/>
    <w:rsid w:val="00EE0C2F"/>
    <w:rPr>
      <w:rFonts w:ascii="Tahoma" w:hAnsi="Tahoma" w:cs="Tahoma"/>
      <w:b/>
      <w:kern w:val="28"/>
      <w:sz w:val="36"/>
      <w:szCs w:val="36"/>
      <w:lang w:val="de-AT" w:eastAsia="de-DE" w:bidi="ar-SA"/>
    </w:rPr>
  </w:style>
  <w:style w:type="character" w:customStyle="1" w:styleId="CharChar12">
    <w:name w:val="Char Char12"/>
    <w:semiHidden/>
    <w:locked/>
    <w:rsid w:val="00EE0C2F"/>
    <w:rPr>
      <w:rFonts w:ascii="Tahoma" w:hAnsi="Tahoma" w:cs="Tahoma"/>
      <w:sz w:val="22"/>
      <w:szCs w:val="22"/>
      <w:lang w:val="de-AT" w:eastAsia="de-DE" w:bidi="ar-SA"/>
    </w:rPr>
  </w:style>
  <w:style w:type="character" w:customStyle="1" w:styleId="CharChar9">
    <w:name w:val="Char Char9"/>
    <w:semiHidden/>
    <w:locked/>
    <w:rsid w:val="00EE0C2F"/>
    <w:rPr>
      <w:rFonts w:ascii="Tahoma" w:hAnsi="Tahoma" w:cs="Tahoma"/>
      <w:sz w:val="22"/>
      <w:szCs w:val="22"/>
      <w:lang w:val="de-AT" w:eastAsia="de-DE" w:bidi="ar-SA"/>
    </w:rPr>
  </w:style>
  <w:style w:type="character" w:customStyle="1" w:styleId="CharChar25">
    <w:name w:val="Char Char25"/>
    <w:semiHidden/>
    <w:locked/>
    <w:rsid w:val="00EE0C2F"/>
    <w:rPr>
      <w:rFonts w:ascii="Tahoma" w:hAnsi="Tahoma" w:cs="Tahoma"/>
      <w:sz w:val="22"/>
      <w:szCs w:val="22"/>
      <w:lang w:val="de-AT" w:eastAsia="de-DE" w:bidi="ar-SA"/>
    </w:rPr>
  </w:style>
  <w:style w:type="character" w:customStyle="1" w:styleId="CharChar15">
    <w:name w:val="Char Char15"/>
    <w:semiHidden/>
    <w:locked/>
    <w:rsid w:val="00EE0C2F"/>
    <w:rPr>
      <w:rFonts w:ascii="Tahoma" w:hAnsi="Tahoma" w:cs="Tahoma"/>
      <w:sz w:val="22"/>
      <w:szCs w:val="22"/>
      <w:lang w:val="de-AT" w:eastAsia="de-DE" w:bidi="ar-SA"/>
    </w:rPr>
  </w:style>
  <w:style w:type="character" w:customStyle="1" w:styleId="CharChar16">
    <w:name w:val="Char Char16"/>
    <w:semiHidden/>
    <w:locked/>
    <w:rsid w:val="00EE0C2F"/>
    <w:rPr>
      <w:rFonts w:ascii="Tahoma" w:hAnsi="Tahoma" w:cs="Arial"/>
      <w:sz w:val="24"/>
      <w:szCs w:val="24"/>
      <w:lang w:val="de-AT" w:eastAsia="de-DE" w:bidi="ar-SA"/>
    </w:rPr>
  </w:style>
  <w:style w:type="character" w:customStyle="1" w:styleId="CharChar20">
    <w:name w:val="Char Char20"/>
    <w:locked/>
    <w:rsid w:val="00EE0C2F"/>
    <w:rPr>
      <w:rFonts w:ascii="Tahoma" w:hAnsi="Tahoma" w:cs="Tahoma"/>
      <w:b/>
      <w:kern w:val="28"/>
      <w:sz w:val="32"/>
      <w:szCs w:val="36"/>
      <w:lang w:val="de-AT" w:eastAsia="de-DE" w:bidi="ar-SA"/>
    </w:rPr>
  </w:style>
  <w:style w:type="character" w:customStyle="1" w:styleId="CharChar13">
    <w:name w:val="Char Char13"/>
    <w:semiHidden/>
    <w:locked/>
    <w:rsid w:val="00EE0C2F"/>
    <w:rPr>
      <w:rFonts w:ascii="Tahoma" w:hAnsi="Tahoma" w:cs="Tahoma"/>
      <w:sz w:val="22"/>
      <w:szCs w:val="22"/>
      <w:lang w:val="de-AT" w:eastAsia="de-DE" w:bidi="ar-SA"/>
    </w:rPr>
  </w:style>
  <w:style w:type="character" w:customStyle="1" w:styleId="CharChar19">
    <w:name w:val="Char Char19"/>
    <w:semiHidden/>
    <w:locked/>
    <w:rsid w:val="00EE0C2F"/>
    <w:rPr>
      <w:rFonts w:ascii="Tahoma" w:hAnsi="Tahoma" w:cs="Tahoma"/>
      <w:sz w:val="22"/>
      <w:szCs w:val="22"/>
      <w:lang w:val="de-AT" w:eastAsia="de-DE" w:bidi="ar-SA"/>
    </w:rPr>
  </w:style>
  <w:style w:type="character" w:customStyle="1" w:styleId="CharChar3">
    <w:name w:val="Char Char3"/>
    <w:semiHidden/>
    <w:locked/>
    <w:rsid w:val="00EE0C2F"/>
  </w:style>
  <w:style w:type="character" w:customStyle="1" w:styleId="CharChar14">
    <w:name w:val="Char Char14"/>
    <w:semiHidden/>
    <w:locked/>
    <w:rsid w:val="00EE0C2F"/>
  </w:style>
  <w:style w:type="character" w:customStyle="1" w:styleId="CharChar17">
    <w:name w:val="Char Char17"/>
    <w:locked/>
    <w:rsid w:val="00EE0C2F"/>
    <w:rPr>
      <w:rFonts w:ascii="Tahoma" w:hAnsi="Tahoma" w:cs="Tahoma"/>
      <w:sz w:val="22"/>
      <w:szCs w:val="22"/>
      <w:lang w:val="de-AT" w:eastAsia="de-DE" w:bidi="ar-SA"/>
    </w:rPr>
  </w:style>
  <w:style w:type="character" w:customStyle="1" w:styleId="CharChar7">
    <w:name w:val="Char Char7"/>
    <w:semiHidden/>
    <w:locked/>
    <w:rsid w:val="00EE0C2F"/>
    <w:rPr>
      <w:rFonts w:ascii="Tahoma" w:hAnsi="Tahoma" w:cs="Tahoma"/>
      <w:sz w:val="22"/>
      <w:szCs w:val="22"/>
      <w:lang w:val="de-AT" w:eastAsia="de-DE" w:bidi="ar-SA"/>
    </w:rPr>
  </w:style>
  <w:style w:type="character" w:customStyle="1" w:styleId="CharChar6">
    <w:name w:val="Char Char6"/>
    <w:semiHidden/>
    <w:locked/>
    <w:rsid w:val="00EE0C2F"/>
    <w:rPr>
      <w:rFonts w:ascii="Tahoma" w:hAnsi="Tahoma" w:cs="Tahoma"/>
      <w:sz w:val="16"/>
      <w:szCs w:val="16"/>
      <w:lang w:val="de-AT" w:eastAsia="de-DE" w:bidi="ar-SA"/>
    </w:rPr>
  </w:style>
  <w:style w:type="character" w:customStyle="1" w:styleId="CharChar5">
    <w:name w:val="Char Char5"/>
    <w:semiHidden/>
    <w:locked/>
    <w:rsid w:val="00EE0C2F"/>
    <w:rPr>
      <w:rFonts w:ascii="Tahoma" w:hAnsi="Tahoma" w:cs="Tahoma"/>
      <w:sz w:val="22"/>
      <w:szCs w:val="22"/>
      <w:lang w:val="de-AT" w:eastAsia="de-DE" w:bidi="ar-SA"/>
    </w:rPr>
  </w:style>
  <w:style w:type="character" w:customStyle="1" w:styleId="CharChar4">
    <w:name w:val="Char Char4"/>
    <w:semiHidden/>
    <w:locked/>
    <w:rsid w:val="00EE0C2F"/>
    <w:rPr>
      <w:rFonts w:ascii="Tahoma" w:hAnsi="Tahoma" w:cs="Tahoma"/>
      <w:sz w:val="16"/>
      <w:szCs w:val="16"/>
      <w:lang w:val="de-AT" w:eastAsia="de-DE" w:bidi="ar-SA"/>
    </w:rPr>
  </w:style>
  <w:style w:type="character" w:customStyle="1" w:styleId="CharChar18">
    <w:name w:val="Char Char18"/>
    <w:semiHidden/>
    <w:locked/>
    <w:rsid w:val="00EE0C2F"/>
    <w:rPr>
      <w:rFonts w:ascii="Tahoma" w:hAnsi="Tahoma" w:cs="Tahoma"/>
      <w:sz w:val="22"/>
      <w:szCs w:val="22"/>
      <w:lang w:val="de-AT" w:eastAsia="de-DE" w:bidi="ar-SA"/>
    </w:rPr>
  </w:style>
  <w:style w:type="character" w:customStyle="1" w:styleId="CharChar8">
    <w:name w:val="Char Char8"/>
    <w:locked/>
    <w:rsid w:val="00EE0C2F"/>
    <w:rPr>
      <w:rFonts w:ascii="Tahoma" w:hAnsi="Tahoma" w:cs="Tahoma"/>
      <w:sz w:val="22"/>
      <w:szCs w:val="22"/>
      <w:lang w:val="de-AT" w:eastAsia="de-DE" w:bidi="ar-SA"/>
    </w:rPr>
  </w:style>
  <w:style w:type="character" w:customStyle="1" w:styleId="CharChar2">
    <w:name w:val="Char Char2"/>
    <w:locked/>
    <w:rsid w:val="00EE0C2F"/>
    <w:rPr>
      <w:rFonts w:ascii="Calibri" w:eastAsia="Calibri" w:hAnsi="Calibri" w:cs="Times New Roman"/>
      <w:b/>
      <w:bCs/>
      <w:sz w:val="20"/>
      <w:szCs w:val="20"/>
      <w:lang w:val="sq-AL" w:eastAsia="en-US" w:bidi="ar-SA"/>
    </w:rPr>
  </w:style>
  <w:style w:type="character" w:customStyle="1" w:styleId="CharChar26">
    <w:name w:val="Char Char26"/>
    <w:semiHidden/>
    <w:locked/>
    <w:rsid w:val="00EE0C2F"/>
    <w:rPr>
      <w:rFonts w:ascii="Tahoma" w:hAnsi="Tahoma" w:cs="Tahoma"/>
      <w:sz w:val="16"/>
      <w:szCs w:val="16"/>
      <w:lang w:val="sq-AL" w:eastAsia="en-US" w:bidi="ar-SA"/>
    </w:rPr>
  </w:style>
  <w:style w:type="character" w:customStyle="1" w:styleId="CommentTextChar11">
    <w:name w:val="Comment Text Char11"/>
    <w:aliases w:val="Char Char37"/>
    <w:semiHidden/>
    <w:rsid w:val="00EE0C2F"/>
    <w:rPr>
      <w:rFonts w:ascii="Calibri" w:hAnsi="Calibri" w:hint="default"/>
      <w:lang w:val="sq-AL"/>
    </w:rPr>
  </w:style>
  <w:style w:type="character" w:customStyle="1" w:styleId="NormalIndentChar">
    <w:name w:val="Normal Indent Char"/>
    <w:link w:val="NormalIndent"/>
    <w:rsid w:val="00EE0C2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E0C2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E0C2F"/>
    <w:pPr>
      <w:tabs>
        <w:tab w:val="num" w:pos="360"/>
        <w:tab w:val="num" w:pos="1935"/>
        <w:tab w:val="num" w:pos="2563"/>
        <w:tab w:val="num" w:pos="3474"/>
      </w:tabs>
      <w:ind w:left="1935" w:hanging="360"/>
      <w:outlineLvl w:val="6"/>
    </w:pPr>
  </w:style>
  <w:style w:type="character" w:customStyle="1" w:styleId="AODefHeadChar">
    <w:name w:val="AODefHead Char"/>
    <w:link w:val="AODefHead"/>
    <w:rsid w:val="00EE0C2F"/>
    <w:rPr>
      <w:rFonts w:ascii="Times New Roman" w:eastAsia="Times New Roman" w:hAnsi="Times New Roman" w:cs="Times New Roman"/>
      <w:szCs w:val="20"/>
      <w:lang w:eastAsia="sq-AL" w:bidi="sq-AL"/>
    </w:rPr>
  </w:style>
  <w:style w:type="paragraph" w:customStyle="1" w:styleId="PARA">
    <w:name w:val="PARA"/>
    <w:basedOn w:val="Normal"/>
    <w:locked/>
    <w:rsid w:val="00EE0C2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E0C2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E0C2F"/>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EE0C2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E0C2F"/>
    <w:rPr>
      <w:rFonts w:ascii="Arial" w:eastAsia="Times New Roman" w:hAnsi="Arial" w:cs="Times New Roman"/>
      <w:sz w:val="20"/>
      <w:szCs w:val="20"/>
      <w:lang w:eastAsia="sq-AL" w:bidi="sq-AL"/>
    </w:rPr>
  </w:style>
  <w:style w:type="character" w:customStyle="1" w:styleId="DeltaViewInsertion">
    <w:name w:val="DeltaView Insertion"/>
    <w:uiPriority w:val="99"/>
    <w:rsid w:val="00EE0C2F"/>
    <w:rPr>
      <w:color w:val="0000FF"/>
      <w:spacing w:val="0"/>
      <w:u w:val="double"/>
    </w:rPr>
  </w:style>
  <w:style w:type="paragraph" w:customStyle="1" w:styleId="dia">
    <w:name w:val="di(a)"/>
    <w:basedOn w:val="Normal"/>
    <w:rsid w:val="00EE0C2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E0C2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E0C2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E0C2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E0C2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E0C2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E0C2F"/>
    <w:rPr>
      <w:rFonts w:cs="Times New Roman"/>
      <w:color w:val="808080"/>
    </w:rPr>
  </w:style>
  <w:style w:type="character" w:customStyle="1" w:styleId="az12">
    <w:name w:val="az12"/>
    <w:uiPriority w:val="99"/>
    <w:rsid w:val="00EE0C2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E0C2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E0C2F"/>
    <w:rPr>
      <w:rFonts w:ascii="Calibri" w:eastAsia="Times New Roman" w:hAnsi="Calibri" w:cs="Times New Roman"/>
      <w:sz w:val="24"/>
      <w:szCs w:val="24"/>
      <w:lang w:val="en-GB" w:eastAsia="en-GB"/>
    </w:rPr>
  </w:style>
  <w:style w:type="paragraph" w:customStyle="1" w:styleId="Paragraf02">
    <w:name w:val="Paragraf 0.2"/>
    <w:basedOn w:val="Paragrafi"/>
    <w:qFormat/>
    <w:rsid w:val="00EE0C2F"/>
    <w:pPr>
      <w:tabs>
        <w:tab w:val="left" w:pos="6575"/>
      </w:tabs>
    </w:pPr>
    <w:rPr>
      <w:spacing w:val="-4"/>
    </w:rPr>
  </w:style>
  <w:style w:type="table" w:customStyle="1" w:styleId="TableGrid30">
    <w:name w:val="Table Grid3"/>
    <w:basedOn w:val="TableNormal"/>
    <w:next w:val="TableGrid"/>
    <w:uiPriority w:val="59"/>
    <w:rsid w:val="00EE0C2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E0C2F"/>
  </w:style>
  <w:style w:type="character" w:styleId="BookTitle">
    <w:name w:val="Book Title"/>
    <w:uiPriority w:val="33"/>
    <w:qFormat/>
    <w:rsid w:val="00EE0C2F"/>
    <w:rPr>
      <w:b/>
      <w:bCs/>
      <w:smallCaps/>
      <w:spacing w:val="5"/>
    </w:rPr>
  </w:style>
  <w:style w:type="paragraph" w:customStyle="1" w:styleId="Cover1">
    <w:name w:val="Cover1"/>
    <w:basedOn w:val="Normal"/>
    <w:next w:val="Normal"/>
    <w:rsid w:val="00EE0C2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E0C2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E0C2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E0C2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E0C2F"/>
    <w:rPr>
      <w:rFonts w:ascii="Times New Roman" w:eastAsia="Times New Roman" w:hAnsi="Times New Roman" w:cs="Times New Roman"/>
      <w:szCs w:val="20"/>
    </w:rPr>
  </w:style>
  <w:style w:type="character" w:customStyle="1" w:styleId="Bodytext0">
    <w:name w:val="Body text_"/>
    <w:link w:val="BodyText1"/>
    <w:rsid w:val="00EE0C2F"/>
    <w:rPr>
      <w:rFonts w:ascii="Times New Roman" w:hAnsi="Times New Roman"/>
      <w:sz w:val="21"/>
      <w:szCs w:val="21"/>
      <w:shd w:val="clear" w:color="auto" w:fill="FFFFFF"/>
    </w:rPr>
  </w:style>
  <w:style w:type="paragraph" w:customStyle="1" w:styleId="BodyText1">
    <w:name w:val="Body Text1"/>
    <w:basedOn w:val="Normal"/>
    <w:link w:val="Bodytext0"/>
    <w:rsid w:val="00EE0C2F"/>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EE0C2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E0C2F"/>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E0C2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E0C2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E0C2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E0C2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E0C2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E0C2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E0C2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E0C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MessageHeaderLabel">
    <w:name w:val="Message Header Label"/>
    <w:rsid w:val="00EE0C2F"/>
    <w:rPr>
      <w:b/>
      <w:sz w:val="18"/>
    </w:rPr>
  </w:style>
  <w:style w:type="paragraph" w:customStyle="1" w:styleId="ALB-Lawparagraph">
    <w:name w:val="ALB-Law paragraph"/>
    <w:rsid w:val="00EE0C2F"/>
    <w:pPr>
      <w:tabs>
        <w:tab w:val="left" w:pos="397"/>
      </w:tabs>
      <w:suppressAutoHyphens/>
      <w:spacing w:after="240" w:line="280" w:lineRule="exact"/>
      <w:jc w:val="both"/>
    </w:pPr>
    <w:rPr>
      <w:rFonts w:ascii="Times New Roman" w:eastAsia="Arial" w:hAnsi="Times New Roman" w:cs="Times New Roman"/>
      <w:color w:val="000000"/>
      <w:sz w:val="24"/>
      <w:szCs w:val="20"/>
      <w:lang w:val="en-US" w:eastAsia="ar-SA"/>
    </w:rPr>
  </w:style>
  <w:style w:type="numbering" w:customStyle="1" w:styleId="WWNum211">
    <w:name w:val="WWNum211"/>
    <w:basedOn w:val="NoList"/>
    <w:rsid w:val="00EE0C2F"/>
    <w:pPr>
      <w:numPr>
        <w:numId w:val="17"/>
      </w:numPr>
    </w:pPr>
  </w:style>
  <w:style w:type="character" w:customStyle="1" w:styleId="hpsatn">
    <w:name w:val="hps atn"/>
    <w:basedOn w:val="DefaultParagraphFont"/>
    <w:uiPriority w:val="99"/>
    <w:rsid w:val="00EE0C2F"/>
  </w:style>
  <w:style w:type="character" w:customStyle="1" w:styleId="shorttext">
    <w:name w:val="short_text"/>
    <w:basedOn w:val="DefaultParagraphFont"/>
    <w:rsid w:val="00EE0C2F"/>
  </w:style>
  <w:style w:type="paragraph" w:customStyle="1" w:styleId="CM42">
    <w:name w:val="CM4+2"/>
    <w:basedOn w:val="Normal"/>
    <w:next w:val="Normal"/>
    <w:uiPriority w:val="99"/>
    <w:rsid w:val="00EE0C2F"/>
    <w:pPr>
      <w:autoSpaceDE w:val="0"/>
      <w:autoSpaceDN w:val="0"/>
      <w:adjustRightInd w:val="0"/>
      <w:spacing w:after="0" w:line="240" w:lineRule="auto"/>
      <w:ind w:firstLine="0"/>
      <w:jc w:val="left"/>
    </w:pPr>
    <w:rPr>
      <w:rFonts w:ascii="Times New Roman" w:hAnsi="Times New Roman"/>
      <w:sz w:val="24"/>
      <w:szCs w:val="24"/>
    </w:rPr>
  </w:style>
  <w:style w:type="paragraph" w:customStyle="1" w:styleId="CM43">
    <w:name w:val="CM4+3"/>
    <w:basedOn w:val="Default"/>
    <w:next w:val="Default"/>
    <w:uiPriority w:val="99"/>
    <w:rsid w:val="00EE0C2F"/>
    <w:pPr>
      <w:spacing w:before="60" w:after="60"/>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5687</Words>
  <Characters>32418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2016-07-12T11:37:00Z</dcterms:created>
  <dcterms:modified xsi:type="dcterms:W3CDTF">2018-01-22T09:10:00Z</dcterms:modified>
</cp:coreProperties>
</file>