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D6" w:rsidRPr="00F52364" w:rsidRDefault="001552D6" w:rsidP="001552D6">
      <w:pPr>
        <w:pStyle w:val="NeniTitull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VENDIM </w:t>
      </w:r>
    </w:p>
    <w:p w:rsidR="001552D6" w:rsidRPr="00F52364" w:rsidRDefault="001552D6" w:rsidP="001552D6">
      <w:pPr>
        <w:pStyle w:val="NeniTitull"/>
        <w:rPr>
          <w:spacing w:val="-4"/>
          <w:lang w:val="sq-AL"/>
        </w:rPr>
      </w:pPr>
      <w:r w:rsidRPr="00F52364">
        <w:rPr>
          <w:spacing w:val="-4"/>
          <w:lang w:val="sq-AL"/>
        </w:rPr>
        <w:t>Nr. 504, datë 6.7.2016</w:t>
      </w:r>
    </w:p>
    <w:p w:rsidR="001552D6" w:rsidRPr="00F52364" w:rsidRDefault="001552D6" w:rsidP="001552D6">
      <w:pPr>
        <w:pStyle w:val="Hapesira7"/>
        <w:rPr>
          <w:lang w:val="sq-AL"/>
        </w:rPr>
      </w:pPr>
    </w:p>
    <w:p w:rsidR="001552D6" w:rsidRPr="00F52364" w:rsidRDefault="001552D6" w:rsidP="001552D6">
      <w:pPr>
        <w:pStyle w:val="NeniTitull"/>
        <w:rPr>
          <w:spacing w:val="-4"/>
          <w:vertAlign w:val="superscript"/>
          <w:lang w:val="sq-AL"/>
        </w:rPr>
      </w:pPr>
      <w:r w:rsidRPr="00F52364">
        <w:rPr>
          <w:spacing w:val="-4"/>
          <w:lang w:val="sq-AL"/>
        </w:rPr>
        <w:t>PËR KRIJIMIN E AGJENCISË KOMBËTARE TË UJËSJELLËS-KANALIZIMEVE</w:t>
      </w:r>
      <w:r w:rsidRPr="00F52364">
        <w:rPr>
          <w:spacing w:val="-4"/>
          <w:vertAlign w:val="superscript"/>
          <w:lang w:val="sq-AL"/>
        </w:rPr>
        <w:footnoteReference w:id="1"/>
      </w:r>
      <w:r w:rsidRPr="00F52364">
        <w:rPr>
          <w:spacing w:val="-4"/>
          <w:vertAlign w:val="superscript"/>
          <w:lang w:val="sq-AL"/>
        </w:rPr>
        <w:t xml:space="preserve"> </w:t>
      </w:r>
    </w:p>
    <w:p w:rsidR="001552D6" w:rsidRPr="00F52364" w:rsidRDefault="001552D6" w:rsidP="001552D6">
      <w:pPr>
        <w:pStyle w:val="Hapesira7"/>
        <w:rPr>
          <w:lang w:val="sq-AL"/>
        </w:rPr>
      </w:pP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Në mbështetje të nenit 100 të Kushtetutës, të nenit 10, të ligjit nr. 9000, datë 30.1.2003, “Për organizimin dhe funksionimin e Këshillit të Ministrave”, dhe të nenit 6, të ligjit nr. 90/2012, “Për organizimin dhe funksionimin e administratës shtetërore”, me propozimin e ministrit të Transportit dhe Infrastrukturës, Këshilli i Minis</w:t>
      </w:r>
      <w:r>
        <w:rPr>
          <w:spacing w:val="-4"/>
          <w:lang w:val="sq-AL"/>
        </w:rPr>
        <w:t>-</w:t>
      </w:r>
      <w:r w:rsidRPr="00F52364">
        <w:rPr>
          <w:spacing w:val="-4"/>
          <w:lang w:val="sq-AL"/>
        </w:rPr>
        <w:t>trave</w:t>
      </w:r>
    </w:p>
    <w:p w:rsidR="001552D6" w:rsidRPr="00F52364" w:rsidRDefault="001552D6" w:rsidP="001552D6">
      <w:pPr>
        <w:pStyle w:val="Hapesira7"/>
        <w:rPr>
          <w:lang w:val="sq-AL"/>
        </w:rPr>
      </w:pPr>
    </w:p>
    <w:p w:rsidR="001552D6" w:rsidRPr="00F52364" w:rsidRDefault="001552D6" w:rsidP="001552D6">
      <w:pPr>
        <w:pStyle w:val="NeniNr"/>
        <w:rPr>
          <w:spacing w:val="-4"/>
          <w:lang w:val="sq-AL"/>
        </w:rPr>
      </w:pPr>
      <w:r w:rsidRPr="00F52364">
        <w:rPr>
          <w:spacing w:val="-4"/>
          <w:lang w:val="sq-AL"/>
        </w:rPr>
        <w:t>VENDOSI:</w:t>
      </w:r>
    </w:p>
    <w:p w:rsidR="001552D6" w:rsidRPr="00F52364" w:rsidRDefault="001552D6" w:rsidP="001552D6">
      <w:pPr>
        <w:pStyle w:val="Hapesira7"/>
        <w:rPr>
          <w:lang w:val="sq-AL"/>
        </w:rPr>
      </w:pP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I. DISPOZITA TË PËRGJITHSHME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1. Krijimin e Agjencisë Kombëtare të Ujësjellës-Kanalizimeve (AKUK).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2. AKUK-u është person juridik publik, buxhetor, në varësi të ministrit të Transportit dhe Infrastrukturës.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3. AKUK-u është organ shtetëror i specializuar në fushën e ujësjellës-kanalizimeve dhe trajtimit të ujërave të ndotura. Ajo mbështet teknikisht politikat e ministrisë përgjegjëse për infrastruk</w:t>
      </w:r>
      <w:r>
        <w:rPr>
          <w:spacing w:val="-4"/>
          <w:lang w:val="sq-AL"/>
        </w:rPr>
        <w:t>-</w:t>
      </w:r>
      <w:r w:rsidRPr="00F52364">
        <w:rPr>
          <w:spacing w:val="-4"/>
          <w:lang w:val="sq-AL"/>
        </w:rPr>
        <w:t>turën, në përputhje me legjislacionin dhe politikat e përcaktuara në strategjitë sektoriale, si dhe politikat përkatëse për administrimin e ujërave dhe mbrojtjen mjedisore të cilësisë së ujërave.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4. AKUK-u ka stemën, logon dhe vulën e vet zyrtare, të cilat miratohen nga ministri i Transportit dhe Infrastrukturës. Stema përbëhet nga stema e Republikës së Shqipërisë, me shënimet: “Republika e Shqipërisë, Ministria e Transportit dhe Infrastrukturës, Agjencia Kombëtare e Ujësjellës-Kanalizimeve”, në përputhje me përcaktimet e vendimit nr. 474, datë 10.7.2003, të Këshillit të Ministrave, “Për mënyrën e përdorimit të stemës së Republikës, si dhe raportin e përmasave të saj”.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II. ORGANIZIMI I AKUK-ut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1. AKUK-u ka statusin e agjencisë kombëtare në nivel qendror, me seli në Tiranë.</w:t>
      </w:r>
    </w:p>
    <w:p w:rsidR="001552D6" w:rsidRDefault="001552D6" w:rsidP="001552D6">
      <w:pPr>
        <w:pStyle w:val="Paragrafi"/>
        <w:rPr>
          <w:spacing w:val="-4"/>
          <w:lang w:val="sq-AL"/>
        </w:rPr>
      </w:pP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2. AKUK-u ka në përbërjen e saj edhe tri drejtori rajonale, si pjesë të strukturës brenda organikës së saj.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3. AKUK-u drejtohet nga drejtori i Përgjithshëm, i cili organizon dhe drejton të gjithë veprimtarinë e kësaj agjencie dhe përgjigjet para ministrit përgjegjës për infrastrukturën.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4. Marrëdhëniet e punës së drejtorit të Përgjithshëm të AKUK-ut dhe nëpunësve të saj rregullohen sipas legjislacionit për shërbimin civil. Për punonjësit që zbatojnë projektet e huaja respektohen aktet ligjore dhe nënligjore në fuqi. Marrëdhëniet e punës së punonjësve administrativë rregullohen sipas dispozitave të ligjit nr. 7961, datë 12.7.1995, “Kodi i Punës i Republikës së Shqipërisë”, të ndryshuar.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5. Struktura dhe organika e AKUK-ut mira</w:t>
      </w:r>
      <w:r>
        <w:rPr>
          <w:spacing w:val="-4"/>
          <w:lang w:val="sq-AL"/>
        </w:rPr>
        <w:t>-</w:t>
      </w:r>
      <w:r w:rsidRPr="00F52364">
        <w:rPr>
          <w:spacing w:val="-4"/>
          <w:lang w:val="sq-AL"/>
        </w:rPr>
        <w:t xml:space="preserve">tohen me urdhër të Kryeministrit, me propozimin e ministrit përgjegjës për infrastrukturën. 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6. Metodat e brendshme të punës dhe sjellja e personelit të AKUK-ut miratohen nga ministri përgjegjës për infrastrukturën.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III. PËRGJEGJËSITË DHE DETYRAT E AKUK-ut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1. AKUK-u, nëpërmjet autoritetit të saj ligjor dhe teknik, koordinon dhe monitoron të gjitha aktivitetet sektoriale për sigurimin e shërbimit të furnizimit me ujë të pijshëm, kanalizimeve dhe trajtimin e ujërave të ndotura, në bashkëpunim me të gjitha institucionet e vendit, në nivel qendror dhe vendor.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2. AKUK-u ushtron këto kompetenca: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a) Mbështet teknikisht zbatimin e politikave dhe strategjive në fushën e ujësjellës-kanalizimeve dhe trajtimit të ujërave të ndotura;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lastRenderedPageBreak/>
        <w:t>b) Mund t’i propozojë ministrisë së linjës ndryshimin dhe përmirësimin e kuadrit ligjor e nënligjor për sektorin e ujësjellës-kanalizimeve e trajtimit të ujërave të ndotura dhe është pjesë e grupeve të punës për hartimin e politikave dhe strategjive kombëtare për sektorin;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c) I propozon ministrisë përgjegjëse për infrastrukturën planifikimin e nevojave për investime për ndërtimin/rehabilitimin e sistemeve të ujësjellësve, rrjeteve të kanalizimeve, impianteve të trajtimit të ujërave të ndotura (ITUN), bazuar në programet e qeverisë dhe në masterplanin kombëtar sektorial;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ç) </w:t>
      </w:r>
      <w:r w:rsidRPr="00F52364">
        <w:rPr>
          <w:spacing w:val="-4"/>
          <w:lang w:val="sq-AL"/>
        </w:rPr>
        <w:tab/>
        <w:t xml:space="preserve">Kontrollon dhe miraton, nga pikëpamja teknike, të gjitha projektet e ujësjellës-kanalizimeve dhe ITUN-eve, të financuara nga buxheti i shtetit, buxheti i bashkisë, buxheti i shoqërisë UK apo institucione financiare ndërkombëtare, me qëllim garantimin dhe zbatimin e rregullave teknike të projektimit, ndjek zbatimin e projekteve me financim të huaj, në këtë fushë, si dhe të kontratave të lidhura, duke qenë përgjegjëse edhe për monitorimin e ecurisë së tyre; 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d) Koordinon, nxit dhe bashkëpunon me institucionet shtetërore, institucionet financiare ndërkombëtare, investitorët dhe palët e interesuara për zbatimin e strategjive të sektorit për shërbimet e ujësjellës-kanalizimeve dhe trajtimit të ujërave të ndotura;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dh) </w:t>
      </w:r>
      <w:r w:rsidRPr="00F52364">
        <w:rPr>
          <w:spacing w:val="-4"/>
          <w:lang w:val="sq-AL"/>
        </w:rPr>
        <w:tab/>
        <w:t>Është përgjegjëse për metodologjinë dhe shpërndarjen e subvencioneve të planifikuara në buxhetin e shtetit, në përputhje me ligjin dhe aktet nënligjore në fuqi;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e) Është institucioni përgjegjës për hartimin dhe zbatimin e procedurave dhe programit të monitorimit për shërbimet e furnizimit me ujë, të kanalizimeve dhe trajtimit të ujërave të ndotura; 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ë) </w:t>
      </w:r>
      <w:r w:rsidRPr="00F52364">
        <w:rPr>
          <w:spacing w:val="-4"/>
          <w:lang w:val="sq-AL"/>
        </w:rPr>
        <w:tab/>
        <w:t>Ka të drejtë të ushtrojë kontrolle, me karakter teknik, në çdo subjekt që është ofrues i shërbimeve të furnizimit me ujë, të kanalizimeve dhe trajtimit të ujërave të ndotura dhe dorëzon të dhënat për përdorimin e ujit në Kadastrën Kombëtare të Ujit, pranë ministrisë përgjegjëse;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f) Ka të drejtën e përcaktimit të treguesve dhe kritereve që duhet të arrijë çdo ofrues i shërbimeve në këtë sektor në kontratën e performancës, e cila firmoset nga palët. Këto kritere miratohen me udhëzim të ministrit përgjegjës për infrastrukturën; 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g) Mbështet politikëbërësit për hartimin e zbatimin e akteve nënligjore dhe procedurave, për procesin e kalimit të administrimit të shërbimeve të furnizimit me ujë, kanalizimeve dhe trajtimit të ujërave të ndotura, nga pushteti vendor në atë qendror, në rastet e mospërmbushjes së detyrimeve kontraktuale;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gj) </w:t>
      </w:r>
      <w:r w:rsidRPr="00F52364">
        <w:rPr>
          <w:spacing w:val="-4"/>
          <w:lang w:val="sq-AL"/>
        </w:rPr>
        <w:tab/>
        <w:t>Planifikon nevojat për trajnime dhe koordi</w:t>
      </w:r>
      <w:r>
        <w:rPr>
          <w:spacing w:val="-4"/>
          <w:lang w:val="sq-AL"/>
        </w:rPr>
        <w:t>-</w:t>
      </w:r>
      <w:r w:rsidRPr="00F52364">
        <w:rPr>
          <w:spacing w:val="-4"/>
          <w:lang w:val="sq-AL"/>
        </w:rPr>
        <w:t xml:space="preserve">non punën për realizimin e trajnimeve e certifikimit, sipas akteve ligjore dhe nënligjore në fuqi; 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h) </w:t>
      </w:r>
      <w:r w:rsidRPr="00F52364">
        <w:rPr>
          <w:spacing w:val="-4"/>
          <w:lang w:val="sq-AL"/>
        </w:rPr>
        <w:t xml:space="preserve">Ngre një sistem informacioni, nëpërmjet krijimit të një regjistri elektronik dhe shkresor publik, i cili përmban informacionin lidhur me: 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i) planifikimin e investimeve që bën secila shoqëri;</w:t>
      </w:r>
    </w:p>
    <w:p w:rsidR="001552D6" w:rsidRDefault="001552D6" w:rsidP="001552D6">
      <w:pPr>
        <w:pStyle w:val="Paragrafi"/>
        <w:rPr>
          <w:spacing w:val="-4"/>
          <w:lang w:val="sq-AL"/>
        </w:rPr>
      </w:pP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ii) projektakte dhe akte për miratimin e projekteve;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iii) kërkesa për finacime etj.;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i) Koordinon nismat për investime në fushën e ujësjellës-kanalizimeve, në bazë të rëndësisë strategjike, si dhe merr pjesë dhe ofron këshillime gjatë procesit të hartimit të projekteve në fushën e ujësjellës-kanalizimeve. Përgatit, gjithashtu, projekte zhvillimore dhe projekte pilot, me kërkesë të bashkive, qarqeve dhe ministrive apo institucioneve të tjera qendrore.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IV. DISPOZITA KALIMTARE DHE TË FUNDIT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1. Drejtoria e Përgjithshme e Ujësjellës-Kanalizimeve, me hyrjen në fuqi të këtij vendimi, transformohet në Agjenci Kombëtare të Ujësjellës-Kanalizimeve. Të gjitha të drejtat, detyrimet dhe funksionet e DPUK-së do të vazhdojnë të ushtrohen prej saj, deri në fillimin e veprimtarisë së organeve të Agjencisë. Për nëpunësit civilë, në Drejtorinë e Përgjithshme të Ujësjellës-Kanalizi</w:t>
      </w:r>
      <w:r>
        <w:rPr>
          <w:spacing w:val="-4"/>
          <w:lang w:val="sq-AL"/>
        </w:rPr>
        <w:t>-</w:t>
      </w:r>
      <w:r w:rsidRPr="00F52364">
        <w:rPr>
          <w:spacing w:val="-4"/>
          <w:lang w:val="sq-AL"/>
        </w:rPr>
        <w:t>meve, zbatohen dispozitat e përcaktuara në legjislacionin e nëpunësit civil, në rastin e mbylljes dhe ristrukturimit të institucioneve.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2. Efektet financiare, që rrjedhin nga zbatimi i këtij vendimi, të përballohen nga buxheti i shtetit, nëpërmjet Ministrisë së Transportit dhe Infrastrukturës.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3. Ngarkohen Ministria e Transportit dhe Infrastrukturës dhe Drejtoria e Përgjithshme e Ujësjellës-Kanalizimeve për zbatimin e këtij vendimi.</w:t>
      </w:r>
    </w:p>
    <w:p w:rsidR="001552D6" w:rsidRPr="00F52364" w:rsidRDefault="001552D6" w:rsidP="001552D6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lastRenderedPageBreak/>
        <w:t>Ky vendim hyn në fuqi pas botimit në Fletoren Zyrtare.</w:t>
      </w:r>
    </w:p>
    <w:p w:rsidR="001552D6" w:rsidRPr="00F52364" w:rsidRDefault="001552D6" w:rsidP="001552D6">
      <w:pPr>
        <w:pStyle w:val="Hapesira7"/>
        <w:rPr>
          <w:lang w:val="sq-AL"/>
        </w:rPr>
      </w:pPr>
    </w:p>
    <w:p w:rsidR="001552D6" w:rsidRPr="00FE206E" w:rsidRDefault="001552D6" w:rsidP="00FE206E">
      <w:pPr>
        <w:pStyle w:val="Paragrafi"/>
        <w:jc w:val="right"/>
        <w:rPr>
          <w:spacing w:val="-4"/>
          <w:szCs w:val="24"/>
          <w:lang w:val="sq-AL"/>
        </w:rPr>
      </w:pPr>
      <w:bookmarkStart w:id="0" w:name="_GoBack"/>
      <w:r w:rsidRPr="00FE206E">
        <w:rPr>
          <w:spacing w:val="-4"/>
          <w:szCs w:val="24"/>
          <w:lang w:val="sq-AL"/>
        </w:rPr>
        <w:t>ZËVENDËSKRYEMINISTRI</w:t>
      </w:r>
    </w:p>
    <w:p w:rsidR="00C86A72" w:rsidRPr="00FE206E" w:rsidRDefault="001552D6" w:rsidP="00FE206E">
      <w:pPr>
        <w:jc w:val="right"/>
        <w:rPr>
          <w:rFonts w:ascii="Garamond" w:hAnsi="Garamond"/>
          <w:sz w:val="24"/>
          <w:szCs w:val="24"/>
        </w:rPr>
      </w:pPr>
      <w:r w:rsidRPr="00FE206E">
        <w:rPr>
          <w:rFonts w:ascii="Garamond" w:hAnsi="Garamond"/>
          <w:b/>
          <w:spacing w:val="-4"/>
          <w:sz w:val="24"/>
          <w:szCs w:val="24"/>
          <w:lang w:val="sq-AL"/>
        </w:rPr>
        <w:t>Niko Peleshi</w:t>
      </w:r>
      <w:bookmarkEnd w:id="0"/>
    </w:p>
    <w:sectPr w:rsidR="00C86A72" w:rsidRPr="00FE206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2D6" w:rsidRDefault="001552D6" w:rsidP="001552D6">
      <w:pPr>
        <w:spacing w:after="0" w:line="240" w:lineRule="auto"/>
      </w:pPr>
      <w:r>
        <w:separator/>
      </w:r>
    </w:p>
  </w:endnote>
  <w:endnote w:type="continuationSeparator" w:id="0">
    <w:p w:rsidR="001552D6" w:rsidRDefault="001552D6" w:rsidP="00155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2D6" w:rsidRDefault="001552D6" w:rsidP="001552D6">
      <w:pPr>
        <w:spacing w:after="0" w:line="240" w:lineRule="auto"/>
      </w:pPr>
      <w:r>
        <w:separator/>
      </w:r>
    </w:p>
  </w:footnote>
  <w:footnote w:type="continuationSeparator" w:id="0">
    <w:p w:rsidR="001552D6" w:rsidRDefault="001552D6" w:rsidP="001552D6">
      <w:pPr>
        <w:spacing w:after="0" w:line="240" w:lineRule="auto"/>
      </w:pPr>
      <w:r>
        <w:continuationSeparator/>
      </w:r>
    </w:p>
  </w:footnote>
  <w:footnote w:id="1">
    <w:p w:rsidR="001552D6" w:rsidRPr="00C733BD" w:rsidRDefault="001552D6" w:rsidP="001552D6">
      <w:pPr>
        <w:pStyle w:val="FootnoteText"/>
        <w:ind w:firstLine="0"/>
        <w:rPr>
          <w:rFonts w:ascii="Garamond" w:hAnsi="Garamond"/>
          <w:iCs/>
        </w:rPr>
      </w:pPr>
      <w:r w:rsidRPr="00C733BD">
        <w:rPr>
          <w:rStyle w:val="FootnoteReference"/>
          <w:rFonts w:ascii="Garamond" w:hAnsi="Garamond"/>
        </w:rPr>
        <w:footnoteRef/>
      </w:r>
      <w:r w:rsidRPr="00C733BD">
        <w:rPr>
          <w:rFonts w:ascii="Garamond" w:hAnsi="Garamond"/>
        </w:rPr>
        <w:t xml:space="preserve"> Ky vendim është përafruar pjesërisht me direktivën 2000/60/KE të Parlamentit Evropian dhe të Këshillit, të datës 23 tetor 2000, “Ngritja e një kuadri ligjor për veprimet e komunitetit në fushën e politikës së ujërave”, nr. CELEX: 32000L0060, (</w:t>
      </w:r>
      <w:r w:rsidRPr="00C733BD">
        <w:rPr>
          <w:rFonts w:ascii="Garamond" w:hAnsi="Garamond"/>
          <w:iCs/>
        </w:rPr>
        <w:t>Fletorja Zyrtare e Bashkimit Evropian, L. 327, 22.12.2000, p. 1–73</w:t>
      </w:r>
      <w:r w:rsidRPr="00C733BD">
        <w:rPr>
          <w:rFonts w:ascii="Garamond" w:hAnsi="Garamond"/>
        </w:rPr>
        <w:t>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2D6"/>
    <w:rsid w:val="001552D6"/>
    <w:rsid w:val="00C86A72"/>
    <w:rsid w:val="00FE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2D6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552D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552D6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1552D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552D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552D6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1552D6"/>
    <w:rPr>
      <w:sz w:val="14"/>
      <w:szCs w:val="24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1552D6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1552D6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1552D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2D6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552D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552D6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1552D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552D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552D6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1552D6"/>
    <w:rPr>
      <w:sz w:val="14"/>
      <w:szCs w:val="24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1552D6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1552D6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1552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3</cp:revision>
  <dcterms:created xsi:type="dcterms:W3CDTF">2016-07-15T09:07:00Z</dcterms:created>
  <dcterms:modified xsi:type="dcterms:W3CDTF">2018-01-22T09:29:00Z</dcterms:modified>
</cp:coreProperties>
</file>