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2D" w:rsidRPr="00F52364" w:rsidRDefault="007A7D2D" w:rsidP="007A7D2D">
      <w:pPr>
        <w:pStyle w:val="NeniTitull"/>
        <w:rPr>
          <w:spacing w:val="-4"/>
          <w:lang w:val="sq-AL"/>
        </w:rPr>
      </w:pPr>
      <w:bookmarkStart w:id="0" w:name="_GoBack"/>
      <w:bookmarkEnd w:id="0"/>
      <w:r w:rsidRPr="00F52364">
        <w:rPr>
          <w:spacing w:val="-4"/>
          <w:lang w:val="sq-AL"/>
        </w:rPr>
        <w:t xml:space="preserve">VENDIM </w:t>
      </w:r>
    </w:p>
    <w:p w:rsidR="007A7D2D" w:rsidRPr="00F52364" w:rsidRDefault="007A7D2D" w:rsidP="007A7D2D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>Nr. 505, datë 6.7.2016</w:t>
      </w:r>
    </w:p>
    <w:p w:rsidR="007A7D2D" w:rsidRPr="00F52364" w:rsidRDefault="007A7D2D" w:rsidP="007A7D2D">
      <w:pPr>
        <w:pStyle w:val="Hapesira7"/>
        <w:rPr>
          <w:lang w:val="sq-AL"/>
        </w:rPr>
      </w:pPr>
    </w:p>
    <w:p w:rsidR="007A7D2D" w:rsidRPr="00F52364" w:rsidRDefault="007A7D2D" w:rsidP="007A7D2D">
      <w:pPr>
        <w:pStyle w:val="NeniTitull"/>
        <w:rPr>
          <w:spacing w:val="-4"/>
          <w:lang w:val="sq-AL"/>
        </w:rPr>
      </w:pPr>
      <w:r w:rsidRPr="00F52364">
        <w:rPr>
          <w:spacing w:val="-4"/>
          <w:lang w:val="sq-AL"/>
        </w:rPr>
        <w:t>PËR MËNYRËN E ORGANIZIMIT E TË FUNKSIONIMIT TË QENDRËS KOMBËTARE TË TRANSFUZIONIT TË GJAKUT DHE NIVELET E SHËRBIMIT TË TRANSFUZIONIT NË INSTITUCIONET SHËNDETËSORE</w:t>
      </w:r>
    </w:p>
    <w:p w:rsidR="007A7D2D" w:rsidRPr="00F52364" w:rsidRDefault="007A7D2D" w:rsidP="007A7D2D">
      <w:pPr>
        <w:pStyle w:val="Hapesira7"/>
        <w:rPr>
          <w:lang w:val="sq-AL"/>
        </w:rPr>
      </w:pP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Në mbështetje të nenit 100 të Kushtetutës dhe të neneve 12, pika 1 e 15, pika 1, të ligjit nr. 9739, datë 21.5.2007, “Për shërbimin e transfuzionit të gjakut në Republikën e Shqipërisë”, të ndryshuar, me propozimin e ministrit të Shëndetësisë, Këshilli i Ministrave</w:t>
      </w:r>
    </w:p>
    <w:p w:rsidR="007A7D2D" w:rsidRPr="00F52364" w:rsidRDefault="007A7D2D" w:rsidP="007A7D2D">
      <w:pPr>
        <w:pStyle w:val="Hapesira7"/>
        <w:rPr>
          <w:lang w:val="sq-AL"/>
        </w:rPr>
      </w:pPr>
    </w:p>
    <w:p w:rsidR="007A7D2D" w:rsidRPr="00F52364" w:rsidRDefault="007A7D2D" w:rsidP="007A7D2D">
      <w:pPr>
        <w:pStyle w:val="NeniNr"/>
        <w:rPr>
          <w:spacing w:val="-4"/>
          <w:lang w:val="sq-AL"/>
        </w:rPr>
      </w:pPr>
      <w:r w:rsidRPr="00F52364">
        <w:rPr>
          <w:spacing w:val="-4"/>
          <w:lang w:val="sq-AL"/>
        </w:rPr>
        <w:t>VENDOSI:</w:t>
      </w:r>
    </w:p>
    <w:p w:rsidR="007A7D2D" w:rsidRPr="00F52364" w:rsidRDefault="007A7D2D" w:rsidP="007A7D2D">
      <w:pPr>
        <w:pStyle w:val="Hapesira7"/>
        <w:rPr>
          <w:lang w:val="sq-AL"/>
        </w:rPr>
      </w:pP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1. Nivelet e shërbimit të strukturave të transfuzionit të gjakut kategorizohen, si më poshtë vijon: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Niveli I: Komiteti Kombëtar i Transfuzionit të Gjakut (KKGJ);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b) Niveli II: Shërbimi Kombëtar i Transfuzionit të Gjakut.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2. Komiteti Kombëtar i Transfuzionit të Gjakut është organ këshillimor, i cili funksionon në bazë të rregullores së miratuar nga ministri i Shëndetësisë.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3. Shërbimi Kombëtar i Transfuzionit të Gjakut përbëhet nga Qendra Kombëtare e Transfuzionit të Gjakut dhe strukturat e shërbimit të transfuzionit në institucionet shëndetësore publike të shërbimit spitalor.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4. Qendra Kombëtare e Transfuzionit të Gjakut është person juridik publik në varësi të Ministrisë së Shëndetësisë, e specializuar për kryerjen e shërbimeve të transfuzionit të gjakut në Republikën e Shqipërisë. Qendra Kombëtare e Transfuzionit të Gjakut kryen këto shërbime: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Shërbime prodhuese, në të cilat përfshihen promovimi i dhurimit vullnetar falas të gjakut, seleksionimi dhe kontrolli periodik i dhuruesit të gjakut, mbledhja e gjakut, përpunimi dhe testimi i tij, ruajtja, transporti i gjakut/produkteve të tij, kontrolli i cilësisë të gjakut, si dhe i produkteve të tij;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b) Shërbime ndaj spitalit, në të cilat përfshihen shpërndarja e gjakut dhe e produkteve të tij pacientëve në nevojë dhe testet imunohema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tologjike.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5. Strukturat e shërbimit të transfuzionit në institucionet shëndetësore publike të shërbimit spitalor janë, si më poshtë vijon: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Bankat rajonale të gjakut në të cilat kryhen: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i) shërbime prodhuese, ku përfshihen promovimi i dhurimit vullnetar falas të gjakut, seleksionimi dhe kontrolli periodik i dhuruesit të gjakut, mbledhja e gjakut, përpunimi, ruajtja, transporti i gjakut/produkteve të tij;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ii) shërbime ndaj spitalit, ku përfshihen shpërndarja e gjakut dhe produkteve të tij pacientëve në nevojë dhe testet imunohema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tologjike.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b) Bankat mbledhëse dhe shpërndarëse të gjakut në të cilat kryhen: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i) shërbime prodhuese, ku përfshihen promo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vimi i dhurimit vullnetar falas të gjakut, seleksio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nimi dhe kontrolli periodik i dhuruesit të gjakut, mbledhja e gjakut, ruajtja, transporti i gjakut/</w:t>
      </w:r>
      <w:r>
        <w:rPr>
          <w:spacing w:val="-4"/>
          <w:lang w:val="sq-AL"/>
        </w:rPr>
        <w:t xml:space="preserve"> </w:t>
      </w:r>
      <w:r w:rsidRPr="00F52364">
        <w:rPr>
          <w:spacing w:val="-4"/>
          <w:lang w:val="sq-AL"/>
        </w:rPr>
        <w:t>produkteve të tij;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ii) shërbime ndaj spitalit, ku përfshihen shpërndarja e gjakut dhe produkteve të tij pacienteve në nevojë dhe testet imunohemato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logjike.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c) Bankat shpërndarëse të gjakut, në të cilat kryhen vetëm shërbime ndaj spitalit, ku përfshihen shpërndarja e gjakut dhe e produkteve të tij pacientëve në nevojë dhe testimet imunohemato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logjike.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6. Shërbimi Kombëtar i Transfuzionit të Gjakut ofron produktet e mëposhtme: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Produktet eritrocitare: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i) Gjak i plotë;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ii) Qeliza të kuqe;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iii) Qeliza të kuqe në SAGM (salinë, adeninë, glukozë, manitol);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iv) Qeliza të kuqe pa </w:t>
      </w:r>
      <w:r w:rsidRPr="00F52364">
        <w:rPr>
          <w:i/>
          <w:spacing w:val="-4"/>
          <w:lang w:val="sq-AL"/>
        </w:rPr>
        <w:t>buffy-coat</w:t>
      </w:r>
      <w:r w:rsidRPr="00F52364">
        <w:rPr>
          <w:spacing w:val="-4"/>
          <w:lang w:val="sq-AL"/>
        </w:rPr>
        <w:t xml:space="preserve"> pa solucion shtesë;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v) Qeliza të kuqe pa </w:t>
      </w:r>
      <w:r w:rsidRPr="00F52364">
        <w:rPr>
          <w:i/>
          <w:spacing w:val="-4"/>
          <w:lang w:val="sq-AL"/>
        </w:rPr>
        <w:t>buffy-coat</w:t>
      </w:r>
      <w:r w:rsidRPr="00F52364">
        <w:rPr>
          <w:spacing w:val="-4"/>
          <w:lang w:val="sq-AL"/>
        </w:rPr>
        <w:t xml:space="preserve"> me solucion shtesë;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vi) Qeliza të kuqe të leukodepletuar;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vii) Qeliza të kuqe të shpëlara.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b) Produktet plazmatike: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i) Plazmë e freskët e ngrirë;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ii) Plazmë e varfër në krioprecipitat;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lastRenderedPageBreak/>
        <w:t>iii) Krioprecipitat.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c) Produktet trombocitare: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i) Trombocite të prodhuara nga plazma e pasur në trombocite;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ii) Trombocite të prodhuara nga </w:t>
      </w:r>
      <w:r w:rsidRPr="00F52364">
        <w:rPr>
          <w:i/>
          <w:spacing w:val="-4"/>
          <w:lang w:val="sq-AL"/>
        </w:rPr>
        <w:t>buffy-coat</w:t>
      </w:r>
      <w:r w:rsidRPr="00F52364">
        <w:rPr>
          <w:spacing w:val="-4"/>
          <w:lang w:val="sq-AL"/>
        </w:rPr>
        <w:t>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7. Produktet e gjakut të prodhuara nga Shërbimi Kombëtar i Transfuzionit të Gjakut duhet të plotësojnë standardet e paraqitura në aneksin I, që i bashkëlidhet këtij vendimi.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8. Qendra Kombëtare e Transfuzionit të Gjakut kryen detyrat e ngarkuara nga ligji, si dhe kryen funksionet e bashkërendimit të punës e të kontrollit tekniko-administrativ, në bashkëpunim me Komitetin Kombëtar të Transfuzionit të Gjakut.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9. Qendra Kombëtare e Transfuzionit të Gjakut ka edhe këto përgjegjësi:</w:t>
      </w:r>
    </w:p>
    <w:p w:rsidR="007A7D2D" w:rsidRPr="004D60E3" w:rsidRDefault="007A7D2D" w:rsidP="007A7D2D">
      <w:pPr>
        <w:pStyle w:val="Paragrafi"/>
        <w:rPr>
          <w:spacing w:val="-6"/>
          <w:lang w:val="sq-AL"/>
        </w:rPr>
      </w:pPr>
      <w:r w:rsidRPr="00F52364">
        <w:rPr>
          <w:spacing w:val="-4"/>
          <w:lang w:val="sq-AL"/>
        </w:rPr>
        <w:t>a</w:t>
      </w:r>
      <w:r w:rsidRPr="004D60E3">
        <w:rPr>
          <w:spacing w:val="-6"/>
          <w:lang w:val="sq-AL"/>
        </w:rPr>
        <w:t>) Siguron mbështetje për zbatimin e programin kombëtar të veprimeve të shërbimit të transfuzionit;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b) Në bashkëpunim me Komitetin Kombëtar të Transfuzionit të Gjakut është përgjegjëse për hartimin dhe shpërndarjen e akteve nënligjore e të udhëzuesve përkatës për Shërbimin Kombëtar të Transfuzionit të Gjakut, të miratuara nga ministri i Shëndetësisë;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c) Përllogarit koston e shërbimeve e të produk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teve të ofruara nga Shërbimi Kombëtar i Transfu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>zionit të Gjakut;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ç) </w:t>
      </w:r>
      <w:r w:rsidRPr="00F52364">
        <w:rPr>
          <w:spacing w:val="-4"/>
          <w:lang w:val="sq-AL"/>
        </w:rPr>
        <w:tab/>
        <w:t xml:space="preserve">Siguron zbatimin sistematik të programit për kontrollin e cilësisë e atë mikrobiologjik të procedurave të mbledhjes e të përpunimit të gjakut, kontrollin dhe vlerësimin e metodave diagnostike e të procedurave të zbatuara në shërbimin e transfuzionit;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d) Raporton për aktivitetin e saj në Drejtorinë e Administrimit Spitalor, pranë Ministrisë së Shëndetësisë, në mënyrë periodike dhe vjetore brenda 10-ditëshit të parë të muajit pasardhës, sipas rregullores përkatëse, të miratuar me urdhër të ministrit të Shëndetësisë.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10. Marrëdhëniet e punës së punonjësve të Qendrës Kombëtare të Transfuzionit të Gjakut rregullohen nga dispozitat e ligjit nr. 7961, datë 12.7.1995, “Kodi i Punës në Republikën e Shqipërisë”, i ndryshuar.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11. Mënyra dhe procedurat për punësimin, lëvizjet dhe transferimin e stafit të Qendrës Kombëtare të Transfuzionit të Gjakut miratohen nga ministri i Shëndetësisë.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12. Qendra Kombëtare e Transfuzionit të Gjakut drejtohet nga drejtori, i cili emërohet dhe lirohet nga ministri i Shëndetësisë.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13. Drejtori i Qendrës Kombëtare e Transfuzionit të Gjakut ka këto përgjegjësi kryesore: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a) Drejton dhe bashkërendon detyrat e punonjësve me qëllim përmbushjen me sukses të rolit të Qendrës;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b) Përgatit programin e vetëmjaftueshmërisë kombëtare dhe e paraqet atë për miratim në Ministrinë e Shëndetësisë, në Drejtorinë e Administrimit Spitalor, në fillim të çdo viti kalendarik, mbështetur në nenin 18, të ligjit nr. 9739, datë 21.5.2007, “Për shërbimin e transfuzionit të gjakut në Republikën e Shqipërisë”, të ndryshuar;</w:t>
      </w:r>
    </w:p>
    <w:p w:rsidR="007A7D2D" w:rsidRPr="00FC4032" w:rsidRDefault="007A7D2D" w:rsidP="007A7D2D">
      <w:pPr>
        <w:pStyle w:val="Paragrafi"/>
        <w:rPr>
          <w:lang w:val="sq-AL"/>
        </w:rPr>
      </w:pPr>
      <w:r w:rsidRPr="00FC4032">
        <w:rPr>
          <w:lang w:val="sq-AL"/>
        </w:rPr>
        <w:t>c) Drejton punën për hartimin e projekt</w:t>
      </w:r>
      <w:r>
        <w:rPr>
          <w:lang w:val="sq-AL"/>
        </w:rPr>
        <w:t>-</w:t>
      </w:r>
      <w:r w:rsidRPr="00FC4032">
        <w:rPr>
          <w:lang w:val="sq-AL"/>
        </w:rPr>
        <w:t xml:space="preserve">buxhetit ekonomik dhe financiar, miraton buxhetin e zbërthyer për çdo shërbim dhe repart, miraton programin e buxhetit në të gjithë zërat e tij;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ç)</w:t>
      </w:r>
      <w:r w:rsidRPr="00F52364">
        <w:rPr>
          <w:spacing w:val="-4"/>
          <w:lang w:val="sq-AL"/>
        </w:rPr>
        <w:tab/>
        <w:t xml:space="preserve"> Administron fondet buxhetore dhe fondet e tjera të krijuara sipas legjislacionit në fuqi për funksionimin normal të Qendrës;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d) Bashkëpunon ngushtë me institucionet e ndryshme dhe organizatat që operojnë në fushën e transfuzionit të gjakut brenda dhe jashtë vendit;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dh) </w:t>
      </w:r>
      <w:r w:rsidRPr="00F52364">
        <w:rPr>
          <w:spacing w:val="-4"/>
          <w:lang w:val="sq-AL"/>
        </w:rPr>
        <w:tab/>
        <w:t>Përfaqëson Qendrën në marrëdhënie me të tretët;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e) I propozon Komitetit Kombëtar të Transfuzionit të Gjakut, për miratim nga ministri i Shëndetësisë, të rregullores së brendshme të funksionimit të Qendrës Kombëtare të Transfuzionit të Gjakut;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ë)</w:t>
      </w:r>
      <w:r w:rsidRPr="00F52364">
        <w:rPr>
          <w:spacing w:val="-4"/>
          <w:lang w:val="sq-AL"/>
        </w:rPr>
        <w:tab/>
        <w:t xml:space="preserve"> Siguron që çdo njësi gjak apo komponent është mbledhur, testuar, përpunuar, ruajtur dhe shpërndarë sipas të gjitha ligjeve dhe akteve nënligjore në fuqi;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f) Siguron informacionin e duhur për ngritjen, akreditimin ose licencimin e çdo strukture transfuzionale;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g) I propozon ministrit të Shëndetësisë emërimin dhe lirimin nga detyra të zëvendës</w:t>
      </w:r>
      <w:r>
        <w:rPr>
          <w:spacing w:val="-4"/>
          <w:lang w:val="sq-AL"/>
        </w:rPr>
        <w:t>-</w:t>
      </w:r>
      <w:r w:rsidRPr="00F52364">
        <w:rPr>
          <w:spacing w:val="-4"/>
          <w:lang w:val="sq-AL"/>
        </w:rPr>
        <w:t xml:space="preserve">drejtorit teknik e ekonomik; 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 xml:space="preserve">gj) </w:t>
      </w:r>
      <w:r w:rsidRPr="00F52364">
        <w:rPr>
          <w:spacing w:val="-4"/>
          <w:lang w:val="sq-AL"/>
        </w:rPr>
        <w:tab/>
        <w:t>Siguron bazën pedagogjike për specializimin e mjekëve në specialitetin “Mjekësi transfuzive” dhe bashkëpunimin me Fakultetin e Mjekësisë për trajnimin e vazhdueshëm të specialistëve që punojnë në strukturat e shërbimit të transfuzionit në vend.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14. Qendra Kombëtare e Transfuzionit të Gjakut kryen shërbime të transfuzionit sipas tarifave të miratuara me udhëzim të përbashkët të ministrit të Shëndetësisë dhe të ministrit të Financave.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lastRenderedPageBreak/>
        <w:t>15. Të ardhurat e mbledhura nga tarifat për shërbimin e transfuzionit derdhen në buxhetin e Qendrës Kombëtare të Transfuzionit të Gjakut dhe përdoren me miratim të ministrit të Shëndetësisë.</w:t>
      </w:r>
    </w:p>
    <w:p w:rsidR="007A7D2D" w:rsidRPr="00F52364" w:rsidRDefault="007A7D2D" w:rsidP="007A7D2D">
      <w:pPr>
        <w:pStyle w:val="Paragrafi"/>
        <w:rPr>
          <w:spacing w:val="-4"/>
          <w:lang w:val="sq-AL"/>
        </w:rPr>
      </w:pPr>
      <w:r w:rsidRPr="00F52364">
        <w:rPr>
          <w:spacing w:val="-4"/>
          <w:lang w:val="sq-AL"/>
        </w:rPr>
        <w:t>16. Ngarkohet Ministria e Shëndetësisë për zbatimin e këtij vendimi.</w:t>
      </w:r>
    </w:p>
    <w:p w:rsidR="007A7D2D" w:rsidRPr="00F52364" w:rsidRDefault="007A7D2D" w:rsidP="007A7D2D">
      <w:pPr>
        <w:pStyle w:val="Paragrafi"/>
        <w:rPr>
          <w:b/>
          <w:spacing w:val="-4"/>
          <w:lang w:val="sq-AL"/>
        </w:rPr>
      </w:pPr>
      <w:r w:rsidRPr="00F52364">
        <w:rPr>
          <w:spacing w:val="-4"/>
          <w:lang w:val="sq-AL"/>
        </w:rPr>
        <w:t>Ky vendim hyn në fuqi pas botimit në Fletoren Zyrtare.</w:t>
      </w:r>
    </w:p>
    <w:p w:rsidR="007A7D2D" w:rsidRPr="00F52364" w:rsidRDefault="007A7D2D" w:rsidP="007A7D2D">
      <w:pPr>
        <w:pStyle w:val="Hapesira7"/>
        <w:rPr>
          <w:lang w:val="sq-AL"/>
        </w:rPr>
      </w:pPr>
    </w:p>
    <w:p w:rsidR="007A7D2D" w:rsidRPr="00F52364" w:rsidRDefault="007A7D2D" w:rsidP="007A7D2D">
      <w:pPr>
        <w:pStyle w:val="Paragrafi"/>
        <w:jc w:val="right"/>
        <w:rPr>
          <w:spacing w:val="-4"/>
          <w:lang w:val="sq-AL"/>
        </w:rPr>
      </w:pPr>
      <w:r w:rsidRPr="00F52364">
        <w:rPr>
          <w:spacing w:val="-4"/>
          <w:lang w:val="sq-AL"/>
        </w:rPr>
        <w:t>ZËVENDËSKRYEMINISTRI</w:t>
      </w:r>
    </w:p>
    <w:p w:rsidR="007A7D2D" w:rsidRDefault="007A7D2D" w:rsidP="007A7D2D">
      <w:pPr>
        <w:pStyle w:val="Paragrafi"/>
        <w:jc w:val="right"/>
        <w:rPr>
          <w:b/>
          <w:lang w:val="sq-AL"/>
        </w:rPr>
        <w:sectPr w:rsidR="007A7D2D" w:rsidSect="00CB29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0415"/>
          <w:cols w:space="454"/>
          <w:docGrid w:linePitch="360"/>
        </w:sectPr>
      </w:pPr>
      <w:r w:rsidRPr="00F52364">
        <w:rPr>
          <w:b/>
          <w:spacing w:val="-4"/>
          <w:lang w:val="sq-AL"/>
        </w:rPr>
        <w:t>Niko Peleshi</w:t>
      </w:r>
    </w:p>
    <w:p w:rsidR="007A7D2D" w:rsidRPr="00FC4032" w:rsidRDefault="007A7D2D" w:rsidP="007A7D2D">
      <w:pPr>
        <w:pStyle w:val="Paragrafi"/>
        <w:jc w:val="right"/>
        <w:rPr>
          <w:b/>
          <w:sz w:val="6"/>
          <w:lang w:val="sq-AL"/>
        </w:rPr>
      </w:pPr>
    </w:p>
    <w:p w:rsidR="007A7D2D" w:rsidRPr="004A0651" w:rsidRDefault="007A7D2D" w:rsidP="007A7D2D">
      <w:pPr>
        <w:pStyle w:val="NeniTitull"/>
        <w:rPr>
          <w:b w:val="0"/>
          <w:lang w:val="sq-AL"/>
        </w:rPr>
      </w:pPr>
      <w:r w:rsidRPr="004A0651">
        <w:rPr>
          <w:b w:val="0"/>
          <w:lang w:val="sq-AL"/>
        </w:rPr>
        <w:t>ANEKSI I</w:t>
      </w:r>
    </w:p>
    <w:p w:rsidR="007A7D2D" w:rsidRPr="004A0651" w:rsidRDefault="007A7D2D" w:rsidP="007A7D2D">
      <w:pPr>
        <w:pStyle w:val="NeniTitull"/>
        <w:rPr>
          <w:b w:val="0"/>
          <w:color w:val="000000"/>
          <w:lang w:val="sq-AL"/>
        </w:rPr>
      </w:pPr>
      <w:r w:rsidRPr="004A0651">
        <w:rPr>
          <w:b w:val="0"/>
          <w:color w:val="000000"/>
          <w:lang w:val="sq-AL"/>
        </w:rPr>
        <w:t>STANDARDET E GJAKUT DHE PRODUKTEVE TË TIJ</w:t>
      </w:r>
    </w:p>
    <w:p w:rsidR="007A7D2D" w:rsidRPr="00A6651A" w:rsidRDefault="007A7D2D" w:rsidP="007A7D2D">
      <w:pPr>
        <w:pStyle w:val="Hapesira7"/>
        <w:rPr>
          <w:lang w:val="sq-AL"/>
        </w:rPr>
      </w:pPr>
    </w:p>
    <w:tbl>
      <w:tblPr>
        <w:tblW w:w="98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8"/>
        <w:gridCol w:w="3600"/>
        <w:gridCol w:w="4331"/>
      </w:tblGrid>
      <w:tr w:rsidR="007A7D2D" w:rsidRPr="00A6651A" w:rsidTr="00501808">
        <w:trPr>
          <w:cantSplit/>
          <w:jc w:val="center"/>
        </w:trPr>
        <w:tc>
          <w:tcPr>
            <w:tcW w:w="1908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/>
                <w:sz w:val="20"/>
                <w:szCs w:val="20"/>
                <w:lang w:val="sq-AL"/>
              </w:rPr>
              <w:t>Emri i produktit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/>
                <w:sz w:val="20"/>
                <w:szCs w:val="20"/>
                <w:lang w:val="sq-AL"/>
              </w:rPr>
              <w:t>Parametrat e kontrolluar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/>
                <w:sz w:val="20"/>
                <w:szCs w:val="20"/>
                <w:lang w:val="sq-AL"/>
              </w:rPr>
              <w:t>Rezultati i duhur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Gjaku i plotë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Grupi ABO, Rh D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Përcaktimi i grupit të gjakut në të gjitha njësitë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Anti-HIV1/2, anti-HCV, HBsAg, Sifiliz , CMV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Negativ me testet e miratuara për të gjitha njësitë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450 </w:t>
            </w:r>
            <w:r w:rsidRPr="00A6651A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± 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>10 ml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Jo më pak se 45 g/njësi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eritrocitare</w:t>
            </w:r>
          </w:p>
        </w:tc>
      </w:tr>
      <w:tr w:rsidR="007A7D2D" w:rsidRPr="00A6651A" w:rsidTr="00501808">
        <w:trPr>
          <w:cantSplit/>
          <w:trHeight w:val="512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926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Qeliza të kuqe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1</w:t>
            </w:r>
          </w:p>
          <w:p w:rsidR="007A7D2D" w:rsidRPr="00A6651A" w:rsidRDefault="007A7D2D" w:rsidP="00501808">
            <w:pPr>
              <w:pStyle w:val="Heading2"/>
              <w:spacing w:before="0"/>
              <w:ind w:left="0" w:firstLine="0"/>
              <w:jc w:val="left"/>
              <w:rPr>
                <w:rFonts w:ascii="Garamond" w:hAnsi="Garamond"/>
                <w:i/>
                <w:iCs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Të vlefshme për të ruajtur vlerat e Hb dhe hemolizës brenda standardeve (280 </w:t>
            </w:r>
            <w:r w:rsidRPr="00A6651A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± </w:t>
            </w:r>
            <w:r>
              <w:rPr>
                <w:rFonts w:ascii="Garamond" w:hAnsi="Garamond"/>
                <w:bCs/>
                <w:sz w:val="20"/>
                <w:szCs w:val="20"/>
                <w:lang w:val="sq-AL"/>
              </w:rPr>
              <w:t>50ml)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Hct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0.65-0.75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minimumi 45 g/njësi</w:t>
            </w:r>
          </w:p>
        </w:tc>
      </w:tr>
      <w:tr w:rsidR="007A7D2D" w:rsidRPr="00A6651A" w:rsidTr="00501808">
        <w:trPr>
          <w:cantSplit/>
          <w:trHeight w:val="602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së qelizave të kuqe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Qeliza të kuqe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pa </w:t>
            </w:r>
            <w:r w:rsidRPr="00A6651A">
              <w:rPr>
                <w:rFonts w:ascii="Garamond" w:hAnsi="Garamond"/>
                <w:i/>
                <w:sz w:val="20"/>
                <w:szCs w:val="20"/>
                <w:lang w:val="sq-AL"/>
              </w:rPr>
              <w:t>buffy-coat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pa solucion shtesë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Të vlefshme për të ruajtur vlerat e Hb dhe hemolizës brenda standardeve (250 </w:t>
            </w:r>
            <w:r w:rsidRPr="00A6651A"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  <w:t xml:space="preserve">± 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50). 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Hct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0.65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0.75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minimumi 43 g/njësi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së qelizave të kuqe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leukociteve/njësi*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&lt; 1.2 x 10 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 xml:space="preserve">9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 njësi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Qeliza të kuqe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në solucion shtesë, SAGM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Të vlefshme për të ruajtur vlerat e Hb dhe hemolizës brenda standardeve. 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Jo më pak se 45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g/njësi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eritrocitare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Hct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0.50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0.70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476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Qeliza të kuqe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pa </w:t>
            </w:r>
            <w:r w:rsidRPr="00A6651A">
              <w:rPr>
                <w:rFonts w:ascii="Garamond" w:hAnsi="Garamond"/>
                <w:bCs/>
                <w:i/>
                <w:sz w:val="20"/>
                <w:szCs w:val="20"/>
                <w:lang w:val="sq-AL"/>
              </w:rPr>
              <w:t>buffy-coat</w:t>
            </w:r>
            <w:r w:rsidRPr="00A6651A">
              <w:rPr>
                <w:rFonts w:ascii="Garamond" w:hAnsi="Garamond"/>
                <w:bCs/>
                <w:i/>
                <w:sz w:val="20"/>
                <w:szCs w:val="20"/>
                <w:vertAlign w:val="superscript"/>
                <w:lang w:val="sq-AL"/>
              </w:rPr>
              <w:t>2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 me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bCs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>solucion shtes</w:t>
            </w:r>
            <w:r>
              <w:rPr>
                <w:rFonts w:ascii="Garamond" w:hAnsi="Garamond"/>
                <w:bCs/>
                <w:sz w:val="20"/>
                <w:szCs w:val="20"/>
                <w:lang w:val="sq-AL"/>
              </w:rPr>
              <w:t>ë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Të vlefshme për të ruajtur vlerat e Hb dhe hemolizës brenda standardeve. </w:t>
            </w:r>
          </w:p>
        </w:tc>
      </w:tr>
      <w:tr w:rsidR="007A7D2D" w:rsidRPr="00A6651A" w:rsidTr="00501808">
        <w:trPr>
          <w:cantSplit/>
          <w:trHeight w:val="287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Hct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0.50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0.70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minimumi 43 g/njësi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eritrocitare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leukociteve/njësi*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1.2 x 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/për 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Qeliza të kuqe</w:t>
            </w:r>
          </w:p>
          <w:p w:rsidR="007A7D2D" w:rsidRPr="00A6651A" w:rsidRDefault="007A7D2D" w:rsidP="00501808">
            <w:pPr>
              <w:pStyle w:val="Heading1"/>
              <w:spacing w:before="0" w:after="0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 w:val="0"/>
                <w:sz w:val="20"/>
                <w:szCs w:val="20"/>
                <w:lang w:val="sq-AL"/>
              </w:rPr>
              <w:t>të leukodepletuara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Të vlefshme për të ruajtur vlersat e Hb dhe hemolizës brenda standardeve. 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Minimumi 40 g/njësi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eritrocitare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Hct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0.50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0.70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leukociteve/njësi*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1x10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6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 për 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Qeliza të kuqe të shpëlara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>Të vlefshme për të ruajtur vlerat e Hb d</w:t>
            </w:r>
            <w:r>
              <w:rPr>
                <w:rFonts w:ascii="Garamond" w:hAnsi="Garamond"/>
                <w:bCs/>
                <w:sz w:val="20"/>
                <w:szCs w:val="20"/>
                <w:lang w:val="sq-AL"/>
              </w:rPr>
              <w:t>he hemolizës brenda standardeve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 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Hemoglobina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Minimumi 40 g/njësi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Hemoliza në fund të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0.8% të masës eritrocitare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Hct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0.65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0.75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Proteina totale/njësi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0.5 g/njësi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889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Masë trombocitare, (njësi e vetme)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Volumi 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&gt; 40ml për 60x10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 xml:space="preserve">9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trombocite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I përshtatshëm me kushtet e ruajtjes së produktit me qëllim sigurimin e ph të tij brenda standardeve të përcaktuara. 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trombociteve/njësi**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&gt; 60x10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/ për njësi</w:t>
            </w:r>
          </w:p>
        </w:tc>
      </w:tr>
      <w:tr w:rsidR="007A7D2D" w:rsidRPr="00A6651A" w:rsidTr="00501808">
        <w:trPr>
          <w:cantSplit/>
          <w:trHeight w:val="1009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>Nr. i leukociteve residuale për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/njësi*</w:t>
            </w:r>
          </w:p>
          <w:p w:rsidR="007A7D2D" w:rsidRPr="00A6651A" w:rsidRDefault="007A7D2D" w:rsidP="007A7D2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përgatitur nga plazma e pasur me trombocite</w:t>
            </w:r>
          </w:p>
          <w:p w:rsidR="007A7D2D" w:rsidRPr="00A6651A" w:rsidRDefault="007A7D2D" w:rsidP="007A7D2D">
            <w:pPr>
              <w:widowControl w:val="0"/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përgatitur nga </w:t>
            </w:r>
            <w:r w:rsidRPr="00A6651A">
              <w:rPr>
                <w:rFonts w:ascii="Garamond" w:hAnsi="Garamond"/>
                <w:i/>
                <w:sz w:val="20"/>
                <w:szCs w:val="20"/>
                <w:lang w:val="sq-AL"/>
              </w:rPr>
              <w:t>baffy-coat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0.2 x10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 për njësi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0.05 x10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 për 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Ph në fund të kohës së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6.4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7.4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Masë trombocitare nga pool i </w:t>
            </w:r>
            <w:r w:rsidRPr="00A6651A">
              <w:rPr>
                <w:rFonts w:ascii="Garamond" w:hAnsi="Garamond"/>
                <w:i/>
                <w:sz w:val="20"/>
                <w:szCs w:val="20"/>
                <w:lang w:val="sq-AL"/>
              </w:rPr>
              <w:t>buffy-coat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Volumi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&gt;40ml/60x10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trombocite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I përshtatshëm me kushtet e ruajtjes së produktit me qëllim sigurimin e ph të tij bre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nda standardeve të përcaktuara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trombociteve/njësi**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&gt; 2 x 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11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/për njësi</w:t>
            </w:r>
          </w:p>
        </w:tc>
      </w:tr>
      <w:tr w:rsidR="007A7D2D" w:rsidRPr="00A6651A" w:rsidTr="00501808">
        <w:trPr>
          <w:cantSplit/>
          <w:trHeight w:val="84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leukociteve residuale për /njësi*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:</w:t>
            </w:r>
          </w:p>
          <w:p w:rsidR="007A7D2D" w:rsidRPr="00A6651A" w:rsidRDefault="007A7D2D" w:rsidP="007A7D2D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të pafiltruara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;</w:t>
            </w:r>
          </w:p>
          <w:p w:rsidR="007A7D2D" w:rsidRPr="00A6651A" w:rsidRDefault="007A7D2D" w:rsidP="007A7D2D">
            <w:pPr>
              <w:widowControl w:val="0"/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0" w:line="240" w:lineRule="auto"/>
              <w:ind w:left="0"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të filtruara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1 x 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 1 x 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6</w:t>
            </w: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Ph në fund të kohës së ruajtjes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6.4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7.4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Plazmë e freskët e ngrirë 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Volumi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Volumi i vendosur ±10%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Faktori VIII*** pas ngrirjes dhe shkrirjes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Jo më pak se &gt; 70UI Faktor VIII/100ml 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eritrociteve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&lt; 6 x 10 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/litër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leukociteve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&lt;0.1x 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/litër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>
              <w:rPr>
                <w:rFonts w:ascii="Garamond" w:hAnsi="Garamond"/>
                <w:sz w:val="20"/>
                <w:szCs w:val="20"/>
                <w:lang w:val="sq-AL"/>
              </w:rPr>
              <w:t xml:space="preserve">Nr. i 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trombociteve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&lt;50x 10</w:t>
            </w:r>
            <w:r w:rsidRPr="00A6651A">
              <w:rPr>
                <w:rFonts w:ascii="Garamond" w:hAnsi="Garamond"/>
                <w:sz w:val="20"/>
                <w:szCs w:val="20"/>
                <w:vertAlign w:val="superscript"/>
                <w:lang w:val="sq-AL"/>
              </w:rPr>
              <w:t>9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/litër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Proteina totale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Jo më pak se 50g/litër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Kontroll vizual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Mungesë të klots dhe ngjyrës jonormale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Rrjedhja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Mungesë rrjedhjeje 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nga qesja e plazmës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Kontrolli vizual i njësisë pas përpunimit dhe përpara p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rocedurës së ngrirjes</w:t>
            </w:r>
          </w:p>
        </w:tc>
      </w:tr>
      <w:tr w:rsidR="007A7D2D" w:rsidRPr="00A6651A" w:rsidTr="00501808">
        <w:trPr>
          <w:cantSplit/>
          <w:trHeight w:val="584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584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bCs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 xml:space="preserve">Plazmë e varfër në krio 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Grupi ABO, Rh D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Të gjitha njësitë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Anti-HI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V1/2, anti-HCV, HBsAg, Sifiliz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, CMV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Negativ për të gjitha njësitë me teste të miratuara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Volumi i vendosur ±10%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Etiketimi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 w:val="restart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Krioprecipitat</w:t>
            </w: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Volumi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30</w:t>
            </w:r>
            <w:r>
              <w:rPr>
                <w:rFonts w:ascii="Garamond" w:hAnsi="Garamond"/>
                <w:sz w:val="20"/>
                <w:szCs w:val="20"/>
                <w:lang w:val="sq-AL"/>
              </w:rPr>
              <w:t>–</w:t>
            </w: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40 ml të gjitha njësitë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Faktori VIII c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>****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≥70 IU/njësi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Fibrinogjen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≥ 140mg/njësi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Faktori Von Willebrand</w:t>
            </w:r>
            <w:r w:rsidRPr="00A6651A">
              <w:rPr>
                <w:rFonts w:ascii="Garamond" w:hAnsi="Garamond"/>
                <w:bCs/>
                <w:sz w:val="20"/>
                <w:szCs w:val="20"/>
                <w:lang w:val="sq-AL"/>
              </w:rPr>
              <w:t>****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 &gt;100 IU/njësi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Etiketimi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  <w:tr w:rsidR="007A7D2D" w:rsidRPr="00A6651A" w:rsidTr="00501808">
        <w:trPr>
          <w:cantSplit/>
          <w:trHeight w:val="261"/>
          <w:jc w:val="center"/>
        </w:trPr>
        <w:tc>
          <w:tcPr>
            <w:tcW w:w="1908" w:type="dxa"/>
            <w:vMerge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3600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 xml:space="preserve">Testi i kontaminimit bakterial </w:t>
            </w:r>
          </w:p>
        </w:tc>
        <w:tc>
          <w:tcPr>
            <w:tcW w:w="4331" w:type="dxa"/>
          </w:tcPr>
          <w:p w:rsidR="007A7D2D" w:rsidRPr="00A6651A" w:rsidRDefault="007A7D2D" w:rsidP="00501808">
            <w:pPr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A6651A">
              <w:rPr>
                <w:rFonts w:ascii="Garamond" w:hAnsi="Garamond"/>
                <w:sz w:val="20"/>
                <w:szCs w:val="20"/>
                <w:lang w:val="sq-AL"/>
              </w:rPr>
              <w:t>Sipas standardeve të përcaktuara në rregulloren përkatëse</w:t>
            </w:r>
          </w:p>
        </w:tc>
      </w:tr>
    </w:tbl>
    <w:p w:rsidR="007A7D2D" w:rsidRPr="00A6651A" w:rsidRDefault="007A7D2D" w:rsidP="007A7D2D">
      <w:pPr>
        <w:pStyle w:val="Hapesira7"/>
        <w:rPr>
          <w:lang w:val="sq-AL"/>
        </w:rPr>
      </w:pPr>
    </w:p>
    <w:p w:rsidR="007A7D2D" w:rsidRPr="004A0651" w:rsidRDefault="007A7D2D" w:rsidP="007A7D2D">
      <w:pPr>
        <w:spacing w:after="0" w:line="240" w:lineRule="auto"/>
        <w:ind w:firstLine="0"/>
        <w:rPr>
          <w:rFonts w:ascii="Garamond" w:hAnsi="Garamond"/>
          <w:color w:val="000000"/>
          <w:sz w:val="20"/>
          <w:szCs w:val="20"/>
          <w:lang w:val="sq-AL"/>
        </w:rPr>
      </w:pPr>
      <w:r w:rsidRPr="004A0651">
        <w:rPr>
          <w:rFonts w:ascii="Garamond" w:hAnsi="Garamond"/>
          <w:color w:val="000000"/>
          <w:sz w:val="20"/>
          <w:szCs w:val="20"/>
          <w:lang w:val="sq-AL"/>
        </w:rPr>
        <w:t>1. Qeliza të kuqe nënkupton qelizat e kuqe që përftohen nga një dhurim i vetëm gjaku të plotë pas largimit të pjesës më të madhe të plazmës.</w:t>
      </w:r>
    </w:p>
    <w:p w:rsidR="007A7D2D" w:rsidRPr="004A0651" w:rsidRDefault="007A7D2D" w:rsidP="007A7D2D">
      <w:pPr>
        <w:spacing w:after="0" w:line="240" w:lineRule="auto"/>
        <w:ind w:firstLine="0"/>
        <w:rPr>
          <w:rFonts w:ascii="Garamond" w:hAnsi="Garamond"/>
          <w:color w:val="000000"/>
          <w:sz w:val="20"/>
          <w:szCs w:val="20"/>
          <w:lang w:val="sq-AL"/>
        </w:rPr>
      </w:pPr>
      <w:r w:rsidRPr="004A0651">
        <w:rPr>
          <w:rFonts w:ascii="Garamond" w:hAnsi="Garamond"/>
          <w:color w:val="000000"/>
          <w:sz w:val="20"/>
          <w:szCs w:val="20"/>
          <w:lang w:val="sq-AL"/>
        </w:rPr>
        <w:t xml:space="preserve">2. </w:t>
      </w:r>
      <w:r>
        <w:rPr>
          <w:rFonts w:ascii="Garamond" w:hAnsi="Garamond"/>
          <w:i/>
          <w:color w:val="000000"/>
          <w:sz w:val="20"/>
          <w:szCs w:val="20"/>
          <w:lang w:val="sq-AL"/>
        </w:rPr>
        <w:t>Byffy-</w:t>
      </w:r>
      <w:r w:rsidRPr="004A0651">
        <w:rPr>
          <w:rFonts w:ascii="Garamond" w:hAnsi="Garamond"/>
          <w:i/>
          <w:color w:val="000000"/>
          <w:sz w:val="20"/>
          <w:szCs w:val="20"/>
          <w:lang w:val="sq-AL"/>
        </w:rPr>
        <w:t>coat</w:t>
      </w:r>
      <w:r w:rsidRPr="004A0651">
        <w:rPr>
          <w:rFonts w:ascii="Garamond" w:hAnsi="Garamond"/>
          <w:color w:val="000000"/>
          <w:sz w:val="20"/>
          <w:szCs w:val="20"/>
          <w:lang w:val="sq-AL"/>
        </w:rPr>
        <w:t xml:space="preserve"> nënkupton një shtresë qelizash që përftohen pas centrifugimit të gjakut të plotë dhe gjendet midis plazmës dhe eritrociteve. Kjo shtresë qelizash përmban një numër të konsiderueshëm leukocitesh dhe trombocitesh. </w:t>
      </w:r>
    </w:p>
    <w:p w:rsidR="007A7D2D" w:rsidRPr="004A0651" w:rsidRDefault="007A7D2D" w:rsidP="007A7D2D">
      <w:pPr>
        <w:spacing w:after="0" w:line="240" w:lineRule="auto"/>
        <w:ind w:firstLine="0"/>
        <w:rPr>
          <w:rFonts w:ascii="Garamond" w:hAnsi="Garamond"/>
          <w:bCs/>
          <w:color w:val="000000"/>
          <w:sz w:val="20"/>
          <w:szCs w:val="20"/>
          <w:lang w:val="sq-AL"/>
        </w:rPr>
      </w:pPr>
      <w:r w:rsidRPr="004A0651">
        <w:rPr>
          <w:rFonts w:ascii="Garamond" w:hAnsi="Garamond"/>
          <w:bCs/>
          <w:color w:val="000000"/>
          <w:sz w:val="20"/>
          <w:szCs w:val="20"/>
          <w:lang w:val="sq-AL"/>
        </w:rPr>
        <w:t>* Produkti është i përshtatshëm për përdorim nëse 90% e mostrave të kontrolluara i plotësojnë standarde e kërkuara.</w:t>
      </w:r>
    </w:p>
    <w:p w:rsidR="007A7D2D" w:rsidRPr="004A0651" w:rsidRDefault="007A7D2D" w:rsidP="007A7D2D">
      <w:pPr>
        <w:spacing w:after="0" w:line="240" w:lineRule="auto"/>
        <w:ind w:firstLine="0"/>
        <w:rPr>
          <w:rFonts w:ascii="Garamond" w:hAnsi="Garamond"/>
          <w:bCs/>
          <w:color w:val="000000"/>
          <w:sz w:val="20"/>
          <w:szCs w:val="20"/>
          <w:lang w:val="sq-AL"/>
        </w:rPr>
      </w:pPr>
      <w:r w:rsidRPr="004A0651">
        <w:rPr>
          <w:rFonts w:ascii="Garamond" w:hAnsi="Garamond"/>
          <w:bCs/>
          <w:color w:val="000000"/>
          <w:sz w:val="20"/>
          <w:szCs w:val="20"/>
          <w:lang w:val="sq-AL"/>
        </w:rPr>
        <w:t>** Produkti është i përshtatshëm për përdorim nëse 75% e mostrave të kontrolluara i plotësojnë standardet e kërkuara.</w:t>
      </w:r>
    </w:p>
    <w:p w:rsidR="007A7D2D" w:rsidRPr="004A0651" w:rsidRDefault="007A7D2D" w:rsidP="007A7D2D">
      <w:pPr>
        <w:spacing w:after="0" w:line="240" w:lineRule="auto"/>
        <w:ind w:firstLine="0"/>
        <w:rPr>
          <w:rFonts w:ascii="Garamond" w:hAnsi="Garamond"/>
          <w:bCs/>
          <w:color w:val="000000"/>
          <w:sz w:val="20"/>
          <w:szCs w:val="20"/>
          <w:lang w:val="sq-AL"/>
        </w:rPr>
      </w:pPr>
      <w:r w:rsidRPr="004A0651">
        <w:rPr>
          <w:rFonts w:ascii="Garamond" w:hAnsi="Garamond"/>
          <w:bCs/>
          <w:color w:val="000000"/>
          <w:sz w:val="20"/>
          <w:szCs w:val="20"/>
          <w:lang w:val="sq-AL"/>
        </w:rPr>
        <w:t>*** Produkti në stokun e bankës së gjakut do të kontrollohet çdo 3 muaj. 10 njësi do të kontrollohen në muajin e parë të kohës së ruajtjes. Numri i leukociteve do të përcaktohet përpara ngrirjes së produktit.</w:t>
      </w:r>
    </w:p>
    <w:p w:rsidR="007A7D2D" w:rsidRPr="004A0651" w:rsidRDefault="007A7D2D" w:rsidP="007A7D2D">
      <w:pPr>
        <w:spacing w:after="0" w:line="240" w:lineRule="auto"/>
        <w:ind w:firstLine="0"/>
        <w:rPr>
          <w:rFonts w:ascii="Garamond" w:hAnsi="Garamond"/>
          <w:b/>
          <w:color w:val="000000"/>
          <w:sz w:val="20"/>
          <w:szCs w:val="20"/>
          <w:lang w:val="sq-AL"/>
        </w:rPr>
      </w:pPr>
      <w:r w:rsidRPr="004A0651">
        <w:rPr>
          <w:rFonts w:ascii="Garamond" w:hAnsi="Garamond"/>
          <w:bCs/>
          <w:color w:val="000000"/>
          <w:sz w:val="20"/>
          <w:szCs w:val="20"/>
          <w:lang w:val="sq-AL"/>
        </w:rPr>
        <w:t xml:space="preserve">**** produkti në stokun e bankës së gjakut do të kontrollohet çdo 2 muaj. Kontrolli do të kryhet gjatë muajit të parë dhe të fundit të ruajtjes. </w:t>
      </w:r>
    </w:p>
    <w:p w:rsidR="00C86A72" w:rsidRDefault="00C86A72"/>
    <w:sectPr w:rsidR="00C86A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B29B9">
      <w:pPr>
        <w:spacing w:after="0" w:line="240" w:lineRule="auto"/>
      </w:pPr>
      <w:r>
        <w:separator/>
      </w:r>
    </w:p>
  </w:endnote>
  <w:endnote w:type="continuationSeparator" w:id="0">
    <w:p w:rsidR="00000000" w:rsidRDefault="00CB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E02F7" w:rsidRPr="00B4283E" w:rsidRDefault="007A7D2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10428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F7" w:rsidRPr="005B4361" w:rsidRDefault="00CB29B9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E02F7" w:rsidRPr="00833610" w:rsidRDefault="007A7D2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E02F7" w:rsidRDefault="00CB29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B29B9">
      <w:pPr>
        <w:spacing w:after="0" w:line="240" w:lineRule="auto"/>
      </w:pPr>
      <w:r>
        <w:separator/>
      </w:r>
    </w:p>
  </w:footnote>
  <w:footnote w:type="continuationSeparator" w:id="0">
    <w:p w:rsidR="00000000" w:rsidRDefault="00CB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E02F7" w:rsidRPr="00EB260B" w:rsidTr="00DA1440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E02F7" w:rsidRPr="00EB260B" w:rsidRDefault="007A7D2D" w:rsidP="00DA1440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E02F7" w:rsidRPr="00EB260B" w:rsidRDefault="007A7D2D" w:rsidP="00DA144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46BC0E9" wp14:editId="54D468E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E02F7" w:rsidRPr="00EB260B" w:rsidRDefault="007A7D2D" w:rsidP="00DA1440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129</w:t>
          </w:r>
        </w:p>
      </w:tc>
    </w:tr>
  </w:tbl>
  <w:p w:rsidR="00BE02F7" w:rsidRPr="00385E2C" w:rsidRDefault="00CB29B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F7" w:rsidRDefault="00CB29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2F7" w:rsidRDefault="00CB29B9" w:rsidP="0033011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466"/>
    <w:multiLevelType w:val="hybridMultilevel"/>
    <w:tmpl w:val="BAB40484"/>
    <w:lvl w:ilvl="0" w:tplc="B7FCBF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D044D"/>
    <w:multiLevelType w:val="hybridMultilevel"/>
    <w:tmpl w:val="52669828"/>
    <w:lvl w:ilvl="0" w:tplc="9AFAD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2D"/>
    <w:rsid w:val="007A7D2D"/>
    <w:rsid w:val="00C86A72"/>
    <w:rsid w:val="00C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2D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7A7D2D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7A7D2D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7A7D2D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uiPriority w:val="9"/>
    <w:semiHidden/>
    <w:rsid w:val="007A7D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Spacing">
    <w:name w:val="No Spacing"/>
    <w:link w:val="NoSpacingChar"/>
    <w:uiPriority w:val="1"/>
    <w:qFormat/>
    <w:rsid w:val="007A7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A7D2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7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D2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D2D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7A7D2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7A7D2D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7A7D2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A7D2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A7D2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A7D2D"/>
    <w:rPr>
      <w:sz w:val="14"/>
      <w:szCs w:val="24"/>
    </w:rPr>
  </w:style>
  <w:style w:type="character" w:customStyle="1" w:styleId="Heading2Char1">
    <w:name w:val="Heading 2 Char1"/>
    <w:link w:val="Heading2"/>
    <w:uiPriority w:val="1"/>
    <w:locked/>
    <w:rsid w:val="007A7D2D"/>
    <w:rPr>
      <w:rFonts w:ascii="Cambria" w:eastAsia="MS Mincho" w:hAnsi="Cambria" w:cs="Cambria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D2D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2D"/>
    <w:pPr>
      <w:ind w:firstLine="284"/>
      <w:jc w:val="both"/>
    </w:pPr>
    <w:rPr>
      <w:rFonts w:ascii="Calibri" w:eastAsia="Calibri" w:hAnsi="Calibri" w:cs="Times New Roman"/>
      <w:lang w:val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7A7D2D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7A7D2D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1"/>
    <w:rsid w:val="007A7D2D"/>
    <w:rPr>
      <w:rFonts w:ascii="Arial" w:eastAsia="MS Mincho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uiPriority w:val="9"/>
    <w:semiHidden/>
    <w:rsid w:val="007A7D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Spacing">
    <w:name w:val="No Spacing"/>
    <w:link w:val="NoSpacingChar"/>
    <w:uiPriority w:val="1"/>
    <w:qFormat/>
    <w:rsid w:val="007A7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A7D2D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7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D2D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D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D2D"/>
    <w:rPr>
      <w:rFonts w:ascii="Calibri" w:eastAsia="Calibri" w:hAnsi="Calibri" w:cs="Times New Roman"/>
      <w:lang w:val="en-US"/>
    </w:rPr>
  </w:style>
  <w:style w:type="paragraph" w:customStyle="1" w:styleId="Paragrafi">
    <w:name w:val="Paragrafi"/>
    <w:link w:val="ParagrafiChar"/>
    <w:rsid w:val="007A7D2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7A7D2D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7A7D2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A7D2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A7D2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A7D2D"/>
    <w:rPr>
      <w:sz w:val="14"/>
      <w:szCs w:val="24"/>
    </w:rPr>
  </w:style>
  <w:style w:type="character" w:customStyle="1" w:styleId="Heading2Char1">
    <w:name w:val="Heading 2 Char1"/>
    <w:link w:val="Heading2"/>
    <w:uiPriority w:val="1"/>
    <w:locked/>
    <w:rsid w:val="007A7D2D"/>
    <w:rPr>
      <w:rFonts w:ascii="Cambria" w:eastAsia="MS Mincho" w:hAnsi="Cambria" w:cs="Cambria"/>
      <w:b/>
      <w:bCs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D2D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2155</Words>
  <Characters>12287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2016-07-15T09:08:00Z</dcterms:created>
  <dcterms:modified xsi:type="dcterms:W3CDTF">2018-01-22T09:29:00Z</dcterms:modified>
</cp:coreProperties>
</file>