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16D" w:rsidRPr="00CD716D" w:rsidRDefault="00CD716D" w:rsidP="00CD716D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CD716D">
        <w:rPr>
          <w:rFonts w:ascii="Garamond" w:eastAsia="MS Mincho" w:hAnsi="Garamond" w:cs="CG Times"/>
          <w:b/>
          <w:sz w:val="24"/>
          <w:lang w:val="sq-AL"/>
        </w:rPr>
        <w:t>VENDIM</w:t>
      </w:r>
    </w:p>
    <w:p w:rsidR="00CD716D" w:rsidRPr="00CD716D" w:rsidRDefault="00CD716D" w:rsidP="00CD716D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CD716D">
        <w:rPr>
          <w:rFonts w:ascii="Garamond" w:eastAsia="MS Mincho" w:hAnsi="Garamond" w:cs="CG Times"/>
          <w:b/>
          <w:sz w:val="24"/>
          <w:lang w:val="sq-AL"/>
        </w:rPr>
        <w:t>Nr. 517, datë 13.7.2016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CD716D">
        <w:rPr>
          <w:rFonts w:ascii="Garamond" w:eastAsia="MS Mincho" w:hAnsi="Garamond" w:cs="CG Times"/>
          <w:b/>
          <w:sz w:val="24"/>
          <w:lang w:val="sq-AL"/>
        </w:rPr>
        <w:t>PËR MIRATIMIN E RAPORTIT TË MONITORIMIT TË NDIHMËS SHTETËRORE PËR VITIN 2015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Në mbështetje të nenit 100 të Kushtetutës dhe të neneve 17, shkronja “dh”, 18, shkronja “e”, e 32, pika 2, të ligjit nr. 9374, datë 21.4.2005, “Për ndihmën shtetërore”, të ndryshuar, me propozimin e ministrit të Zhvillimit Ekonomik, Turizmit, Tregtisë dhe Sipërmarrjes, Këshilli i Ministrave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VENDOSI: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Miratimin e raportit të monitorimit të ndihmës shtetërore për vitin 2015, sipas tekstit bashkëlidhur këtij vendimi.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Ky vendim hyn në fuqi pas botimit në Fletoren Zyrtare.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ZËVENDËSKRYEMINISTRI</w:t>
      </w:r>
    </w:p>
    <w:p w:rsidR="00CD716D" w:rsidRPr="00CD716D" w:rsidRDefault="00CD716D" w:rsidP="00CD716D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CD716D">
        <w:rPr>
          <w:rFonts w:ascii="Garamond" w:eastAsia="MS Mincho" w:hAnsi="Garamond" w:cs="CG Times"/>
          <w:b/>
          <w:sz w:val="24"/>
          <w:lang w:val="sq-AL"/>
        </w:rPr>
        <w:t>Niko Peleshi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szCs w:val="24"/>
          <w:lang w:val="sq-AL"/>
        </w:rPr>
      </w:pPr>
      <w:r w:rsidRPr="00CD716D">
        <w:rPr>
          <w:rFonts w:ascii="Garamond" w:eastAsia="MS Mincho" w:hAnsi="Garamond" w:cs="CG Times"/>
          <w:b/>
          <w:sz w:val="24"/>
          <w:szCs w:val="24"/>
          <w:lang w:val="sq-AL"/>
        </w:rPr>
        <w:t>RAPORTI I MONITORIMIT TË NDIHMËS SHTETËRORE</w:t>
      </w:r>
    </w:p>
    <w:p w:rsidR="00CD716D" w:rsidRPr="00CD716D" w:rsidRDefault="00CD716D" w:rsidP="00CD716D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szCs w:val="24"/>
          <w:lang w:val="sq-AL"/>
        </w:rPr>
      </w:pPr>
      <w:r w:rsidRPr="00CD716D">
        <w:rPr>
          <w:rFonts w:ascii="Garamond" w:eastAsia="MS Mincho" w:hAnsi="Garamond" w:cs="CG Times"/>
          <w:b/>
          <w:sz w:val="24"/>
          <w:szCs w:val="24"/>
          <w:lang w:val="sq-AL"/>
        </w:rPr>
        <w:t>PËR VITIN 2015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1. HYRJE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Raporti vjetor i monitorimit të ndihmës shtetërore për vitin 2015 përfshin të gjitha shpenzimet e ndihmës shtetërore në Republikën e Shqipërisë. Në zbatim të nenit 32, të ligjit nr. 9374, datë 21.4.2005 “Për ndihmën shtetërore”, i ndryshuar, dhënësit e ndihmës detyrohen që brenda datës 31 mars të çdo viti të paraqesin pranë Drejtorisë së Tregut të Brendshëm, në Ministrinë e Zhvillimit Ekonomik, Turizmit, Tregtisë dhe Sipërmarrjes, raportin e zbatimit për të gjitha skemat e ndihmës shtetërore dhe ndihmat individuale të dhëna gjatë vitit paraardhës financiar.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Mbi bazën e tyre përgatitet Raporti Vjetor i Ndihmave Shtetërore, i cili miratohet me Vendim të Këshillit të Ministrave. Të dhënat e përfshira në këtë raport janë raportuar nga dhënës të ndihmës shtetërore: Ministria e Financave (MF), Ministria e Zhvillimit Ekonomik, Turizmit, Tregtisë dhe Sipërmarrjes (MZHETTS), Ministria e Transportit dhe Infrastrukturës (Drejtoria e Përgjithshme e Ujësjellës-Kanalizimeve), Ministria e Kulturës, Ministria e Arsimit dhe Sportit, Ministria e Mirëqenies Sociale dhe Rinisë (Shërbimi Kombëtar i Punësimit), Agjencia Kombëtare e Burimeve Natyrore (AKBN) dhe Agjencia Shqiptare e Zhvillimit të Investimeve (AIDA).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Shpenzimet e ndihmës shtetërore lidhen me të gjitha masat ekzistuese të ndihmës për sektorin e prodhimit, shërbimeve, bujqësinë dhe peshkimin dhe skemat e reja të ndihmës shtetërore të miratuara nga Komisioni i Ndihmës Shtetërore gjatë vitit 2015. Në hartimin e Raportit të nëntëvjetor për ndihmat shtetërore, struktura e raportimit të ndihmës shtetërore është bazuar në aneksin III të rregullores “Për procedurat formën e njoftimit”</w:t>
      </w:r>
      <w:r w:rsidRPr="00CD716D">
        <w:rPr>
          <w:rFonts w:ascii="Garamond" w:eastAsia="MS Mincho" w:hAnsi="Garamond" w:cs="CG Times"/>
          <w:sz w:val="24"/>
          <w:vertAlign w:val="superscript"/>
          <w:lang w:val="sq-AL"/>
        </w:rPr>
        <w:footnoteReference w:id="1"/>
      </w:r>
      <w:r w:rsidRPr="00CD716D">
        <w:rPr>
          <w:rFonts w:ascii="Garamond" w:eastAsia="MS Mincho" w:hAnsi="Garamond" w:cs="CG Times"/>
          <w:sz w:val="24"/>
          <w:lang w:val="sq-AL"/>
        </w:rPr>
        <w:t>, si dhe në metodologjinë e Komisionit Evropian</w:t>
      </w:r>
      <w:r w:rsidRPr="00CD716D">
        <w:rPr>
          <w:rFonts w:ascii="Garamond" w:eastAsia="MS Mincho" w:hAnsi="Garamond" w:cs="CG Times"/>
          <w:sz w:val="24"/>
          <w:vertAlign w:val="superscript"/>
          <w:lang w:val="sq-AL"/>
        </w:rPr>
        <w:footnoteReference w:id="2"/>
      </w:r>
      <w:r w:rsidRPr="00CD716D">
        <w:rPr>
          <w:rFonts w:ascii="Garamond" w:eastAsia="MS Mincho" w:hAnsi="Garamond" w:cs="CG Times"/>
          <w:sz w:val="24"/>
          <w:lang w:val="sq-AL"/>
        </w:rPr>
        <w:t>. Në këtë mënyrë në raport jepet informacion për shumën e ndihmës shtetërore në BE dhe shtetet anëtare.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Në Marrëveshjen e Stabilizim-Asociimit me Bashkimin Evropian, neni 71, pika 5, parashi-kohet se vendi ynë duhet të garantojë transparencë në fushën e ndihmës shtetërore, duke paraqitur raportin vjetor dhe duke ndjekur metodologjinë e Komisionit Evropian për ndihmën shtetërore. Për këtë arsye, ligji nr. 9374, datë 21.4.2005, “Për ndihmën shtetërore”, i ndryshuar, ngarkon strukturat e ndihmës shtetërore</w:t>
      </w:r>
      <w:r w:rsidRPr="00CD716D">
        <w:rPr>
          <w:rFonts w:ascii="Garamond" w:eastAsia="MS Mincho" w:hAnsi="Garamond" w:cs="CG Times"/>
          <w:sz w:val="24"/>
          <w:vertAlign w:val="superscript"/>
          <w:lang w:val="sq-AL"/>
        </w:rPr>
        <w:footnoteReference w:id="3"/>
      </w:r>
      <w:r w:rsidRPr="00CD716D">
        <w:rPr>
          <w:rFonts w:ascii="Garamond" w:eastAsia="MS Mincho" w:hAnsi="Garamond" w:cs="CG Times"/>
          <w:sz w:val="24"/>
          <w:lang w:val="sq-AL"/>
        </w:rPr>
        <w:t xml:space="preserve"> për përgatitjen e këtij raporti, duke plotësuar një detyrim ligjor dhe duke shënuar një hap përpara në drejtim të angazhimeve, që ka ndërmarrë vendi ynë në fushën e ndihmës shtetërore në kuadër të procesit të integrimit në BE.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Sipas metodologjisë, ndihma shtetërore kla-sifikohet në dy grupe kryesore: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1. Ndihma shtetërore për bujqësinë dhe pe-shkimin; dhe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2. Ndihma shtetërore për industrinë dhe shër-bimet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Ndihma shtetërore për industrinë dhe shërbimet përfshin kategorinë e ndihmës horizo-ntale dhe ndihmës sektoriale.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Ndihma shtetërore horizontale përfshin: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- ndihmën për kërkim-zhvillim dhe ino-vacion;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- ndihmën për mbrojtjen e mjedisit;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- ndihmën për ndërmarrjet e vogla dhe të mesme;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- ndihmën për punësim;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- ndihmën për trajnim;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- ndihmën operacionale;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- ndihmën për sportin;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- ndihmën për kulturën.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Ndihma shtetërore sektoriale përfshin: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- ndihmën për transportin publik;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- ndihmën për shërbimet publike;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- ndihmën për minierat;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- ndihmën për energjinë;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Ndihma shtetërore jepet duke përdorur disa instrumente, si: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A1 - Subvencione dhe grante;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A2 - Përjashtimi nga taksat, shtyrja e taksave, ulja e normës së taksave dhe zbritje e kontributit në sigurimet sociale;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B -  Pjesëmarrja në kapital;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C1 - Hua të buta;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C2 - Instrumente të tjera;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 xml:space="preserve">D - Garancitë.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  <w:sectPr w:rsidR="00CD716D" w:rsidRPr="00CD716D" w:rsidSect="00D31118">
          <w:headerReference w:type="even" r:id="rId8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lastRenderedPageBreak/>
        <w:t>2. NDIHMA SHTETËRORE NË VITIN 2015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2.1 Ndihma shtetërore krahasuar me treguesit kryesorë makroekonomikë</w:t>
      </w:r>
    </w:p>
    <w:p w:rsidR="00D31118" w:rsidRDefault="00D31118" w:rsidP="00CD716D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  <w:sectPr w:rsidR="00D31118" w:rsidSect="00D31118">
          <w:headerReference w:type="default" r:id="rId9"/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sz w:val="24"/>
          <w:lang w:val="sq-AL"/>
        </w:rPr>
        <w:t>Tabela nr. 1. Ndihma shtetërore krahasuar me disa nga treguesit makro</w:t>
      </w:r>
    </w:p>
    <w:p w:rsidR="00CD716D" w:rsidRPr="00CD716D" w:rsidRDefault="00CD716D" w:rsidP="00CD716D">
      <w:pPr>
        <w:widowControl w:val="0"/>
        <w:ind w:firstLine="0"/>
        <w:rPr>
          <w:lang w:val="sq-AL"/>
        </w:rPr>
      </w:pPr>
      <w:r w:rsidRPr="00CD716D">
        <w:rPr>
          <w:rFonts w:eastAsia="Century Gothic"/>
          <w:noProof/>
        </w:rPr>
        <w:drawing>
          <wp:inline distT="0" distB="0" distL="0" distR="0" wp14:anchorId="3C189EA9" wp14:editId="178B87FF">
            <wp:extent cx="6113736" cy="2096814"/>
            <wp:effectExtent l="19050" t="0" r="1314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09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ind w:left="6197" w:right="-425"/>
        <w:jc w:val="center"/>
        <w:rPr>
          <w:rFonts w:ascii="Times New Roman" w:eastAsia="Century Gothic" w:hAnsi="Times New Roman"/>
          <w:i/>
          <w:sz w:val="18"/>
          <w:szCs w:val="25"/>
          <w:lang w:val="sq-AL" w:eastAsia="sq-AL"/>
        </w:rPr>
      </w:pPr>
      <w:r w:rsidRPr="00CD716D">
        <w:rPr>
          <w:rFonts w:ascii="Times New Roman" w:eastAsia="Century Gothic" w:hAnsi="Times New Roman"/>
          <w:i/>
          <w:sz w:val="18"/>
          <w:szCs w:val="25"/>
          <w:lang w:val="sq-AL" w:eastAsia="sq-AL"/>
        </w:rPr>
        <w:t>Burimi: MF, INSTAT dhe MZHETTS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Verdana"/>
          <w:sz w:val="1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Verdana"/>
          <w:sz w:val="24"/>
          <w:szCs w:val="24"/>
          <w:lang w:val="sq-AL" w:eastAsia="en-GB"/>
        </w:rPr>
      </w:pPr>
      <w:r w:rsidRPr="00CD716D">
        <w:rPr>
          <w:rFonts w:ascii="Garamond" w:hAnsi="Garamond" w:cs="Verdana"/>
          <w:sz w:val="24"/>
          <w:szCs w:val="24"/>
          <w:lang w:val="sq-AL" w:eastAsia="en-GB"/>
        </w:rPr>
        <w:t xml:space="preserve">Tabela nr. 1 paraqet të dhënat për ndihmën shtetërore gjithsej, të dhënë në Shqipëri në periudhën 2011–2015, të krahasuara me disa nga treguesit bazë makroekonomikë. Ndihma shtetërore në vlerë absolute e dhënë në vitin 2015 ka zbritur me 15 % e krahasuar me vitin 2014. Pesha e ndihmës shtetërore ndaj PBB-së zbriti nga 1.49 % në vitin 2013, në 0.44 % në vitin 2014 dhe në 0,42 në vitin 2015.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Verdana"/>
          <w:sz w:val="24"/>
          <w:szCs w:val="24"/>
          <w:lang w:val="sq-AL" w:eastAsia="en-GB"/>
        </w:rPr>
      </w:pPr>
      <w:r w:rsidRPr="00CD716D">
        <w:rPr>
          <w:rFonts w:ascii="Garamond" w:hAnsi="Garamond" w:cs="Verdana"/>
          <w:sz w:val="24"/>
          <w:szCs w:val="24"/>
          <w:lang w:val="sq-AL" w:eastAsia="en-GB"/>
        </w:rPr>
        <w:t xml:space="preserve">Ndihma shtetërore </w:t>
      </w:r>
      <w:r w:rsidRPr="00CD716D">
        <w:rPr>
          <w:rFonts w:ascii="Garamond" w:hAnsi="Garamond" w:cs="Verdana"/>
          <w:i/>
          <w:sz w:val="24"/>
          <w:szCs w:val="24"/>
          <w:lang w:val="sq-AL" w:eastAsia="en-GB"/>
        </w:rPr>
        <w:t>përfshirë</w:t>
      </w:r>
      <w:r w:rsidRPr="00CD716D">
        <w:rPr>
          <w:rFonts w:ascii="Garamond" w:hAnsi="Garamond" w:cs="Verdana"/>
          <w:sz w:val="24"/>
          <w:szCs w:val="24"/>
          <w:lang w:val="sq-AL" w:eastAsia="en-GB"/>
        </w:rPr>
        <w:t xml:space="preserve"> sektorin e bujqësisë dhe peshkimit në vitin 2015 është dhënë në vlerën totale prej 6.166.60 mln lekësh (44,92 mln euro).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 w:cs="Verdana"/>
          <w:sz w:val="24"/>
          <w:szCs w:val="24"/>
          <w:lang w:val="sq-AL" w:eastAsia="en-GB"/>
        </w:rPr>
      </w:pPr>
      <w:r w:rsidRPr="00CD716D">
        <w:rPr>
          <w:rFonts w:ascii="Garamond" w:hAnsi="Garamond" w:cs="Verdana"/>
          <w:sz w:val="24"/>
          <w:szCs w:val="24"/>
          <w:lang w:val="sq-AL" w:eastAsia="en-GB"/>
        </w:rPr>
        <w:t xml:space="preserve">Ndihma shtetërore </w:t>
      </w:r>
      <w:r w:rsidRPr="00CD716D">
        <w:rPr>
          <w:rFonts w:ascii="Garamond" w:hAnsi="Garamond" w:cs="Verdana"/>
          <w:i/>
          <w:sz w:val="24"/>
          <w:szCs w:val="24"/>
          <w:lang w:val="sq-AL" w:eastAsia="en-GB"/>
        </w:rPr>
        <w:t>përjashtuar</w:t>
      </w:r>
      <w:r w:rsidRPr="00CD716D">
        <w:rPr>
          <w:rFonts w:ascii="Garamond" w:hAnsi="Garamond" w:cs="Verdana"/>
          <w:sz w:val="24"/>
          <w:szCs w:val="24"/>
          <w:lang w:val="sq-AL" w:eastAsia="en-GB"/>
        </w:rPr>
        <w:t xml:space="preserve"> sektorin e bujqësisë dhe peshkimit në vitin 2015 është dhënë në vlerën totale prej 4.616,99  mln lekësh (33,63 mln euro).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Verdana"/>
          <w:sz w:val="24"/>
          <w:szCs w:val="24"/>
          <w:lang w:val="sq-AL" w:eastAsia="en-GB"/>
        </w:rPr>
      </w:pPr>
      <w:r w:rsidRPr="00CD716D">
        <w:rPr>
          <w:rFonts w:ascii="Garamond" w:hAnsi="Garamond" w:cs="Verdana"/>
          <w:sz w:val="24"/>
          <w:szCs w:val="24"/>
          <w:lang w:val="sq-AL" w:eastAsia="en-GB"/>
        </w:rPr>
        <w:lastRenderedPageBreak/>
        <w:t>Raporti vjetor përmban të dhëna për periudhën 2011–2015, por Grafiku nr. 1 paraqet ecurinë e ndihmës shtetërore në Shqipëri nga viti 2005 e në vazhdim, periudhë për të cilën janë raportuar të dhënat e ndihmës shtetërore.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Century Gothic" w:hAnsi="Garamond"/>
          <w:i/>
          <w:sz w:val="24"/>
          <w:szCs w:val="24"/>
          <w:lang w:val="sq-AL" w:eastAsia="sq-AL"/>
        </w:rPr>
      </w:pPr>
      <w:r w:rsidRPr="00CD716D">
        <w:rPr>
          <w:rFonts w:ascii="Garamond" w:eastAsia="Century Gothic" w:hAnsi="Garamond"/>
          <w:sz w:val="24"/>
          <w:szCs w:val="24"/>
          <w:lang w:val="sq-AL" w:eastAsia="sq-AL"/>
        </w:rPr>
        <w:t>Grafiku nr. 1.</w:t>
      </w:r>
      <w:r w:rsidRPr="00CD716D">
        <w:rPr>
          <w:rFonts w:ascii="Garamond" w:hAnsi="Garamond" w:cs="Arial"/>
          <w:bCs/>
          <w:color w:val="17365D"/>
          <w:sz w:val="24"/>
          <w:szCs w:val="24"/>
          <w:lang w:val="sq-AL"/>
        </w:rPr>
        <w:t xml:space="preserve"> </w:t>
      </w:r>
      <w:r w:rsidRPr="00CD716D">
        <w:rPr>
          <w:rFonts w:ascii="Garamond" w:eastAsia="Century Gothic" w:hAnsi="Garamond"/>
          <w:i/>
          <w:sz w:val="24"/>
          <w:szCs w:val="24"/>
          <w:lang w:val="sq-AL" w:eastAsia="sq-AL"/>
        </w:rPr>
        <w:t>Ecuria e ndihmës shtetërore në raport me PBB 2005–2015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CD716D">
        <w:rPr>
          <w:rFonts w:ascii="Garamond" w:eastAsia="MS Mincho" w:hAnsi="Garamond" w:cs="CG Times"/>
          <w:noProof/>
          <w:sz w:val="24"/>
        </w:rPr>
        <w:drawing>
          <wp:inline distT="0" distB="0" distL="0" distR="0" wp14:anchorId="5EED09DE" wp14:editId="46A06762">
            <wp:extent cx="5786899" cy="2268747"/>
            <wp:effectExtent l="19050" t="0" r="4301" b="0"/>
            <wp:docPr id="3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1"/>
                    <pic:cNvPicPr>
                      <a:picLocks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2265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  <w:bookmarkStart w:id="0" w:name="_Toc230426463"/>
      <w:bookmarkStart w:id="1" w:name="_Toc230486575"/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</w:p>
    <w:p w:rsidR="00EA2000" w:rsidRDefault="00EA2000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</w:p>
    <w:p w:rsidR="00EA2000" w:rsidRDefault="00EA2000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</w:p>
    <w:p w:rsidR="00EA2000" w:rsidRDefault="00EA2000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</w:p>
    <w:p w:rsidR="00EA2000" w:rsidRDefault="00EA2000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  <w:r w:rsidRPr="00CD716D">
        <w:rPr>
          <w:rFonts w:ascii="Garamond" w:eastAsia="MS Mincho" w:hAnsi="Garamond" w:cs="CG Times"/>
          <w:sz w:val="24"/>
          <w:szCs w:val="24"/>
          <w:lang w:val="sq-AL" w:eastAsia="sq-AL"/>
        </w:rPr>
        <w:t>2.2 Ndihma shtetërore në Shqipëri e krahasuar me shtetet anëtare të BE-s</w:t>
      </w:r>
      <w:r w:rsidRPr="00CD716D">
        <w:rPr>
          <w:rFonts w:ascii="Garamond" w:eastAsia="MS Mincho" w:hAnsi="Garamond" w:cs="Verdana"/>
          <w:sz w:val="24"/>
          <w:szCs w:val="24"/>
          <w:lang w:val="sq-AL" w:eastAsia="en-GB"/>
        </w:rPr>
        <w:t>ë</w:t>
      </w:r>
    </w:p>
    <w:bookmarkEnd w:id="0"/>
    <w:bookmarkEnd w:id="1"/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  <w:r w:rsidRPr="00CD716D">
        <w:rPr>
          <w:rFonts w:ascii="Garamond" w:eastAsia="MS Mincho" w:hAnsi="Garamond" w:cs="CG Times"/>
          <w:sz w:val="24"/>
          <w:szCs w:val="24"/>
          <w:lang w:val="sq-AL" w:eastAsia="sq-AL"/>
        </w:rPr>
        <w:t>Tabela nr. 2. Ndihma shtetërore 2013–2014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 w:eastAsia="sq-AL"/>
        </w:rPr>
      </w:pPr>
      <w:r w:rsidRPr="00CD716D">
        <w:rPr>
          <w:rFonts w:ascii="Garamond" w:eastAsia="MS Mincho" w:hAnsi="Garamond" w:cs="CG Times"/>
          <w:i/>
          <w:sz w:val="24"/>
          <w:szCs w:val="24"/>
          <w:lang w:val="sq-AL" w:eastAsia="sq-AL"/>
        </w:rPr>
        <w:t>Burimi: Komisioni Evropian, DG Competition</w:t>
      </w:r>
      <w:r w:rsidRPr="00CD716D">
        <w:rPr>
          <w:rFonts w:ascii="Garamond" w:eastAsia="Century Gothic" w:hAnsi="Garamond" w:cs="CG Times"/>
          <w:i/>
          <w:sz w:val="24"/>
          <w:szCs w:val="24"/>
          <w:vertAlign w:val="superscript"/>
          <w:lang w:val="sq-AL" w:eastAsia="sq-AL"/>
        </w:rPr>
        <w:footnoteReference w:id="4"/>
      </w:r>
      <w:r w:rsidRPr="00CD716D">
        <w:rPr>
          <w:rFonts w:ascii="Garamond" w:eastAsia="MS Mincho" w:hAnsi="Garamond" w:cs="CG Times"/>
          <w:i/>
          <w:sz w:val="24"/>
          <w:szCs w:val="24"/>
          <w:lang w:val="sq-AL" w:eastAsia="sq-AL"/>
        </w:rPr>
        <w:t xml:space="preserve"> dhe MZHETTS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entury Gothic" w:hAnsi="Times New Roman"/>
          <w:b/>
          <w:i/>
          <w:sz w:val="24"/>
          <w:szCs w:val="25"/>
          <w:lang w:val="sq-AL" w:eastAsia="sq-AL"/>
        </w:rPr>
      </w:pPr>
      <w:r w:rsidRPr="00CD716D">
        <w:rPr>
          <w:rFonts w:eastAsia="Century Gothic"/>
          <w:noProof/>
        </w:rPr>
        <w:lastRenderedPageBreak/>
        <w:drawing>
          <wp:inline distT="0" distB="0" distL="0" distR="0" wp14:anchorId="12AAFD5C" wp14:editId="44C67555">
            <wp:extent cx="3876040" cy="617537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040" cy="617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entury Gothic" w:hAnsi="Arial" w:cs="Arial"/>
          <w:sz w:val="8"/>
          <w:szCs w:val="24"/>
          <w:lang w:val="sq-AL" w:eastAsia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 w:cs="Verdana"/>
          <w:sz w:val="24"/>
          <w:szCs w:val="24"/>
          <w:lang w:val="sq-AL" w:eastAsia="en-GB"/>
        </w:rPr>
        <w:t xml:space="preserve">Tabela nr. 2 paraqet informacion për ndihmën </w:t>
      </w:r>
      <w:r w:rsidRPr="00CD716D">
        <w:rPr>
          <w:rFonts w:ascii="Garamond" w:hAnsi="Garamond"/>
          <w:sz w:val="24"/>
          <w:szCs w:val="24"/>
          <w:lang w:val="sq-AL" w:eastAsia="en-GB"/>
        </w:rPr>
        <w:t>shtetërore në Shqipëri dhe 28 shtetet anëtare të Bashkimit Evropian për vitin 2013 dhe 2014. Në tabelë janë përfshirë të dhënat e publikuara nga Komisioni Evropian</w:t>
      </w:r>
      <w:r w:rsidRPr="00CD716D">
        <w:rPr>
          <w:rFonts w:ascii="Garamond" w:hAnsi="Garamond"/>
          <w:sz w:val="24"/>
          <w:szCs w:val="24"/>
          <w:vertAlign w:val="superscript"/>
          <w:lang w:val="sq-AL" w:eastAsia="en-GB"/>
        </w:rPr>
        <w:footnoteReference w:id="5"/>
      </w:r>
      <w:r w:rsidRPr="00CD716D">
        <w:rPr>
          <w:rFonts w:ascii="Garamond" w:hAnsi="Garamond"/>
          <w:sz w:val="24"/>
          <w:szCs w:val="24"/>
          <w:lang w:val="sq-AL" w:eastAsia="en-GB"/>
        </w:rPr>
        <w:t xml:space="preserve"> në vitin 2014. Në të përfshihen shpenzimet që çdo shtet anëtar ka kryer, e orientuar kryesisht për realizimin e objektivave horizontale me interes të përbashkët, ndihmën e dhënë për sektorët të ndryshëm të ekonomisë. Të dhënat përfshijnë ndihmën shtetërore përjashtuar ndihmën që kanë dhënë shtetet anëtare për përballimin e krizës ekonomike, bujqësinë dhe peshkimin.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 xml:space="preserve">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Century Gothic" w:hAnsi="Garamond" w:cs="Arial"/>
          <w:b/>
          <w:bCs/>
          <w:iCs/>
          <w:sz w:val="24"/>
          <w:szCs w:val="24"/>
          <w:lang w:val="sq-AL" w:eastAsia="sq-AL"/>
        </w:rPr>
      </w:pPr>
      <w:r w:rsidRPr="00CD716D">
        <w:rPr>
          <w:rFonts w:ascii="Garamond" w:eastAsia="Century Gothic" w:hAnsi="Garamond" w:cs="Arial"/>
          <w:b/>
          <w:bCs/>
          <w:iCs/>
          <w:sz w:val="24"/>
          <w:szCs w:val="24"/>
          <w:lang w:val="sq-AL" w:eastAsia="sq-AL"/>
        </w:rPr>
        <w:t>2.3 Kategoritë e ndihmës shtetërore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 xml:space="preserve">Sipas metodologjisë së Bashkimit Evropian, ndihma shtetërore ndahet në dy kategori: </w:t>
      </w:r>
    </w:p>
    <w:p w:rsidR="00CD716D" w:rsidRPr="00CD716D" w:rsidRDefault="00CD716D" w:rsidP="00CD716D">
      <w:pPr>
        <w:widowControl w:val="0"/>
        <w:numPr>
          <w:ilvl w:val="0"/>
          <w:numId w:val="1"/>
        </w:numPr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 xml:space="preserve"> Ndihmë shtetërore horizontale; dhe</w:t>
      </w:r>
    </w:p>
    <w:p w:rsidR="00CD716D" w:rsidRPr="00CD716D" w:rsidRDefault="00CD716D" w:rsidP="00CD716D">
      <w:pPr>
        <w:widowControl w:val="0"/>
        <w:numPr>
          <w:ilvl w:val="0"/>
          <w:numId w:val="1"/>
        </w:numPr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 xml:space="preserve"> Ndihmë shtetërore sektoriale.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b/>
          <w:sz w:val="24"/>
          <w:szCs w:val="24"/>
          <w:lang w:val="sq-AL" w:eastAsia="en-GB"/>
        </w:rPr>
        <w:t>Ndihma shtetërore horizontale</w:t>
      </w:r>
      <w:r w:rsidRPr="00CD716D">
        <w:rPr>
          <w:rFonts w:ascii="Garamond" w:hAnsi="Garamond"/>
          <w:sz w:val="24"/>
          <w:szCs w:val="24"/>
          <w:lang w:val="sq-AL" w:eastAsia="en-GB"/>
        </w:rPr>
        <w:t xml:space="preserve"> jepet për një numër të madh përfituesish, pa dhënë preferenca për ndonjë aktivitet ekonomike ndërmarrje ekonomike, produkt apo shërbim, duke minimizuar efektet në konkurrencë.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b/>
          <w:sz w:val="24"/>
          <w:szCs w:val="24"/>
          <w:lang w:val="sq-AL" w:eastAsia="en-GB"/>
        </w:rPr>
        <w:t>Ndihma shtetërore sektoriale</w:t>
      </w:r>
      <w:r w:rsidRPr="00CD716D">
        <w:rPr>
          <w:rFonts w:ascii="Garamond" w:hAnsi="Garamond"/>
          <w:sz w:val="24"/>
          <w:szCs w:val="24"/>
          <w:lang w:val="sq-AL" w:eastAsia="en-GB"/>
        </w:rPr>
        <w:t xml:space="preserve"> jepet për aktivitete dhe sektorë të veçantë, duke pasur një ndikim </w:t>
      </w:r>
      <w:r w:rsidRPr="00CD716D">
        <w:rPr>
          <w:rFonts w:ascii="Garamond" w:hAnsi="Garamond"/>
          <w:sz w:val="24"/>
          <w:szCs w:val="24"/>
          <w:lang w:val="sq-AL" w:eastAsia="en-GB"/>
        </w:rPr>
        <w:lastRenderedPageBreak/>
        <w:t>më të madh në konkurrencën në treg.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>Tabela nr. 3. Ndihma shtetërore gjithsej 2011–2015 ndarë sipas kategorive (</w:t>
      </w:r>
      <w:r w:rsidRPr="00CD716D">
        <w:rPr>
          <w:rFonts w:ascii="Garamond" w:hAnsi="Garamond"/>
          <w:i/>
          <w:sz w:val="24"/>
          <w:szCs w:val="24"/>
          <w:lang w:val="sq-AL" w:eastAsia="en-GB"/>
        </w:rPr>
        <w:t>përfshirë bujqësinë dhe peshkimin-vlerat në mln lekë</w:t>
      </w:r>
      <w:r w:rsidRPr="00CD716D">
        <w:rPr>
          <w:rFonts w:ascii="Garamond" w:hAnsi="Garamond"/>
          <w:sz w:val="24"/>
          <w:szCs w:val="24"/>
          <w:lang w:val="sq-AL" w:eastAsia="en-GB"/>
        </w:rPr>
        <w:t>)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Century Gothic" w:hAnsi="Garamond"/>
          <w:i/>
          <w:sz w:val="24"/>
          <w:szCs w:val="24"/>
          <w:lang w:val="sq-AL" w:eastAsia="sq-AL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CD716D">
        <w:rPr>
          <w:rFonts w:ascii="Garamond" w:eastAsia="Century Gothic" w:hAnsi="Garamond"/>
          <w:i/>
          <w:sz w:val="24"/>
          <w:szCs w:val="24"/>
          <w:lang w:val="sq-AL" w:eastAsia="sq-AL"/>
        </w:rPr>
        <w:t>Burimi: Drejtoria e Tregut të Brendshëm, MZHETTS</w:t>
      </w:r>
      <w:r w:rsidRPr="00CD716D">
        <w:rPr>
          <w:rFonts w:ascii="Garamond" w:hAnsi="Garamond"/>
          <w:sz w:val="24"/>
          <w:szCs w:val="24"/>
          <w:lang w:val="sq-AL"/>
        </w:rPr>
        <w:t xml:space="preserve"> </w:t>
      </w:r>
    </w:p>
    <w:p w:rsidR="00CD716D" w:rsidRPr="00CD716D" w:rsidRDefault="00CD716D" w:rsidP="00CD716D">
      <w:pPr>
        <w:widowControl w:val="0"/>
        <w:ind w:left="-709"/>
        <w:rPr>
          <w:lang w:val="sq-AL"/>
        </w:rPr>
      </w:pPr>
      <w:r w:rsidRPr="00CD716D">
        <w:rPr>
          <w:noProof/>
          <w:sz w:val="28"/>
        </w:rPr>
        <w:drawing>
          <wp:inline distT="0" distB="0" distL="0" distR="0" wp14:anchorId="0C901F97" wp14:editId="101891F1">
            <wp:extent cx="6830695" cy="4142105"/>
            <wp:effectExtent l="1905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69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spacing w:line="240" w:lineRule="auto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spacing w:line="240" w:lineRule="auto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spacing w:line="240" w:lineRule="auto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spacing w:line="240" w:lineRule="auto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spacing w:line="240" w:lineRule="auto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spacing w:line="240" w:lineRule="auto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spacing w:line="240" w:lineRule="auto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spacing w:line="240" w:lineRule="auto"/>
        <w:rPr>
          <w:rFonts w:ascii="Garamond" w:hAnsi="Garamond"/>
          <w:b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>Grafiku nr. 2.</w:t>
      </w:r>
      <w:r w:rsidRPr="00CD716D">
        <w:rPr>
          <w:rFonts w:ascii="Garamond" w:hAnsi="Garamond"/>
          <w:b/>
          <w:sz w:val="24"/>
          <w:szCs w:val="24"/>
          <w:lang w:val="sq-AL" w:eastAsia="en-GB"/>
        </w:rPr>
        <w:t xml:space="preserve"> </w:t>
      </w:r>
      <w:r w:rsidRPr="00CD716D">
        <w:rPr>
          <w:rFonts w:ascii="Garamond" w:hAnsi="Garamond"/>
          <w:sz w:val="24"/>
          <w:szCs w:val="24"/>
          <w:lang w:val="sq-AL" w:eastAsia="en-GB"/>
        </w:rPr>
        <w:t>Ndihma shtetërore sipas kategorive</w:t>
      </w:r>
    </w:p>
    <w:p w:rsidR="00CD716D" w:rsidRPr="00CD716D" w:rsidRDefault="00CD716D" w:rsidP="00CD716D">
      <w:pPr>
        <w:widowControl w:val="0"/>
        <w:tabs>
          <w:tab w:val="left" w:pos="5954"/>
          <w:tab w:val="left" w:pos="625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entury Gothic" w:hAnsi="Arial" w:cs="Arial"/>
          <w:b/>
          <w:bCs/>
          <w:sz w:val="24"/>
          <w:szCs w:val="24"/>
          <w:lang w:val="sq-AL" w:eastAsia="sq-AL"/>
        </w:rPr>
      </w:pPr>
      <w:r w:rsidRPr="00CD716D">
        <w:rPr>
          <w:rFonts w:ascii="Arial" w:eastAsia="Century Gothic" w:hAnsi="Arial" w:cs="Arial"/>
          <w:b/>
          <w:bCs/>
          <w:noProof/>
          <w:sz w:val="24"/>
          <w:szCs w:val="24"/>
        </w:rPr>
        <w:drawing>
          <wp:inline distT="0" distB="0" distL="0" distR="0" wp14:anchorId="19A372DD" wp14:editId="2E7A577C">
            <wp:extent cx="5311698" cy="1835624"/>
            <wp:effectExtent l="19050" t="0" r="3252" b="0"/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18349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tabs>
          <w:tab w:val="left" w:pos="5954"/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2"/>
          <w:szCs w:val="25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5954"/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5954"/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 xml:space="preserve">Të dhënat në tabelën 3 dhe të paraqitura në grafikun 2, tregojnë se në vitin 2015 ndihma horizontale vazhdon të zë pjesën më të madhe të ndihmës shtetërore gjithsej me 60%, ndërsa kategoria e ndihmave sektoriale përbën 15.18%.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Century Gothic" w:hAnsi="Garamond" w:cs="Arial"/>
          <w:sz w:val="24"/>
          <w:szCs w:val="24"/>
          <w:lang w:val="sq-AL" w:eastAsia="sq-AL"/>
        </w:rPr>
      </w:pPr>
      <w:r w:rsidRPr="00CD716D">
        <w:rPr>
          <w:rFonts w:ascii="Garamond" w:eastAsia="Century Gothic" w:hAnsi="Garamond" w:cs="Arial"/>
          <w:b/>
          <w:bCs/>
          <w:sz w:val="24"/>
          <w:szCs w:val="24"/>
          <w:lang w:val="sq-AL" w:eastAsia="sq-AL"/>
        </w:rPr>
        <w:t xml:space="preserve">2.3.1 Ndihma shtetërore horizontale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>Në vitin 2015 ndihma shtetërore horizontale në vlerë absolute është 3.681,09 mln lekë (26.81 mln euro) dhe e krahasuar me vitin 2014 ka zbritur me 12,71 %. Pesha për këtë kategori në totalin e ndihmës në vitin 2015 ka zbritur me 40 % krahasuar me vitin 2014.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1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>Tabela nr. 4. Ndihma shtetërore horizontale 2013–2015 (mln lekë/mln euro)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CD716D">
        <w:rPr>
          <w:rFonts w:ascii="Garamond" w:eastAsia="Century Gothic" w:hAnsi="Garamond"/>
          <w:i/>
          <w:sz w:val="24"/>
          <w:szCs w:val="24"/>
          <w:lang w:val="sq-AL" w:eastAsia="sq-AL"/>
        </w:rPr>
        <w:t>Burimi: Drejtoria e Tregut të Brendshëm, MZHETTS</w:t>
      </w:r>
      <w:r w:rsidRPr="00CD716D">
        <w:rPr>
          <w:rFonts w:ascii="Garamond" w:hAnsi="Garamond"/>
          <w:sz w:val="24"/>
          <w:szCs w:val="24"/>
          <w:lang w:val="sq-AL"/>
        </w:rPr>
        <w:t xml:space="preserve"> </w:t>
      </w:r>
    </w:p>
    <w:p w:rsidR="00CD716D" w:rsidRPr="00CD716D" w:rsidRDefault="00CD716D" w:rsidP="00CD716D">
      <w:pPr>
        <w:widowControl w:val="0"/>
        <w:spacing w:after="0"/>
        <w:ind w:left="-450"/>
        <w:rPr>
          <w:sz w:val="20"/>
          <w:lang w:val="sq-AL"/>
        </w:rPr>
      </w:pPr>
      <w:r w:rsidRPr="00CD716D">
        <w:rPr>
          <w:noProof/>
        </w:rPr>
        <w:drawing>
          <wp:inline distT="0" distB="0" distL="0" distR="0" wp14:anchorId="267B09AA" wp14:editId="592E7B86">
            <wp:extent cx="6577965" cy="236093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965" cy="236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spacing w:after="0"/>
        <w:rPr>
          <w:rFonts w:ascii="Garamond" w:hAnsi="Garamond"/>
          <w:sz w:val="14"/>
          <w:szCs w:val="24"/>
          <w:lang w:val="sq-AL"/>
        </w:rPr>
      </w:pPr>
    </w:p>
    <w:p w:rsidR="00CD716D" w:rsidRPr="00CD716D" w:rsidRDefault="00CD716D" w:rsidP="00CD716D">
      <w:pPr>
        <w:widowControl w:val="0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rPr>
          <w:rFonts w:ascii="Garamond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rPr>
          <w:rFonts w:ascii="Garamond" w:hAnsi="Garamond"/>
          <w:sz w:val="24"/>
          <w:szCs w:val="24"/>
          <w:lang w:val="sq-AL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>Grafiku nr. 4. Ecuria e ndihmës shtetërore horizontale (mln euro)</w:t>
      </w:r>
      <w:r w:rsidRPr="00CD716D">
        <w:rPr>
          <w:rFonts w:ascii="Garamond" w:hAnsi="Garamond"/>
          <w:sz w:val="24"/>
          <w:szCs w:val="24"/>
          <w:lang w:val="sq-AL"/>
        </w:rPr>
        <w:t xml:space="preserve"> </w:t>
      </w:r>
    </w:p>
    <w:p w:rsidR="00CD716D" w:rsidRPr="00CD716D" w:rsidRDefault="00CD716D" w:rsidP="00CD716D">
      <w:pPr>
        <w:widowControl w:val="0"/>
        <w:ind w:left="-450" w:right="-450"/>
        <w:jc w:val="center"/>
        <w:rPr>
          <w:rFonts w:ascii="Times New Roman" w:hAnsi="Times New Roman"/>
          <w:sz w:val="25"/>
          <w:szCs w:val="25"/>
          <w:lang w:val="sq-AL" w:eastAsia="en-GB"/>
        </w:rPr>
      </w:pPr>
      <w:r w:rsidRPr="00CD716D">
        <w:rPr>
          <w:rFonts w:ascii="Times New Roman" w:hAnsi="Times New Roman"/>
          <w:noProof/>
          <w:sz w:val="25"/>
          <w:szCs w:val="25"/>
        </w:rPr>
        <w:drawing>
          <wp:inline distT="0" distB="0" distL="0" distR="0" wp14:anchorId="6745A96E" wp14:editId="7681D46C">
            <wp:extent cx="6003925" cy="2360295"/>
            <wp:effectExtent l="19050" t="0" r="0" b="0"/>
            <wp:docPr id="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25" cy="2360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 w:eastAsia="en-GB"/>
        </w:rPr>
      </w:pPr>
      <w:r w:rsidRPr="00CD716D">
        <w:rPr>
          <w:rFonts w:ascii="Garamond" w:eastAsia="MS Mincho" w:hAnsi="Garamond" w:cs="CG Times"/>
          <w:sz w:val="25"/>
          <w:lang w:val="sq-AL" w:eastAsia="en-GB"/>
        </w:rPr>
        <w:t>Grafikët nr. 5 dhe 6.</w:t>
      </w:r>
      <w:r w:rsidRPr="00CD716D">
        <w:rPr>
          <w:rFonts w:ascii="Garamond" w:eastAsia="MS Mincho" w:hAnsi="Garamond" w:cs="CG Times"/>
          <w:b/>
          <w:sz w:val="25"/>
          <w:lang w:val="sq-AL" w:eastAsia="en-GB"/>
        </w:rPr>
        <w:t xml:space="preserve"> </w:t>
      </w:r>
      <w:r w:rsidRPr="00CD716D">
        <w:rPr>
          <w:rFonts w:ascii="Garamond" w:eastAsia="MS Mincho" w:hAnsi="Garamond" w:cs="CG Times"/>
          <w:sz w:val="24"/>
          <w:lang w:val="sq-AL" w:eastAsia="en-GB"/>
        </w:rPr>
        <w:t>Struktura e ndihmës shtetërore horizontale në vitet 2013</w:t>
      </w:r>
      <w:r w:rsidRPr="00CD716D">
        <w:rPr>
          <w:rFonts w:ascii="Garamond" w:eastAsia="MS Mincho" w:hAnsi="Garamond" w:cs="CG Times"/>
          <w:sz w:val="24"/>
          <w:szCs w:val="24"/>
          <w:lang w:val="sq-AL" w:eastAsia="en-GB"/>
        </w:rPr>
        <w:t>–</w:t>
      </w:r>
      <w:r w:rsidRPr="00CD716D">
        <w:rPr>
          <w:rFonts w:ascii="Garamond" w:eastAsia="MS Mincho" w:hAnsi="Garamond" w:cs="CG Times"/>
          <w:sz w:val="24"/>
          <w:lang w:val="sq-AL" w:eastAsia="en-GB"/>
        </w:rPr>
        <w:t>2015</w:t>
      </w:r>
    </w:p>
    <w:p w:rsidR="00CD716D" w:rsidRPr="00CD716D" w:rsidRDefault="00CD716D" w:rsidP="00CD716D">
      <w:pPr>
        <w:widowControl w:val="0"/>
        <w:tabs>
          <w:tab w:val="left" w:pos="1395"/>
        </w:tabs>
        <w:jc w:val="center"/>
        <w:rPr>
          <w:rFonts w:ascii="Times New Roman" w:hAnsi="Times New Roman"/>
          <w:sz w:val="25"/>
          <w:szCs w:val="25"/>
          <w:lang w:val="sq-AL" w:eastAsia="en-GB"/>
        </w:rPr>
      </w:pPr>
      <w:r w:rsidRPr="00CD716D">
        <w:rPr>
          <w:rFonts w:ascii="Times New Roman" w:hAnsi="Times New Roman"/>
          <w:noProof/>
          <w:sz w:val="25"/>
          <w:szCs w:val="25"/>
        </w:rPr>
        <w:lastRenderedPageBreak/>
        <w:drawing>
          <wp:inline distT="0" distB="0" distL="0" distR="0" wp14:anchorId="6DBF2FEA" wp14:editId="5A9E0770">
            <wp:extent cx="4578350" cy="2073910"/>
            <wp:effectExtent l="19050" t="0" r="0" b="0"/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073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tabs>
          <w:tab w:val="left" w:pos="1395"/>
        </w:tabs>
        <w:jc w:val="center"/>
        <w:rPr>
          <w:rFonts w:ascii="Times New Roman" w:hAnsi="Times New Roman"/>
          <w:sz w:val="25"/>
          <w:szCs w:val="25"/>
          <w:lang w:val="sq-AL" w:eastAsia="en-GB"/>
        </w:rPr>
      </w:pPr>
      <w:r w:rsidRPr="00CD716D">
        <w:rPr>
          <w:rFonts w:ascii="Times New Roman" w:hAnsi="Times New Roman"/>
          <w:noProof/>
          <w:sz w:val="25"/>
          <w:szCs w:val="25"/>
        </w:rPr>
        <w:drawing>
          <wp:inline distT="0" distB="0" distL="0" distR="0" wp14:anchorId="7B902F06" wp14:editId="6568E320">
            <wp:extent cx="4629785" cy="2773680"/>
            <wp:effectExtent l="19050" t="0" r="0" b="0"/>
            <wp:docPr id="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785" cy="277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  <w:sectPr w:rsidR="00CD716D" w:rsidRPr="00CD716D" w:rsidSect="00FE5FB4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EA2000" w:rsidRDefault="00EA2000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  <w:sectPr w:rsidR="00EA2000" w:rsidSect="00FE5FB4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CD716D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Nga grafikët e mësipërm vërehet se </w:t>
      </w:r>
      <w:r w:rsidRPr="00CD716D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ndihma horizontale </w:t>
      </w:r>
      <w:r w:rsidRPr="00CD716D">
        <w:rPr>
          <w:rFonts w:ascii="Garamond" w:hAnsi="Garamond"/>
          <w:spacing w:val="-4"/>
          <w:sz w:val="24"/>
          <w:szCs w:val="24"/>
          <w:lang w:val="sq-AL"/>
        </w:rPr>
        <w:t xml:space="preserve">gjatë vitit 2015 ka pësuar </w:t>
      </w:r>
      <w:r w:rsidRPr="00CD716D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rënie </w:t>
      </w:r>
      <w:r w:rsidRPr="00CD716D">
        <w:rPr>
          <w:rFonts w:ascii="Garamond" w:hAnsi="Garamond"/>
          <w:spacing w:val="-4"/>
          <w:sz w:val="24"/>
          <w:szCs w:val="24"/>
          <w:lang w:val="sq-AL"/>
        </w:rPr>
        <w:t>krahasuar me vitet e mëparshme</w:t>
      </w:r>
      <w:r w:rsidRPr="00CD716D">
        <w:rPr>
          <w:rFonts w:ascii="Garamond" w:hAnsi="Garamond"/>
          <w:color w:val="000000"/>
          <w:spacing w:val="-4"/>
          <w:sz w:val="24"/>
          <w:szCs w:val="24"/>
          <w:lang w:val="sq-AL"/>
        </w:rPr>
        <w:t>.</w:t>
      </w:r>
      <w:r w:rsidRPr="00CD716D">
        <w:rPr>
          <w:rFonts w:ascii="Garamond" w:hAnsi="Garamond"/>
          <w:spacing w:val="-4"/>
          <w:sz w:val="24"/>
          <w:szCs w:val="24"/>
          <w:lang w:val="sq-AL"/>
        </w:rPr>
        <w:t xml:space="preserve"> Nga 4.217,05 mln lekë në fund të vitit 2014, ka zbritur në </w:t>
      </w:r>
      <w:r w:rsidRPr="00CD716D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3.681,09 mln në </w:t>
      </w:r>
      <w:r w:rsidRPr="00CD716D">
        <w:rPr>
          <w:rFonts w:ascii="Garamond" w:hAnsi="Garamond"/>
          <w:spacing w:val="-4"/>
          <w:sz w:val="24"/>
          <w:szCs w:val="24"/>
          <w:lang w:val="sq-AL"/>
        </w:rPr>
        <w:t xml:space="preserve">vitin 2014. Rënia i atribuohet zvogëlimit të ndihmës për kërkim dhe zhvillim. Gjithsesi, vlen të theksohet që brenda kategorisë së ndihmës horizontale është rritur ndjeshëm ndihma për SME-të, ndihma për punësim dhe ndihma për trajnim, dukë përmirësuar më tej strukturën ndihmës horizontale dhe arritjen e qëllimit për të cilin jepet ndihma shtetërore.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CD716D">
        <w:rPr>
          <w:rFonts w:ascii="Garamond" w:hAnsi="Garamond"/>
          <w:i/>
          <w:spacing w:val="-4"/>
          <w:sz w:val="24"/>
          <w:szCs w:val="24"/>
          <w:lang w:val="sq-AL" w:eastAsia="en-GB"/>
        </w:rPr>
        <w:t>Ndihma për kërkim dhe zhvillim:</w:t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 Për vitin 2015, nga Agjencia Kombëtare e Burimeve Natyrore (AKBN), është raportuar se asnjë subjekt që kryen operacione hidrokarbure në Shqipëri nuk kanë përfituar përjashtime në import (TVSH-ja dhe përjashtime doganore), përjashtime në akcizë dhe përjashtimi nga TVSH-ja për shërbimet. Kjo lloj ndihme, në vitet paraardhëse, zinte pjesën më të rëndësishme në kategorinë e ndihmës horizontale.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CD716D">
        <w:rPr>
          <w:rFonts w:ascii="Garamond" w:hAnsi="Garamond"/>
          <w:i/>
          <w:spacing w:val="-4"/>
          <w:sz w:val="24"/>
          <w:szCs w:val="24"/>
          <w:lang w:val="sq-AL" w:eastAsia="en-GB"/>
        </w:rPr>
        <w:t>Ndihma operacionale</w:t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: Kjo kategori përfshin skemën e rimbursimit të akcizës së lëndëve djegëse të konsumuar në serat me ngrohje dhe industri</w:t>
      </w:r>
      <w:r w:rsidRPr="00CD716D">
        <w:rPr>
          <w:rFonts w:ascii="Garamond" w:hAnsi="Garamond"/>
          <w:spacing w:val="-4"/>
          <w:sz w:val="24"/>
          <w:szCs w:val="24"/>
          <w:vertAlign w:val="superscript"/>
          <w:lang w:val="sq-AL" w:eastAsia="en-GB"/>
        </w:rPr>
        <w:footnoteReference w:id="6"/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. Për vitin 2015, Ministria e Financave për këtë kategori raporton se shuma e ndihmës ka arritur në vlerën e 1.130 milionë lekë</w:t>
      </w:r>
      <w:r w:rsidRPr="00CD716D">
        <w:rPr>
          <w:rFonts w:ascii="Garamond" w:hAnsi="Garamond"/>
          <w:spacing w:val="-4"/>
          <w:sz w:val="24"/>
          <w:szCs w:val="24"/>
          <w:vertAlign w:val="superscript"/>
          <w:lang w:val="sq-AL" w:eastAsia="en-GB"/>
        </w:rPr>
        <w:footnoteReference w:id="7"/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.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Me hyrjen në fuqi të ligjit nr. 92/2014, “Për tatimin mbi vlerën e shtruar në Republikën e Shqipërisë, dispozitat në zbatim të ligjit nr. 7928, datë 27.4.1995, “Për tatimin mbi vlerën e shtuar në Republikën e Shqipërisë””, ku bazohej skema e shtyrjes së pagesës së TVSH-së, për importin e makinerive dhe pajisjeve</w:t>
      </w:r>
      <w:r w:rsidRPr="00CD716D">
        <w:rPr>
          <w:rFonts w:ascii="Garamond" w:hAnsi="Garamond"/>
          <w:spacing w:val="-4"/>
          <w:sz w:val="24"/>
          <w:szCs w:val="24"/>
          <w:vertAlign w:val="superscript"/>
          <w:lang w:val="sq-AL" w:eastAsia="en-GB"/>
        </w:rPr>
        <w:footnoteReference w:id="8"/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, </w:t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lastRenderedPageBreak/>
        <w:t>janë shfuqizuar.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CD716D">
        <w:rPr>
          <w:rFonts w:ascii="Garamond" w:hAnsi="Garamond"/>
          <w:i/>
          <w:spacing w:val="-4"/>
          <w:sz w:val="24"/>
          <w:szCs w:val="24"/>
          <w:lang w:val="sq-AL" w:eastAsia="en-GB"/>
        </w:rPr>
        <w:t>Ndihma për trajnim</w:t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: Mbështetur në raportimin e Shërbimit Kombëtar të Punësimit (SHKP) ndihma për trajnim në vitin 2015 është rritur në krahasim me vitin 2014. Nga programi i nxitjes së punësimit të punëkërkuesve të papunë nëpërmjet formimit në punë</w:t>
      </w:r>
      <w:r w:rsidRPr="00CD716D">
        <w:rPr>
          <w:rFonts w:ascii="Garamond" w:hAnsi="Garamond"/>
          <w:spacing w:val="-4"/>
          <w:sz w:val="24"/>
          <w:szCs w:val="24"/>
          <w:vertAlign w:val="superscript"/>
          <w:lang w:val="sq-AL" w:eastAsia="en-GB"/>
        </w:rPr>
        <w:footnoteReference w:id="9"/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, kanë përfituar 69 ndërmarrje të vogla dhe të mesme (në vitin 2014 ishin 51 ndërmarrje përfituese), në sektorin e konfeksioneve/prodhim këpucësh, duke u krijuar gjithsej 1299 (në vitin 2014 u krijuan 1071 vende të reja të punës).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CD716D">
        <w:rPr>
          <w:rFonts w:ascii="Garamond" w:hAnsi="Garamond"/>
          <w:i/>
          <w:spacing w:val="-4"/>
          <w:sz w:val="24"/>
          <w:szCs w:val="24"/>
          <w:lang w:val="sq-AL" w:eastAsia="en-GB"/>
        </w:rPr>
        <w:t>Ndihma për punësim</w:t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: Sipas të dhënave të SHKP-së,  ndihma për punësim në vitin 2015 është rritur në krahasim me vitin 2014. Nëpërmjet programit të nxitjes së punësimit të punëkërkuesve të papunë nga grupe të veçanta</w:t>
      </w:r>
      <w:r w:rsidRPr="00CD716D">
        <w:rPr>
          <w:rFonts w:ascii="Garamond" w:hAnsi="Garamond"/>
          <w:spacing w:val="-4"/>
          <w:sz w:val="24"/>
          <w:szCs w:val="24"/>
          <w:vertAlign w:val="superscript"/>
          <w:lang w:val="sq-AL" w:eastAsia="en-GB"/>
        </w:rPr>
        <w:footnoteReference w:id="10"/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 kanë përfituar 320 ndërmarrje të vogla dhe të mesme (në vitin 2014 ishin 172 ndërmarrje përfituese) me veprimtari ekonomike në fushën e prodhimit të këpucëve dhe konfeksione, duke u krijuar 3183 vende të reja të punës (në vitin 2014 u krijuan 2221 vende të reja të punës). Në programin e nxitjes së punësimit të praktikave profesionale për punëkërkuesit që kanë mbaruar arsimin e lartë brenda dhe jashtë vendit</w:t>
      </w:r>
      <w:r w:rsidRPr="00CD716D">
        <w:rPr>
          <w:rFonts w:ascii="Garamond" w:hAnsi="Garamond"/>
          <w:spacing w:val="-4"/>
          <w:sz w:val="24"/>
          <w:szCs w:val="24"/>
          <w:vertAlign w:val="superscript"/>
          <w:lang w:val="sq-AL" w:eastAsia="en-GB"/>
        </w:rPr>
        <w:footnoteReference w:id="11"/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, kanë përfituar 145 ndërmarrje të vogla dhe të mesme (në vitin 2014 ishin 97 ndërmarrje përfituese), duke u krijuar 857 vende të reja pune (në vitin 2014 u krijuan 436 vende të reja të punës). Nga programi i nxitjes së punësimit të femrave nga grupet e veçanta</w:t>
      </w:r>
      <w:r w:rsidRPr="00CD716D">
        <w:rPr>
          <w:rFonts w:ascii="Garamond" w:hAnsi="Garamond"/>
          <w:spacing w:val="-4"/>
          <w:sz w:val="24"/>
          <w:szCs w:val="24"/>
          <w:vertAlign w:val="superscript"/>
          <w:lang w:val="sq-AL" w:eastAsia="en-GB"/>
        </w:rPr>
        <w:footnoteReference w:id="12"/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, kanë përfituar 17 ndërmarrje të vogla dhe të mesme (në vitin 2014 ishin 12 ndërmarrje përfituese), duke u krijuar 192 vende të reja të punës (në vitin 2014 u krijuan 120 vende të reja të punës). Nga programi i nxitjes së punësimit të punëkërkuesve të papunë të rinj</w:t>
      </w:r>
      <w:r w:rsidRPr="00CD716D">
        <w:rPr>
          <w:rFonts w:ascii="Garamond" w:hAnsi="Garamond"/>
          <w:spacing w:val="-4"/>
          <w:sz w:val="24"/>
          <w:szCs w:val="24"/>
          <w:vertAlign w:val="superscript"/>
          <w:lang w:val="sq-AL" w:eastAsia="en-GB"/>
        </w:rPr>
        <w:footnoteReference w:id="13"/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, kanë përfituar 43 ndërmarrje të vogla dhe të mesme (në vitin 2014 ishin 21 ndërmarrje përfituese), në sektorin e telekomunikacionit, konsulencës, agropërpunimit dhe </w:t>
      </w:r>
      <w:r w:rsidRPr="00CD716D">
        <w:rPr>
          <w:rFonts w:ascii="Garamond" w:hAnsi="Garamond"/>
          <w:i/>
          <w:spacing w:val="-4"/>
          <w:sz w:val="24"/>
          <w:szCs w:val="24"/>
          <w:lang w:val="sq-AL" w:eastAsia="en-GB"/>
        </w:rPr>
        <w:t>call center</w:t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, duke krijuar 263 vende të reja të punës (në vitin 2014 u krijuan 117 vende të reja pune). Sa i përket programit të nxitjes së punësimit të personave me aftësi të kufizuar</w:t>
      </w:r>
      <w:r w:rsidRPr="00CD716D">
        <w:rPr>
          <w:rFonts w:ascii="Garamond" w:hAnsi="Garamond"/>
          <w:spacing w:val="-4"/>
          <w:sz w:val="24"/>
          <w:szCs w:val="24"/>
          <w:vertAlign w:val="superscript"/>
          <w:lang w:val="sq-AL" w:eastAsia="en-GB"/>
        </w:rPr>
        <w:footnoteReference w:id="14"/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, për vitin 2015 nëpërmjet tij kanë përfituar 18 ndërmarrje të vogla dhe të mesme (nga 8 përfitues për 2014) në sektorin e ndërtimit, konfeksion dhe shërbimeve, duke i krijuar 29 vende të reja të punës (nga 14 vende të reja pune për vitin 2014).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Në kategorinë e ndihmës horizontale përfshihet, gjithashtu, </w:t>
      </w:r>
      <w:r w:rsidRPr="00CD716D">
        <w:rPr>
          <w:rFonts w:ascii="Garamond" w:hAnsi="Garamond"/>
          <w:i/>
          <w:spacing w:val="-4"/>
          <w:sz w:val="24"/>
          <w:szCs w:val="24"/>
          <w:lang w:val="sq-AL" w:eastAsia="en-GB"/>
        </w:rPr>
        <w:t>ndihma për SME-të</w:t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. Dhënës i ndihmës është Drejtoria e Mbështetjes së Sipërmarrjes në Ministrinë e Zhvillimit Ekonomik, Turizmit, Tregtisë dhe Sipërmarrjes (MZHETTS), ndërsa autoriteti përgjegjës për zbatimin dhe monitorimin e kësaj mase është Agjencia Shqiptare e Zhvillimit të Investimeve (AIDA). Për vitin 2015, AIDA ka pasur në administrim 6 skema të ndihmës shtetërore, nga të cilat Fondi i Inovacionit, Fondin i Grave Sipërmarrëse dhe skema </w:t>
      </w:r>
      <w:r w:rsidRPr="00CD716D">
        <w:rPr>
          <w:rFonts w:ascii="Garamond" w:hAnsi="Garamond"/>
          <w:i/>
          <w:spacing w:val="-4"/>
          <w:sz w:val="24"/>
          <w:szCs w:val="24"/>
          <w:lang w:val="sq-AL" w:eastAsia="en-GB"/>
        </w:rPr>
        <w:t>Voucher</w:t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 nuk kanë qenë aktive.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 w:eastAsia="en-GB"/>
        </w:rPr>
      </w:pPr>
      <w:r w:rsidRPr="00CD716D">
        <w:rPr>
          <w:rFonts w:ascii="Garamond" w:eastAsia="MS Mincho" w:hAnsi="Garamond" w:cs="CG Times"/>
          <w:spacing w:val="-4"/>
          <w:sz w:val="24"/>
          <w:lang w:val="sq-AL" w:eastAsia="en-GB"/>
        </w:rPr>
        <w:t>Sa u përket skemave të tjera, AIDA raporton se: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 w:eastAsia="en-GB"/>
        </w:rPr>
      </w:pPr>
      <w:r w:rsidRPr="00CD716D">
        <w:rPr>
          <w:rFonts w:ascii="Garamond" w:eastAsia="MS Mincho" w:hAnsi="Garamond" w:cs="CG Times"/>
          <w:spacing w:val="-4"/>
          <w:sz w:val="24"/>
          <w:lang w:val="sq-AL" w:eastAsia="en-GB"/>
        </w:rPr>
        <w:t>- Nga fondi shqiptar i ekonomisë kreative</w:t>
      </w:r>
      <w:r w:rsidRPr="00CD716D">
        <w:rPr>
          <w:rFonts w:ascii="Garamond" w:eastAsia="MS Mincho" w:hAnsi="Garamond" w:cs="CG Times"/>
          <w:spacing w:val="-4"/>
          <w:sz w:val="24"/>
          <w:szCs w:val="24"/>
          <w:vertAlign w:val="superscript"/>
          <w:lang w:val="sq-AL" w:eastAsia="en-GB"/>
        </w:rPr>
        <w:footnoteReference w:id="15"/>
      </w:r>
      <w:r w:rsidRPr="00CD716D">
        <w:rPr>
          <w:rFonts w:ascii="Garamond" w:eastAsia="MS Mincho" w:hAnsi="Garamond" w:cs="CG Times"/>
          <w:spacing w:val="-4"/>
          <w:sz w:val="24"/>
          <w:lang w:val="sq-AL" w:eastAsia="en-GB"/>
        </w:rPr>
        <w:t xml:space="preserve"> kanë përfituar ndihmë shtetërore, gjithsej, 9 ndërmarrje të vogla dhe të mesme, në shumën 4.854 mln lekë. Ndihma shtetërore për këto ndërmarrje ka ndikuar në rritjen e kapaciteteve prodhuese të biznesit, zgjerimin e linjës së produkteve trendi, të cilat konsumatori i kërkon në mënyrë të vazhdueshme, si edhe rritjen e të ardhurave.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 w:eastAsia="en-GB"/>
        </w:rPr>
      </w:pPr>
      <w:r w:rsidRPr="00CD716D">
        <w:rPr>
          <w:rFonts w:ascii="Garamond" w:eastAsia="MS Mincho" w:hAnsi="Garamond" w:cs="CG Times"/>
          <w:spacing w:val="-4"/>
          <w:sz w:val="24"/>
          <w:lang w:val="sq-AL" w:eastAsia="en-GB"/>
        </w:rPr>
        <w:t>- Nga fondi shqiptar i konkurrueshmërisë</w:t>
      </w:r>
      <w:r w:rsidRPr="00CD716D">
        <w:rPr>
          <w:rFonts w:ascii="Garamond" w:eastAsia="MS Mincho" w:hAnsi="Garamond" w:cs="CG Times"/>
          <w:spacing w:val="-4"/>
          <w:sz w:val="24"/>
          <w:szCs w:val="24"/>
          <w:vertAlign w:val="superscript"/>
          <w:lang w:val="sq-AL" w:eastAsia="en-GB"/>
        </w:rPr>
        <w:footnoteReference w:id="16"/>
      </w:r>
      <w:r w:rsidRPr="00CD716D">
        <w:rPr>
          <w:rFonts w:ascii="Garamond" w:eastAsia="MS Mincho" w:hAnsi="Garamond" w:cs="CG Times"/>
          <w:spacing w:val="-4"/>
          <w:sz w:val="24"/>
          <w:lang w:val="sq-AL" w:eastAsia="en-GB"/>
        </w:rPr>
        <w:t xml:space="preserve"> kanë përfituar ndihmë shtetërore, gjithsej, 28 ndërmarrje të vogla dhe të mesme në shumën 21.54 mln lekë. Ndihma shtetërore për këto ndërmarrje ka ndikuar në rritjen e produktivitetit, përmirësimin e imazhit të ndërmarrjeve në tregun vendas dhe ndërkombëtar, rritjen e besueshmërisë te konsu-matorët e produkteve/shërbimeve, si edhe forcimin e kapaciteteve menaxheriale.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 w:eastAsia="en-GB"/>
        </w:rPr>
      </w:pPr>
      <w:r w:rsidRPr="00CD716D">
        <w:rPr>
          <w:rFonts w:ascii="Garamond" w:eastAsia="MS Mincho" w:hAnsi="Garamond" w:cs="CG Times"/>
          <w:spacing w:val="-4"/>
          <w:sz w:val="24"/>
          <w:lang w:val="sq-AL" w:eastAsia="en-GB"/>
        </w:rPr>
        <w:t xml:space="preserve">- Nga Fondi </w:t>
      </w:r>
      <w:r w:rsidRPr="00CD716D">
        <w:rPr>
          <w:rFonts w:ascii="Garamond" w:eastAsia="MS Mincho" w:hAnsi="Garamond" w:cs="CG Times"/>
          <w:i/>
          <w:spacing w:val="-4"/>
          <w:sz w:val="24"/>
          <w:lang w:val="sq-AL" w:eastAsia="en-GB"/>
        </w:rPr>
        <w:t>Start-Up</w:t>
      </w:r>
      <w:r w:rsidRPr="00CD716D">
        <w:rPr>
          <w:rFonts w:ascii="Garamond" w:eastAsia="MS Mincho" w:hAnsi="Garamond" w:cs="CG Times"/>
          <w:spacing w:val="-4"/>
          <w:sz w:val="24"/>
          <w:lang w:val="sq-AL" w:eastAsia="en-GB"/>
        </w:rPr>
        <w:t xml:space="preserve"> kanë përfituar 11 ndërmarrje të vogla dhe të mesme në shumën e 2.35 mln lekë. Ndihma shtetërore për këto ndërmarrje ka nxitur krijimin dhe konsolidimin e ndërmarrjeve të vogla dhe të </w:t>
      </w:r>
      <w:r w:rsidRPr="00CD716D">
        <w:rPr>
          <w:rFonts w:ascii="Garamond" w:eastAsia="MS Mincho" w:hAnsi="Garamond" w:cs="CG Times"/>
          <w:spacing w:val="-4"/>
          <w:sz w:val="24"/>
          <w:lang w:val="sq-AL" w:eastAsia="en-GB"/>
        </w:rPr>
        <w:lastRenderedPageBreak/>
        <w:t>mesme.</w:t>
      </w:r>
    </w:p>
    <w:p w:rsidR="00EA2000" w:rsidRDefault="00EA2000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pacing w:val="-4"/>
          <w:sz w:val="24"/>
          <w:szCs w:val="24"/>
          <w:lang w:val="sq-AL" w:eastAsia="en-GB"/>
        </w:rPr>
        <w:sectPr w:rsidR="00EA2000" w:rsidSect="00EA200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A2000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en-GB"/>
        </w:rPr>
        <w:sectPr w:rsidR="00EA2000" w:rsidSect="00EA200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CD716D">
        <w:rPr>
          <w:rFonts w:ascii="Garamond" w:hAnsi="Garamond"/>
          <w:i/>
          <w:spacing w:val="-4"/>
          <w:sz w:val="24"/>
          <w:szCs w:val="24"/>
          <w:lang w:val="sq-AL" w:eastAsia="en-GB"/>
        </w:rPr>
        <w:lastRenderedPageBreak/>
        <w:t xml:space="preserve">Ndihma për sportin: </w:t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Komisioni i Ndihmës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lastRenderedPageBreak/>
        <w:t>Shtetërore</w:t>
      </w:r>
      <w:r w:rsidRPr="00CD716D">
        <w:rPr>
          <w:rFonts w:ascii="Garamond" w:hAnsi="Garamond"/>
          <w:spacing w:val="-4"/>
          <w:sz w:val="24"/>
          <w:szCs w:val="24"/>
          <w:vertAlign w:val="superscript"/>
          <w:lang w:val="sq-AL" w:eastAsia="en-GB"/>
        </w:rPr>
        <w:footnoteReference w:id="17"/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 ka autorizuar ndihmën shtetërore për rikonstruksionin e stadiumit “Elbasan Arena” (444 milionë lekë janë financuar me fonde nga buxheti i shtetit), me qëllim organizimin e ri të ambienteve të brendshme të godinës ekzistuese dhe zgjerimin e saj me pjesë të re, duke ofruar shërbimet e nevojshme për median në harmoni me kërkesat e parashtruara nga UEFA. Komisioni autorizoi ndihmën shtetërore për ndërtimin e stadiumit “Elbasan Arena” dhe Parkut Olimpik të Tiranës, të parashikuar në VKM-në nr. 411, datë 20.6.2014, “Për bashkëfinancimin e projektit të stadiumit “Ruzhdi Bizhuta” Elbasan, dhe financimin e Parkut Olimpik të Tiranës””, mbështetur në nenin 13, pika 3, të ligjit nr. 9374, datë 21.4.2005, “Për ndihmën shtetërore”, të ndryshuar, sepse skema mbështet realizimin e dy projekteve të rëndësishme dhe me ndikim të konsiderueshëm në cilësinë e sportit shqiptar si edhe lehtëson zhvillimin e veprimtarive të caktuara ekonomike.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Komisioni me vendimin nr. 54, datë 26.1.2015, “Për skemën ekzistuese të mbështetjes me grante nga buxheti i shtetit në sektorin e sportit”. Për këtë skemë ndihmë, objektivi kryesor i së cilës është nxitja e kulturës së sportit, edukimit të sportit dhe aktiviteteve fizike duke rritur pjesëmarrjen e shtetasve në sport, për vitin 2015, janë shpenzuar nga buxheti shtetit 114 milionë lekë.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Gjithashtu,  me vendimin nr. 59, datë 14.9.2015, është autorizuar ndihma shtetërore për rindërtimin e stadiumit “Loro Boriçi”, Shkodër, në shumën 1 500 000 000 lekë.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Century Gothic" w:hAnsi="Garamond" w:cs="Arial"/>
          <w:b/>
          <w:bCs/>
          <w:spacing w:val="-4"/>
          <w:sz w:val="24"/>
          <w:szCs w:val="24"/>
          <w:lang w:val="sq-AL" w:eastAsia="sq-AL"/>
        </w:rPr>
      </w:pPr>
      <w:r w:rsidRPr="00CD716D">
        <w:rPr>
          <w:rFonts w:ascii="Garamond" w:hAnsi="Garamond"/>
          <w:i/>
          <w:spacing w:val="-4"/>
          <w:sz w:val="24"/>
          <w:szCs w:val="24"/>
          <w:lang w:val="sq-AL" w:eastAsia="en-GB"/>
        </w:rPr>
        <w:t>Ndihma për kulturën:</w:t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 Me</w:t>
      </w:r>
      <w:r w:rsidRPr="00CD716D">
        <w:rPr>
          <w:rFonts w:ascii="Garamond" w:eastAsia="MS Mincho" w:hAnsi="Garamond"/>
          <w:spacing w:val="-4"/>
          <w:sz w:val="24"/>
          <w:szCs w:val="24"/>
          <w:lang w:val="sq-AL"/>
        </w:rPr>
        <w:t xml:space="preserve"> qëllim mbështetjen dhe nxitjen e kulturës, mbrojtjen e trashëgimisë kulturore dhe muzeve, përmirësimin e strukturës së industrisë shqiptare të filmit, cilësinë dhe shumëllojshmërinë e saj</w:t>
      </w: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 xml:space="preserve">, në bazë të vendimit nr. 56, datë 4.6.2015, Komisioni ka autorizuar ndihmën shtetërore për veprimtaritë, të mirat dhe shërbimet kulturore.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Century Gothic" w:hAnsi="Garamond" w:cs="Arial"/>
          <w:b/>
          <w:bCs/>
          <w:spacing w:val="-4"/>
          <w:sz w:val="24"/>
          <w:szCs w:val="24"/>
          <w:lang w:val="sq-AL" w:eastAsia="sq-AL"/>
        </w:rPr>
      </w:pPr>
      <w:r w:rsidRPr="00CD716D">
        <w:rPr>
          <w:rFonts w:ascii="Garamond" w:eastAsia="Century Gothic" w:hAnsi="Garamond" w:cs="Arial"/>
          <w:b/>
          <w:bCs/>
          <w:spacing w:val="-4"/>
          <w:sz w:val="24"/>
          <w:szCs w:val="24"/>
          <w:lang w:val="sq-AL" w:eastAsia="sq-AL"/>
        </w:rPr>
        <w:t>2.3.2 Ndihma shtetërore sektoriale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pacing w:val="-4"/>
          <w:sz w:val="24"/>
          <w:szCs w:val="24"/>
          <w:lang w:val="sq-AL" w:eastAsia="en-GB"/>
        </w:rPr>
        <w:t>Në vitin 2015 ndihma shtetërore sektoriale në vlerë absolute është 935.90 mln lekë (6,82 mln euro), 16.08% më pak krahasuar me vitin 2014. Pesha për këtë kategori në totalin e ndihmës në vitin 2015 është 15.18%</w:t>
      </w:r>
      <w:r w:rsidRPr="00CD716D">
        <w:rPr>
          <w:rFonts w:ascii="Garamond" w:hAnsi="Garamond"/>
          <w:sz w:val="24"/>
          <w:szCs w:val="24"/>
          <w:lang w:val="sq-AL" w:eastAsia="en-GB"/>
        </w:rPr>
        <w:t>.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  <w:sectPr w:rsidR="00CD716D" w:rsidRPr="00CD716D" w:rsidSect="00EA200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A2000" w:rsidRDefault="00EA2000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  <w:sectPr w:rsidR="00EA2000" w:rsidSect="00FE5FB4">
          <w:headerReference w:type="even" r:id="rId19"/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lastRenderedPageBreak/>
        <w:t>Tabela nr. 5</w:t>
      </w:r>
      <w:r w:rsidRPr="00CD716D">
        <w:rPr>
          <w:rFonts w:ascii="Garamond" w:hAnsi="Garamond"/>
          <w:sz w:val="24"/>
          <w:szCs w:val="24"/>
          <w:lang w:val="sq-AL"/>
        </w:rPr>
        <w:t xml:space="preserve">. </w:t>
      </w:r>
      <w:r w:rsidRPr="00CD716D">
        <w:rPr>
          <w:rFonts w:ascii="Garamond" w:hAnsi="Garamond"/>
          <w:sz w:val="24"/>
          <w:szCs w:val="24"/>
          <w:lang w:val="sq-AL" w:eastAsia="en-GB"/>
        </w:rPr>
        <w:t xml:space="preserve">Ndihma shtetërore sektoriale 2012–2014 (mln lekë/mln euro)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Century Gothic" w:hAnsi="Garamond"/>
          <w:i/>
          <w:sz w:val="24"/>
          <w:szCs w:val="24"/>
          <w:lang w:val="sq-AL" w:eastAsia="sq-AL"/>
        </w:rPr>
      </w:pPr>
      <w:r w:rsidRPr="00CD716D">
        <w:rPr>
          <w:rFonts w:ascii="Garamond" w:eastAsia="Century Gothic" w:hAnsi="Garamond"/>
          <w:i/>
          <w:sz w:val="24"/>
          <w:szCs w:val="24"/>
          <w:lang w:val="sq-AL" w:eastAsia="sq-AL"/>
        </w:rPr>
        <w:t>Burimi: Drejtoria e Tregut të Brendshëm, MZHETTS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8"/>
          <w:szCs w:val="25"/>
          <w:lang w:val="sq-AL" w:eastAsia="en-GB"/>
        </w:rPr>
      </w:pPr>
    </w:p>
    <w:p w:rsidR="00CD716D" w:rsidRPr="00CD716D" w:rsidRDefault="00CD716D" w:rsidP="00CD716D">
      <w:pPr>
        <w:widowControl w:val="0"/>
        <w:ind w:left="-567" w:right="-567"/>
        <w:jc w:val="center"/>
        <w:rPr>
          <w:rFonts w:ascii="Times New Roman" w:hAnsi="Times New Roman"/>
          <w:sz w:val="25"/>
          <w:szCs w:val="25"/>
          <w:lang w:val="sq-AL" w:eastAsia="en-GB"/>
        </w:rPr>
      </w:pPr>
      <w:r w:rsidRPr="00CD716D">
        <w:rPr>
          <w:noProof/>
        </w:rPr>
        <w:drawing>
          <wp:inline distT="0" distB="0" distL="0" distR="0" wp14:anchorId="7A5BB478" wp14:editId="2B27486C">
            <wp:extent cx="6755765" cy="1774190"/>
            <wp:effectExtent l="19050" t="0" r="698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765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>Grafiku nr. 7. Struktura e ndihmës shtetërore sektoriale 2013–2015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 w:eastAsia="en-GB"/>
        </w:rPr>
      </w:pPr>
      <w:r w:rsidRPr="00CD716D">
        <w:rPr>
          <w:rFonts w:ascii="Garamond" w:eastAsia="Century Gothic" w:hAnsi="Garamond"/>
          <w:i/>
          <w:sz w:val="24"/>
          <w:szCs w:val="24"/>
          <w:lang w:val="sq-AL" w:eastAsia="sq-AL"/>
        </w:rPr>
        <w:t>Burimi: Drejtoria e Tregut të Brendshëm, MZHETTS</w:t>
      </w:r>
    </w:p>
    <w:p w:rsidR="00CD716D" w:rsidRPr="00CD716D" w:rsidRDefault="00CD716D" w:rsidP="00CD716D">
      <w:pPr>
        <w:widowControl w:val="0"/>
        <w:jc w:val="center"/>
        <w:rPr>
          <w:rFonts w:ascii="Times New Roman" w:hAnsi="Times New Roman"/>
          <w:sz w:val="25"/>
          <w:szCs w:val="25"/>
          <w:lang w:val="sq-AL" w:eastAsia="en-GB"/>
        </w:rPr>
      </w:pPr>
      <w:r w:rsidRPr="00CD716D">
        <w:rPr>
          <w:noProof/>
        </w:rPr>
        <w:drawing>
          <wp:inline distT="0" distB="0" distL="0" distR="0" wp14:anchorId="1D120F35" wp14:editId="58DE3207">
            <wp:extent cx="4585335" cy="2756535"/>
            <wp:effectExtent l="19050" t="0" r="5715" b="0"/>
            <wp:docPr id="28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1"/>
                    <pic:cNvPicPr>
                      <a:picLocks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335" cy="275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>Në strukturën e ndihmës sektoriale (vertikale) për vitin 2015, peshën më të lartë e zë ndihma për transportin publik (hekurudha), e ndjekur nga ndihma shërbimet publike (ndihma për sektorin e ujësjellës- kanalizimeve dhe ndihma për minierat (në mbyllje dhe konservim). Për vitin 2015 nuk është dhënë ndihmë për energjinë, si rezultat i shfuqizimit të skemës.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CD716D">
        <w:rPr>
          <w:rFonts w:ascii="Garamond" w:hAnsi="Garamond"/>
          <w:sz w:val="24"/>
          <w:szCs w:val="24"/>
          <w:lang w:val="sq-AL"/>
        </w:rPr>
        <w:t xml:space="preserve">Për sa i takon transportit publik ndihma shtetërore është dhënë nga buxheti i shtetit për mbështetjen e transportit hekurudhor, i cili nuk ndryshon me vlerën e subvencionit të akorduar në vitin 2014.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i/>
          <w:sz w:val="24"/>
          <w:szCs w:val="24"/>
          <w:lang w:val="sq-AL" w:eastAsia="en-GB"/>
        </w:rPr>
        <w:t>Ndihma për shërbimet publike</w:t>
      </w:r>
      <w:r w:rsidRPr="00CD716D">
        <w:rPr>
          <w:rFonts w:ascii="Garamond" w:hAnsi="Garamond"/>
          <w:sz w:val="24"/>
          <w:szCs w:val="24"/>
          <w:lang w:val="sq-AL" w:eastAsia="en-GB"/>
        </w:rPr>
        <w:t>: Autoriteti dhënës është Ministria e Transportit dhe Infrastrukturës, ndërkohë që institucioni përgjegjës është Drejtoria e Përgjithshme e Ujësjellës-Kanalizimeve (DPUK). Ndihma për shërbimet publike është në formën e subvencionit nga buxheti i shtetit</w:t>
      </w:r>
      <w:r w:rsidRPr="00CD716D">
        <w:rPr>
          <w:rFonts w:ascii="Garamond" w:hAnsi="Garamond"/>
          <w:sz w:val="24"/>
          <w:szCs w:val="24"/>
          <w:vertAlign w:val="superscript"/>
          <w:lang w:val="sq-AL" w:eastAsia="en-GB"/>
        </w:rPr>
        <w:footnoteReference w:id="18"/>
      </w:r>
      <w:r w:rsidRPr="00CD716D">
        <w:rPr>
          <w:rFonts w:ascii="Garamond" w:hAnsi="Garamond"/>
          <w:sz w:val="24"/>
          <w:szCs w:val="24"/>
          <w:lang w:val="sq-AL" w:eastAsia="en-GB"/>
        </w:rPr>
        <w:t>. Sipas raportimit nga DPUK-ja, numri i përfituesve të ndihmës për vitin 2014 është 50 ndërmarrje ujësjellës-kanalizime dhe 5 sisteme ujësjellës-kanalizime që administrohen nga komunat. Përfituesit kryesorë të ndihmës janë sh.a. ujësjellës-kanalizime, në qytetet Durrës, Patos, Kavajë, Ujësjellës Shkodër Fshat dhe sh.a. Ujësjellës-Kanalizime Elbasan Fshat.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Century Gothic" w:hAnsi="Garamond" w:cs="Arial"/>
          <w:b/>
          <w:bCs/>
          <w:iCs/>
          <w:sz w:val="24"/>
          <w:szCs w:val="24"/>
          <w:lang w:val="sq-AL" w:eastAsia="sq-AL"/>
        </w:rPr>
      </w:pP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Century Gothic" w:hAnsi="Garamond" w:cs="Arial"/>
          <w:sz w:val="24"/>
          <w:szCs w:val="24"/>
          <w:lang w:val="sq-AL" w:eastAsia="sq-AL"/>
        </w:rPr>
      </w:pPr>
      <w:r w:rsidRPr="00CD716D">
        <w:rPr>
          <w:rFonts w:ascii="Garamond" w:eastAsia="Century Gothic" w:hAnsi="Garamond" w:cs="Arial"/>
          <w:b/>
          <w:bCs/>
          <w:iCs/>
          <w:sz w:val="24"/>
          <w:szCs w:val="24"/>
          <w:lang w:val="sq-AL" w:eastAsia="sq-AL"/>
        </w:rPr>
        <w:t>2.4 Instrumentet e shpërndarjes së ndihmës shtetërore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>Ndihma shtetërore e dhënë nga burime shtetërore, në varësi të llojit (instrumentit) të përdorur, përbën një shpenzim real apo potencial të pasurisë publike, duke pasur një efekt në mbledhjen e të ardhurave publike. Në vitin 2015, ndihma shtetërore është dhënë kryesisht në formën e subvencioneve dhe lehtësirave tatimore. Referuar metodologjisë së përdorur nga BE-ja, instrumentet e ndihmës shtetërore,</w:t>
      </w: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 w:eastAsia="en-GB"/>
        </w:rPr>
      </w:pPr>
      <w:r w:rsidRPr="00CD716D">
        <w:rPr>
          <w:rFonts w:ascii="Garamond" w:eastAsia="Times New Roman" w:hAnsi="Garamond"/>
          <w:sz w:val="24"/>
          <w:szCs w:val="24"/>
          <w:lang w:val="sq-AL" w:eastAsia="en-GB"/>
        </w:rPr>
        <w:lastRenderedPageBreak/>
        <w:t xml:space="preserve">klasifikohen në: </w:t>
      </w: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Times New Roman" w:hAnsi="Garamond"/>
          <w:i/>
          <w:sz w:val="24"/>
          <w:szCs w:val="24"/>
          <w:lang w:val="sq-AL" w:eastAsia="en-GB"/>
        </w:rPr>
      </w:pPr>
      <w:r w:rsidRPr="00CD716D">
        <w:rPr>
          <w:rFonts w:ascii="Garamond" w:eastAsia="Times New Roman" w:hAnsi="Garamond"/>
          <w:i/>
          <w:sz w:val="24"/>
          <w:szCs w:val="24"/>
          <w:lang w:val="sq-AL" w:eastAsia="en-GB"/>
        </w:rPr>
        <w:t xml:space="preserve">A1 - Subvencione dhe grante; </w:t>
      </w: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Times New Roman" w:hAnsi="Garamond"/>
          <w:i/>
          <w:sz w:val="24"/>
          <w:szCs w:val="24"/>
          <w:lang w:val="sq-AL" w:eastAsia="en-GB"/>
        </w:rPr>
      </w:pPr>
      <w:r w:rsidRPr="00CD716D">
        <w:rPr>
          <w:rFonts w:ascii="Garamond" w:eastAsia="Times New Roman" w:hAnsi="Garamond"/>
          <w:i/>
          <w:sz w:val="24"/>
          <w:szCs w:val="24"/>
          <w:lang w:val="sq-AL" w:eastAsia="en-GB"/>
        </w:rPr>
        <w:t xml:space="preserve">A2- Përjashtimi nga taksat, shtyrja e taksave, ulja e normës së taksave dhe zbritje e kontributit në sigurimet sociale; </w:t>
      </w: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Times New Roman" w:hAnsi="Garamond"/>
          <w:i/>
          <w:sz w:val="24"/>
          <w:szCs w:val="24"/>
          <w:lang w:val="sq-AL" w:eastAsia="en-GB"/>
        </w:rPr>
      </w:pPr>
      <w:r w:rsidRPr="00CD716D">
        <w:rPr>
          <w:rFonts w:ascii="Garamond" w:eastAsia="Times New Roman" w:hAnsi="Garamond"/>
          <w:i/>
          <w:sz w:val="24"/>
          <w:szCs w:val="24"/>
          <w:lang w:val="sq-AL" w:eastAsia="en-GB"/>
        </w:rPr>
        <w:t xml:space="preserve">B - Pjesëmarrja në kapital; </w:t>
      </w: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Times New Roman" w:hAnsi="Garamond"/>
          <w:i/>
          <w:sz w:val="24"/>
          <w:szCs w:val="24"/>
          <w:lang w:val="sq-AL" w:eastAsia="en-GB"/>
        </w:rPr>
      </w:pPr>
      <w:r w:rsidRPr="00CD716D">
        <w:rPr>
          <w:rFonts w:ascii="Garamond" w:eastAsia="Times New Roman" w:hAnsi="Garamond"/>
          <w:i/>
          <w:sz w:val="24"/>
          <w:szCs w:val="24"/>
          <w:lang w:val="sq-AL" w:eastAsia="en-GB"/>
        </w:rPr>
        <w:t xml:space="preserve">C1 - Hua të buta; </w:t>
      </w: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Times New Roman" w:hAnsi="Garamond"/>
          <w:i/>
          <w:sz w:val="24"/>
          <w:szCs w:val="24"/>
          <w:lang w:val="sq-AL" w:eastAsia="en-GB"/>
        </w:rPr>
      </w:pPr>
      <w:r w:rsidRPr="00CD716D">
        <w:rPr>
          <w:rFonts w:ascii="Garamond" w:eastAsia="Times New Roman" w:hAnsi="Garamond"/>
          <w:i/>
          <w:sz w:val="24"/>
          <w:szCs w:val="24"/>
          <w:lang w:val="sq-AL" w:eastAsia="en-GB"/>
        </w:rPr>
        <w:t xml:space="preserve">C2 - instrumente të tjera; </w:t>
      </w: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Times New Roman" w:hAnsi="Garamond"/>
          <w:i/>
          <w:sz w:val="24"/>
          <w:szCs w:val="24"/>
          <w:lang w:val="sq-AL" w:eastAsia="en-GB"/>
        </w:rPr>
      </w:pPr>
      <w:r w:rsidRPr="00CD716D">
        <w:rPr>
          <w:rFonts w:ascii="Garamond" w:eastAsia="Times New Roman" w:hAnsi="Garamond"/>
          <w:i/>
          <w:sz w:val="24"/>
          <w:szCs w:val="24"/>
          <w:lang w:val="sq-AL" w:eastAsia="en-GB"/>
        </w:rPr>
        <w:t xml:space="preserve">D – Garancitë. 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eastAsia="Century Gothic" w:hAnsi="Garamond"/>
          <w:sz w:val="24"/>
          <w:szCs w:val="24"/>
          <w:lang w:val="sq-AL" w:eastAsia="en-GB"/>
        </w:rPr>
        <w:t>Tabela nr. 6.</w:t>
      </w:r>
      <w:r w:rsidRPr="00CD716D">
        <w:rPr>
          <w:rFonts w:ascii="Garamond" w:hAnsi="Garamond" w:cs="Arial"/>
          <w:bCs/>
          <w:color w:val="17365D"/>
          <w:sz w:val="24"/>
          <w:szCs w:val="24"/>
          <w:lang w:val="sq-AL"/>
        </w:rPr>
        <w:t xml:space="preserve"> </w:t>
      </w:r>
      <w:r w:rsidRPr="00CD716D">
        <w:rPr>
          <w:rFonts w:ascii="Garamond" w:hAnsi="Garamond"/>
          <w:sz w:val="24"/>
          <w:szCs w:val="24"/>
          <w:lang w:val="sq-AL" w:eastAsia="en-GB"/>
        </w:rPr>
        <w:t>Ndihma shtetërore gjithsej sipas instrumenteve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eastAsia="Century Gothic" w:hAnsi="Garamond"/>
          <w:i/>
          <w:sz w:val="24"/>
          <w:szCs w:val="24"/>
          <w:lang w:val="sq-AL" w:eastAsia="sq-AL"/>
        </w:rPr>
      </w:pPr>
      <w:r w:rsidRPr="00CD716D">
        <w:rPr>
          <w:rFonts w:ascii="Garamond" w:eastAsia="Century Gothic" w:hAnsi="Garamond"/>
          <w:i/>
          <w:sz w:val="24"/>
          <w:szCs w:val="24"/>
          <w:lang w:val="sq-AL" w:eastAsia="sq-AL"/>
        </w:rPr>
        <w:t>Burimi: Drejtoria e Tregut të Brendshëm, MZHETTS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ind w:left="-426" w:right="-567"/>
        <w:jc w:val="center"/>
        <w:rPr>
          <w:rFonts w:eastAsia="Century Gothic"/>
          <w:lang w:val="sq-AL"/>
        </w:rPr>
      </w:pPr>
      <w:r w:rsidRPr="00CD716D">
        <w:rPr>
          <w:rFonts w:eastAsia="Century Gothic"/>
          <w:noProof/>
        </w:rPr>
        <w:drawing>
          <wp:inline distT="0" distB="0" distL="0" distR="0" wp14:anchorId="5F322536" wp14:editId="21CA6D53">
            <wp:extent cx="6305550" cy="3732530"/>
            <wp:effectExtent l="1905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73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entury Gothic"/>
          <w:lang w:val="sq-AL"/>
        </w:rPr>
      </w:pP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 w:eastAsia="en-GB"/>
        </w:rPr>
      </w:pPr>
      <w:r w:rsidRPr="00CD716D">
        <w:rPr>
          <w:rFonts w:ascii="Garamond" w:eastAsia="Times New Roman" w:hAnsi="Garamond"/>
          <w:sz w:val="24"/>
          <w:szCs w:val="24"/>
          <w:lang w:val="sq-AL" w:eastAsia="en-GB"/>
        </w:rPr>
        <w:t xml:space="preserve">Të dhënat në tabelën nr. 6 tregojnë se instrumenti i përdorur më shumë është A1 - subvencione dhe grante dhe instrumenti A2- lehtësira tatimore, sikurse paraqitet edhe në </w:t>
      </w:r>
      <w:r w:rsidRPr="00CD716D">
        <w:rPr>
          <w:rFonts w:ascii="Garamond" w:eastAsia="Century Gothic" w:hAnsi="Garamond"/>
          <w:sz w:val="24"/>
          <w:szCs w:val="24"/>
          <w:lang w:val="sq-AL" w:eastAsia="en-GB"/>
        </w:rPr>
        <w:t>grafiku nr. 7</w:t>
      </w:r>
      <w:r w:rsidRPr="00CD716D">
        <w:rPr>
          <w:rFonts w:ascii="Garamond" w:eastAsia="Times New Roman" w:hAnsi="Garamond"/>
          <w:sz w:val="24"/>
          <w:szCs w:val="24"/>
          <w:lang w:val="sq-AL" w:eastAsia="en-GB"/>
        </w:rPr>
        <w:t>.</w:t>
      </w: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EA2000" w:rsidRDefault="00EA2000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EA2000" w:rsidRDefault="00EA2000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EA2000" w:rsidRDefault="00EA2000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EA2000" w:rsidRDefault="00EA2000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EA2000" w:rsidRDefault="00EA2000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EA2000" w:rsidRDefault="00EA2000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EA2000" w:rsidRDefault="00EA2000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EA2000" w:rsidRDefault="00EA2000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EA2000" w:rsidRDefault="00EA2000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EA2000" w:rsidRDefault="00EA2000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EA2000" w:rsidRDefault="00EA2000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Century Gothic" w:hAnsi="Garamond"/>
          <w:sz w:val="24"/>
          <w:szCs w:val="24"/>
          <w:lang w:val="sq-AL" w:eastAsia="en-GB"/>
        </w:rPr>
      </w:pPr>
    </w:p>
    <w:p w:rsidR="00CD716D" w:rsidRPr="00CD716D" w:rsidRDefault="00CD716D" w:rsidP="00CD716D">
      <w:pPr>
        <w:widowControl w:val="0"/>
        <w:tabs>
          <w:tab w:val="left" w:pos="180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 w:eastAsia="en-GB"/>
        </w:rPr>
      </w:pPr>
      <w:bookmarkStart w:id="2" w:name="_GoBack"/>
      <w:bookmarkEnd w:id="2"/>
      <w:r w:rsidRPr="00CD716D">
        <w:rPr>
          <w:rFonts w:ascii="Garamond" w:eastAsia="Century Gothic" w:hAnsi="Garamond"/>
          <w:sz w:val="24"/>
          <w:szCs w:val="24"/>
          <w:lang w:val="sq-AL" w:eastAsia="en-GB"/>
        </w:rPr>
        <w:lastRenderedPageBreak/>
        <w:t>Grafiku nr. 7</w:t>
      </w:r>
      <w:r w:rsidRPr="00CD716D">
        <w:rPr>
          <w:rFonts w:ascii="Garamond" w:eastAsia="Times New Roman" w:hAnsi="Garamond"/>
          <w:sz w:val="24"/>
          <w:szCs w:val="24"/>
          <w:lang w:val="sq-AL" w:eastAsia="en-GB"/>
        </w:rPr>
        <w:t>. Struktura e shpërndarjes së instrumenteve të ndihmës shtetërore</w:t>
      </w:r>
    </w:p>
    <w:p w:rsidR="00CD716D" w:rsidRPr="00CD716D" w:rsidRDefault="00CD716D" w:rsidP="00CD716D">
      <w:pPr>
        <w:widowControl w:val="0"/>
        <w:jc w:val="center"/>
        <w:rPr>
          <w:lang w:val="sq-AL"/>
        </w:rPr>
      </w:pPr>
      <w:r w:rsidRPr="00CD716D">
        <w:rPr>
          <w:noProof/>
        </w:rPr>
        <w:drawing>
          <wp:inline distT="0" distB="0" distL="0" distR="0" wp14:anchorId="6DD0C16C" wp14:editId="7C9935E1">
            <wp:extent cx="3945624" cy="2047164"/>
            <wp:effectExtent l="19050" t="0" r="0" b="0"/>
            <wp:docPr id="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624" cy="2047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ind w:left="284" w:firstLine="0"/>
        <w:jc w:val="left"/>
        <w:rPr>
          <w:rFonts w:ascii="Garamond" w:eastAsia="Century Gothic" w:hAnsi="Garamond" w:cs="Arial"/>
          <w:bCs/>
          <w:iCs/>
          <w:sz w:val="24"/>
          <w:szCs w:val="24"/>
          <w:lang w:val="sq-AL" w:eastAsia="sq-AL"/>
        </w:rPr>
        <w:sectPr w:rsidR="00CD716D" w:rsidRPr="00CD716D" w:rsidSect="00FE5FB4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ind w:left="284" w:firstLine="0"/>
        <w:jc w:val="left"/>
        <w:rPr>
          <w:rFonts w:ascii="Garamond" w:eastAsia="Century Gothic" w:hAnsi="Garamond" w:cs="Arial"/>
          <w:bCs/>
          <w:iCs/>
          <w:sz w:val="24"/>
          <w:szCs w:val="24"/>
          <w:lang w:val="sq-AL" w:eastAsia="sq-AL"/>
        </w:rPr>
      </w:pP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ind w:left="284" w:firstLine="0"/>
        <w:jc w:val="left"/>
        <w:rPr>
          <w:rFonts w:ascii="Garamond" w:eastAsia="Century Gothic" w:hAnsi="Garamond" w:cs="Arial"/>
          <w:bCs/>
          <w:iCs/>
          <w:sz w:val="24"/>
          <w:szCs w:val="24"/>
          <w:lang w:val="sq-AL" w:eastAsia="sq-AL"/>
        </w:rPr>
      </w:pPr>
      <w:r w:rsidRPr="00CD716D">
        <w:rPr>
          <w:rFonts w:ascii="Garamond" w:eastAsia="Century Gothic" w:hAnsi="Garamond" w:cs="Arial"/>
          <w:bCs/>
          <w:iCs/>
          <w:sz w:val="24"/>
          <w:szCs w:val="24"/>
          <w:lang w:val="sq-AL" w:eastAsia="sq-AL"/>
        </w:rPr>
        <w:t>3. PËRMBLEDHJE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Verdana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/>
        </w:rPr>
        <w:t xml:space="preserve">Raporti vjetor i monitorimit të ndihmës shtetërore për vitin 2015 </w:t>
      </w:r>
      <w:r w:rsidRPr="00CD716D">
        <w:rPr>
          <w:rFonts w:ascii="Garamond" w:eastAsia="Century Gothic" w:hAnsi="Garamond"/>
          <w:sz w:val="24"/>
          <w:szCs w:val="24"/>
          <w:lang w:val="sq-AL" w:eastAsia="en-GB"/>
        </w:rPr>
        <w:t xml:space="preserve">është hartuar në përputhje me metodologjinë e Komisionit Evropian në fushën e raportimit të ndihmës shtetërore. </w:t>
      </w:r>
      <w:r w:rsidRPr="00CD716D">
        <w:rPr>
          <w:rFonts w:ascii="Garamond" w:hAnsi="Garamond"/>
          <w:sz w:val="24"/>
          <w:szCs w:val="24"/>
          <w:lang w:val="sq-AL" w:eastAsia="en-GB"/>
        </w:rPr>
        <w:t xml:space="preserve">Raporti vjetor për ndihmat shtetërore për vitin 2015 përfshin, gjithashtu, të dhëna për ndihmën në sektorin e bujqësisë dhe peshkimit, edhe pse ky sektor nuk bën pjesë në fushën e zbatimit të ligjit nr. 9374, datë 21.4.2005, “Për ndihmën shtetërore”. </w:t>
      </w:r>
      <w:r w:rsidRPr="00CD716D">
        <w:rPr>
          <w:rFonts w:ascii="Garamond" w:hAnsi="Garamond" w:cs="Verdana"/>
          <w:sz w:val="24"/>
          <w:szCs w:val="24"/>
          <w:lang w:val="sq-AL" w:eastAsia="en-GB"/>
        </w:rPr>
        <w:t xml:space="preserve">Ndihma shtetërore </w:t>
      </w:r>
      <w:r w:rsidRPr="00CD716D">
        <w:rPr>
          <w:rFonts w:ascii="Garamond" w:hAnsi="Garamond" w:cs="Verdana"/>
          <w:i/>
          <w:sz w:val="24"/>
          <w:szCs w:val="24"/>
          <w:lang w:val="sq-AL" w:eastAsia="en-GB"/>
        </w:rPr>
        <w:t>përfshirë</w:t>
      </w:r>
      <w:r w:rsidRPr="00CD716D">
        <w:rPr>
          <w:rFonts w:ascii="Garamond" w:hAnsi="Garamond" w:cs="Verdana"/>
          <w:sz w:val="24"/>
          <w:szCs w:val="24"/>
          <w:lang w:val="sq-AL" w:eastAsia="en-GB"/>
        </w:rPr>
        <w:t xml:space="preserve"> sektorin e bujqësisë dhe peshkimit në vitin 2015 është dhënë në vlerën totale prej 6.166.60 mln lekë (44,92 mln euro).</w:t>
      </w:r>
    </w:p>
    <w:p w:rsidR="00CD716D" w:rsidRPr="00CD716D" w:rsidRDefault="00CD716D" w:rsidP="00CD716D">
      <w:pPr>
        <w:widowControl w:val="0"/>
        <w:spacing w:after="0" w:line="240" w:lineRule="auto"/>
        <w:rPr>
          <w:rFonts w:ascii="Garamond" w:hAnsi="Garamond" w:cs="Verdana"/>
          <w:sz w:val="24"/>
          <w:szCs w:val="24"/>
          <w:lang w:val="sq-AL" w:eastAsia="en-GB"/>
        </w:rPr>
      </w:pPr>
      <w:r w:rsidRPr="00CD716D">
        <w:rPr>
          <w:rFonts w:ascii="Garamond" w:hAnsi="Garamond" w:cs="Verdana"/>
          <w:sz w:val="24"/>
          <w:szCs w:val="24"/>
          <w:lang w:val="sq-AL" w:eastAsia="en-GB"/>
        </w:rPr>
        <w:t xml:space="preserve">Ndihma shtetërore </w:t>
      </w:r>
      <w:r w:rsidRPr="00CD716D">
        <w:rPr>
          <w:rFonts w:ascii="Garamond" w:hAnsi="Garamond" w:cs="Verdana"/>
          <w:i/>
          <w:sz w:val="24"/>
          <w:szCs w:val="24"/>
          <w:lang w:val="sq-AL" w:eastAsia="en-GB"/>
        </w:rPr>
        <w:t>përjashtuar</w:t>
      </w:r>
      <w:r w:rsidRPr="00CD716D">
        <w:rPr>
          <w:rFonts w:ascii="Garamond" w:hAnsi="Garamond" w:cs="Verdana"/>
          <w:sz w:val="24"/>
          <w:szCs w:val="24"/>
          <w:lang w:val="sq-AL" w:eastAsia="en-GB"/>
        </w:rPr>
        <w:t xml:space="preserve"> sektorin e bujqësisë dhe peshkimit në vitin 2015 është dhënë në vlerën totale prej 4.616,99  mln lekë (33,63 mln euro).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b/>
          <w:i/>
          <w:sz w:val="24"/>
          <w:szCs w:val="24"/>
          <w:lang w:val="sq-AL" w:eastAsia="en-GB"/>
        </w:rPr>
        <w:t>Ndihma shtetërore horizontale</w:t>
      </w:r>
      <w:r w:rsidRPr="00CD716D">
        <w:rPr>
          <w:rFonts w:ascii="Garamond" w:hAnsi="Garamond"/>
          <w:sz w:val="24"/>
          <w:szCs w:val="24"/>
          <w:lang w:val="sq-AL" w:eastAsia="en-GB"/>
        </w:rPr>
        <w:t xml:space="preserve"> në vlerë absolute është 3.681,09 mln lekë (26.81 mln euro) dhe e krahasuar me vitin 2014 ka zbritur me 12,71 %. Pesha për këtë kategori në totalin e ndihmës në vitin 2015 ka zbritur me 40 % krahasuar me vitin 2014.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b/>
          <w:i/>
          <w:sz w:val="24"/>
          <w:szCs w:val="24"/>
          <w:lang w:val="sq-AL" w:eastAsia="en-GB"/>
        </w:rPr>
        <w:t>Ndihma shtetërore sektoriale</w:t>
      </w:r>
      <w:r w:rsidRPr="00CD716D">
        <w:rPr>
          <w:rFonts w:ascii="Garamond" w:hAnsi="Garamond"/>
          <w:sz w:val="24"/>
          <w:szCs w:val="24"/>
          <w:lang w:val="sq-AL" w:eastAsia="en-GB"/>
        </w:rPr>
        <w:t xml:space="preserve"> në vlerë absolute është 935.90 mln lekë (6,82 mln euro), 16.08 % më pak krahasuar me vitin 2014. Pesha për këtë kategori në totalin e ndihmës në vitin 2015 është 15.18 %.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>Ndihma shtetërore për vitin 2015 karakteri-zohet nga një: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 xml:space="preserve">- rritje e ndihmës shtetërore në sport, kulturë, për punësim, trajnim, ndihmën për ndërmarrjet e vogla dhe të mesme, të përfshira në kategorinë e ndihmës horizontale,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 xml:space="preserve">- instrumentet e përdorura më shumë janë A1 </w:t>
      </w:r>
    </w:p>
    <w:p w:rsidR="00CD716D" w:rsidRPr="00CD716D" w:rsidRDefault="00CD716D" w:rsidP="00CD716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Century Gothic" w:hAnsi="Garamond"/>
          <w:sz w:val="24"/>
          <w:szCs w:val="24"/>
          <w:lang w:val="sq-AL" w:eastAsia="sq-AL"/>
        </w:rPr>
      </w:pPr>
      <w:r w:rsidRPr="00CD716D">
        <w:rPr>
          <w:rFonts w:ascii="Garamond" w:hAnsi="Garamond"/>
          <w:sz w:val="24"/>
          <w:szCs w:val="24"/>
          <w:lang w:val="sq-AL" w:eastAsia="en-GB"/>
        </w:rPr>
        <w:t xml:space="preserve">- subvencione dhe grante dhe instrumenti A2 - përjashtime nga taksat, shtyrje e taksave, ulje e normës së taksave. </w:t>
      </w:r>
    </w:p>
    <w:p w:rsidR="004C2C66" w:rsidRDefault="004C2C66"/>
    <w:sectPr w:rsidR="004C2C66">
      <w:headerReference w:type="even" r:id="rId2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E66" w:rsidRDefault="00252E66" w:rsidP="00252E66">
      <w:pPr>
        <w:spacing w:after="0" w:line="240" w:lineRule="auto"/>
      </w:pPr>
      <w:r>
        <w:separator/>
      </w:r>
    </w:p>
  </w:endnote>
  <w:endnote w:type="continuationSeparator" w:id="0">
    <w:p w:rsidR="00252E66" w:rsidRDefault="00252E66" w:rsidP="00252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E66" w:rsidRDefault="00252E66" w:rsidP="00252E66">
      <w:pPr>
        <w:spacing w:after="0" w:line="240" w:lineRule="auto"/>
      </w:pPr>
      <w:r>
        <w:separator/>
      </w:r>
    </w:p>
  </w:footnote>
  <w:footnote w:type="continuationSeparator" w:id="0">
    <w:p w:rsidR="00252E66" w:rsidRDefault="00252E66" w:rsidP="00252E66">
      <w:pPr>
        <w:spacing w:after="0" w:line="240" w:lineRule="auto"/>
      </w:pPr>
      <w:r>
        <w:continuationSeparator/>
      </w:r>
    </w:p>
  </w:footnote>
  <w:footnote w:id="1">
    <w:p w:rsidR="00CD716D" w:rsidRPr="00F348A6" w:rsidRDefault="00CD716D" w:rsidP="00CD716D">
      <w:pPr>
        <w:pStyle w:val="FootnoteText"/>
        <w:ind w:firstLine="0"/>
        <w:rPr>
          <w:rStyle w:val="Hyperlink"/>
          <w:rFonts w:ascii="Garamond" w:hAnsi="Garamond"/>
        </w:rPr>
      </w:pPr>
      <w:r w:rsidRPr="00F348A6">
        <w:rPr>
          <w:rStyle w:val="FootnoteReference"/>
          <w:rFonts w:ascii="Garamond" w:hAnsi="Garamond"/>
        </w:rPr>
        <w:footnoteRef/>
      </w:r>
      <w:r w:rsidRPr="00F348A6">
        <w:rPr>
          <w:rFonts w:ascii="Garamond" w:hAnsi="Garamond"/>
        </w:rPr>
        <w:t xml:space="preserve"> </w:t>
      </w:r>
      <w:r w:rsidRPr="00F348A6">
        <w:rPr>
          <w:rFonts w:ascii="Garamond" w:hAnsi="Garamond"/>
          <w:lang w:val="it-IT"/>
        </w:rPr>
        <w:t>VKM nr. 817, datë 28.12.2005, “Për miratimin e rregullores për procedurat dhe formën e njoftimit”.</w:t>
      </w:r>
    </w:p>
  </w:footnote>
  <w:footnote w:id="2">
    <w:p w:rsidR="00CD716D" w:rsidRPr="00F348A6" w:rsidRDefault="00CD716D" w:rsidP="00CD716D">
      <w:pPr>
        <w:pStyle w:val="FootnoteText"/>
        <w:ind w:firstLine="0"/>
        <w:rPr>
          <w:rFonts w:ascii="Garamond" w:hAnsi="Garamond"/>
        </w:rPr>
      </w:pPr>
      <w:r w:rsidRPr="00F348A6">
        <w:rPr>
          <w:rStyle w:val="FootnoteReference"/>
          <w:rFonts w:ascii="Garamond" w:hAnsi="Garamond"/>
        </w:rPr>
        <w:footnoteRef/>
      </w:r>
      <w:r w:rsidRPr="00F348A6">
        <w:rPr>
          <w:rFonts w:ascii="Garamond" w:hAnsi="Garamond"/>
        </w:rPr>
        <w:t xml:space="preserve"> </w:t>
      </w:r>
      <w:r w:rsidRPr="00F348A6">
        <w:rPr>
          <w:rFonts w:ascii="Garamond" w:hAnsi="Garamond"/>
        </w:rPr>
        <w:t>Ligji nr. 9374, datë 21.4.2005, “Për ndihmën shtetërore”, i ndryshuar.</w:t>
      </w:r>
    </w:p>
  </w:footnote>
  <w:footnote w:id="3">
    <w:p w:rsidR="00CD716D" w:rsidRPr="00F348A6" w:rsidRDefault="00CD716D" w:rsidP="00CD716D">
      <w:pPr>
        <w:spacing w:after="0" w:line="240" w:lineRule="auto"/>
        <w:ind w:firstLine="0"/>
        <w:rPr>
          <w:rFonts w:ascii="Garamond" w:hAnsi="Garamond"/>
          <w:b/>
          <w:sz w:val="20"/>
          <w:szCs w:val="20"/>
          <w:lang w:val="sq-AL"/>
        </w:rPr>
      </w:pPr>
      <w:r w:rsidRPr="00F348A6">
        <w:rPr>
          <w:rStyle w:val="FootnoteReference"/>
          <w:rFonts w:ascii="Garamond" w:hAnsi="Garamond"/>
          <w:sz w:val="20"/>
          <w:szCs w:val="20"/>
        </w:rPr>
        <w:footnoteRef/>
      </w:r>
      <w:r w:rsidRPr="00F348A6">
        <w:rPr>
          <w:rFonts w:ascii="Garamond" w:hAnsi="Garamond"/>
          <w:sz w:val="20"/>
          <w:szCs w:val="20"/>
          <w:lang w:val="sq-AL"/>
        </w:rPr>
        <w:t xml:space="preserve"> </w:t>
      </w:r>
      <w:r w:rsidRPr="00F348A6">
        <w:rPr>
          <w:rFonts w:ascii="Garamond" w:hAnsi="Garamond"/>
          <w:sz w:val="20"/>
          <w:szCs w:val="20"/>
          <w:lang w:val="sq-AL" w:eastAsia="hr-HR"/>
        </w:rPr>
        <w:t xml:space="preserve">Neni </w:t>
      </w:r>
      <w:r w:rsidRPr="00F348A6">
        <w:rPr>
          <w:rFonts w:ascii="Garamond" w:hAnsi="Garamond"/>
          <w:sz w:val="20"/>
          <w:szCs w:val="20"/>
          <w:lang w:val="sq-AL" w:eastAsia="hr-HR"/>
        </w:rPr>
        <w:t>17 “Detyrat dhe përgjegjësitë e Komisionit”, shkronja “f”, dhe neni 18, shkronja “g” “përgatit raportin vjetor”.</w:t>
      </w:r>
    </w:p>
  </w:footnote>
  <w:footnote w:id="4">
    <w:p w:rsidR="00CD716D" w:rsidRPr="00F348A6" w:rsidRDefault="00CD716D" w:rsidP="00CD716D">
      <w:pPr>
        <w:pStyle w:val="FootnoteText"/>
        <w:ind w:firstLine="0"/>
        <w:rPr>
          <w:rFonts w:ascii="Garamond" w:hAnsi="Garamond"/>
        </w:rPr>
      </w:pPr>
      <w:r w:rsidRPr="00F348A6">
        <w:rPr>
          <w:rStyle w:val="FootnoteReference"/>
          <w:rFonts w:ascii="Garamond" w:hAnsi="Garamond"/>
        </w:rPr>
        <w:footnoteRef/>
      </w:r>
      <w:r w:rsidRPr="00F348A6">
        <w:rPr>
          <w:rFonts w:ascii="Garamond" w:hAnsi="Garamond"/>
        </w:rPr>
        <w:t xml:space="preserve"> </w:t>
      </w:r>
      <w:r w:rsidRPr="00F348A6">
        <w:rPr>
          <w:rFonts w:ascii="Garamond" w:hAnsi="Garamond"/>
        </w:rPr>
        <w:t>http://ec.europa.eu/competition/state_aid/scoreboard/index_en.html</w:t>
      </w:r>
    </w:p>
  </w:footnote>
  <w:footnote w:id="5">
    <w:p w:rsidR="00CD716D" w:rsidRPr="00F348A6" w:rsidRDefault="00CD716D" w:rsidP="00CD716D">
      <w:pPr>
        <w:pStyle w:val="FootnoteText"/>
        <w:ind w:firstLine="0"/>
        <w:rPr>
          <w:rFonts w:ascii="Garamond" w:hAnsi="Garamond"/>
        </w:rPr>
      </w:pPr>
      <w:r w:rsidRPr="00F348A6">
        <w:rPr>
          <w:rStyle w:val="FootnoteReference"/>
          <w:rFonts w:ascii="Garamond" w:hAnsi="Garamond"/>
        </w:rPr>
        <w:footnoteRef/>
      </w:r>
      <w:r w:rsidRPr="00F348A6">
        <w:rPr>
          <w:rFonts w:ascii="Garamond" w:hAnsi="Garamond"/>
        </w:rPr>
        <w:t xml:space="preserve"> </w:t>
      </w:r>
      <w:r w:rsidRPr="00F348A6">
        <w:rPr>
          <w:rFonts w:ascii="Garamond" w:hAnsi="Garamond"/>
        </w:rPr>
        <w:t>http://ec.europa.eu/competition/state_aid/scoreboard/index_en.html</w:t>
      </w:r>
    </w:p>
  </w:footnote>
  <w:footnote w:id="6">
    <w:p w:rsidR="00CD716D" w:rsidRPr="00F348A6" w:rsidRDefault="00CD716D" w:rsidP="00CD716D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firstLine="0"/>
        <w:rPr>
          <w:rStyle w:val="longtext"/>
          <w:rFonts w:ascii="Garamond" w:hAnsi="Garamond"/>
          <w:b w:val="0"/>
          <w:sz w:val="20"/>
          <w:szCs w:val="20"/>
          <w:lang w:val="sq-AL"/>
        </w:rPr>
      </w:pP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</w:rPr>
        <w:footnoteRef/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 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Vendimi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i KNSH-së nr. 24, datë 2.5.2008, “Për përcaktimin e kushteve dhe procedurave për rimbursimin e akcizës së lëndëve djegëse, të konsumuar në serat me ngrohje për prodhimin e produkteve industriale dhe agroindustriale, të cilat përdoren për nevojat teknologjike të prodhimit”. </w:t>
      </w:r>
    </w:p>
  </w:footnote>
  <w:footnote w:id="7">
    <w:p w:rsidR="00CD716D" w:rsidRPr="00F348A6" w:rsidRDefault="00CD716D" w:rsidP="00CD716D">
      <w:pPr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/>
          <w:sz w:val="20"/>
          <w:szCs w:val="20"/>
        </w:rPr>
      </w:pPr>
      <w:r w:rsidRPr="00F348A6">
        <w:rPr>
          <w:rStyle w:val="FootnoteReference"/>
          <w:rFonts w:ascii="Garamond" w:hAnsi="Garamond"/>
          <w:sz w:val="20"/>
          <w:szCs w:val="20"/>
        </w:rPr>
        <w:footnoteRef/>
      </w:r>
      <w:r w:rsidRPr="00F348A6">
        <w:rPr>
          <w:rFonts w:ascii="Garamond" w:hAnsi="Garamond"/>
          <w:sz w:val="20"/>
          <w:szCs w:val="20"/>
          <w:vertAlign w:val="superscript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Ku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>përfshihet 597.087 mijë lekë akciza për bikoraburantet dhe 533.774 për lëndët djegëse të konsumuara në serra.</w:t>
      </w:r>
    </w:p>
  </w:footnote>
  <w:footnote w:id="8">
    <w:p w:rsidR="00CD716D" w:rsidRPr="00F348A6" w:rsidRDefault="00CD716D" w:rsidP="00CD716D">
      <w:pPr>
        <w:tabs>
          <w:tab w:val="left" w:pos="8222"/>
          <w:tab w:val="left" w:pos="8364"/>
          <w:tab w:val="left" w:pos="8505"/>
          <w:tab w:val="left" w:pos="8789"/>
        </w:tabs>
        <w:autoSpaceDE w:val="0"/>
        <w:autoSpaceDN w:val="0"/>
        <w:adjustRightInd w:val="0"/>
        <w:spacing w:after="0" w:line="240" w:lineRule="auto"/>
        <w:ind w:firstLine="0"/>
        <w:rPr>
          <w:rStyle w:val="longtext"/>
          <w:rFonts w:ascii="Garamond" w:hAnsi="Garamond"/>
          <w:b w:val="0"/>
          <w:sz w:val="20"/>
          <w:szCs w:val="20"/>
          <w:shd w:val="clear" w:color="auto" w:fill="FFFFFF"/>
          <w:lang w:val="sq-AL"/>
        </w:rPr>
      </w:pP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</w:rPr>
        <w:footnoteRef/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Vendimi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i KNSH-së nr. 17, datë 16.7.2007, “Për skemën e shtyrjes së pagesës së TVSH-së makinerive dhe pajisjeve të importuara, si dhe të energjisë elektrike të importuar nga KESH sh.a.”. </w:t>
      </w:r>
    </w:p>
  </w:footnote>
  <w:footnote w:id="9">
    <w:p w:rsidR="00CD716D" w:rsidRPr="00F348A6" w:rsidRDefault="00CD716D" w:rsidP="00CD716D">
      <w:pPr>
        <w:autoSpaceDE w:val="0"/>
        <w:autoSpaceDN w:val="0"/>
        <w:adjustRightInd w:val="0"/>
        <w:spacing w:after="0" w:line="240" w:lineRule="auto"/>
        <w:ind w:firstLine="0"/>
        <w:rPr>
          <w:rStyle w:val="longtext"/>
          <w:rFonts w:ascii="Garamond" w:hAnsi="Garamond"/>
          <w:b w:val="0"/>
          <w:sz w:val="20"/>
          <w:szCs w:val="20"/>
          <w:shd w:val="clear" w:color="auto" w:fill="FFFFFF"/>
          <w:lang w:val="it-IT"/>
        </w:rPr>
      </w:pP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</w:rPr>
        <w:footnoteRef/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  <w:lang w:val="it-IT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it-IT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Vendimi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i KNSH-së nr.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it-IT"/>
        </w:rPr>
        <w:t>12, datë 15.3.2007, “Për skemën ekzistuese “Për programin e nxitjes së punësimit, nëpërmjet formimit  në punë””.</w:t>
      </w:r>
    </w:p>
  </w:footnote>
  <w:footnote w:id="10">
    <w:p w:rsidR="00CD716D" w:rsidRPr="00F348A6" w:rsidRDefault="00CD716D" w:rsidP="00CD716D">
      <w:pPr>
        <w:autoSpaceDE w:val="0"/>
        <w:autoSpaceDN w:val="0"/>
        <w:adjustRightInd w:val="0"/>
        <w:spacing w:after="0" w:line="240" w:lineRule="auto"/>
        <w:ind w:firstLine="0"/>
        <w:rPr>
          <w:rStyle w:val="longtext"/>
          <w:rFonts w:ascii="Garamond" w:hAnsi="Garamond"/>
          <w:b w:val="0"/>
          <w:sz w:val="20"/>
          <w:szCs w:val="20"/>
          <w:shd w:val="clear" w:color="auto" w:fill="FFFFFF"/>
          <w:lang w:val="it-IT"/>
        </w:rPr>
      </w:pP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</w:rPr>
        <w:footnoteRef/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it-IT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Vendimi i KNSH-së nr.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it-IT"/>
        </w:rPr>
        <w:t>11, datë 15.3.2007, “Për skemën ekzistuese “Për programin e nxitjes së punësimit, të punëkërkuesve të papunë””.</w:t>
      </w:r>
    </w:p>
  </w:footnote>
  <w:footnote w:id="11">
    <w:p w:rsidR="00CD716D" w:rsidRPr="00F348A6" w:rsidRDefault="00CD716D" w:rsidP="00CD716D">
      <w:pPr>
        <w:spacing w:after="0" w:line="240" w:lineRule="auto"/>
        <w:ind w:firstLine="0"/>
        <w:rPr>
          <w:rStyle w:val="longtext"/>
          <w:rFonts w:ascii="Garamond" w:hAnsi="Garamond"/>
          <w:b w:val="0"/>
          <w:sz w:val="20"/>
          <w:szCs w:val="20"/>
          <w:shd w:val="clear" w:color="auto" w:fill="FFFFFF"/>
        </w:rPr>
      </w:pP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  <w:lang w:val="sq-AL"/>
        </w:rPr>
        <w:footnoteRef/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>Vendimi i KNSH-së nr. 13, datë 15.3.2007, “Për skemën ekzistuese “Për programin e nxitjes së punësimit, nëpërmjet formimit institucional””.</w:t>
      </w:r>
    </w:p>
  </w:footnote>
  <w:footnote w:id="12">
    <w:p w:rsidR="00CD716D" w:rsidRPr="00F348A6" w:rsidRDefault="00CD716D" w:rsidP="00CD716D">
      <w:pPr>
        <w:spacing w:after="0" w:line="240" w:lineRule="auto"/>
        <w:ind w:firstLine="0"/>
        <w:rPr>
          <w:rStyle w:val="longtext"/>
          <w:rFonts w:ascii="Garamond" w:hAnsi="Garamond"/>
          <w:b w:val="0"/>
          <w:sz w:val="20"/>
          <w:szCs w:val="20"/>
          <w:shd w:val="clear" w:color="auto" w:fill="FFFFFF"/>
        </w:rPr>
      </w:pP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  <w:lang w:val="sq-AL"/>
        </w:rPr>
        <w:footnoteRef/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Vendimi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i KNSH-së nr. 38, datë 19.9.2011, “Për planin e dhënies së ndihmës shtetërore “Për programin e nxitjes së punësimit të femrave nga grupet e veçanta”’. </w:t>
      </w:r>
    </w:p>
  </w:footnote>
  <w:footnote w:id="13">
    <w:p w:rsidR="00CD716D" w:rsidRPr="00F348A6" w:rsidRDefault="00CD716D" w:rsidP="00CD716D">
      <w:pPr>
        <w:spacing w:after="0" w:line="240" w:lineRule="auto"/>
        <w:ind w:firstLine="0"/>
        <w:rPr>
          <w:rStyle w:val="longtext"/>
          <w:rFonts w:ascii="Garamond" w:hAnsi="Garamond"/>
          <w:b w:val="0"/>
          <w:sz w:val="20"/>
          <w:szCs w:val="20"/>
          <w:shd w:val="clear" w:color="auto" w:fill="FFFFFF"/>
        </w:rPr>
      </w:pP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  <w:lang w:val="sq-AL"/>
        </w:rPr>
        <w:footnoteRef/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Vendimi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>i KNSH-së nr. 39, datë 19.9.2011, “Për planin e dhënies së ndihmës shtetërore “Për masën e financimit, kriteret dhe procedurat e zbatimit të programit të nxitjes së punësimit të punëkërkuesve të papunë që hyjnë për herë të parë në punë””.</w:t>
      </w:r>
    </w:p>
  </w:footnote>
  <w:footnote w:id="14">
    <w:p w:rsidR="00CD716D" w:rsidRPr="00F348A6" w:rsidRDefault="00CD716D" w:rsidP="00CD716D">
      <w:pPr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</w:rPr>
        <w:footnoteRef/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Vendimi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>i KNSH-së nr. 47, datë 28.3.2014, “Për planin e dhënies së ndihmës shtetërore “Për programin e nxitjes së punësimit të personave me aftësi të kufizuar””.</w:t>
      </w:r>
      <w:r w:rsidRPr="00F348A6">
        <w:rPr>
          <w:rFonts w:ascii="Garamond" w:hAnsi="Garamond"/>
          <w:bCs/>
          <w:sz w:val="20"/>
          <w:szCs w:val="20"/>
          <w:lang w:val="sq-AL"/>
        </w:rPr>
        <w:t xml:space="preserve"> </w:t>
      </w:r>
    </w:p>
  </w:footnote>
  <w:footnote w:id="15">
    <w:p w:rsidR="00CD716D" w:rsidRPr="00F348A6" w:rsidRDefault="00CD716D" w:rsidP="00CD716D">
      <w:pPr>
        <w:spacing w:after="0" w:line="240" w:lineRule="auto"/>
        <w:ind w:firstLine="0"/>
        <w:rPr>
          <w:rFonts w:ascii="Garamond" w:hAnsi="Garamond"/>
          <w:sz w:val="20"/>
          <w:szCs w:val="20"/>
          <w:shd w:val="clear" w:color="auto" w:fill="FFFFFF"/>
          <w:lang w:val="sq-AL" w:eastAsia="pl-PL"/>
        </w:rPr>
      </w:pP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  <w:lang w:val="sq-AL"/>
        </w:rPr>
        <w:footnoteRef/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Vendimi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i KNSH-së nr. 45, datë 28.3.2014, “Për planin e dhënies së ndihmës shtetërore “Për krijimin e fondit të ekonomisë kreative (artizanati)””. </w:t>
      </w:r>
    </w:p>
  </w:footnote>
  <w:footnote w:id="16">
    <w:p w:rsidR="00CD716D" w:rsidRPr="00F348A6" w:rsidRDefault="00CD716D" w:rsidP="00CD716D">
      <w:pPr>
        <w:spacing w:after="0" w:line="240" w:lineRule="auto"/>
        <w:ind w:firstLine="0"/>
        <w:rPr>
          <w:rStyle w:val="longtext"/>
          <w:rFonts w:ascii="Garamond" w:hAnsi="Garamond"/>
          <w:b w:val="0"/>
          <w:sz w:val="20"/>
          <w:szCs w:val="20"/>
          <w:shd w:val="clear" w:color="auto" w:fill="FFFFFF"/>
          <w:lang w:val="sq-AL"/>
        </w:rPr>
      </w:pP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  <w:lang w:val="sq-AL"/>
        </w:rPr>
        <w:footnoteRef/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  <w:lang w:val="sq-AL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Vendimi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>i KNSH-së nr. 10, datë 2.2.2007, “Për planin e dhënies së ndihmës shtetërore për grantin “Për krijimin e fondit shqiptar të konkurrueshmërisë””.</w:t>
      </w:r>
    </w:p>
  </w:footnote>
  <w:footnote w:id="17">
    <w:p w:rsidR="00CD716D" w:rsidRPr="00EA2000" w:rsidRDefault="00CD716D" w:rsidP="00CD716D">
      <w:pPr>
        <w:pStyle w:val="FootnoteText"/>
        <w:ind w:firstLine="0"/>
        <w:rPr>
          <w:rFonts w:ascii="Garamond" w:hAnsi="Garamond"/>
        </w:rPr>
      </w:pPr>
      <w:r w:rsidRPr="00EA2000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</w:rPr>
        <w:footnoteRef/>
      </w:r>
      <w:r w:rsidRPr="00EA2000">
        <w:rPr>
          <w:rStyle w:val="longtext"/>
          <w:rFonts w:ascii="Garamond" w:hAnsi="Garamond"/>
          <w:sz w:val="20"/>
          <w:szCs w:val="20"/>
          <w:shd w:val="clear" w:color="auto" w:fill="FFFFFF"/>
        </w:rPr>
        <w:t xml:space="preserve"> </w:t>
      </w:r>
      <w:r w:rsidRPr="00EA2000">
        <w:rPr>
          <w:rStyle w:val="longtext"/>
          <w:rFonts w:ascii="Garamond" w:hAnsi="Garamond"/>
          <w:sz w:val="20"/>
          <w:szCs w:val="20"/>
          <w:shd w:val="clear" w:color="auto" w:fill="FFFFFF"/>
        </w:rPr>
        <w:t>Vendimi i KNSH-së nr. 53, datë 26.1.2015, “Për skemën e ndihmës shtetërore në vendimin e Këshillit të Ministrave nr. 411, datë 20.6.2014, “Për bashkëfinancimin e projektit të stadiumit “Ruzhdi Bizhuta” Elbasan, dhe financimin e Parkut Olimpik të Tiranës””.</w:t>
      </w:r>
    </w:p>
  </w:footnote>
  <w:footnote w:id="18">
    <w:p w:rsidR="00CD716D" w:rsidRPr="00F348A6" w:rsidRDefault="00CD716D" w:rsidP="00CD716D">
      <w:pPr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Arial"/>
          <w:b/>
          <w:bCs/>
          <w:sz w:val="20"/>
          <w:szCs w:val="20"/>
          <w:lang w:val="sq-AL"/>
        </w:rPr>
      </w:pP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vertAlign w:val="superscript"/>
        </w:rPr>
        <w:footnoteRef/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</w:rPr>
        <w:t xml:space="preserve">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  <w:lang w:val="sq-AL"/>
        </w:rPr>
        <w:t xml:space="preserve">Vendimi i KNSH-së nr. </w:t>
      </w:r>
      <w:r w:rsidRPr="00F348A6">
        <w:rPr>
          <w:rStyle w:val="longtext"/>
          <w:rFonts w:ascii="Garamond" w:hAnsi="Garamond"/>
          <w:sz w:val="20"/>
          <w:szCs w:val="20"/>
          <w:shd w:val="clear" w:color="auto" w:fill="FFFFFF"/>
        </w:rPr>
        <w:t>5, datë 20.10.2006, “Për skemën ekzistuese të subvencionimit të ndërmarrjeve të ujësjellësit”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CD716D" w:rsidRPr="00EB260B" w:rsidTr="001F512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CD716D" w:rsidRPr="00EB260B" w:rsidRDefault="00CD716D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CD716D" w:rsidRPr="00EB260B" w:rsidRDefault="00CD716D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DD8668A" wp14:editId="01E2A509">
                <wp:extent cx="304524" cy="427512"/>
                <wp:effectExtent l="0" t="0" r="635" b="0"/>
                <wp:docPr id="3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CD716D" w:rsidRPr="00EB260B" w:rsidRDefault="00CD716D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135</w:t>
          </w:r>
        </w:p>
      </w:tc>
    </w:tr>
  </w:tbl>
  <w:p w:rsidR="00CD716D" w:rsidRPr="00385E2C" w:rsidRDefault="00CD716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6D" w:rsidRDefault="00CD716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CD716D" w:rsidRPr="00EB260B" w:rsidTr="00FE5FB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CD716D" w:rsidRPr="00EB260B" w:rsidRDefault="00CD716D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CD716D" w:rsidRPr="00EB260B" w:rsidRDefault="00CD716D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8CB6930" wp14:editId="6E8F33B9">
                <wp:extent cx="304524" cy="427512"/>
                <wp:effectExtent l="0" t="0" r="635" b="0"/>
                <wp:docPr id="34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CD716D" w:rsidRPr="00EB260B" w:rsidRDefault="00CD716D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135</w:t>
          </w:r>
        </w:p>
      </w:tc>
    </w:tr>
  </w:tbl>
  <w:p w:rsidR="00CD716D" w:rsidRPr="00385E2C" w:rsidRDefault="00CD716D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573"/>
      <w:gridCol w:w="3617"/>
      <w:gridCol w:w="3052"/>
    </w:tblGrid>
    <w:tr w:rsidR="00252E66" w:rsidRPr="00EB260B" w:rsidTr="00FE5FB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252E66" w:rsidRPr="00EB260B" w:rsidRDefault="00252E66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252E66" w:rsidRPr="00EB260B" w:rsidRDefault="00252E66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CBC6481" wp14:editId="52687AC2">
                <wp:extent cx="304524" cy="427512"/>
                <wp:effectExtent l="0" t="0" r="635" b="0"/>
                <wp:docPr id="23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252E66" w:rsidRPr="00EB260B" w:rsidRDefault="00252E66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135</w:t>
          </w:r>
        </w:p>
      </w:tc>
    </w:tr>
  </w:tbl>
  <w:p w:rsidR="00252E66" w:rsidRPr="00385E2C" w:rsidRDefault="00252E66" w:rsidP="00385E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53D56"/>
    <w:multiLevelType w:val="hybridMultilevel"/>
    <w:tmpl w:val="79F2951C"/>
    <w:lvl w:ilvl="0" w:tplc="7F6CD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E66"/>
    <w:rsid w:val="00252E66"/>
    <w:rsid w:val="00410B77"/>
    <w:rsid w:val="004C2C66"/>
    <w:rsid w:val="00CD716D"/>
    <w:rsid w:val="00D31118"/>
    <w:rsid w:val="00EA2000"/>
    <w:rsid w:val="00F4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E6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52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52E6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2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E66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252E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52E66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252E66"/>
    <w:rPr>
      <w:sz w:val="14"/>
      <w:szCs w:val="24"/>
    </w:rPr>
  </w:style>
  <w:style w:type="character" w:styleId="Hyperlink">
    <w:name w:val="Hyperlink"/>
    <w:unhideWhenUsed/>
    <w:rsid w:val="00252E66"/>
    <w:rPr>
      <w:color w:val="0000FF"/>
      <w:u w:val="single"/>
    </w:rPr>
  </w:style>
  <w:style w:type="paragraph" w:customStyle="1" w:styleId="Default">
    <w:name w:val="Default"/>
    <w:rsid w:val="00252E6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252E6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252E66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rsid w:val="00252E66"/>
    <w:rPr>
      <w:vertAlign w:val="superscript"/>
    </w:rPr>
  </w:style>
  <w:style w:type="character" w:customStyle="1" w:styleId="hps">
    <w:name w:val="hps"/>
    <w:basedOn w:val="DefaultParagraphFont"/>
    <w:rsid w:val="00252E66"/>
  </w:style>
  <w:style w:type="character" w:customStyle="1" w:styleId="longtext">
    <w:name w:val="long_text"/>
    <w:rsid w:val="00252E66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ManualNumPar1">
    <w:name w:val="Manual NumPar 1"/>
    <w:basedOn w:val="Normal"/>
    <w:next w:val="Normal"/>
    <w:rsid w:val="00252E66"/>
    <w:pPr>
      <w:spacing w:before="120" w:after="120" w:line="240" w:lineRule="auto"/>
      <w:ind w:left="851" w:hanging="851"/>
    </w:pPr>
    <w:rPr>
      <w:rFonts w:ascii="Times New Roman" w:eastAsia="Times New Roman" w:hAnsi="Times New Roman"/>
      <w:sz w:val="24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E66"/>
    <w:rPr>
      <w:rFonts w:ascii="Tahoma" w:eastAsia="Calibri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43B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B87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E6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52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52E6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2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E66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252E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52E66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252E66"/>
    <w:rPr>
      <w:sz w:val="14"/>
      <w:szCs w:val="24"/>
    </w:rPr>
  </w:style>
  <w:style w:type="character" w:styleId="Hyperlink">
    <w:name w:val="Hyperlink"/>
    <w:unhideWhenUsed/>
    <w:rsid w:val="00252E66"/>
    <w:rPr>
      <w:color w:val="0000FF"/>
      <w:u w:val="single"/>
    </w:rPr>
  </w:style>
  <w:style w:type="paragraph" w:customStyle="1" w:styleId="Default">
    <w:name w:val="Default"/>
    <w:rsid w:val="00252E6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252E6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252E66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rsid w:val="00252E66"/>
    <w:rPr>
      <w:vertAlign w:val="superscript"/>
    </w:rPr>
  </w:style>
  <w:style w:type="character" w:customStyle="1" w:styleId="hps">
    <w:name w:val="hps"/>
    <w:basedOn w:val="DefaultParagraphFont"/>
    <w:rsid w:val="00252E66"/>
  </w:style>
  <w:style w:type="character" w:customStyle="1" w:styleId="longtext">
    <w:name w:val="long_text"/>
    <w:rsid w:val="00252E66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ManualNumPar1">
    <w:name w:val="Manual NumPar 1"/>
    <w:basedOn w:val="Normal"/>
    <w:next w:val="Normal"/>
    <w:rsid w:val="00252E66"/>
    <w:pPr>
      <w:spacing w:before="120" w:after="120" w:line="240" w:lineRule="auto"/>
      <w:ind w:left="851" w:hanging="851"/>
    </w:pPr>
    <w:rPr>
      <w:rFonts w:ascii="Times New Roman" w:eastAsia="Times New Roman" w:hAnsi="Times New Roman"/>
      <w:sz w:val="24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E66"/>
    <w:rPr>
      <w:rFonts w:ascii="Tahoma" w:eastAsia="Calibri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43B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B87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emf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4.png"/><Relationship Id="rId10" Type="http://schemas.openxmlformats.org/officeDocument/2006/relationships/image" Target="media/image2.emf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6.png"/><Relationship Id="rId22" Type="http://schemas.openxmlformats.org/officeDocument/2006/relationships/image" Target="media/image1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2898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6</cp:revision>
  <dcterms:created xsi:type="dcterms:W3CDTF">2016-08-15T08:03:00Z</dcterms:created>
  <dcterms:modified xsi:type="dcterms:W3CDTF">2018-01-22T09:52:00Z</dcterms:modified>
</cp:coreProperties>
</file>