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681F0E" w14:textId="77777777" w:rsidR="0071099C" w:rsidRPr="00444D18" w:rsidRDefault="0071099C" w:rsidP="0071099C">
      <w:pPr>
        <w:pStyle w:val="Paragrafi"/>
        <w:jc w:val="center"/>
        <w:rPr>
          <w:b/>
          <w:lang w:val="sq-AL"/>
        </w:rPr>
      </w:pPr>
      <w:r w:rsidRPr="00444D18">
        <w:rPr>
          <w:b/>
          <w:lang w:val="sq-AL"/>
        </w:rPr>
        <w:t>VENDIM</w:t>
      </w:r>
    </w:p>
    <w:p w14:paraId="4C681F0F" w14:textId="77777777" w:rsidR="0071099C" w:rsidRPr="00444D18" w:rsidRDefault="0071099C" w:rsidP="0071099C">
      <w:pPr>
        <w:pStyle w:val="Paragrafi"/>
        <w:jc w:val="center"/>
        <w:rPr>
          <w:b/>
          <w:lang w:val="sq-AL"/>
        </w:rPr>
      </w:pPr>
      <w:r w:rsidRPr="00444D18">
        <w:rPr>
          <w:b/>
          <w:lang w:val="sq-AL"/>
        </w:rPr>
        <w:t>Nr. 519, datë 13.7.2016</w:t>
      </w:r>
    </w:p>
    <w:p w14:paraId="4C681F10" w14:textId="77777777" w:rsidR="0071099C" w:rsidRPr="00444D18" w:rsidRDefault="0071099C" w:rsidP="0071099C">
      <w:pPr>
        <w:pStyle w:val="Hapesira7"/>
        <w:rPr>
          <w:lang w:val="sq-AL"/>
        </w:rPr>
      </w:pPr>
    </w:p>
    <w:p w14:paraId="4C681F11" w14:textId="77777777" w:rsidR="0071099C" w:rsidRPr="00444D18" w:rsidRDefault="0071099C" w:rsidP="0071099C">
      <w:pPr>
        <w:pStyle w:val="Paragrafi"/>
        <w:jc w:val="center"/>
        <w:rPr>
          <w:b/>
          <w:lang w:val="sq-AL"/>
        </w:rPr>
      </w:pPr>
      <w:r w:rsidRPr="00444D18">
        <w:rPr>
          <w:b/>
          <w:lang w:val="sq-AL"/>
        </w:rPr>
        <w:t>PËR MIRATIMIN E MODELIT TË TREGUT TË ENERGJISË ELEKTRIKE</w:t>
      </w:r>
    </w:p>
    <w:p w14:paraId="2BAAAF5F" w14:textId="77777777" w:rsidR="002D2EE4" w:rsidRPr="00444D18" w:rsidRDefault="002D2EE4" w:rsidP="0071099C">
      <w:pPr>
        <w:pStyle w:val="Paragrafi"/>
        <w:jc w:val="center"/>
        <w:rPr>
          <w:i/>
          <w:lang w:val="sq-AL"/>
        </w:rPr>
      </w:pPr>
      <w:r w:rsidRPr="00444D18">
        <w:rPr>
          <w:i/>
          <w:lang w:val="sq-AL"/>
        </w:rPr>
        <w:t>(ndryshuar me VKM-në nr. 872, datë 27.12.2022)</w:t>
      </w:r>
    </w:p>
    <w:p w14:paraId="0D4B7C7B" w14:textId="2100B537" w:rsidR="00B8529D" w:rsidRPr="00444D18" w:rsidRDefault="00B8529D" w:rsidP="00B8529D">
      <w:pPr>
        <w:pStyle w:val="Paragrafi"/>
        <w:jc w:val="right"/>
        <w:rPr>
          <w:i/>
          <w:lang w:val="sq-AL"/>
        </w:rPr>
      </w:pPr>
      <w:r w:rsidRPr="00444D18">
        <w:rPr>
          <w:i/>
          <w:lang w:val="sq-AL"/>
        </w:rPr>
        <w:t>(i përditësuar)</w:t>
      </w:r>
    </w:p>
    <w:p w14:paraId="4C681F12" w14:textId="77777777" w:rsidR="0071099C" w:rsidRPr="00444D18" w:rsidRDefault="0071099C" w:rsidP="0071099C">
      <w:pPr>
        <w:pStyle w:val="Hapesira7"/>
        <w:rPr>
          <w:lang w:val="sq-AL"/>
        </w:rPr>
      </w:pPr>
    </w:p>
    <w:p w14:paraId="4C681F13" w14:textId="77777777" w:rsidR="0071099C" w:rsidRPr="00444D18" w:rsidRDefault="0071099C" w:rsidP="0071099C">
      <w:pPr>
        <w:pStyle w:val="Paragrafi"/>
        <w:rPr>
          <w:lang w:val="sq-AL"/>
        </w:rPr>
      </w:pPr>
      <w:r w:rsidRPr="00444D18">
        <w:rPr>
          <w:lang w:val="sq-AL"/>
        </w:rPr>
        <w:t>Në mbështetje të nenit 100 të Kushtetutës dhe të pikës 3, të nenit 97, të ligjit nr. 43/2015, “Për sektorin e energjisë elektrike”, me propo-zimin e ministrit të Energjisë dhe Industrisë, Këshilli i Ministrave</w:t>
      </w:r>
    </w:p>
    <w:p w14:paraId="4C681F14" w14:textId="77777777" w:rsidR="0071099C" w:rsidRPr="00444D18" w:rsidRDefault="0071099C" w:rsidP="0071099C">
      <w:pPr>
        <w:pStyle w:val="Hapesira7"/>
        <w:rPr>
          <w:lang w:val="sq-AL"/>
        </w:rPr>
      </w:pPr>
    </w:p>
    <w:p w14:paraId="4C681F15" w14:textId="77777777" w:rsidR="0071099C" w:rsidRPr="00444D18" w:rsidRDefault="0071099C" w:rsidP="0071099C">
      <w:pPr>
        <w:pStyle w:val="Paragrafi"/>
        <w:jc w:val="center"/>
        <w:rPr>
          <w:lang w:val="sq-AL"/>
        </w:rPr>
      </w:pPr>
      <w:r w:rsidRPr="00444D18">
        <w:rPr>
          <w:lang w:val="sq-AL"/>
        </w:rPr>
        <w:t>VENDOSI:</w:t>
      </w:r>
    </w:p>
    <w:p w14:paraId="4C681F16" w14:textId="77777777" w:rsidR="0071099C" w:rsidRPr="00444D18" w:rsidRDefault="0071099C" w:rsidP="0071099C">
      <w:pPr>
        <w:pStyle w:val="Hapesira7"/>
        <w:rPr>
          <w:lang w:val="sq-AL"/>
        </w:rPr>
      </w:pPr>
    </w:p>
    <w:p w14:paraId="4C681F17" w14:textId="77777777" w:rsidR="0071099C" w:rsidRPr="00444D18" w:rsidRDefault="0071099C" w:rsidP="0071099C">
      <w:pPr>
        <w:pStyle w:val="Paragrafi"/>
        <w:rPr>
          <w:lang w:val="sq-AL"/>
        </w:rPr>
      </w:pPr>
      <w:r w:rsidRPr="00444D18">
        <w:rPr>
          <w:lang w:val="sq-AL"/>
        </w:rPr>
        <w:t>1. Miratimin e modelit të tregut të energjisë elektrike, sipas tekstit që i bashkëlidhet këtij vendimi.</w:t>
      </w:r>
    </w:p>
    <w:p w14:paraId="4C681F18" w14:textId="77777777" w:rsidR="0071099C" w:rsidRPr="00444D18" w:rsidRDefault="0071099C" w:rsidP="0071099C">
      <w:pPr>
        <w:pStyle w:val="Paragrafi"/>
        <w:rPr>
          <w:lang w:val="sq-AL"/>
        </w:rPr>
      </w:pPr>
      <w:r w:rsidRPr="00444D18">
        <w:rPr>
          <w:lang w:val="sq-AL"/>
        </w:rPr>
        <w:t>2. Ngarkohen Ministria e Energjisë dhe Industrisë, OSHEE sh.a., OST sh.a. dhe KESH sh.a. për zbatimin e këtij vendimi.</w:t>
      </w:r>
    </w:p>
    <w:p w14:paraId="4C681F19" w14:textId="77777777" w:rsidR="0071099C" w:rsidRPr="00444D18" w:rsidRDefault="0071099C" w:rsidP="0071099C">
      <w:pPr>
        <w:pStyle w:val="Paragrafi"/>
        <w:rPr>
          <w:lang w:val="sq-AL"/>
        </w:rPr>
      </w:pPr>
      <w:r w:rsidRPr="00444D18">
        <w:rPr>
          <w:lang w:val="sq-AL"/>
        </w:rPr>
        <w:t>Ky vendim hyn në fuqi pas botimit në Fletoren Zyrtare.</w:t>
      </w:r>
    </w:p>
    <w:p w14:paraId="4C681F1A" w14:textId="77777777" w:rsidR="0071099C" w:rsidRPr="00444D18" w:rsidRDefault="0071099C" w:rsidP="0071099C">
      <w:pPr>
        <w:pStyle w:val="Hapesira7"/>
        <w:rPr>
          <w:lang w:val="sq-AL"/>
        </w:rPr>
      </w:pPr>
    </w:p>
    <w:p w14:paraId="4C681F1B" w14:textId="77777777" w:rsidR="0071099C" w:rsidRPr="00444D18" w:rsidRDefault="0071099C" w:rsidP="0071099C">
      <w:pPr>
        <w:pStyle w:val="Paragrafi"/>
        <w:jc w:val="right"/>
        <w:rPr>
          <w:lang w:val="sq-AL"/>
        </w:rPr>
      </w:pPr>
      <w:r w:rsidRPr="00444D18">
        <w:rPr>
          <w:lang w:val="sq-AL"/>
        </w:rPr>
        <w:t>ZËVENDËSKRYEMINISTRI</w:t>
      </w:r>
    </w:p>
    <w:p w14:paraId="4C681F1C" w14:textId="77777777" w:rsidR="0071099C" w:rsidRPr="00444D18" w:rsidRDefault="0071099C" w:rsidP="0071099C">
      <w:pPr>
        <w:pStyle w:val="Paragrafi"/>
        <w:jc w:val="right"/>
        <w:rPr>
          <w:b/>
          <w:lang w:val="sq-AL"/>
        </w:rPr>
      </w:pPr>
      <w:r w:rsidRPr="00444D18">
        <w:rPr>
          <w:b/>
          <w:lang w:val="sq-AL"/>
        </w:rPr>
        <w:t>Niko Peleshi</w:t>
      </w:r>
    </w:p>
    <w:p w14:paraId="4C681F1D" w14:textId="77777777" w:rsidR="0071099C" w:rsidRPr="00444D18" w:rsidRDefault="0071099C" w:rsidP="0071099C">
      <w:pPr>
        <w:pStyle w:val="Paragrafi"/>
        <w:jc w:val="right"/>
        <w:rPr>
          <w:b/>
          <w:sz w:val="12"/>
          <w:lang w:val="sq-AL"/>
        </w:rPr>
      </w:pPr>
    </w:p>
    <w:p w14:paraId="4C681F1E" w14:textId="77777777" w:rsidR="0071099C" w:rsidRPr="00444D18" w:rsidRDefault="0071099C" w:rsidP="0071099C">
      <w:pPr>
        <w:pStyle w:val="Paragrafi"/>
        <w:jc w:val="center"/>
        <w:rPr>
          <w:lang w:val="sq-AL"/>
        </w:rPr>
      </w:pPr>
      <w:r w:rsidRPr="00444D18">
        <w:rPr>
          <w:lang w:val="sq-AL"/>
        </w:rPr>
        <w:t>MODELI SHQIPTAR I TREGUT</w:t>
      </w:r>
    </w:p>
    <w:p w14:paraId="20818008" w14:textId="77777777" w:rsidR="002D2EE4" w:rsidRPr="00444D18" w:rsidRDefault="002D2EE4" w:rsidP="002D2EE4">
      <w:pPr>
        <w:pStyle w:val="Paragrafi"/>
        <w:jc w:val="center"/>
        <w:rPr>
          <w:i/>
          <w:lang w:val="sq-AL"/>
        </w:rPr>
      </w:pPr>
      <w:r w:rsidRPr="00444D18">
        <w:rPr>
          <w:i/>
          <w:lang w:val="sq-AL"/>
        </w:rPr>
        <w:t>(ndryshuar me VKM-në nr. 872, datë 27.12.2022)</w:t>
      </w:r>
    </w:p>
    <w:p w14:paraId="23197119" w14:textId="77777777" w:rsidR="002D2EE4" w:rsidRPr="00444D18" w:rsidRDefault="002D2EE4" w:rsidP="0071099C">
      <w:pPr>
        <w:pStyle w:val="Paragrafi"/>
        <w:jc w:val="center"/>
        <w:rPr>
          <w:lang w:val="sq-AL"/>
        </w:rPr>
      </w:pPr>
    </w:p>
    <w:p w14:paraId="4C681F1F" w14:textId="77777777" w:rsidR="0071099C" w:rsidRPr="00444D18" w:rsidRDefault="0071099C" w:rsidP="0071099C">
      <w:pPr>
        <w:pStyle w:val="Paragrafi"/>
        <w:rPr>
          <w:lang w:val="sq-AL"/>
        </w:rPr>
      </w:pPr>
      <w:r w:rsidRPr="00444D18">
        <w:rPr>
          <w:b/>
          <w:lang w:val="sq-AL"/>
        </w:rPr>
        <w:t>Hyrje</w:t>
      </w:r>
    </w:p>
    <w:p w14:paraId="4C681F20" w14:textId="77777777" w:rsidR="0071099C" w:rsidRPr="00444D18" w:rsidRDefault="0071099C" w:rsidP="0071099C">
      <w:pPr>
        <w:pStyle w:val="Paragrafi"/>
        <w:rPr>
          <w:lang w:val="sq-AL"/>
        </w:rPr>
      </w:pPr>
      <w:r w:rsidRPr="00444D18">
        <w:rPr>
          <w:lang w:val="sq-AL"/>
        </w:rPr>
        <w:t>Zhvillimi dhe miratimi i Modelit Shqiptar të Tregut (MSHT) është hapi i fundit drejt zhvillimit të tregut të energjisë elektrike të Shqipërisë në një treg plotësisht konkurrues të energjisë, në përputhje me detyrimet e Traktatit të Komunitetit të Energjisë. Ky miratim është pjesë e reformës që qeveria e Shqipërisë ka ndërmarrë për rindërtimin e sektorit të energjisë elektrike, në përputhje me ligjin e ri nr. 43/2014, “Për sektorin e energjisë elektrike”, dhe politikat e qeverisë për zhvillimin e këtij sektori.</w:t>
      </w:r>
    </w:p>
    <w:p w14:paraId="4C681F21" w14:textId="77777777" w:rsidR="0071099C" w:rsidRPr="00444D18" w:rsidRDefault="0071099C" w:rsidP="0071099C">
      <w:pPr>
        <w:pStyle w:val="Paragrafi"/>
        <w:rPr>
          <w:lang w:val="sq-AL"/>
        </w:rPr>
      </w:pPr>
      <w:r w:rsidRPr="00444D18">
        <w:rPr>
          <w:lang w:val="sq-AL"/>
        </w:rPr>
        <w:t>Së pari, Modeli Shqiptar i Tregut (MSHT) është hartuar në bazë të kërkesave të Traktatit të Komunitetit të Energjisë për krijimin e tregut rajonal të energjisë elektrike, i cili është ratifikuar nga Kuvendi i Shqipërisë në vitin 2006. Në përputhje me detyrimet e Traktatit të Komunitetit të Energjisë, Shqipëria është angazhuar për zbatimin e paketës së tretë të energjisë, që është miratuar nga Këshilli i Ministrave të këtij Traktati në vitin 2011.</w:t>
      </w:r>
    </w:p>
    <w:p w14:paraId="4C681F22" w14:textId="77777777" w:rsidR="0071099C" w:rsidRPr="00444D18" w:rsidRDefault="0071099C" w:rsidP="0071099C">
      <w:pPr>
        <w:pStyle w:val="Paragrafi"/>
        <w:rPr>
          <w:lang w:val="sq-AL"/>
        </w:rPr>
      </w:pPr>
      <w:r w:rsidRPr="00444D18">
        <w:rPr>
          <w:lang w:val="sq-AL"/>
        </w:rPr>
        <w:t>Së dyti, Shqipëria është angazhuar në Samitin e Vjenës, më 27 gusht 2015, të zbatojë një sërë masash afatshkurtra, në kuadër të procesit të Berlinit (Ballkani Perëndimor 6). Modeli i tregut synon mbështetjen për zbatimin e angazhimeve të marra në kuadër të ligjit nr. 43/2015, “Për sektorin e energjisë elektrike”, dhe akteve nënligjore përkatëse.</w:t>
      </w:r>
    </w:p>
    <w:p w14:paraId="4C681F23" w14:textId="77777777" w:rsidR="0071099C" w:rsidRPr="00444D18" w:rsidRDefault="0071099C" w:rsidP="0071099C">
      <w:pPr>
        <w:pStyle w:val="Paragrafi"/>
        <w:rPr>
          <w:lang w:val="sq-AL"/>
        </w:rPr>
      </w:pPr>
      <w:r w:rsidRPr="00444D18">
        <w:rPr>
          <w:lang w:val="sq-AL"/>
        </w:rPr>
        <w:t xml:space="preserve">Së treti, si një proces i lidhur ngushtë me dy zhvillimet e përmendura më sipër, është iniciuar një proces drejt krijimit të Bursës Shqiptare të Energjisë (BSHE), i cili kërkon, gjithashtu, përafrimin e mëtejshëm të tregut të energjisë elektrike, në përputhje të plotë me kërkesat e përcaktuara nga Komuniteti i Energjisë. </w:t>
      </w:r>
    </w:p>
    <w:p w14:paraId="4C681F24" w14:textId="77777777" w:rsidR="0071099C" w:rsidRPr="00444D18" w:rsidRDefault="0071099C" w:rsidP="0071099C">
      <w:pPr>
        <w:pStyle w:val="Paragrafi"/>
        <w:rPr>
          <w:lang w:val="sq-AL"/>
        </w:rPr>
      </w:pPr>
      <w:r w:rsidRPr="00444D18">
        <w:rPr>
          <w:lang w:val="sq-AL"/>
        </w:rPr>
        <w:t>Ky model pritet të sigurojë një strukturë të qëndrueshme dhe të krijojë kushtet për integrimin e mëtejshëm rajonal, ndërmjet Shqipë-risë dhe vendeve të saj fqinje.</w:t>
      </w:r>
    </w:p>
    <w:p w14:paraId="4C681F25" w14:textId="77777777" w:rsidR="0071099C" w:rsidRPr="00444D18" w:rsidRDefault="0071099C" w:rsidP="0071099C">
      <w:pPr>
        <w:pStyle w:val="Paragrafi"/>
        <w:rPr>
          <w:lang w:val="sq-AL"/>
        </w:rPr>
      </w:pPr>
      <w:r w:rsidRPr="00444D18">
        <w:rPr>
          <w:lang w:val="sq-AL"/>
        </w:rPr>
        <w:t>Modeli Shqiptar i Tregut merr në konsideratë:</w:t>
      </w:r>
    </w:p>
    <w:p w14:paraId="4C681F26" w14:textId="77777777" w:rsidR="0071099C" w:rsidRPr="00444D18" w:rsidRDefault="0071099C" w:rsidP="0071099C">
      <w:pPr>
        <w:pStyle w:val="Paragrafi"/>
        <w:rPr>
          <w:lang w:val="sq-AL"/>
        </w:rPr>
      </w:pPr>
      <w:r w:rsidRPr="00444D18">
        <w:rPr>
          <w:lang w:val="sq-AL"/>
        </w:rPr>
        <w:t>- harmonizimin e legjislacionit të sektorit të energjisë dhe mënyrës së funksionimit të tregut me kërkesat e Traktatit të Komunitetit të Energjisë;</w:t>
      </w:r>
    </w:p>
    <w:p w14:paraId="4C681F27" w14:textId="77777777" w:rsidR="0071099C" w:rsidRPr="00444D18" w:rsidRDefault="0071099C" w:rsidP="0071099C">
      <w:pPr>
        <w:pStyle w:val="Paragrafi"/>
        <w:rPr>
          <w:lang w:val="sq-AL"/>
        </w:rPr>
      </w:pPr>
      <w:r w:rsidRPr="00444D18">
        <w:rPr>
          <w:lang w:val="sq-AL"/>
        </w:rPr>
        <w:t>- finalizimin e procesit të kalimit nga struktura vertikalisht e integruar e sektorit të energjisë elektrike drejt një strukture ligjërisht, funksio-nalisht dhe financiarisht të ndarë në furnizim, prodhim, transmetimit dhe shpërndarje, me qëllim që të mundësojë konkurrencën në tregjet me shumicë dhe pakicë;</w:t>
      </w:r>
    </w:p>
    <w:p w14:paraId="4C681F28" w14:textId="77777777" w:rsidR="0071099C" w:rsidRPr="00444D18" w:rsidRDefault="0071099C" w:rsidP="0071099C">
      <w:pPr>
        <w:pStyle w:val="Paragrafi"/>
        <w:rPr>
          <w:lang w:val="sq-AL"/>
        </w:rPr>
      </w:pPr>
      <w:r w:rsidRPr="00444D18">
        <w:rPr>
          <w:lang w:val="sq-AL"/>
        </w:rPr>
        <w:t>- zhvillimin e tregut të energjisë elektrike sipas rregullave të qarta të tregut dhe kodeve të rrjetit, si kushte minimale teknike për një funksionim efikas të sistemit elektroenergjetik;</w:t>
      </w:r>
    </w:p>
    <w:p w14:paraId="4C681F29" w14:textId="77777777" w:rsidR="0071099C" w:rsidRPr="00444D18" w:rsidRDefault="0071099C" w:rsidP="0071099C">
      <w:pPr>
        <w:pStyle w:val="Paragrafi"/>
        <w:rPr>
          <w:lang w:val="sq-AL"/>
        </w:rPr>
      </w:pPr>
      <w:r w:rsidRPr="00444D18">
        <w:rPr>
          <w:lang w:val="sq-AL"/>
        </w:rPr>
        <w:t>- përfitime më të larta për konsumatorët në drejtim të sigurimit të furnizimit me energji elektrike dhe drejt një shërbimi cilësor;</w:t>
      </w:r>
    </w:p>
    <w:p w14:paraId="4C681F2A" w14:textId="77777777" w:rsidR="0071099C" w:rsidRPr="00444D18" w:rsidRDefault="0071099C" w:rsidP="0071099C">
      <w:pPr>
        <w:pStyle w:val="Paragrafi"/>
        <w:rPr>
          <w:lang w:val="sq-AL"/>
        </w:rPr>
      </w:pPr>
      <w:r w:rsidRPr="00444D18">
        <w:rPr>
          <w:lang w:val="sq-AL"/>
        </w:rPr>
        <w:t>- shfrytëzimin më efikas të tregtimit ndërkufitar, ndërmjet Shqipërisë dhe vendeve të saj fqinje, duke lejuar përfitimin e sektorit shqiptar të energjisë elektrike në drejtim të përdorimit me eficiencë të burimeve tona gjeneruese;</w:t>
      </w:r>
    </w:p>
    <w:p w14:paraId="4C681F2B" w14:textId="77777777" w:rsidR="0071099C" w:rsidRPr="00444D18" w:rsidRDefault="0071099C" w:rsidP="0071099C">
      <w:pPr>
        <w:pStyle w:val="Paragrafi"/>
        <w:rPr>
          <w:lang w:val="sq-AL"/>
        </w:rPr>
      </w:pPr>
      <w:r w:rsidRPr="00444D18">
        <w:rPr>
          <w:lang w:val="sq-AL"/>
        </w:rPr>
        <w:lastRenderedPageBreak/>
        <w:t>- zbatimin e aksesit të palëve të treta për të marrë pjesë në tregun e energjisë elektrike dhe krijimin e kushteve për zhvillimin e një tregu transparent dhe jodiskriminues;</w:t>
      </w:r>
    </w:p>
    <w:p w14:paraId="4C681F2C" w14:textId="77777777" w:rsidR="0071099C" w:rsidRPr="00444D18" w:rsidRDefault="0071099C" w:rsidP="0071099C">
      <w:pPr>
        <w:pStyle w:val="Paragrafi"/>
        <w:rPr>
          <w:lang w:val="sq-AL"/>
        </w:rPr>
      </w:pPr>
      <w:r w:rsidRPr="00444D18">
        <w:rPr>
          <w:lang w:val="sq-AL"/>
        </w:rPr>
        <w:t>- liberalizimin e tregut të energjisë elektrike, duke krijuar një strukturë tregu që rrit interesin e numrin e pjesëmarrësve, krijon kushtet për hapjen e sektorit drejt konkurrencës dhe rrit pjesëmarrjen e investitorëve të huaj;</w:t>
      </w:r>
    </w:p>
    <w:p w14:paraId="4C681F2D" w14:textId="77777777" w:rsidR="0071099C" w:rsidRPr="00444D18" w:rsidRDefault="0071099C" w:rsidP="0071099C">
      <w:pPr>
        <w:pStyle w:val="Paragrafi"/>
        <w:rPr>
          <w:lang w:val="sq-AL"/>
        </w:rPr>
      </w:pPr>
      <w:r w:rsidRPr="00444D18">
        <w:rPr>
          <w:lang w:val="sq-AL"/>
        </w:rPr>
        <w:t>- monitorimin dhe rregullimin e tregut të energjisë elektrike nga ERE, si një institucion i pavarur;</w:t>
      </w:r>
    </w:p>
    <w:p w14:paraId="4C681F2E" w14:textId="77777777" w:rsidR="0071099C" w:rsidRPr="00444D18" w:rsidRDefault="0071099C" w:rsidP="0071099C">
      <w:pPr>
        <w:pStyle w:val="Paragrafi"/>
        <w:rPr>
          <w:lang w:val="sq-AL"/>
        </w:rPr>
      </w:pPr>
      <w:r w:rsidRPr="00444D18">
        <w:rPr>
          <w:lang w:val="sq-AL"/>
        </w:rPr>
        <w:t xml:space="preserve">- nevojën për të hartuar dhe zbatuar rregulla për kryerjen e transaksioneve në tregje transpa-rente dhe jodiskriminuese, për të shmangur manipulimin dhe abuzimin e tregut, si dhe kryerjen e tregtimit të brendshëm, në përputhje me praktikat më të mira evropiane; </w:t>
      </w:r>
    </w:p>
    <w:p w14:paraId="4C681F2F" w14:textId="77777777" w:rsidR="0071099C" w:rsidRPr="00444D18" w:rsidRDefault="0071099C" w:rsidP="0071099C">
      <w:pPr>
        <w:pStyle w:val="Paragrafi"/>
        <w:rPr>
          <w:lang w:val="sq-AL"/>
        </w:rPr>
      </w:pPr>
      <w:r w:rsidRPr="00444D18">
        <w:rPr>
          <w:lang w:val="sq-AL"/>
        </w:rPr>
        <w:t>- integrimin e tregut shqiptar të energjisë elektrike me tregun rajonal të Evropës Jug-lindore, dhe, më vonë, me tregun evropian të energjisë elektrike, i cili do të jetë një udhëzues i parimeve të funksionimit të këtij tregu.</w:t>
      </w:r>
    </w:p>
    <w:p w14:paraId="4C681F30" w14:textId="77777777" w:rsidR="0071099C" w:rsidRPr="00444D18" w:rsidRDefault="0071099C" w:rsidP="0071099C">
      <w:pPr>
        <w:pStyle w:val="Paragrafi"/>
        <w:rPr>
          <w:lang w:val="sq-AL"/>
        </w:rPr>
      </w:pPr>
      <w:r w:rsidRPr="00444D18">
        <w:rPr>
          <w:lang w:val="sq-AL"/>
        </w:rPr>
        <w:t>Në këtë Model, termat e mëposhtëm kanë këto kuptime:</w:t>
      </w:r>
    </w:p>
    <w:p w14:paraId="2C33F2E5" w14:textId="77777777" w:rsidR="002D2EE4" w:rsidRPr="009272B8" w:rsidRDefault="002D2EE4" w:rsidP="0071099C">
      <w:pPr>
        <w:pStyle w:val="Paragrafi"/>
        <w:rPr>
          <w:b/>
          <w:i/>
          <w:lang w:val="sq-AL"/>
        </w:rPr>
      </w:pPr>
      <w:r w:rsidRPr="009272B8">
        <w:rPr>
          <w:rFonts w:cs="Times New Roman"/>
          <w:b/>
          <w:bCs/>
          <w:i/>
          <w:szCs w:val="24"/>
        </w:rPr>
        <w:t>“</w:t>
      </w:r>
      <w:proofErr w:type="spellStart"/>
      <w:r w:rsidRPr="009272B8">
        <w:rPr>
          <w:rFonts w:cs="Times New Roman"/>
          <w:b/>
          <w:bCs/>
          <w:i/>
          <w:szCs w:val="24"/>
        </w:rPr>
        <w:t>Operatori</w:t>
      </w:r>
      <w:proofErr w:type="spellEnd"/>
      <w:r w:rsidRPr="009272B8">
        <w:rPr>
          <w:rFonts w:cs="Times New Roman"/>
          <w:b/>
          <w:bCs/>
          <w:i/>
          <w:szCs w:val="24"/>
        </w:rPr>
        <w:t xml:space="preserve"> </w:t>
      </w:r>
      <w:proofErr w:type="spellStart"/>
      <w:r w:rsidRPr="009272B8">
        <w:rPr>
          <w:rFonts w:cs="Times New Roman"/>
          <w:b/>
          <w:bCs/>
          <w:i/>
          <w:szCs w:val="24"/>
        </w:rPr>
        <w:t>i</w:t>
      </w:r>
      <w:proofErr w:type="spellEnd"/>
      <w:r w:rsidRPr="009272B8">
        <w:rPr>
          <w:rFonts w:cs="Times New Roman"/>
          <w:b/>
          <w:bCs/>
          <w:i/>
          <w:szCs w:val="24"/>
        </w:rPr>
        <w:t xml:space="preserve"> </w:t>
      </w:r>
      <w:proofErr w:type="spellStart"/>
      <w:r w:rsidRPr="009272B8">
        <w:rPr>
          <w:rFonts w:cs="Times New Roman"/>
          <w:b/>
          <w:bCs/>
          <w:i/>
          <w:szCs w:val="24"/>
        </w:rPr>
        <w:t>tregut</w:t>
      </w:r>
      <w:proofErr w:type="spellEnd"/>
      <w:r w:rsidRPr="009272B8">
        <w:rPr>
          <w:rFonts w:cs="Times New Roman"/>
          <w:b/>
          <w:bCs/>
          <w:i/>
          <w:szCs w:val="24"/>
        </w:rPr>
        <w:t xml:space="preserve"> - Bursa </w:t>
      </w:r>
      <w:proofErr w:type="spellStart"/>
      <w:r w:rsidRPr="009272B8">
        <w:rPr>
          <w:rFonts w:cs="Times New Roman"/>
          <w:b/>
          <w:bCs/>
          <w:i/>
          <w:szCs w:val="24"/>
        </w:rPr>
        <w:t>Shqiptare</w:t>
      </w:r>
      <w:proofErr w:type="spellEnd"/>
      <w:r w:rsidRPr="009272B8">
        <w:rPr>
          <w:rFonts w:cs="Times New Roman"/>
          <w:b/>
          <w:bCs/>
          <w:i/>
          <w:szCs w:val="24"/>
        </w:rPr>
        <w:t xml:space="preserve"> e </w:t>
      </w:r>
      <w:proofErr w:type="spellStart"/>
      <w:r w:rsidRPr="009272B8">
        <w:rPr>
          <w:rFonts w:cs="Times New Roman"/>
          <w:b/>
          <w:bCs/>
          <w:i/>
          <w:szCs w:val="24"/>
        </w:rPr>
        <w:t>Energjisë</w:t>
      </w:r>
      <w:proofErr w:type="spellEnd"/>
      <w:r w:rsidRPr="009272B8">
        <w:rPr>
          <w:rFonts w:cs="Times New Roman"/>
          <w:b/>
          <w:bCs/>
          <w:i/>
          <w:szCs w:val="24"/>
        </w:rPr>
        <w:t xml:space="preserve"> (BSHE)”</w:t>
      </w:r>
      <w:r w:rsidRPr="009272B8">
        <w:rPr>
          <w:rFonts w:cs="Times New Roman"/>
          <w:i/>
          <w:szCs w:val="24"/>
        </w:rPr>
        <w:t xml:space="preserve"> </w:t>
      </w:r>
      <w:proofErr w:type="spellStart"/>
      <w:r w:rsidRPr="009272B8">
        <w:rPr>
          <w:rFonts w:cs="Times New Roman"/>
          <w:i/>
          <w:szCs w:val="24"/>
        </w:rPr>
        <w:t>është</w:t>
      </w:r>
      <w:proofErr w:type="spellEnd"/>
      <w:r w:rsidRPr="009272B8">
        <w:rPr>
          <w:rFonts w:cs="Times New Roman"/>
          <w:i/>
          <w:szCs w:val="24"/>
        </w:rPr>
        <w:t xml:space="preserve"> </w:t>
      </w:r>
      <w:proofErr w:type="spellStart"/>
      <w:r w:rsidRPr="009272B8">
        <w:rPr>
          <w:rFonts w:cs="Times New Roman"/>
          <w:i/>
          <w:szCs w:val="24"/>
        </w:rPr>
        <w:t>struktura</w:t>
      </w:r>
      <w:proofErr w:type="spellEnd"/>
      <w:r w:rsidRPr="009272B8">
        <w:rPr>
          <w:rFonts w:cs="Times New Roman"/>
          <w:i/>
          <w:szCs w:val="24"/>
        </w:rPr>
        <w:t xml:space="preserve"> </w:t>
      </w:r>
      <w:proofErr w:type="spellStart"/>
      <w:r w:rsidRPr="009272B8">
        <w:rPr>
          <w:rFonts w:cs="Times New Roman"/>
          <w:i/>
          <w:szCs w:val="24"/>
        </w:rPr>
        <w:t>përgjegjëse</w:t>
      </w:r>
      <w:proofErr w:type="spellEnd"/>
      <w:r w:rsidRPr="009272B8">
        <w:rPr>
          <w:rFonts w:cs="Times New Roman"/>
          <w:i/>
          <w:szCs w:val="24"/>
        </w:rPr>
        <w:t xml:space="preserve"> </w:t>
      </w:r>
      <w:proofErr w:type="spellStart"/>
      <w:r w:rsidRPr="009272B8">
        <w:rPr>
          <w:rFonts w:cs="Times New Roman"/>
          <w:i/>
          <w:szCs w:val="24"/>
        </w:rPr>
        <w:t>për</w:t>
      </w:r>
      <w:proofErr w:type="spellEnd"/>
      <w:r w:rsidRPr="009272B8">
        <w:rPr>
          <w:rFonts w:cs="Times New Roman"/>
          <w:i/>
          <w:szCs w:val="24"/>
        </w:rPr>
        <w:t xml:space="preserve"> </w:t>
      </w:r>
      <w:proofErr w:type="spellStart"/>
      <w:r w:rsidRPr="009272B8">
        <w:rPr>
          <w:rFonts w:cs="Times New Roman"/>
          <w:i/>
          <w:szCs w:val="24"/>
        </w:rPr>
        <w:t>menaxhimin</w:t>
      </w:r>
      <w:proofErr w:type="spellEnd"/>
      <w:r w:rsidRPr="009272B8">
        <w:rPr>
          <w:rFonts w:cs="Times New Roman"/>
          <w:i/>
          <w:szCs w:val="24"/>
        </w:rPr>
        <w:t xml:space="preserve"> </w:t>
      </w:r>
      <w:proofErr w:type="spellStart"/>
      <w:r w:rsidRPr="009272B8">
        <w:rPr>
          <w:rFonts w:cs="Times New Roman"/>
          <w:i/>
          <w:szCs w:val="24"/>
        </w:rPr>
        <w:t>dhe</w:t>
      </w:r>
      <w:proofErr w:type="spellEnd"/>
      <w:r w:rsidRPr="009272B8">
        <w:rPr>
          <w:rFonts w:cs="Times New Roman"/>
          <w:i/>
          <w:szCs w:val="24"/>
        </w:rPr>
        <w:t xml:space="preserve"> </w:t>
      </w:r>
      <w:proofErr w:type="spellStart"/>
      <w:r w:rsidRPr="009272B8">
        <w:rPr>
          <w:rFonts w:cs="Times New Roman"/>
          <w:i/>
          <w:szCs w:val="24"/>
        </w:rPr>
        <w:t>operimin</w:t>
      </w:r>
      <w:proofErr w:type="spellEnd"/>
      <w:r w:rsidRPr="009272B8">
        <w:rPr>
          <w:rFonts w:cs="Times New Roman"/>
          <w:i/>
          <w:szCs w:val="24"/>
        </w:rPr>
        <w:t xml:space="preserve"> e </w:t>
      </w:r>
      <w:proofErr w:type="spellStart"/>
      <w:r w:rsidRPr="009272B8">
        <w:rPr>
          <w:rFonts w:cs="Times New Roman"/>
          <w:i/>
          <w:szCs w:val="24"/>
        </w:rPr>
        <w:t>tregut</w:t>
      </w:r>
      <w:proofErr w:type="spellEnd"/>
      <w:r w:rsidRPr="009272B8">
        <w:rPr>
          <w:rFonts w:cs="Times New Roman"/>
          <w:i/>
          <w:szCs w:val="24"/>
        </w:rPr>
        <w:t xml:space="preserve"> </w:t>
      </w:r>
      <w:proofErr w:type="spellStart"/>
      <w:r w:rsidRPr="009272B8">
        <w:rPr>
          <w:rFonts w:cs="Times New Roman"/>
          <w:i/>
          <w:szCs w:val="24"/>
        </w:rPr>
        <w:t>të</w:t>
      </w:r>
      <w:proofErr w:type="spellEnd"/>
      <w:r w:rsidRPr="009272B8">
        <w:rPr>
          <w:rFonts w:cs="Times New Roman"/>
          <w:i/>
          <w:szCs w:val="24"/>
        </w:rPr>
        <w:t xml:space="preserve"> </w:t>
      </w:r>
      <w:proofErr w:type="spellStart"/>
      <w:r w:rsidRPr="009272B8">
        <w:rPr>
          <w:rFonts w:cs="Times New Roman"/>
          <w:i/>
          <w:szCs w:val="24"/>
        </w:rPr>
        <w:t>organizuar</w:t>
      </w:r>
      <w:proofErr w:type="spellEnd"/>
      <w:r w:rsidRPr="009272B8">
        <w:rPr>
          <w:rFonts w:cs="Times New Roman"/>
          <w:i/>
          <w:szCs w:val="24"/>
        </w:rPr>
        <w:t xml:space="preserve"> me </w:t>
      </w:r>
      <w:proofErr w:type="spellStart"/>
      <w:r w:rsidRPr="009272B8">
        <w:rPr>
          <w:rFonts w:cs="Times New Roman"/>
          <w:i/>
          <w:szCs w:val="24"/>
        </w:rPr>
        <w:t>shumicë</w:t>
      </w:r>
      <w:proofErr w:type="spellEnd"/>
      <w:r w:rsidRPr="009272B8">
        <w:rPr>
          <w:rFonts w:cs="Times New Roman"/>
          <w:i/>
          <w:szCs w:val="24"/>
        </w:rPr>
        <w:t xml:space="preserve"> </w:t>
      </w:r>
      <w:proofErr w:type="spellStart"/>
      <w:r w:rsidRPr="009272B8">
        <w:rPr>
          <w:rFonts w:cs="Times New Roman"/>
          <w:i/>
          <w:szCs w:val="24"/>
        </w:rPr>
        <w:t>të</w:t>
      </w:r>
      <w:proofErr w:type="spellEnd"/>
      <w:r w:rsidRPr="009272B8">
        <w:rPr>
          <w:rFonts w:cs="Times New Roman"/>
          <w:i/>
          <w:szCs w:val="24"/>
        </w:rPr>
        <w:t xml:space="preserve"> </w:t>
      </w:r>
      <w:proofErr w:type="spellStart"/>
      <w:r w:rsidRPr="009272B8">
        <w:rPr>
          <w:rFonts w:cs="Times New Roman"/>
          <w:i/>
          <w:szCs w:val="24"/>
        </w:rPr>
        <w:t>energjisë</w:t>
      </w:r>
      <w:proofErr w:type="spellEnd"/>
      <w:r w:rsidRPr="009272B8">
        <w:rPr>
          <w:rFonts w:cs="Times New Roman"/>
          <w:i/>
          <w:szCs w:val="24"/>
        </w:rPr>
        <w:t xml:space="preserve"> </w:t>
      </w:r>
      <w:proofErr w:type="spellStart"/>
      <w:r w:rsidRPr="009272B8">
        <w:rPr>
          <w:rFonts w:cs="Times New Roman"/>
          <w:i/>
          <w:szCs w:val="24"/>
        </w:rPr>
        <w:t>elektrike</w:t>
      </w:r>
      <w:proofErr w:type="spellEnd"/>
      <w:r w:rsidRPr="009272B8">
        <w:rPr>
          <w:rFonts w:cs="Times New Roman"/>
          <w:i/>
          <w:szCs w:val="24"/>
        </w:rPr>
        <w:t xml:space="preserve"> </w:t>
      </w:r>
      <w:proofErr w:type="spellStart"/>
      <w:r w:rsidRPr="009272B8">
        <w:rPr>
          <w:rFonts w:cs="Times New Roman"/>
          <w:i/>
          <w:szCs w:val="24"/>
        </w:rPr>
        <w:t>nëpërmjet</w:t>
      </w:r>
      <w:proofErr w:type="spellEnd"/>
      <w:r w:rsidRPr="009272B8">
        <w:rPr>
          <w:rFonts w:cs="Times New Roman"/>
          <w:i/>
          <w:szCs w:val="24"/>
        </w:rPr>
        <w:t xml:space="preserve"> </w:t>
      </w:r>
      <w:proofErr w:type="spellStart"/>
      <w:r w:rsidRPr="009272B8">
        <w:rPr>
          <w:rFonts w:cs="Times New Roman"/>
          <w:i/>
          <w:szCs w:val="24"/>
        </w:rPr>
        <w:t>platformës</w:t>
      </w:r>
      <w:proofErr w:type="spellEnd"/>
      <w:r w:rsidRPr="009272B8">
        <w:rPr>
          <w:rFonts w:cs="Times New Roman"/>
          <w:i/>
          <w:szCs w:val="24"/>
        </w:rPr>
        <w:t xml:space="preserve"> </w:t>
      </w:r>
      <w:proofErr w:type="spellStart"/>
      <w:r w:rsidRPr="009272B8">
        <w:rPr>
          <w:rFonts w:cs="Times New Roman"/>
          <w:i/>
          <w:szCs w:val="24"/>
        </w:rPr>
        <w:t>elektronike</w:t>
      </w:r>
      <w:proofErr w:type="spellEnd"/>
      <w:r w:rsidRPr="009272B8">
        <w:rPr>
          <w:rFonts w:cs="Times New Roman"/>
          <w:i/>
          <w:szCs w:val="24"/>
        </w:rPr>
        <w:t xml:space="preserve"> </w:t>
      </w:r>
      <w:proofErr w:type="spellStart"/>
      <w:r w:rsidRPr="009272B8">
        <w:rPr>
          <w:rFonts w:cs="Times New Roman"/>
          <w:i/>
          <w:szCs w:val="24"/>
        </w:rPr>
        <w:t>të</w:t>
      </w:r>
      <w:proofErr w:type="spellEnd"/>
      <w:r w:rsidRPr="009272B8">
        <w:rPr>
          <w:rFonts w:cs="Times New Roman"/>
          <w:i/>
          <w:szCs w:val="24"/>
        </w:rPr>
        <w:t xml:space="preserve"> </w:t>
      </w:r>
      <w:proofErr w:type="spellStart"/>
      <w:r w:rsidRPr="009272B8">
        <w:rPr>
          <w:rFonts w:cs="Times New Roman"/>
          <w:i/>
          <w:szCs w:val="24"/>
        </w:rPr>
        <w:t>tregtimit</w:t>
      </w:r>
      <w:proofErr w:type="spellEnd"/>
      <w:r w:rsidRPr="009272B8">
        <w:rPr>
          <w:rFonts w:cs="Times New Roman"/>
          <w:i/>
          <w:szCs w:val="24"/>
        </w:rPr>
        <w:t xml:space="preserve">, </w:t>
      </w:r>
      <w:proofErr w:type="spellStart"/>
      <w:r w:rsidRPr="009272B8">
        <w:rPr>
          <w:rFonts w:cs="Times New Roman"/>
          <w:i/>
          <w:szCs w:val="24"/>
        </w:rPr>
        <w:t>platformës</w:t>
      </w:r>
      <w:proofErr w:type="spellEnd"/>
      <w:r w:rsidRPr="009272B8">
        <w:rPr>
          <w:rFonts w:cs="Times New Roman"/>
          <w:i/>
          <w:szCs w:val="24"/>
        </w:rPr>
        <w:t xml:space="preserve"> </w:t>
      </w:r>
      <w:proofErr w:type="spellStart"/>
      <w:r w:rsidRPr="009272B8">
        <w:rPr>
          <w:rFonts w:cs="Times New Roman"/>
          <w:i/>
          <w:szCs w:val="24"/>
        </w:rPr>
        <w:t>elektronike</w:t>
      </w:r>
      <w:proofErr w:type="spellEnd"/>
      <w:r w:rsidRPr="009272B8">
        <w:rPr>
          <w:rFonts w:cs="Times New Roman"/>
          <w:i/>
          <w:szCs w:val="24"/>
        </w:rPr>
        <w:t xml:space="preserve"> </w:t>
      </w:r>
      <w:proofErr w:type="spellStart"/>
      <w:r w:rsidRPr="009272B8">
        <w:rPr>
          <w:rFonts w:cs="Times New Roman"/>
          <w:i/>
          <w:szCs w:val="24"/>
        </w:rPr>
        <w:t>të</w:t>
      </w:r>
      <w:proofErr w:type="spellEnd"/>
      <w:r w:rsidRPr="009272B8">
        <w:rPr>
          <w:rFonts w:cs="Times New Roman"/>
          <w:i/>
          <w:szCs w:val="24"/>
        </w:rPr>
        <w:t xml:space="preserve"> </w:t>
      </w:r>
      <w:proofErr w:type="spellStart"/>
      <w:r w:rsidRPr="009272B8">
        <w:rPr>
          <w:rFonts w:cs="Times New Roman"/>
          <w:i/>
          <w:szCs w:val="24"/>
        </w:rPr>
        <w:t>klerimit</w:t>
      </w:r>
      <w:proofErr w:type="spellEnd"/>
      <w:r w:rsidRPr="009272B8">
        <w:rPr>
          <w:rFonts w:cs="Times New Roman"/>
          <w:i/>
          <w:szCs w:val="24"/>
        </w:rPr>
        <w:t xml:space="preserve"> </w:t>
      </w:r>
      <w:proofErr w:type="spellStart"/>
      <w:r w:rsidRPr="009272B8">
        <w:rPr>
          <w:rFonts w:cs="Times New Roman"/>
          <w:i/>
          <w:szCs w:val="24"/>
        </w:rPr>
        <w:t>dhe</w:t>
      </w:r>
      <w:proofErr w:type="spellEnd"/>
      <w:r w:rsidRPr="009272B8">
        <w:rPr>
          <w:rFonts w:cs="Times New Roman"/>
          <w:i/>
          <w:szCs w:val="24"/>
        </w:rPr>
        <w:t xml:space="preserve"> </w:t>
      </w:r>
      <w:proofErr w:type="spellStart"/>
      <w:r w:rsidRPr="009272B8">
        <w:rPr>
          <w:rFonts w:cs="Times New Roman"/>
          <w:i/>
          <w:szCs w:val="24"/>
        </w:rPr>
        <w:t>të</w:t>
      </w:r>
      <w:proofErr w:type="spellEnd"/>
      <w:r w:rsidRPr="009272B8">
        <w:rPr>
          <w:rFonts w:cs="Times New Roman"/>
          <w:i/>
          <w:szCs w:val="24"/>
        </w:rPr>
        <w:t xml:space="preserve"> </w:t>
      </w:r>
      <w:proofErr w:type="spellStart"/>
      <w:r w:rsidRPr="009272B8">
        <w:rPr>
          <w:rFonts w:cs="Times New Roman"/>
          <w:i/>
          <w:szCs w:val="24"/>
        </w:rPr>
        <w:t>shlyerjeve</w:t>
      </w:r>
      <w:proofErr w:type="spellEnd"/>
      <w:r w:rsidRPr="009272B8">
        <w:rPr>
          <w:rFonts w:cs="Times New Roman"/>
          <w:i/>
          <w:szCs w:val="24"/>
        </w:rPr>
        <w:t xml:space="preserve"> </w:t>
      </w:r>
      <w:proofErr w:type="spellStart"/>
      <w:r w:rsidRPr="009272B8">
        <w:rPr>
          <w:rFonts w:cs="Times New Roman"/>
          <w:i/>
          <w:szCs w:val="24"/>
        </w:rPr>
        <w:t>financiare</w:t>
      </w:r>
      <w:proofErr w:type="spellEnd"/>
      <w:r w:rsidRPr="009272B8">
        <w:rPr>
          <w:rFonts w:cs="Times New Roman"/>
          <w:i/>
          <w:szCs w:val="24"/>
        </w:rPr>
        <w:t xml:space="preserve"> </w:t>
      </w:r>
      <w:proofErr w:type="spellStart"/>
      <w:r w:rsidRPr="009272B8">
        <w:rPr>
          <w:rFonts w:cs="Times New Roman"/>
          <w:i/>
          <w:szCs w:val="24"/>
        </w:rPr>
        <w:t>për</w:t>
      </w:r>
      <w:proofErr w:type="spellEnd"/>
      <w:r w:rsidRPr="009272B8">
        <w:rPr>
          <w:rFonts w:cs="Times New Roman"/>
          <w:i/>
          <w:szCs w:val="24"/>
        </w:rPr>
        <w:t xml:space="preserve"> </w:t>
      </w:r>
      <w:proofErr w:type="spellStart"/>
      <w:r w:rsidRPr="009272B8">
        <w:rPr>
          <w:rFonts w:cs="Times New Roman"/>
          <w:i/>
          <w:szCs w:val="24"/>
        </w:rPr>
        <w:t>tregjet</w:t>
      </w:r>
      <w:proofErr w:type="spellEnd"/>
      <w:r w:rsidRPr="009272B8">
        <w:rPr>
          <w:rFonts w:cs="Times New Roman"/>
          <w:i/>
          <w:szCs w:val="24"/>
        </w:rPr>
        <w:t xml:space="preserve"> e </w:t>
      </w:r>
      <w:proofErr w:type="spellStart"/>
      <w:r w:rsidRPr="009272B8">
        <w:rPr>
          <w:rFonts w:cs="Times New Roman"/>
          <w:i/>
          <w:szCs w:val="24"/>
        </w:rPr>
        <w:t>ankandeve</w:t>
      </w:r>
      <w:proofErr w:type="spellEnd"/>
      <w:r w:rsidRPr="009272B8">
        <w:rPr>
          <w:rFonts w:cs="Times New Roman"/>
          <w:i/>
          <w:szCs w:val="24"/>
        </w:rPr>
        <w:t xml:space="preserve"> </w:t>
      </w:r>
      <w:proofErr w:type="spellStart"/>
      <w:r w:rsidRPr="009272B8">
        <w:rPr>
          <w:rFonts w:cs="Times New Roman"/>
          <w:i/>
          <w:szCs w:val="24"/>
        </w:rPr>
        <w:t>të</w:t>
      </w:r>
      <w:proofErr w:type="spellEnd"/>
      <w:r w:rsidRPr="009272B8">
        <w:rPr>
          <w:rFonts w:cs="Times New Roman"/>
          <w:i/>
          <w:szCs w:val="24"/>
        </w:rPr>
        <w:t xml:space="preserve"> </w:t>
      </w:r>
      <w:proofErr w:type="spellStart"/>
      <w:r w:rsidRPr="009272B8">
        <w:rPr>
          <w:rFonts w:cs="Times New Roman"/>
          <w:i/>
          <w:szCs w:val="24"/>
        </w:rPr>
        <w:t>ditës</w:t>
      </w:r>
      <w:proofErr w:type="spellEnd"/>
      <w:r w:rsidRPr="009272B8">
        <w:rPr>
          <w:rFonts w:cs="Times New Roman"/>
          <w:i/>
          <w:szCs w:val="24"/>
        </w:rPr>
        <w:t xml:space="preserve"> </w:t>
      </w:r>
      <w:proofErr w:type="spellStart"/>
      <w:r w:rsidRPr="009272B8">
        <w:rPr>
          <w:rFonts w:cs="Times New Roman"/>
          <w:i/>
          <w:szCs w:val="24"/>
        </w:rPr>
        <w:t>në</w:t>
      </w:r>
      <w:proofErr w:type="spellEnd"/>
      <w:r w:rsidRPr="009272B8">
        <w:rPr>
          <w:rFonts w:cs="Times New Roman"/>
          <w:i/>
          <w:szCs w:val="24"/>
        </w:rPr>
        <w:t xml:space="preserve"> </w:t>
      </w:r>
      <w:proofErr w:type="spellStart"/>
      <w:r w:rsidRPr="009272B8">
        <w:rPr>
          <w:rFonts w:cs="Times New Roman"/>
          <w:i/>
          <w:szCs w:val="24"/>
        </w:rPr>
        <w:t>avancë</w:t>
      </w:r>
      <w:proofErr w:type="spellEnd"/>
      <w:r w:rsidRPr="009272B8">
        <w:rPr>
          <w:rFonts w:cs="Times New Roman"/>
          <w:i/>
          <w:szCs w:val="24"/>
        </w:rPr>
        <w:t xml:space="preserve"> </w:t>
      </w:r>
      <w:proofErr w:type="spellStart"/>
      <w:r w:rsidRPr="009272B8">
        <w:rPr>
          <w:rFonts w:cs="Times New Roman"/>
          <w:i/>
          <w:szCs w:val="24"/>
        </w:rPr>
        <w:t>dhe</w:t>
      </w:r>
      <w:proofErr w:type="spellEnd"/>
      <w:r w:rsidRPr="009272B8">
        <w:rPr>
          <w:rFonts w:cs="Times New Roman"/>
          <w:i/>
          <w:szCs w:val="24"/>
        </w:rPr>
        <w:t xml:space="preserve"> </w:t>
      </w:r>
      <w:proofErr w:type="spellStart"/>
      <w:r w:rsidRPr="009272B8">
        <w:rPr>
          <w:rFonts w:cs="Times New Roman"/>
          <w:i/>
          <w:szCs w:val="24"/>
        </w:rPr>
        <w:t>brenda</w:t>
      </w:r>
      <w:proofErr w:type="spellEnd"/>
      <w:r w:rsidRPr="009272B8">
        <w:rPr>
          <w:rFonts w:cs="Times New Roman"/>
          <w:i/>
          <w:szCs w:val="24"/>
        </w:rPr>
        <w:t xml:space="preserve"> </w:t>
      </w:r>
      <w:proofErr w:type="spellStart"/>
      <w:r w:rsidRPr="009272B8">
        <w:rPr>
          <w:rFonts w:cs="Times New Roman"/>
          <w:i/>
          <w:szCs w:val="24"/>
        </w:rPr>
        <w:t>së</w:t>
      </w:r>
      <w:proofErr w:type="spellEnd"/>
      <w:r w:rsidRPr="009272B8">
        <w:rPr>
          <w:rFonts w:cs="Times New Roman"/>
          <w:i/>
          <w:szCs w:val="24"/>
        </w:rPr>
        <w:t xml:space="preserve"> </w:t>
      </w:r>
      <w:proofErr w:type="spellStart"/>
      <w:r w:rsidRPr="009272B8">
        <w:rPr>
          <w:rFonts w:cs="Times New Roman"/>
          <w:i/>
          <w:szCs w:val="24"/>
        </w:rPr>
        <w:t>njëjtës</w:t>
      </w:r>
      <w:proofErr w:type="spellEnd"/>
      <w:r w:rsidRPr="009272B8">
        <w:rPr>
          <w:rFonts w:cs="Times New Roman"/>
          <w:i/>
          <w:szCs w:val="24"/>
        </w:rPr>
        <w:t xml:space="preserve"> </w:t>
      </w:r>
      <w:proofErr w:type="spellStart"/>
      <w:r w:rsidRPr="009272B8">
        <w:rPr>
          <w:rFonts w:cs="Times New Roman"/>
          <w:i/>
          <w:szCs w:val="24"/>
        </w:rPr>
        <w:t>ditë</w:t>
      </w:r>
      <w:proofErr w:type="spellEnd"/>
      <w:r w:rsidRPr="009272B8">
        <w:rPr>
          <w:rFonts w:cs="Times New Roman"/>
          <w:i/>
          <w:szCs w:val="24"/>
        </w:rPr>
        <w:t xml:space="preserve">, </w:t>
      </w:r>
      <w:proofErr w:type="spellStart"/>
      <w:r w:rsidRPr="009272B8">
        <w:rPr>
          <w:rFonts w:cs="Times New Roman"/>
          <w:i/>
          <w:szCs w:val="24"/>
        </w:rPr>
        <w:t>si</w:t>
      </w:r>
      <w:proofErr w:type="spellEnd"/>
      <w:r w:rsidRPr="009272B8">
        <w:rPr>
          <w:rFonts w:cs="Times New Roman"/>
          <w:i/>
          <w:szCs w:val="24"/>
        </w:rPr>
        <w:t xml:space="preserve"> </w:t>
      </w:r>
      <w:proofErr w:type="spellStart"/>
      <w:r w:rsidRPr="009272B8">
        <w:rPr>
          <w:rFonts w:cs="Times New Roman"/>
          <w:i/>
          <w:szCs w:val="24"/>
        </w:rPr>
        <w:t>dhe</w:t>
      </w:r>
      <w:proofErr w:type="spellEnd"/>
      <w:r w:rsidRPr="009272B8">
        <w:rPr>
          <w:rFonts w:cs="Times New Roman"/>
          <w:i/>
          <w:szCs w:val="24"/>
        </w:rPr>
        <w:t xml:space="preserve"> </w:t>
      </w:r>
      <w:proofErr w:type="spellStart"/>
      <w:r w:rsidRPr="009272B8">
        <w:rPr>
          <w:rFonts w:cs="Times New Roman"/>
          <w:i/>
          <w:szCs w:val="24"/>
        </w:rPr>
        <w:t>tregjeve</w:t>
      </w:r>
      <w:proofErr w:type="spellEnd"/>
      <w:r w:rsidRPr="009272B8">
        <w:rPr>
          <w:rFonts w:cs="Times New Roman"/>
          <w:i/>
          <w:szCs w:val="24"/>
        </w:rPr>
        <w:t xml:space="preserve"> </w:t>
      </w:r>
      <w:proofErr w:type="spellStart"/>
      <w:r w:rsidRPr="009272B8">
        <w:rPr>
          <w:rFonts w:cs="Times New Roman"/>
          <w:i/>
          <w:szCs w:val="24"/>
        </w:rPr>
        <w:t>të</w:t>
      </w:r>
      <w:proofErr w:type="spellEnd"/>
      <w:r w:rsidRPr="009272B8">
        <w:rPr>
          <w:rFonts w:cs="Times New Roman"/>
          <w:i/>
          <w:szCs w:val="24"/>
        </w:rPr>
        <w:t xml:space="preserve"> </w:t>
      </w:r>
      <w:proofErr w:type="spellStart"/>
      <w:r w:rsidRPr="009272B8">
        <w:rPr>
          <w:rFonts w:cs="Times New Roman"/>
          <w:i/>
          <w:szCs w:val="24"/>
        </w:rPr>
        <w:t>vazhdueshme</w:t>
      </w:r>
      <w:proofErr w:type="spellEnd"/>
      <w:r w:rsidRPr="009272B8">
        <w:rPr>
          <w:rFonts w:cs="Times New Roman"/>
          <w:i/>
          <w:szCs w:val="24"/>
        </w:rPr>
        <w:t xml:space="preserve"> </w:t>
      </w:r>
      <w:proofErr w:type="spellStart"/>
      <w:r w:rsidRPr="009272B8">
        <w:rPr>
          <w:rFonts w:cs="Times New Roman"/>
          <w:i/>
          <w:szCs w:val="24"/>
        </w:rPr>
        <w:t>brenda</w:t>
      </w:r>
      <w:proofErr w:type="spellEnd"/>
      <w:r w:rsidRPr="009272B8">
        <w:rPr>
          <w:rFonts w:cs="Times New Roman"/>
          <w:i/>
          <w:szCs w:val="24"/>
        </w:rPr>
        <w:t xml:space="preserve"> </w:t>
      </w:r>
      <w:proofErr w:type="spellStart"/>
      <w:r w:rsidRPr="009272B8">
        <w:rPr>
          <w:rFonts w:cs="Times New Roman"/>
          <w:i/>
          <w:szCs w:val="24"/>
        </w:rPr>
        <w:t>së</w:t>
      </w:r>
      <w:proofErr w:type="spellEnd"/>
      <w:r w:rsidRPr="009272B8">
        <w:rPr>
          <w:rFonts w:cs="Times New Roman"/>
          <w:i/>
          <w:szCs w:val="24"/>
        </w:rPr>
        <w:t xml:space="preserve"> </w:t>
      </w:r>
      <w:proofErr w:type="spellStart"/>
      <w:r w:rsidRPr="009272B8">
        <w:rPr>
          <w:rFonts w:cs="Times New Roman"/>
          <w:i/>
          <w:szCs w:val="24"/>
        </w:rPr>
        <w:t>njëjtës</w:t>
      </w:r>
      <w:proofErr w:type="spellEnd"/>
      <w:r w:rsidRPr="009272B8">
        <w:rPr>
          <w:rFonts w:cs="Times New Roman"/>
          <w:i/>
          <w:szCs w:val="24"/>
        </w:rPr>
        <w:t xml:space="preserve"> </w:t>
      </w:r>
      <w:proofErr w:type="spellStart"/>
      <w:r w:rsidRPr="009272B8">
        <w:rPr>
          <w:rFonts w:cs="Times New Roman"/>
          <w:i/>
          <w:szCs w:val="24"/>
        </w:rPr>
        <w:t>ditë</w:t>
      </w:r>
      <w:proofErr w:type="spellEnd"/>
      <w:r w:rsidRPr="009272B8">
        <w:rPr>
          <w:rFonts w:cs="Times New Roman"/>
          <w:i/>
          <w:szCs w:val="24"/>
        </w:rPr>
        <w:t xml:space="preserve">, </w:t>
      </w:r>
      <w:proofErr w:type="spellStart"/>
      <w:r w:rsidRPr="009272B8">
        <w:rPr>
          <w:rFonts w:cs="Times New Roman"/>
          <w:i/>
          <w:szCs w:val="24"/>
        </w:rPr>
        <w:t>ndërmjet</w:t>
      </w:r>
      <w:proofErr w:type="spellEnd"/>
      <w:r w:rsidRPr="009272B8">
        <w:rPr>
          <w:rFonts w:cs="Times New Roman"/>
          <w:i/>
          <w:szCs w:val="24"/>
        </w:rPr>
        <w:t xml:space="preserve"> </w:t>
      </w:r>
      <w:proofErr w:type="spellStart"/>
      <w:r w:rsidRPr="009272B8">
        <w:rPr>
          <w:rFonts w:cs="Times New Roman"/>
          <w:i/>
          <w:szCs w:val="24"/>
        </w:rPr>
        <w:t>anëtarëve</w:t>
      </w:r>
      <w:proofErr w:type="spellEnd"/>
      <w:r w:rsidRPr="009272B8">
        <w:rPr>
          <w:rFonts w:cs="Times New Roman"/>
          <w:i/>
          <w:szCs w:val="24"/>
        </w:rPr>
        <w:t xml:space="preserve"> </w:t>
      </w:r>
      <w:proofErr w:type="spellStart"/>
      <w:r w:rsidRPr="009272B8">
        <w:rPr>
          <w:rFonts w:cs="Times New Roman"/>
          <w:i/>
          <w:szCs w:val="24"/>
        </w:rPr>
        <w:t>të</w:t>
      </w:r>
      <w:proofErr w:type="spellEnd"/>
      <w:r w:rsidRPr="009272B8">
        <w:rPr>
          <w:rFonts w:cs="Times New Roman"/>
          <w:i/>
          <w:szCs w:val="24"/>
        </w:rPr>
        <w:t xml:space="preserve"> </w:t>
      </w:r>
      <w:proofErr w:type="spellStart"/>
      <w:r w:rsidRPr="009272B8">
        <w:rPr>
          <w:rFonts w:cs="Times New Roman"/>
          <w:i/>
          <w:szCs w:val="24"/>
        </w:rPr>
        <w:t>Bursës</w:t>
      </w:r>
      <w:proofErr w:type="spellEnd"/>
      <w:r w:rsidRPr="009272B8">
        <w:rPr>
          <w:rFonts w:cs="Times New Roman"/>
          <w:i/>
          <w:szCs w:val="24"/>
        </w:rPr>
        <w:t xml:space="preserve">, </w:t>
      </w:r>
      <w:proofErr w:type="spellStart"/>
      <w:r w:rsidRPr="009272B8">
        <w:rPr>
          <w:rFonts w:cs="Times New Roman"/>
          <w:i/>
          <w:szCs w:val="24"/>
        </w:rPr>
        <w:t>në</w:t>
      </w:r>
      <w:proofErr w:type="spellEnd"/>
      <w:r w:rsidRPr="009272B8">
        <w:rPr>
          <w:rFonts w:cs="Times New Roman"/>
          <w:i/>
          <w:szCs w:val="24"/>
        </w:rPr>
        <w:t xml:space="preserve"> </w:t>
      </w:r>
      <w:proofErr w:type="spellStart"/>
      <w:r w:rsidRPr="009272B8">
        <w:rPr>
          <w:rFonts w:cs="Times New Roman"/>
          <w:i/>
          <w:szCs w:val="24"/>
        </w:rPr>
        <w:t>përputhje</w:t>
      </w:r>
      <w:proofErr w:type="spellEnd"/>
      <w:r w:rsidRPr="009272B8">
        <w:rPr>
          <w:rFonts w:cs="Times New Roman"/>
          <w:i/>
          <w:szCs w:val="24"/>
        </w:rPr>
        <w:t xml:space="preserve"> me </w:t>
      </w:r>
      <w:proofErr w:type="spellStart"/>
      <w:r w:rsidRPr="009272B8">
        <w:rPr>
          <w:rFonts w:cs="Times New Roman"/>
          <w:i/>
          <w:szCs w:val="24"/>
        </w:rPr>
        <w:t>modelin</w:t>
      </w:r>
      <w:proofErr w:type="spellEnd"/>
      <w:r w:rsidRPr="009272B8">
        <w:rPr>
          <w:rFonts w:cs="Times New Roman"/>
          <w:i/>
          <w:szCs w:val="24"/>
        </w:rPr>
        <w:t xml:space="preserve"> e </w:t>
      </w:r>
      <w:proofErr w:type="spellStart"/>
      <w:r w:rsidRPr="009272B8">
        <w:rPr>
          <w:rFonts w:cs="Times New Roman"/>
          <w:i/>
          <w:szCs w:val="24"/>
        </w:rPr>
        <w:t>tregut</w:t>
      </w:r>
      <w:proofErr w:type="spellEnd"/>
      <w:r w:rsidRPr="009272B8">
        <w:rPr>
          <w:rFonts w:cs="Times New Roman"/>
          <w:i/>
          <w:szCs w:val="24"/>
        </w:rPr>
        <w:t xml:space="preserve"> </w:t>
      </w:r>
      <w:proofErr w:type="spellStart"/>
      <w:r w:rsidRPr="009272B8">
        <w:rPr>
          <w:rFonts w:cs="Times New Roman"/>
          <w:i/>
          <w:szCs w:val="24"/>
        </w:rPr>
        <w:t>të</w:t>
      </w:r>
      <w:proofErr w:type="spellEnd"/>
      <w:r w:rsidRPr="009272B8">
        <w:rPr>
          <w:rFonts w:cs="Times New Roman"/>
          <w:i/>
          <w:szCs w:val="24"/>
        </w:rPr>
        <w:t xml:space="preserve"> </w:t>
      </w:r>
      <w:proofErr w:type="spellStart"/>
      <w:r w:rsidRPr="009272B8">
        <w:rPr>
          <w:rFonts w:cs="Times New Roman"/>
          <w:i/>
          <w:szCs w:val="24"/>
        </w:rPr>
        <w:t>energjisë</w:t>
      </w:r>
      <w:proofErr w:type="spellEnd"/>
      <w:r w:rsidRPr="009272B8">
        <w:rPr>
          <w:rFonts w:cs="Times New Roman"/>
          <w:i/>
          <w:szCs w:val="24"/>
        </w:rPr>
        <w:t xml:space="preserve"> </w:t>
      </w:r>
      <w:proofErr w:type="spellStart"/>
      <w:r w:rsidRPr="009272B8">
        <w:rPr>
          <w:rFonts w:cs="Times New Roman"/>
          <w:i/>
          <w:szCs w:val="24"/>
        </w:rPr>
        <w:t>elektrike</w:t>
      </w:r>
      <w:proofErr w:type="spellEnd"/>
      <w:r w:rsidRPr="009272B8">
        <w:rPr>
          <w:rFonts w:cs="Times New Roman"/>
          <w:i/>
          <w:szCs w:val="24"/>
        </w:rPr>
        <w:t xml:space="preserve"> </w:t>
      </w:r>
      <w:proofErr w:type="spellStart"/>
      <w:r w:rsidRPr="009272B8">
        <w:rPr>
          <w:rFonts w:cs="Times New Roman"/>
          <w:i/>
          <w:szCs w:val="24"/>
        </w:rPr>
        <w:t>dhe</w:t>
      </w:r>
      <w:proofErr w:type="spellEnd"/>
      <w:r w:rsidRPr="009272B8">
        <w:rPr>
          <w:rFonts w:cs="Times New Roman"/>
          <w:i/>
          <w:szCs w:val="24"/>
        </w:rPr>
        <w:t xml:space="preserve"> </w:t>
      </w:r>
      <w:proofErr w:type="spellStart"/>
      <w:r w:rsidRPr="009272B8">
        <w:rPr>
          <w:rFonts w:cs="Times New Roman"/>
          <w:i/>
          <w:szCs w:val="24"/>
        </w:rPr>
        <w:t>rregullat</w:t>
      </w:r>
      <w:proofErr w:type="spellEnd"/>
      <w:r w:rsidRPr="009272B8">
        <w:rPr>
          <w:rFonts w:cs="Times New Roman"/>
          <w:i/>
          <w:szCs w:val="24"/>
        </w:rPr>
        <w:t xml:space="preserve"> e </w:t>
      </w:r>
      <w:proofErr w:type="spellStart"/>
      <w:r w:rsidRPr="009272B8">
        <w:rPr>
          <w:rFonts w:cs="Times New Roman"/>
          <w:i/>
          <w:szCs w:val="24"/>
        </w:rPr>
        <w:t>tregut</w:t>
      </w:r>
      <w:proofErr w:type="spellEnd"/>
      <w:r w:rsidRPr="009272B8">
        <w:rPr>
          <w:rFonts w:cs="Times New Roman"/>
          <w:i/>
          <w:szCs w:val="24"/>
        </w:rPr>
        <w:t xml:space="preserve"> </w:t>
      </w:r>
      <w:proofErr w:type="spellStart"/>
      <w:r w:rsidRPr="009272B8">
        <w:rPr>
          <w:rFonts w:cs="Times New Roman"/>
          <w:i/>
          <w:szCs w:val="24"/>
        </w:rPr>
        <w:t>të</w:t>
      </w:r>
      <w:proofErr w:type="spellEnd"/>
      <w:r w:rsidRPr="009272B8">
        <w:rPr>
          <w:rFonts w:cs="Times New Roman"/>
          <w:i/>
          <w:szCs w:val="24"/>
        </w:rPr>
        <w:t xml:space="preserve"> </w:t>
      </w:r>
      <w:proofErr w:type="spellStart"/>
      <w:r w:rsidRPr="009272B8">
        <w:rPr>
          <w:rFonts w:cs="Times New Roman"/>
          <w:i/>
          <w:szCs w:val="24"/>
        </w:rPr>
        <w:t>energjisë</w:t>
      </w:r>
      <w:proofErr w:type="spellEnd"/>
      <w:r w:rsidRPr="009272B8">
        <w:rPr>
          <w:rFonts w:cs="Times New Roman"/>
          <w:i/>
          <w:szCs w:val="24"/>
        </w:rPr>
        <w:t xml:space="preserve"> </w:t>
      </w:r>
      <w:proofErr w:type="spellStart"/>
      <w:r w:rsidRPr="009272B8">
        <w:rPr>
          <w:rFonts w:cs="Times New Roman"/>
          <w:i/>
          <w:szCs w:val="24"/>
        </w:rPr>
        <w:t>elektrike</w:t>
      </w:r>
      <w:proofErr w:type="spellEnd"/>
      <w:r w:rsidRPr="009272B8">
        <w:rPr>
          <w:rFonts w:cs="Times New Roman"/>
          <w:i/>
          <w:szCs w:val="24"/>
        </w:rPr>
        <w:t>;</w:t>
      </w:r>
      <w:r w:rsidRPr="009272B8">
        <w:rPr>
          <w:b/>
          <w:i/>
          <w:lang w:val="sq-AL"/>
        </w:rPr>
        <w:t xml:space="preserve"> </w:t>
      </w:r>
    </w:p>
    <w:p w14:paraId="4C681F32" w14:textId="77777777" w:rsidR="0071099C" w:rsidRPr="00444D18" w:rsidRDefault="0071099C" w:rsidP="0071099C">
      <w:pPr>
        <w:pStyle w:val="Paragrafi"/>
        <w:rPr>
          <w:lang w:val="sq-AL"/>
        </w:rPr>
      </w:pPr>
      <w:r w:rsidRPr="00444D18">
        <w:rPr>
          <w:b/>
          <w:lang w:val="sq-AL"/>
        </w:rPr>
        <w:t>“Treg energjie elektrike”</w:t>
      </w:r>
      <w:r w:rsidRPr="00444D18">
        <w:rPr>
          <w:lang w:val="sq-AL"/>
        </w:rPr>
        <w:t xml:space="preserve"> - një sistem ku kryhen shitje dhe blerje efektive, përfshirë edhe derivativët e energjisë elektrike, nëpërmjet kërkesave dhe ofertave, të paraqitura në periudha afatgjata dhe afatshkurtra;</w:t>
      </w:r>
      <w:bookmarkStart w:id="0" w:name="_GoBack"/>
      <w:bookmarkEnd w:id="0"/>
    </w:p>
    <w:p w14:paraId="4C681F33" w14:textId="77777777" w:rsidR="0071099C" w:rsidRPr="00444D18" w:rsidRDefault="0071099C" w:rsidP="0071099C">
      <w:pPr>
        <w:pStyle w:val="Paragrafi"/>
        <w:rPr>
          <w:lang w:val="sq-AL"/>
        </w:rPr>
      </w:pPr>
      <w:r w:rsidRPr="00444D18">
        <w:rPr>
          <w:b/>
          <w:lang w:val="sq-AL"/>
        </w:rPr>
        <w:t>“SEE CAO”</w:t>
      </w:r>
      <w:r w:rsidRPr="00444D18">
        <w:rPr>
          <w:lang w:val="sq-AL"/>
        </w:rPr>
        <w:t xml:space="preserve"> – Zyra e Koordinuar e Ankandeve në Evropën Juglindore, e krijuar në Podgoricë, Mali i Zi, dhe që ka kompetencë kryerjen e ankandeve të kapaciteteve të transmetimit të OST-ve pjesëmarrëse në këtë zyrë;</w:t>
      </w:r>
    </w:p>
    <w:p w14:paraId="4C681F34" w14:textId="77777777" w:rsidR="0071099C" w:rsidRPr="00444D18" w:rsidRDefault="0071099C" w:rsidP="0071099C">
      <w:pPr>
        <w:pStyle w:val="Paragrafi"/>
        <w:rPr>
          <w:lang w:val="sq-AL"/>
        </w:rPr>
      </w:pPr>
      <w:r w:rsidRPr="00444D18">
        <w:rPr>
          <w:b/>
          <w:lang w:val="sq-AL"/>
        </w:rPr>
        <w:t>“Kontratë për diferencë”</w:t>
      </w:r>
      <w:r w:rsidRPr="00444D18">
        <w:rPr>
          <w:lang w:val="sq-AL"/>
        </w:rPr>
        <w:t xml:space="preserve"> (CfD) - një marrëveshje tip, e miratuar nga Këshilli i Ministrave, ndërmjet operatorit të energjisë së rinovueshme dhe prodhuesit të energjisë nga burimet e rinovueshme, i cili është deklaruar ofertuesi i suksesshëm në ankandin për të marrë ndihmë operacionale dhe në investime;</w:t>
      </w:r>
    </w:p>
    <w:p w14:paraId="4C681F35" w14:textId="77777777" w:rsidR="0071099C" w:rsidRPr="00444D18" w:rsidRDefault="0071099C" w:rsidP="0071099C">
      <w:pPr>
        <w:pStyle w:val="Paragrafi"/>
        <w:rPr>
          <w:lang w:val="sq-AL"/>
        </w:rPr>
      </w:pPr>
      <w:r w:rsidRPr="00444D18">
        <w:rPr>
          <w:b/>
          <w:lang w:val="sq-AL"/>
        </w:rPr>
        <w:t>“Palë Përgjegjëse Balancuese”</w:t>
      </w:r>
      <w:r w:rsidRPr="00444D18">
        <w:rPr>
          <w:lang w:val="sq-AL"/>
        </w:rPr>
        <w:t xml:space="preserve"> - të gjitha subjektet juridike që, në përputhje me këtë model dhe legjislacionin në fuqi, janë përgjegjëse për parashikimin e tyre të prodhimit dhe konsumit;</w:t>
      </w:r>
    </w:p>
    <w:p w14:paraId="4C681F36" w14:textId="77777777" w:rsidR="0071099C" w:rsidRPr="00444D18" w:rsidRDefault="0071099C" w:rsidP="0071099C">
      <w:pPr>
        <w:pStyle w:val="Paragrafi"/>
        <w:rPr>
          <w:lang w:val="sq-AL"/>
        </w:rPr>
      </w:pPr>
      <w:r w:rsidRPr="00444D18">
        <w:rPr>
          <w:b/>
          <w:lang w:val="sq-AL"/>
        </w:rPr>
        <w:t>“Palë Shërbyese për Balancimin”</w:t>
      </w:r>
      <w:r w:rsidRPr="00444D18">
        <w:rPr>
          <w:lang w:val="sq-AL"/>
        </w:rPr>
        <w:t xml:space="preserve"> - çdo subjekt juridik që, në përputhje me këtë model dhe legjislacionin në fuqi, ofron shërbime balancimi për OST-në;</w:t>
      </w:r>
    </w:p>
    <w:p w14:paraId="4C681F37" w14:textId="77777777" w:rsidR="0071099C" w:rsidRPr="00444D18" w:rsidRDefault="0071099C" w:rsidP="002D2EE4">
      <w:pPr>
        <w:pStyle w:val="Paragrafi"/>
        <w:rPr>
          <w:lang w:val="sq-AL"/>
        </w:rPr>
      </w:pPr>
      <w:r w:rsidRPr="00444D18">
        <w:rPr>
          <w:b/>
          <w:lang w:val="sq-AL"/>
        </w:rPr>
        <w:t>“Kontrata financiare OTC”</w:t>
      </w:r>
      <w:r w:rsidRPr="00444D18">
        <w:rPr>
          <w:lang w:val="sq-AL"/>
        </w:rPr>
        <w:t xml:space="preserve"> - transaksione financiare të shitblerjes së energjisë elektrike, jo të kryera nëpërmjet bursës së energjisë elektrike.</w:t>
      </w:r>
    </w:p>
    <w:p w14:paraId="4C681F39" w14:textId="77777777" w:rsidR="0071099C" w:rsidRPr="00444D18" w:rsidRDefault="0071099C" w:rsidP="0071099C">
      <w:pPr>
        <w:pStyle w:val="Paragrafi"/>
        <w:rPr>
          <w:lang w:val="sq-AL"/>
        </w:rPr>
      </w:pPr>
      <w:r w:rsidRPr="00444D18">
        <w:rPr>
          <w:lang w:val="sq-AL"/>
        </w:rPr>
        <w:t xml:space="preserve">Çdo term tjetër, i përdorur në këtë model, ka të njëjtin kuptim me atë të përcaktuar në ligjin               nr. 43/2015, “Për sektorin e energjisë elektrike”. </w:t>
      </w:r>
    </w:p>
    <w:p w14:paraId="4C681F3A" w14:textId="77777777" w:rsidR="0071099C" w:rsidRPr="00444D18" w:rsidRDefault="0071099C" w:rsidP="0071099C">
      <w:pPr>
        <w:pStyle w:val="Paragrafi"/>
        <w:rPr>
          <w:lang w:val="sq-AL"/>
        </w:rPr>
      </w:pPr>
      <w:r w:rsidRPr="00444D18">
        <w:rPr>
          <w:lang w:val="sq-AL"/>
        </w:rPr>
        <w:t>Ky model nuk do të interpretohet si kufizues apo ndalues me çfarëdo iniciativë në sektorin e energjisë elektrike dhe/ose angazhimeve që Shqipëria mund të ndërmarrë në kuadër të bashkëpunimit rajonal.</w:t>
      </w:r>
    </w:p>
    <w:p w14:paraId="4C681F3B" w14:textId="77777777" w:rsidR="0071099C" w:rsidRPr="00444D18" w:rsidRDefault="0071099C" w:rsidP="0071099C">
      <w:pPr>
        <w:pStyle w:val="Paragrafi"/>
        <w:rPr>
          <w:b/>
          <w:lang w:val="sq-AL"/>
        </w:rPr>
      </w:pPr>
      <w:r w:rsidRPr="00444D18">
        <w:rPr>
          <w:b/>
          <w:lang w:val="sq-AL"/>
        </w:rPr>
        <w:t>1. Qëllimet dhe objektivat e modelit të tregut</w:t>
      </w:r>
    </w:p>
    <w:p w14:paraId="4C681F3C" w14:textId="77777777" w:rsidR="0071099C" w:rsidRPr="00444D18" w:rsidRDefault="0071099C" w:rsidP="0071099C">
      <w:pPr>
        <w:pStyle w:val="Paragrafi"/>
        <w:rPr>
          <w:b/>
          <w:lang w:val="sq-AL"/>
        </w:rPr>
      </w:pPr>
      <w:r w:rsidRPr="00444D18">
        <w:rPr>
          <w:b/>
          <w:lang w:val="sq-AL"/>
        </w:rPr>
        <w:t xml:space="preserve">1. Qëllimi </w:t>
      </w:r>
    </w:p>
    <w:p w14:paraId="4C681F3D" w14:textId="77777777" w:rsidR="0071099C" w:rsidRPr="00444D18" w:rsidRDefault="0071099C" w:rsidP="0071099C">
      <w:pPr>
        <w:pStyle w:val="Paragrafi"/>
        <w:rPr>
          <w:lang w:val="sq-AL"/>
        </w:rPr>
      </w:pPr>
      <w:r w:rsidRPr="00444D18">
        <w:rPr>
          <w:lang w:val="sq-AL"/>
        </w:rPr>
        <w:t xml:space="preserve">1.1 </w:t>
      </w:r>
      <w:r w:rsidRPr="00444D18">
        <w:rPr>
          <w:lang w:val="sq-AL"/>
        </w:rPr>
        <w:tab/>
        <w:t>Qëllimi i modelit të tregut:</w:t>
      </w:r>
    </w:p>
    <w:p w14:paraId="4C681F3E" w14:textId="77777777" w:rsidR="0071099C" w:rsidRPr="00444D18" w:rsidRDefault="0071099C" w:rsidP="0071099C">
      <w:pPr>
        <w:pStyle w:val="Paragrafi"/>
        <w:rPr>
          <w:lang w:val="sq-AL"/>
        </w:rPr>
      </w:pPr>
      <w:r w:rsidRPr="00444D18">
        <w:rPr>
          <w:lang w:val="sq-AL"/>
        </w:rPr>
        <w:t>- Të krijojë kushtet për një treg konkurrues të energjisë elektrike, i cili lejon vendosjen e çmimeve të drejta që burojnë nga zbatimi i një tregu të qëndrueshëm, në përputhje me detyrimet e Traktatit të Komunitetit të Energjisë;</w:t>
      </w:r>
    </w:p>
    <w:p w14:paraId="4C681F3F" w14:textId="77777777" w:rsidR="0071099C" w:rsidRPr="00444D18" w:rsidRDefault="0071099C" w:rsidP="0071099C">
      <w:pPr>
        <w:pStyle w:val="Paragrafi"/>
        <w:rPr>
          <w:lang w:val="sq-AL"/>
        </w:rPr>
      </w:pPr>
      <w:r w:rsidRPr="00444D18">
        <w:rPr>
          <w:lang w:val="sq-AL"/>
        </w:rPr>
        <w:t xml:space="preserve">- Të krijojë kushtet për një treg të orientuar drejt importit dhe eksportit, që promovon përfitimet e konsumatorëve, si dhe përfitime për sektorin shqiptar të energjisë elektrike, duke ofruar fleksibilitet për integrimin në tregun e energjisë elektrike panevropiane dhe bashkimin e tregjeve të ditës në avancë </w:t>
      </w:r>
      <w:r w:rsidRPr="00444D18">
        <w:rPr>
          <w:i/>
          <w:lang w:val="sq-AL"/>
        </w:rPr>
        <w:t>(day ahead market)</w:t>
      </w:r>
      <w:r w:rsidRPr="00444D18">
        <w:rPr>
          <w:lang w:val="sq-AL"/>
        </w:rPr>
        <w:t xml:space="preserve"> dhe tregut brenda ditës </w:t>
      </w:r>
      <w:r w:rsidRPr="00444D18">
        <w:rPr>
          <w:i/>
          <w:lang w:val="sq-AL"/>
        </w:rPr>
        <w:t>(intraday market)</w:t>
      </w:r>
      <w:r w:rsidRPr="00444D18">
        <w:rPr>
          <w:lang w:val="sq-AL"/>
        </w:rPr>
        <w:t>;</w:t>
      </w:r>
    </w:p>
    <w:p w14:paraId="4C681F40" w14:textId="77777777" w:rsidR="0071099C" w:rsidRPr="00444D18" w:rsidRDefault="0071099C" w:rsidP="0071099C">
      <w:pPr>
        <w:pStyle w:val="Paragrafi"/>
        <w:rPr>
          <w:lang w:val="sq-AL"/>
        </w:rPr>
      </w:pPr>
      <w:r w:rsidRPr="00444D18">
        <w:rPr>
          <w:lang w:val="sq-AL"/>
        </w:rPr>
        <w:t>- Të krijojë kushtet për kalimin transparent dhe efikas të flukseve të fondeve dhe llogarive, duke përdorur BSHE-në si një organizëm qendror për të gjithë tregtarët në tregun e organizuar.</w:t>
      </w:r>
    </w:p>
    <w:p w14:paraId="4C681F41" w14:textId="77777777" w:rsidR="0071099C" w:rsidRPr="00444D18" w:rsidRDefault="0071099C" w:rsidP="0071099C">
      <w:pPr>
        <w:pStyle w:val="Paragrafi"/>
        <w:rPr>
          <w:lang w:val="sq-AL"/>
        </w:rPr>
      </w:pPr>
      <w:r w:rsidRPr="00444D18">
        <w:rPr>
          <w:lang w:val="sq-AL"/>
        </w:rPr>
        <w:t>1.2 Kërkesat për funksionimin e modelit të tregut në mënyrë eficiente:</w:t>
      </w:r>
    </w:p>
    <w:p w14:paraId="4C681F42" w14:textId="77777777" w:rsidR="0071099C" w:rsidRPr="00444D18" w:rsidRDefault="0071099C" w:rsidP="0071099C">
      <w:pPr>
        <w:pStyle w:val="Paragrafi"/>
        <w:rPr>
          <w:lang w:val="sq-AL"/>
        </w:rPr>
      </w:pPr>
      <w:r w:rsidRPr="00444D18">
        <w:rPr>
          <w:lang w:val="sq-AL"/>
        </w:rPr>
        <w:t>- hartimi i rregullave transparente dhe të përshtatshme për BSHE-në, pjesëmarrësit e tregut, përfshirë operatorët e rrjetit të transmetimit dhe të shpërndarjes;</w:t>
      </w:r>
    </w:p>
    <w:p w14:paraId="4C681F43" w14:textId="77777777" w:rsidR="0071099C" w:rsidRPr="00444D18" w:rsidRDefault="0071099C" w:rsidP="0071099C">
      <w:pPr>
        <w:pStyle w:val="Paragrafi"/>
        <w:rPr>
          <w:lang w:val="sq-AL"/>
        </w:rPr>
      </w:pPr>
      <w:r w:rsidRPr="00444D18">
        <w:rPr>
          <w:lang w:val="sq-AL"/>
        </w:rPr>
        <w:t>- mbikëqyrja rregullatore nga ERE, me masa shtesë, për të garantuar transparencën, akses të barabartë dhe jodiskriminues në treg dhe në rrjet;</w:t>
      </w:r>
    </w:p>
    <w:p w14:paraId="4C681F44" w14:textId="77777777" w:rsidR="0071099C" w:rsidRPr="00444D18" w:rsidRDefault="0071099C" w:rsidP="0071099C">
      <w:pPr>
        <w:pStyle w:val="Paragrafi"/>
        <w:rPr>
          <w:lang w:val="sq-AL"/>
        </w:rPr>
      </w:pPr>
      <w:r w:rsidRPr="00444D18">
        <w:rPr>
          <w:lang w:val="sq-AL"/>
        </w:rPr>
        <w:t xml:space="preserve">- proceset e monitorimit të tregut dhe të raportimit të të dhënave; </w:t>
      </w:r>
    </w:p>
    <w:p w14:paraId="4C681F45" w14:textId="77777777" w:rsidR="0071099C" w:rsidRPr="00444D18" w:rsidRDefault="0071099C" w:rsidP="0071099C">
      <w:pPr>
        <w:pStyle w:val="Paragrafi"/>
        <w:rPr>
          <w:lang w:val="sq-AL"/>
        </w:rPr>
      </w:pPr>
      <w:r w:rsidRPr="00444D18">
        <w:rPr>
          <w:lang w:val="sq-AL"/>
        </w:rPr>
        <w:lastRenderedPageBreak/>
        <w:t>- rregullat e tregut dhe kodet e lidhura me to, që garantojnë një mbrojtje efektive kundër abuzimeve në treg dhe praktikave të padrejta tregtare.</w:t>
      </w:r>
    </w:p>
    <w:p w14:paraId="4C681F46" w14:textId="77777777" w:rsidR="0071099C" w:rsidRPr="00444D18" w:rsidRDefault="0071099C" w:rsidP="0071099C">
      <w:pPr>
        <w:pStyle w:val="Paragrafi"/>
        <w:rPr>
          <w:lang w:val="sq-AL"/>
        </w:rPr>
      </w:pPr>
      <w:r w:rsidRPr="00444D18">
        <w:rPr>
          <w:lang w:val="sq-AL"/>
        </w:rPr>
        <w:t>1.3 Qëllimet të tjera të rëndësishme të modelit të tregut:</w:t>
      </w:r>
    </w:p>
    <w:p w14:paraId="4C681F47" w14:textId="77777777" w:rsidR="0071099C" w:rsidRPr="00444D18" w:rsidRDefault="0071099C" w:rsidP="0071099C">
      <w:pPr>
        <w:pStyle w:val="Paragrafi"/>
        <w:rPr>
          <w:lang w:val="sq-AL"/>
        </w:rPr>
      </w:pPr>
      <w:r w:rsidRPr="00444D18">
        <w:rPr>
          <w:lang w:val="sq-AL"/>
        </w:rPr>
        <w:t xml:space="preserve">- të marrë në konsideratë transformimin e subjekteve të integruar vertikalisht, në entitete funksionalisht, ligjërisht dhe financiarisht të ndara në bazë të kërkesave të paketës së tretë rregullatore; </w:t>
      </w:r>
    </w:p>
    <w:p w14:paraId="4C681F48" w14:textId="77777777" w:rsidR="0071099C" w:rsidRPr="00444D18" w:rsidRDefault="0071099C" w:rsidP="0071099C">
      <w:pPr>
        <w:pStyle w:val="Paragrafi"/>
        <w:rPr>
          <w:lang w:val="sq-AL"/>
        </w:rPr>
      </w:pPr>
      <w:r w:rsidRPr="00444D18">
        <w:rPr>
          <w:lang w:val="sq-AL"/>
        </w:rPr>
        <w:t>- të krijojë një strukturë, brenda së cilës të zhvillohet konkurrenca, si në tregun me shumicë ashtu edhe në atë me pakicë, për të mundësuar dhe promovuar ndryshimin e shpejtë të furnizuesit.</w:t>
      </w:r>
    </w:p>
    <w:p w14:paraId="4C681F49" w14:textId="77777777" w:rsidR="0071099C" w:rsidRPr="00444D18" w:rsidRDefault="0071099C" w:rsidP="0071099C">
      <w:pPr>
        <w:pStyle w:val="Paragrafi"/>
        <w:rPr>
          <w:b/>
          <w:lang w:val="sq-AL"/>
        </w:rPr>
      </w:pPr>
      <w:r w:rsidRPr="00444D18">
        <w:rPr>
          <w:b/>
          <w:lang w:val="sq-AL"/>
        </w:rPr>
        <w:t>2. Objektivat</w:t>
      </w:r>
    </w:p>
    <w:p w14:paraId="4C681F4A" w14:textId="77777777" w:rsidR="0071099C" w:rsidRPr="00444D18" w:rsidRDefault="0071099C" w:rsidP="0071099C">
      <w:pPr>
        <w:pStyle w:val="Paragrafi"/>
        <w:rPr>
          <w:lang w:val="sq-AL"/>
        </w:rPr>
      </w:pPr>
      <w:r w:rsidRPr="00444D18">
        <w:rPr>
          <w:lang w:val="sq-AL"/>
        </w:rPr>
        <w:t>Modeli Shqiptar i Tregut karakterizohet si një treg me shumicë, i bazuar në transaksione dypalëshe dhe kontrata të lidhura ndërmjet dy pjesëmarrësve të tregut jashtë bursës (</w:t>
      </w:r>
      <w:r w:rsidRPr="00444D18">
        <w:rPr>
          <w:i/>
          <w:lang w:val="sq-AL"/>
        </w:rPr>
        <w:t>Over the Counter -OTC</w:t>
      </w:r>
      <w:r w:rsidRPr="00444D18">
        <w:rPr>
          <w:lang w:val="sq-AL"/>
        </w:rPr>
        <w:t>) ose si një treg i organizuar i ditës në avancë dhe tregut brenda ditës, i organizuar nëpërmjet bursës BSHE. ERE është përgjegjëse për të miratuar, në bashkëpunim me Sekretariatin e Komunitetit të Energjisë dhe në konsultim me Autoritetin e Konkurrencës, Komisionin e Ndihmës Shtetërore dhe pjesëmarrësit e tregut, masat e duhura për të siguruar përmbushjen e kritereve të transparencës dhe të hapjes së tregut si dhe masat në lidhje me sigurinë e furnizimit.</w:t>
      </w:r>
    </w:p>
    <w:p w14:paraId="4C681F4B" w14:textId="77777777" w:rsidR="0071099C" w:rsidRPr="00444D18" w:rsidRDefault="0071099C" w:rsidP="0071099C">
      <w:pPr>
        <w:pStyle w:val="Paragrafi"/>
        <w:rPr>
          <w:lang w:val="sq-AL"/>
        </w:rPr>
      </w:pPr>
      <w:r w:rsidRPr="00444D18">
        <w:rPr>
          <w:lang w:val="sq-AL"/>
        </w:rPr>
        <w:t>Çdo formë e tarifave apo e çmimeve të rregulluara në mënyrë të drejtpërdrejtë apo të tërthortë, si dhe çdo formë subvencioni për kategori të ndryshme të konsumatorëve, do të eliminohet, me përjashtim të tarifave të rregulluara, që janë të mbuluara nga detyrimi i shërbimit publik, në përputhje me detyrimet e ligjit për sektorin e energjisë dhe Traktatit të Komunitetit të Energjisë.</w:t>
      </w:r>
    </w:p>
    <w:p w14:paraId="4C681F4C" w14:textId="77777777" w:rsidR="0071099C" w:rsidRPr="00444D18" w:rsidRDefault="0071099C" w:rsidP="0071099C">
      <w:pPr>
        <w:pStyle w:val="Paragrafi"/>
        <w:rPr>
          <w:lang w:val="sq-AL"/>
        </w:rPr>
      </w:pPr>
      <w:r w:rsidRPr="00444D18">
        <w:rPr>
          <w:lang w:val="sq-AL"/>
        </w:rPr>
        <w:t>Modeli Shqiptar i Tregut synon përmbushjen e objektivave të qeverisë së Shqipërisë në drejtim të:</w:t>
      </w:r>
    </w:p>
    <w:p w14:paraId="4C681F4D" w14:textId="77777777" w:rsidR="0071099C" w:rsidRPr="00444D18" w:rsidRDefault="0071099C" w:rsidP="0071099C">
      <w:pPr>
        <w:pStyle w:val="Paragrafi"/>
        <w:rPr>
          <w:lang w:val="sq-AL"/>
        </w:rPr>
      </w:pPr>
      <w:r w:rsidRPr="00444D18">
        <w:rPr>
          <w:lang w:val="sq-AL"/>
        </w:rPr>
        <w:t>i) liberalizimit të plotë të tregut të energjisë elektrike dhe krijimit të një tregu/tregjeve të organizuar, pra një treg/tregje konkurrues/e të energjisë për tregtimin e flukseve fizike të ditës në avancë apo brenda ditës;</w:t>
      </w:r>
    </w:p>
    <w:p w14:paraId="4C681F4E" w14:textId="77777777" w:rsidR="0071099C" w:rsidRPr="00444D18" w:rsidRDefault="0071099C" w:rsidP="0071099C">
      <w:pPr>
        <w:pStyle w:val="Paragrafi"/>
        <w:rPr>
          <w:lang w:val="sq-AL"/>
        </w:rPr>
      </w:pPr>
      <w:r w:rsidRPr="00444D18">
        <w:rPr>
          <w:lang w:val="sq-AL"/>
        </w:rPr>
        <w:t>ii) sigurimit të përputhshmërisë së Modelit Shqiptar të Tregut me dispozitat e Traktatit të Komunitetit të Energjisë;</w:t>
      </w:r>
    </w:p>
    <w:p w14:paraId="4C681F4F" w14:textId="77777777" w:rsidR="0071099C" w:rsidRPr="00444D18" w:rsidRDefault="0071099C" w:rsidP="0071099C">
      <w:pPr>
        <w:pStyle w:val="Paragrafi"/>
        <w:rPr>
          <w:lang w:val="sq-AL"/>
        </w:rPr>
      </w:pPr>
      <w:r w:rsidRPr="00444D18">
        <w:rPr>
          <w:lang w:val="sq-AL"/>
        </w:rPr>
        <w:t>iii) funksionimit të tregut të energjisë si treg i energjisë balancuese, mbështetur në përgjegjësinë e palëve për disbalancat, rakordimin qendror të disbalancave dhe lehtësimin e integrimit me tregjet e tjera balancuese;</w:t>
      </w:r>
    </w:p>
    <w:p w14:paraId="4C681F50" w14:textId="77777777" w:rsidR="0071099C" w:rsidRPr="00444D18" w:rsidRDefault="0071099C" w:rsidP="0071099C">
      <w:pPr>
        <w:pStyle w:val="Paragrafi"/>
        <w:rPr>
          <w:lang w:val="sq-AL"/>
        </w:rPr>
      </w:pPr>
      <w:r w:rsidRPr="00444D18">
        <w:rPr>
          <w:lang w:val="sq-AL"/>
        </w:rPr>
        <w:t>iv) sigurimit të likuiditetit të nevojshëm, duke nxitur masa për një funksionim efikas të tregut/tregjeve të flukseve fizike të energjisë;</w:t>
      </w:r>
    </w:p>
    <w:p w14:paraId="4C681F51" w14:textId="77777777" w:rsidR="0071099C" w:rsidRPr="00444D18" w:rsidRDefault="0071099C" w:rsidP="0071099C">
      <w:pPr>
        <w:pStyle w:val="Paragrafi"/>
        <w:rPr>
          <w:lang w:val="sq-AL"/>
        </w:rPr>
      </w:pPr>
      <w:r w:rsidRPr="00444D18">
        <w:rPr>
          <w:lang w:val="sq-AL"/>
        </w:rPr>
        <w:t>v) rritjes së efikasitetit dhe qëndrueshmërisë së sektorit, duke qartësuar përgjegjësitë dhe detyrimet, si dhe duke siguruar informacion të mjaftueshëm në lidhje me operimin e tregut dhe krijimin e një strukture të qartë për transaksionet e tregut të energjisë elektrike.</w:t>
      </w:r>
    </w:p>
    <w:p w14:paraId="4C681F52" w14:textId="77777777" w:rsidR="0071099C" w:rsidRPr="00444D18" w:rsidRDefault="0071099C" w:rsidP="0071099C">
      <w:pPr>
        <w:pStyle w:val="Paragrafi"/>
        <w:rPr>
          <w:lang w:val="sq-AL"/>
        </w:rPr>
      </w:pPr>
      <w:r w:rsidRPr="00444D18">
        <w:rPr>
          <w:lang w:val="sq-AL"/>
        </w:rPr>
        <w:t>Parimet kryesore të modelit të tregut, janë:</w:t>
      </w:r>
    </w:p>
    <w:p w14:paraId="4C681F53" w14:textId="1BEC9DBF" w:rsidR="002D2EE4" w:rsidRPr="00444D18" w:rsidRDefault="0071099C" w:rsidP="0071099C">
      <w:pPr>
        <w:pStyle w:val="Paragrafi"/>
        <w:rPr>
          <w:i/>
          <w:lang w:val="sq-AL"/>
        </w:rPr>
      </w:pPr>
      <w:r w:rsidRPr="00444D18">
        <w:rPr>
          <w:i/>
          <w:lang w:val="sq-AL"/>
        </w:rPr>
        <w:t xml:space="preserve">- </w:t>
      </w:r>
      <w:r w:rsidR="002D2EE4" w:rsidRPr="00444D18">
        <w:rPr>
          <w:i/>
          <w:lang w:val="sq-AL"/>
        </w:rPr>
        <w:t xml:space="preserve">zbatimi i mbikëqyrjes dhe monitorimit të tregut, me qëllim shmangien e abuzimit në treg; </w:t>
      </w:r>
    </w:p>
    <w:p w14:paraId="4C681F54" w14:textId="77777777" w:rsidR="0071099C" w:rsidRPr="00444D18" w:rsidRDefault="0071099C" w:rsidP="0071099C">
      <w:pPr>
        <w:pStyle w:val="Paragrafi"/>
        <w:rPr>
          <w:lang w:val="sq-AL"/>
        </w:rPr>
      </w:pPr>
      <w:r w:rsidRPr="00444D18">
        <w:rPr>
          <w:lang w:val="sq-AL"/>
        </w:rPr>
        <w:t>- funksionimi si një treg i organizuar i ditës në avancë dhe tregut brenda ditës, për tregtimin e flukseve fizike të energjisë elektrike, në periudhën kohore të ditës në avancë;</w:t>
      </w:r>
    </w:p>
    <w:p w14:paraId="4C681F55" w14:textId="77777777" w:rsidR="0071099C" w:rsidRPr="00444D18" w:rsidRDefault="0071099C" w:rsidP="0071099C">
      <w:pPr>
        <w:pStyle w:val="Paragrafi"/>
        <w:rPr>
          <w:lang w:val="sq-AL"/>
        </w:rPr>
      </w:pPr>
      <w:r w:rsidRPr="00444D18">
        <w:rPr>
          <w:lang w:val="sq-AL"/>
        </w:rPr>
        <w:t>- tregtimi i kontratave fizike afatgjata dypalëshe do të lejohet në përputhje me kapacitetin e blerë dhe të nominuar në ankandet eksplicite të organizuara nga SEE CAO;</w:t>
      </w:r>
    </w:p>
    <w:p w14:paraId="4C681F56" w14:textId="579E6205" w:rsidR="002D2EE4" w:rsidRPr="00444D18" w:rsidRDefault="002D2EE4" w:rsidP="0071099C">
      <w:pPr>
        <w:pStyle w:val="Paragrafi"/>
        <w:rPr>
          <w:i/>
          <w:lang w:val="sq-AL"/>
        </w:rPr>
      </w:pPr>
      <w:r w:rsidRPr="00444D18">
        <w:rPr>
          <w:i/>
          <w:lang w:val="sq-AL"/>
        </w:rPr>
        <w:t>- të gjitha format e tjera të tregtimit mund të jenë financiare ose fizike;</w:t>
      </w:r>
    </w:p>
    <w:p w14:paraId="4C681F57" w14:textId="77777777" w:rsidR="0071099C" w:rsidRPr="00444D18" w:rsidRDefault="0071099C" w:rsidP="0071099C">
      <w:pPr>
        <w:pStyle w:val="Paragrafi"/>
        <w:rPr>
          <w:lang w:val="sq-AL"/>
        </w:rPr>
      </w:pPr>
      <w:r w:rsidRPr="00444D18">
        <w:rPr>
          <w:lang w:val="sq-AL"/>
        </w:rPr>
        <w:t>- marrëdhëniet kontraktuale janë skemat bazë që shërbejnë për menaxhimin e marrëdhënieve ndërmjet subjekteve të ndryshme në treg.</w:t>
      </w:r>
    </w:p>
    <w:p w14:paraId="4C02DFE2" w14:textId="77777777" w:rsidR="002D2EE4" w:rsidRPr="00444D18" w:rsidRDefault="002D2EE4" w:rsidP="002D2EE4">
      <w:pPr>
        <w:spacing w:after="0" w:line="240" w:lineRule="auto"/>
        <w:rPr>
          <w:rFonts w:ascii="Garamond" w:eastAsiaTheme="minorHAnsi" w:hAnsi="Garamond"/>
          <w:i/>
          <w:sz w:val="24"/>
          <w:szCs w:val="24"/>
          <w:lang w:val="sq-AL"/>
        </w:rPr>
      </w:pPr>
      <w:r w:rsidRPr="00444D18">
        <w:rPr>
          <w:rFonts w:ascii="Garamond" w:eastAsiaTheme="minorHAnsi" w:hAnsi="Garamond"/>
          <w:i/>
          <w:sz w:val="24"/>
          <w:szCs w:val="24"/>
          <w:lang w:val="sq-AL"/>
        </w:rPr>
        <w:t>Për përmbushjen e këtij objektivi kërkohet:</w:t>
      </w:r>
    </w:p>
    <w:p w14:paraId="2553C0F0" w14:textId="77777777" w:rsidR="002D2EE4" w:rsidRPr="00444D18" w:rsidRDefault="002D2EE4" w:rsidP="002D2EE4">
      <w:pPr>
        <w:pStyle w:val="Paragrafi"/>
        <w:rPr>
          <w:i/>
          <w:lang w:val="sq-AL"/>
        </w:rPr>
      </w:pPr>
      <w:r w:rsidRPr="00444D18">
        <w:rPr>
          <w:rFonts w:eastAsiaTheme="minorHAnsi" w:cstheme="minorBidi"/>
          <w:i/>
          <w:szCs w:val="24"/>
          <w:lang w:val="sq-AL"/>
        </w:rPr>
        <w:t>- OST-ja të vendosë në dispozicion të tregut të organizuar një sasi minimum (50%) të kapaciteteve ndërkufitare të disponueshme, që i përket bashkimit respektiv të tregjeve. Sasia e vlerës minimale duhet të rishikohet në vijueshmëri dhe mund të ndryshohet në bazë të një vlerësimi të propozuar nga ana e OST-së dhe të miratuar nga ERE. BSHE-ja ka të drejtë t’i kërkojë OST-së iniciimin e procesit të mësipërm të rishikimit të sasisë minimale.</w:t>
      </w:r>
    </w:p>
    <w:p w14:paraId="4C681F5E" w14:textId="77777777" w:rsidR="0071099C" w:rsidRPr="00444D18" w:rsidRDefault="0071099C" w:rsidP="0071099C">
      <w:pPr>
        <w:pStyle w:val="Paragrafi"/>
        <w:rPr>
          <w:lang w:val="sq-AL"/>
        </w:rPr>
      </w:pPr>
      <w:r w:rsidRPr="00444D18">
        <w:rPr>
          <w:lang w:val="sq-AL"/>
        </w:rPr>
        <w:t>Marrëdhëniet dhe roli i pjesëmarrësve të tregut në operimin fizik të modelit të tregut përcaktohen me marrëveshje ndërmjet pjesëmarrësve individualë dhe BSHE-së e OST-së, ose rregullohet nëpërmjet marrëveshjeve standarde të zbatueshme dypalëshe.</w:t>
      </w:r>
    </w:p>
    <w:p w14:paraId="4C681F5F" w14:textId="77777777" w:rsidR="0071099C" w:rsidRPr="00444D18" w:rsidRDefault="0071099C" w:rsidP="0071099C">
      <w:pPr>
        <w:pStyle w:val="Paragrafi"/>
        <w:rPr>
          <w:b/>
          <w:lang w:val="sq-AL"/>
        </w:rPr>
      </w:pPr>
      <w:r w:rsidRPr="00444D18">
        <w:rPr>
          <w:b/>
          <w:lang w:val="sq-AL"/>
        </w:rPr>
        <w:t xml:space="preserve">3. Rolet e modelit të tregut </w:t>
      </w:r>
    </w:p>
    <w:p w14:paraId="4C681F60" w14:textId="77777777" w:rsidR="0071099C" w:rsidRPr="00444D18" w:rsidRDefault="0071099C" w:rsidP="0071099C">
      <w:pPr>
        <w:pStyle w:val="Paragrafi"/>
        <w:rPr>
          <w:b/>
          <w:lang w:val="sq-AL"/>
        </w:rPr>
      </w:pPr>
      <w:r w:rsidRPr="00444D18">
        <w:rPr>
          <w:b/>
          <w:lang w:val="sq-AL"/>
        </w:rPr>
        <w:t xml:space="preserve">3.1 Operatori i Sistemit të Transmetimit (OST) </w:t>
      </w:r>
    </w:p>
    <w:p w14:paraId="4C681F61" w14:textId="77777777" w:rsidR="0071099C" w:rsidRPr="00444D18" w:rsidRDefault="0071099C" w:rsidP="0071099C">
      <w:pPr>
        <w:pStyle w:val="Paragrafi"/>
        <w:rPr>
          <w:lang w:val="sq-AL"/>
        </w:rPr>
      </w:pPr>
      <w:r w:rsidRPr="00444D18">
        <w:rPr>
          <w:lang w:val="sq-AL"/>
        </w:rPr>
        <w:t xml:space="preserve">OST-ja është kompania e pavarur shtetërore që kryen këto funksione: </w:t>
      </w:r>
    </w:p>
    <w:p w14:paraId="4C681F62" w14:textId="77777777" w:rsidR="0071099C" w:rsidRPr="00444D18" w:rsidRDefault="0071099C" w:rsidP="0071099C">
      <w:pPr>
        <w:pStyle w:val="Paragrafi"/>
        <w:rPr>
          <w:lang w:val="sq-AL"/>
        </w:rPr>
      </w:pPr>
      <w:r w:rsidRPr="00444D18">
        <w:rPr>
          <w:lang w:val="sq-AL"/>
        </w:rPr>
        <w:t>- funksionin e operimit fizik të rrjetit të transmetimit (pronësinë, mirëmbajtjen dhe zgjerimin);</w:t>
      </w:r>
    </w:p>
    <w:p w14:paraId="4C681F63" w14:textId="77777777" w:rsidR="0071099C" w:rsidRPr="00444D18" w:rsidRDefault="0071099C" w:rsidP="0071099C">
      <w:pPr>
        <w:pStyle w:val="Paragrafi"/>
        <w:rPr>
          <w:lang w:val="sq-AL"/>
        </w:rPr>
      </w:pPr>
      <w:r w:rsidRPr="00444D18">
        <w:rPr>
          <w:lang w:val="sq-AL"/>
        </w:rPr>
        <w:t>- funksionin e Operatorit të Sistemit, në përputhje me kërkesat e ligjit nr. 43/2015 dhe direktivës 2009/72/CE, duke përfshirë dispeçerimin;</w:t>
      </w:r>
    </w:p>
    <w:p w14:paraId="4C681F64" w14:textId="77777777" w:rsidR="0071099C" w:rsidRPr="00444D18" w:rsidRDefault="0071099C" w:rsidP="0071099C">
      <w:pPr>
        <w:pStyle w:val="Paragrafi"/>
        <w:rPr>
          <w:lang w:val="sq-AL"/>
        </w:rPr>
      </w:pPr>
      <w:r w:rsidRPr="00444D18">
        <w:rPr>
          <w:lang w:val="sq-AL"/>
        </w:rPr>
        <w:t xml:space="preserve">- sigurimi i shërbimit të lidhjes për të gjithë përdoruesit e sistemit të lidhur me rrjetet e transmetimit, </w:t>
      </w:r>
      <w:r w:rsidRPr="00444D18">
        <w:rPr>
          <w:lang w:val="sq-AL"/>
        </w:rPr>
        <w:lastRenderedPageBreak/>
        <w:t>në kushte jodiskriminuese;</w:t>
      </w:r>
    </w:p>
    <w:p w14:paraId="4C681F65" w14:textId="77777777" w:rsidR="0071099C" w:rsidRPr="00444D18" w:rsidRDefault="0071099C" w:rsidP="0071099C">
      <w:pPr>
        <w:pStyle w:val="Paragrafi"/>
        <w:rPr>
          <w:lang w:val="sq-AL"/>
        </w:rPr>
      </w:pPr>
      <w:r w:rsidRPr="00444D18">
        <w:rPr>
          <w:lang w:val="sq-AL"/>
        </w:rPr>
        <w:t>- përcakton kushtet për t’u bërë Palë Përgjegjëse Balancuese (PPB) dhe Palë Shërbyese për Balancimin (PSB);</w:t>
      </w:r>
    </w:p>
    <w:p w14:paraId="4C681F66" w14:textId="77777777" w:rsidR="0071099C" w:rsidRPr="00444D18" w:rsidRDefault="0071099C" w:rsidP="0071099C">
      <w:pPr>
        <w:pStyle w:val="Paragrafi"/>
        <w:rPr>
          <w:lang w:val="sq-AL"/>
        </w:rPr>
      </w:pPr>
      <w:r w:rsidRPr="00444D18">
        <w:rPr>
          <w:lang w:val="sq-AL"/>
        </w:rPr>
        <w:t>- zbaton procesin e llogaritjes së kapaciteteve ndërkufitare të interkonjeksionit, të koordinuara në përputhje me kërkesat në tregjet e organizuara.</w:t>
      </w:r>
    </w:p>
    <w:p w14:paraId="4C681F67" w14:textId="77777777" w:rsidR="0071099C" w:rsidRPr="00444D18" w:rsidRDefault="0071099C" w:rsidP="0071099C">
      <w:pPr>
        <w:pStyle w:val="Paragrafi"/>
        <w:rPr>
          <w:lang w:val="sq-AL"/>
        </w:rPr>
      </w:pPr>
      <w:r w:rsidRPr="00444D18">
        <w:rPr>
          <w:lang w:val="sq-AL"/>
        </w:rPr>
        <w:t>OST-ja kryen funksionin e Operatorit të Tregut Balancues, nëpërmjet:</w:t>
      </w:r>
    </w:p>
    <w:p w14:paraId="4C681F68" w14:textId="77777777" w:rsidR="0071099C" w:rsidRPr="00444D18" w:rsidRDefault="0071099C" w:rsidP="0071099C">
      <w:pPr>
        <w:pStyle w:val="Paragrafi"/>
        <w:rPr>
          <w:lang w:val="sq-AL"/>
        </w:rPr>
      </w:pPr>
      <w:r w:rsidRPr="00444D18">
        <w:rPr>
          <w:lang w:val="sq-AL"/>
        </w:rPr>
        <w:t>- parashikimit dhe blerjes së shërbimeve ndihmëse, të ndara në energji balancuese dhe kapacitet rezervë, nga të gjithë Ofruesit e Shërbimeve të Balancuar (OSB-ve), në një javë, ditën përpara dhe afatin kohor real të bazuar në treg;</w:t>
      </w:r>
    </w:p>
    <w:p w14:paraId="4C681F69" w14:textId="77777777" w:rsidR="0071099C" w:rsidRPr="00444D18" w:rsidRDefault="0071099C" w:rsidP="0071099C">
      <w:pPr>
        <w:pStyle w:val="Paragrafi"/>
        <w:rPr>
          <w:lang w:val="sq-AL"/>
        </w:rPr>
      </w:pPr>
      <w:r w:rsidRPr="00444D18">
        <w:rPr>
          <w:lang w:val="sq-AL"/>
        </w:rPr>
        <w:t>- kryerjes së veprimeve të nevojshme për balancimin, duke aktivizuar rregullimin sekondar në ulje (</w:t>
      </w:r>
      <w:r w:rsidRPr="00444D18">
        <w:rPr>
          <w:i/>
          <w:lang w:val="sq-AL"/>
        </w:rPr>
        <w:t>downward</w:t>
      </w:r>
      <w:r w:rsidRPr="00444D18">
        <w:rPr>
          <w:lang w:val="sq-AL"/>
        </w:rPr>
        <w:t>) ose rritje (</w:t>
      </w:r>
      <w:r w:rsidRPr="00444D18">
        <w:rPr>
          <w:i/>
          <w:lang w:val="sq-AL"/>
        </w:rPr>
        <w:t>upward</w:t>
      </w:r>
      <w:r w:rsidRPr="00444D18">
        <w:rPr>
          <w:lang w:val="sq-AL"/>
        </w:rPr>
        <w:t>) nga rezervat balancuese dhe/ose të rezervave shtesë bala-ncuese, të ofruara në tregun e balancimit të energjisë elektrike;</w:t>
      </w:r>
    </w:p>
    <w:p w14:paraId="4C681F6A" w14:textId="77777777" w:rsidR="0071099C" w:rsidRPr="00444D18" w:rsidRDefault="0071099C" w:rsidP="0071099C">
      <w:pPr>
        <w:pStyle w:val="Paragrafi"/>
        <w:rPr>
          <w:lang w:val="sq-AL"/>
        </w:rPr>
      </w:pPr>
      <w:r w:rsidRPr="00444D18">
        <w:rPr>
          <w:lang w:val="sq-AL"/>
        </w:rPr>
        <w:t>- blerjes së humbjeve në transmetim, në tregun e organizuar të ditës në avancë. Për një periudhë ndërmjetëse, ku produktet që tregtohen në një treg të organizuar nuk lejojnë blerjen me kosto optimale të humbjeve, procedurat e prokurimit janë të lejuara për OST-në, sipas rregullave të miratuara nga ERE;</w:t>
      </w:r>
    </w:p>
    <w:p w14:paraId="4C681F6B" w14:textId="77777777" w:rsidR="0071099C" w:rsidRPr="00444D18" w:rsidRDefault="0071099C" w:rsidP="0071099C">
      <w:pPr>
        <w:pStyle w:val="Paragrafi"/>
        <w:rPr>
          <w:lang w:val="sq-AL"/>
        </w:rPr>
      </w:pPr>
      <w:r w:rsidRPr="00444D18">
        <w:rPr>
          <w:lang w:val="sq-AL"/>
        </w:rPr>
        <w:t>- kompensimit të tij për shërbimet e balancimit, duke siguruar likuidimin financiar mbi baza mujore, nëpërmjet shlyerjes së disbalancave, të mbështetura në rregullat e llogaritjes së disbalancave, duke siguruar nxitjet e duhura për pjesëmarrësit e tregut, që të jenë të balancuar në kohë reale dhe të afërt me kohën reale. Rregullat e llogaritjes së disbalancave pasqyrojnë devijimet ndërmjet gjenerimit të energjisë, energjisë së tregtuar dhe konsumit të palëve përgjegjëse balancuese dhe të ekuilibrit të çdo Pale Përgjegjëse Balancuese. Ajo është e bazuar në një sistem të vetëm të çmimeve, duke penalizuar devijimet në të dyja drejtimet;</w:t>
      </w:r>
    </w:p>
    <w:p w14:paraId="4C681F6C" w14:textId="77777777" w:rsidR="0071099C" w:rsidRPr="00444D18" w:rsidRDefault="0071099C" w:rsidP="0071099C">
      <w:pPr>
        <w:pStyle w:val="Paragrafi"/>
        <w:rPr>
          <w:lang w:val="sq-AL"/>
        </w:rPr>
      </w:pPr>
      <w:r w:rsidRPr="00444D18">
        <w:rPr>
          <w:lang w:val="sq-AL"/>
        </w:rPr>
        <w:t>- menaxhimit të mbledhjes së kërkuar të të dhënave të matjes, për të kryer një menaxhim efikas të disbalancave dhe shlyerjes financiare të tyre;</w:t>
      </w:r>
    </w:p>
    <w:p w14:paraId="4C681F6D" w14:textId="77777777" w:rsidR="0071099C" w:rsidRPr="00444D18" w:rsidRDefault="0071099C" w:rsidP="0071099C">
      <w:pPr>
        <w:pStyle w:val="Paragrafi"/>
        <w:rPr>
          <w:lang w:val="sq-AL"/>
        </w:rPr>
      </w:pPr>
      <w:r w:rsidRPr="00444D18">
        <w:rPr>
          <w:lang w:val="sq-AL"/>
        </w:rPr>
        <w:t xml:space="preserve">- çmimi i energjisë së disbalancave që do të paguhet nga PPB-të do të vendoset në bazë të kostos reale për OST-në, për të balancuar sistemin për periudhën përkatëse, që mbulon rezervat balancuese dhe të energjisë. </w:t>
      </w:r>
    </w:p>
    <w:p w14:paraId="4C681F6E" w14:textId="77777777" w:rsidR="0071099C" w:rsidRPr="00444D18" w:rsidRDefault="0071099C" w:rsidP="0071099C">
      <w:pPr>
        <w:pStyle w:val="Paragrafi"/>
        <w:rPr>
          <w:lang w:val="sq-AL"/>
        </w:rPr>
      </w:pPr>
      <w:r w:rsidRPr="00444D18">
        <w:rPr>
          <w:lang w:val="sq-AL"/>
        </w:rPr>
        <w:t>Tarifat, termat dhe kushtet e aksesit në sistemin e transmetimit do të rregullohen nga ERE.</w:t>
      </w:r>
    </w:p>
    <w:p w14:paraId="4C681F6F" w14:textId="77777777" w:rsidR="0071099C" w:rsidRPr="00444D18" w:rsidRDefault="0071099C" w:rsidP="0071099C">
      <w:pPr>
        <w:pStyle w:val="Paragrafi"/>
        <w:rPr>
          <w:b/>
          <w:lang w:val="sq-AL"/>
        </w:rPr>
      </w:pPr>
      <w:r w:rsidRPr="00444D18">
        <w:rPr>
          <w:b/>
          <w:lang w:val="sq-AL"/>
        </w:rPr>
        <w:t>3.2 Operatori i Sistemit të Shpërndarjes (OSSH)</w:t>
      </w:r>
    </w:p>
    <w:p w14:paraId="4C681F70" w14:textId="77777777" w:rsidR="0071099C" w:rsidRPr="00444D18" w:rsidRDefault="0071099C" w:rsidP="0071099C">
      <w:pPr>
        <w:pStyle w:val="Paragrafi"/>
        <w:rPr>
          <w:lang w:val="sq-AL"/>
        </w:rPr>
      </w:pPr>
      <w:r w:rsidRPr="00444D18">
        <w:rPr>
          <w:lang w:val="sq-AL"/>
        </w:rPr>
        <w:t>OSSH-ja do të zotërojë, mbajë, zgjerojë dhe operojë sistemin e shpërndarjes së energjisë elektrike dhe do të ndahet nga furnizimi, në përputhje me rregullat e Komunitetit të Energjisë.</w:t>
      </w:r>
    </w:p>
    <w:p w14:paraId="4C681F71" w14:textId="77777777" w:rsidR="0071099C" w:rsidRPr="00444D18" w:rsidRDefault="0071099C" w:rsidP="0071099C">
      <w:pPr>
        <w:pStyle w:val="Paragrafi"/>
        <w:rPr>
          <w:lang w:val="sq-AL"/>
        </w:rPr>
      </w:pPr>
      <w:r w:rsidRPr="00444D18">
        <w:rPr>
          <w:lang w:val="sq-AL"/>
        </w:rPr>
        <w:t>OSSH-ja do të ofrojë shërbimin e lidhjes për të gjithë përdoruesit e sistemit të lidhur me rrjetin e shpërndarjes në kushte jodiskriminuese.</w:t>
      </w:r>
    </w:p>
    <w:p w14:paraId="4C681F72" w14:textId="77777777" w:rsidR="0071099C" w:rsidRPr="00444D18" w:rsidRDefault="0071099C" w:rsidP="0071099C">
      <w:pPr>
        <w:pStyle w:val="Paragrafi"/>
        <w:rPr>
          <w:lang w:val="sq-AL"/>
        </w:rPr>
      </w:pPr>
      <w:r w:rsidRPr="00444D18">
        <w:rPr>
          <w:lang w:val="sq-AL"/>
        </w:rPr>
        <w:t>OSSH-ja do kryejë blerjen e humbjeve teknike dhe joteknike në tregun e organizuar të ditës në avancë (BSHE). Për një periudhë ndërmjetëse, ku produktet që tregtohen në një treg të organizuar nuk lejojnë blerjen me kosto optimale të humbjeve, procedurat e prokurimit janë të lejuara për OSSH-në, sipas rregullave të miratuara nga ERE.</w:t>
      </w:r>
    </w:p>
    <w:p w14:paraId="4C681F73" w14:textId="77777777" w:rsidR="0071099C" w:rsidRPr="00444D18" w:rsidRDefault="0071099C" w:rsidP="0071099C">
      <w:pPr>
        <w:pStyle w:val="Paragrafi"/>
        <w:rPr>
          <w:lang w:val="sq-AL"/>
        </w:rPr>
      </w:pPr>
      <w:r w:rsidRPr="00444D18">
        <w:rPr>
          <w:lang w:val="sq-AL"/>
        </w:rPr>
        <w:t xml:space="preserve">Tarifat, afatet dhe kushtet e aksesit në sistemin e shpërndarjes do të rregullohen nga ERE. </w:t>
      </w:r>
    </w:p>
    <w:p w14:paraId="4C681F74" w14:textId="77777777" w:rsidR="0071099C" w:rsidRPr="00444D18" w:rsidRDefault="0071099C" w:rsidP="0071099C">
      <w:pPr>
        <w:pStyle w:val="Paragrafi"/>
        <w:rPr>
          <w:lang w:val="sq-AL"/>
        </w:rPr>
      </w:pPr>
      <w:r w:rsidRPr="00444D18">
        <w:rPr>
          <w:lang w:val="sq-AL"/>
        </w:rPr>
        <w:t xml:space="preserve">OSSH-ja do të jetë përgjegjëse për reduktimin e humbjeve teknike dhe joteknike në sistemin e shpërndarjes, në bazë të një studimi të përgatitur nga konsulentë ndërkombëtarë, të kontraktuar nga OSSH-ja dhe të miratuar nga ERE. ERE do të vendosë një tarifë për OSSH-në, që siguron incentiva për reduktimin e këtyre humbjeve. </w:t>
      </w:r>
    </w:p>
    <w:p w14:paraId="4C681F75" w14:textId="77777777" w:rsidR="0071099C" w:rsidRPr="00444D18" w:rsidRDefault="0071099C" w:rsidP="0071099C">
      <w:pPr>
        <w:pStyle w:val="Paragrafi"/>
        <w:rPr>
          <w:lang w:val="sq-AL"/>
        </w:rPr>
      </w:pPr>
      <w:r w:rsidRPr="00444D18">
        <w:rPr>
          <w:lang w:val="sq-AL"/>
        </w:rPr>
        <w:t>OSSH-ja do të jetë një PPB.</w:t>
      </w:r>
    </w:p>
    <w:p w14:paraId="4C681F76" w14:textId="77777777" w:rsidR="0071099C" w:rsidRPr="00444D18" w:rsidRDefault="0071099C" w:rsidP="0071099C">
      <w:pPr>
        <w:pStyle w:val="Paragrafi"/>
        <w:rPr>
          <w:b/>
          <w:lang w:val="sq-AL"/>
        </w:rPr>
      </w:pPr>
      <w:r w:rsidRPr="00444D18">
        <w:rPr>
          <w:b/>
          <w:lang w:val="sq-AL"/>
        </w:rPr>
        <w:t xml:space="preserve">3.3 Pala Përgjegjëse Balancuese (PPB) </w:t>
      </w:r>
    </w:p>
    <w:p w14:paraId="4C681F77" w14:textId="77777777" w:rsidR="0071099C" w:rsidRPr="00444D18" w:rsidRDefault="0071099C" w:rsidP="0071099C">
      <w:pPr>
        <w:pStyle w:val="Paragrafi"/>
        <w:rPr>
          <w:lang w:val="sq-AL"/>
        </w:rPr>
      </w:pPr>
      <w:r w:rsidRPr="00444D18">
        <w:rPr>
          <w:lang w:val="sq-AL"/>
        </w:rPr>
        <w:t>Termat dhe kushtet për t’u bërë një PPB përcaktohen nga OST-ja dhe rregullohen nëpërmjet një marrëveshjeje ndërmjet PPB-së dhe OST-së.</w:t>
      </w:r>
    </w:p>
    <w:p w14:paraId="4C681F78" w14:textId="77777777" w:rsidR="0071099C" w:rsidRPr="00444D18" w:rsidRDefault="0071099C" w:rsidP="0071099C">
      <w:pPr>
        <w:pStyle w:val="Paragrafi"/>
        <w:rPr>
          <w:lang w:val="sq-AL"/>
        </w:rPr>
      </w:pPr>
      <w:r w:rsidRPr="00444D18">
        <w:rPr>
          <w:lang w:val="sq-AL"/>
        </w:rPr>
        <w:t>Të gjitha subjektet juridike, që zotërojnë njësi të prodhimit dhe konsumit, të lidhura në rrjet dhe mbi një kapacitet të caktuar nga OST-ja dhe të miratuar ERE, janë të detyruara për të qenë një PPB.</w:t>
      </w:r>
    </w:p>
    <w:p w14:paraId="4C681F79" w14:textId="77777777" w:rsidR="0071099C" w:rsidRPr="00444D18" w:rsidRDefault="0071099C" w:rsidP="0071099C">
      <w:pPr>
        <w:pStyle w:val="Paragrafi"/>
        <w:rPr>
          <w:lang w:val="sq-AL"/>
        </w:rPr>
      </w:pPr>
      <w:r w:rsidRPr="00444D18">
        <w:rPr>
          <w:lang w:val="sq-AL"/>
        </w:rPr>
        <w:t>Çdo subjekt juridik, që zotëron njësi të gjenerimit dhe konsumit, të lidhura me rrjetin dhe nën një kapacitet të caktuar nga OST-ja dhe të miratuar nga ERE, mund të aplikojnë për t’u bërë një PPB.</w:t>
      </w:r>
    </w:p>
    <w:p w14:paraId="4C681F7A" w14:textId="77777777" w:rsidR="0071099C" w:rsidRPr="00444D18" w:rsidRDefault="0071099C" w:rsidP="0071099C">
      <w:pPr>
        <w:pStyle w:val="Paragrafi"/>
        <w:rPr>
          <w:lang w:val="sq-AL"/>
        </w:rPr>
      </w:pPr>
      <w:r w:rsidRPr="00444D18">
        <w:rPr>
          <w:lang w:val="sq-AL"/>
        </w:rPr>
        <w:t>Çdo tregtar, që tregton në Shqipëri apo që furnizon energjinë ndërkufitare, është PPB.</w:t>
      </w:r>
    </w:p>
    <w:p w14:paraId="4C681F7B" w14:textId="77777777" w:rsidR="0071099C" w:rsidRPr="00444D18" w:rsidRDefault="0071099C" w:rsidP="0071099C">
      <w:pPr>
        <w:pStyle w:val="Paragrafi"/>
        <w:rPr>
          <w:lang w:val="sq-AL"/>
        </w:rPr>
      </w:pPr>
      <w:r w:rsidRPr="00444D18">
        <w:rPr>
          <w:lang w:val="sq-AL"/>
        </w:rPr>
        <w:t>PPB-ja lejohet të skedulojë kontratat dypalëshe fizike për të blerë/shitur kapacitet e shpërndara në SEE CAO.</w:t>
      </w:r>
    </w:p>
    <w:p w14:paraId="4C681F7C" w14:textId="44AE3129" w:rsidR="00B91E60" w:rsidRPr="00444D18" w:rsidRDefault="00B91E60" w:rsidP="0071099C">
      <w:pPr>
        <w:pStyle w:val="Paragrafi"/>
        <w:rPr>
          <w:i/>
          <w:lang w:val="sq-AL"/>
        </w:rPr>
      </w:pPr>
      <w:r w:rsidRPr="00444D18">
        <w:rPr>
          <w:i/>
          <w:lang w:val="sq-AL"/>
        </w:rPr>
        <w:t>Tregtimet e brendshme afatgjata OTC mund të bazohen në një kontratë financiare ose fizike. Në rast kur OTC-ja bazohet në një kontratë financiare, energjia elektrike fizike do të tregtohet nga BSHE-ja dhe çmimi i BSHE-së do të jetë çmimi i referencës për kontratën financiare. ERE do të miratojë kontratën tip financiare OTC.</w:t>
      </w:r>
    </w:p>
    <w:p w14:paraId="4C681F7D" w14:textId="77777777" w:rsidR="0071099C" w:rsidRPr="00444D18" w:rsidRDefault="0071099C" w:rsidP="0071099C">
      <w:pPr>
        <w:pStyle w:val="Paragrafi"/>
        <w:rPr>
          <w:lang w:val="sq-AL"/>
        </w:rPr>
      </w:pPr>
      <w:r w:rsidRPr="00444D18">
        <w:rPr>
          <w:lang w:val="sq-AL"/>
        </w:rPr>
        <w:lastRenderedPageBreak/>
        <w:t>Të gjitha PPB-të do të jenë përgjegjëse për llogaritjet e disbalancave.</w:t>
      </w:r>
    </w:p>
    <w:p w14:paraId="4C681F7E" w14:textId="77777777" w:rsidR="0071099C" w:rsidRPr="00444D18" w:rsidRDefault="0071099C" w:rsidP="0071099C">
      <w:pPr>
        <w:pStyle w:val="Paragrafi"/>
        <w:rPr>
          <w:lang w:val="sq-AL"/>
        </w:rPr>
      </w:pPr>
      <w:r w:rsidRPr="00444D18">
        <w:rPr>
          <w:lang w:val="sq-AL"/>
        </w:rPr>
        <w:t>Një PPB mund të marrë përgjegjësitë e PPB-ve të tjera ose të njësive të prodhimit dhe konsumit nën një kapacitet të miratuar.</w:t>
      </w:r>
    </w:p>
    <w:p w14:paraId="4C681F7F" w14:textId="77777777" w:rsidR="0071099C" w:rsidRPr="00444D18" w:rsidRDefault="0071099C" w:rsidP="0071099C">
      <w:pPr>
        <w:pStyle w:val="Paragrafi"/>
        <w:rPr>
          <w:lang w:val="sq-AL"/>
        </w:rPr>
      </w:pPr>
      <w:r w:rsidRPr="00444D18">
        <w:rPr>
          <w:lang w:val="sq-AL"/>
        </w:rPr>
        <w:t>Të gjitha PPB-të janë përgjegjëse për parashikimin e tyre të prodhimit dhe konsumit.</w:t>
      </w:r>
    </w:p>
    <w:p w14:paraId="4C681F80" w14:textId="77777777" w:rsidR="0071099C" w:rsidRPr="00444D18" w:rsidRDefault="0071099C" w:rsidP="0071099C">
      <w:pPr>
        <w:pStyle w:val="Paragrafi"/>
        <w:rPr>
          <w:lang w:val="sq-AL"/>
        </w:rPr>
      </w:pPr>
      <w:r w:rsidRPr="00444D18">
        <w:rPr>
          <w:lang w:val="sq-AL"/>
        </w:rPr>
        <w:t>Të gjitha PPB-të janë të detyruara të mbrojnë informacionin konkurrues dhe konfindencial, kur është e nevojshme, si dhe çdo informacion të kërkuar nga ERE dhe OST-ja, sipas legjislacionit në fuqi.</w:t>
      </w:r>
    </w:p>
    <w:p w14:paraId="4C681F81" w14:textId="77777777" w:rsidR="0071099C" w:rsidRPr="00444D18" w:rsidRDefault="0071099C" w:rsidP="0071099C">
      <w:pPr>
        <w:pStyle w:val="Paragrafi"/>
        <w:rPr>
          <w:lang w:val="sq-AL"/>
        </w:rPr>
      </w:pPr>
      <w:r w:rsidRPr="00444D18">
        <w:rPr>
          <w:lang w:val="sq-AL"/>
        </w:rPr>
        <w:t>Çdo palë që do të ushtrojë aktivitetin e furnizuesit është e detyruar të jetë PPB.</w:t>
      </w:r>
    </w:p>
    <w:p w14:paraId="602DF920" w14:textId="77777777" w:rsidR="00B91E60" w:rsidRPr="00444D18" w:rsidRDefault="00B91E60" w:rsidP="0071099C">
      <w:pPr>
        <w:pStyle w:val="Paragrafi"/>
        <w:rPr>
          <w:i/>
          <w:lang w:val="sq-AL"/>
        </w:rPr>
      </w:pPr>
      <w:r w:rsidRPr="00444D18">
        <w:rPr>
          <w:i/>
          <w:lang w:val="sq-AL"/>
        </w:rPr>
        <w:t>BSHE do të trajtohet si PPB me të drejta të veçanta, sipas parashikimeve në Rregullat e Tregut Shqiptar të Balancimit (RrTSHB). OST-ja ngarkohet të reflektojë këto parashikime në RrTSHB.</w:t>
      </w:r>
    </w:p>
    <w:p w14:paraId="4C681F82" w14:textId="77777777" w:rsidR="0071099C" w:rsidRPr="00444D18" w:rsidRDefault="0071099C" w:rsidP="0071099C">
      <w:pPr>
        <w:pStyle w:val="Paragrafi"/>
        <w:rPr>
          <w:b/>
          <w:lang w:val="sq-AL"/>
        </w:rPr>
      </w:pPr>
      <w:r w:rsidRPr="00444D18">
        <w:rPr>
          <w:b/>
          <w:lang w:val="sq-AL"/>
        </w:rPr>
        <w:t>3.4 Ofruesi i Shërbimeve të Balancimi (OSB)</w:t>
      </w:r>
    </w:p>
    <w:p w14:paraId="4C681F83" w14:textId="77777777" w:rsidR="0071099C" w:rsidRPr="00444D18" w:rsidRDefault="0071099C" w:rsidP="0071099C">
      <w:pPr>
        <w:pStyle w:val="Paragrafi"/>
        <w:rPr>
          <w:lang w:val="sq-AL"/>
        </w:rPr>
      </w:pPr>
      <w:r w:rsidRPr="00444D18">
        <w:rPr>
          <w:lang w:val="sq-AL"/>
        </w:rPr>
        <w:t>OSB-ja është një PPB që ofron shërbime balancimi për OST-në.</w:t>
      </w:r>
    </w:p>
    <w:p w14:paraId="4C681F84" w14:textId="77777777" w:rsidR="0071099C" w:rsidRPr="00444D18" w:rsidRDefault="0071099C" w:rsidP="0071099C">
      <w:pPr>
        <w:pStyle w:val="Paragrafi"/>
        <w:rPr>
          <w:lang w:val="sq-AL"/>
        </w:rPr>
      </w:pPr>
      <w:r w:rsidRPr="00444D18">
        <w:rPr>
          <w:lang w:val="sq-AL"/>
        </w:rPr>
        <w:t>Kushtet dhe kriteret për t’u bërë OSB përcaktohen nga OST-ja dhe rregullohen në një marrëveshje ndërmjet OSB-së dhe OST-së.</w:t>
      </w:r>
    </w:p>
    <w:p w14:paraId="02368AA8" w14:textId="77777777" w:rsidR="00B91E60" w:rsidRPr="00444D18" w:rsidRDefault="00B91E60" w:rsidP="00B91E60">
      <w:pPr>
        <w:widowControl w:val="0"/>
        <w:spacing w:after="0" w:line="240" w:lineRule="auto"/>
        <w:rPr>
          <w:rFonts w:ascii="Garamond" w:eastAsia="MS Mincho" w:hAnsi="Garamond" w:cs="CG Times"/>
          <w:b/>
          <w:i/>
          <w:sz w:val="24"/>
          <w:szCs w:val="24"/>
          <w:lang w:val="sq-AL"/>
        </w:rPr>
      </w:pPr>
      <w:r w:rsidRPr="00444D18">
        <w:rPr>
          <w:rFonts w:ascii="Garamond" w:eastAsia="MS Mincho" w:hAnsi="Garamond" w:cs="CG Times"/>
          <w:b/>
          <w:i/>
          <w:sz w:val="24"/>
          <w:szCs w:val="24"/>
          <w:lang w:val="sq-AL"/>
        </w:rPr>
        <w:t>3.5. BSHE kryen funksionet:</w:t>
      </w:r>
    </w:p>
    <w:p w14:paraId="01720968" w14:textId="77777777" w:rsidR="00B91E60" w:rsidRPr="00444D18" w:rsidRDefault="00B91E60" w:rsidP="00B91E60">
      <w:pPr>
        <w:widowControl w:val="0"/>
        <w:spacing w:after="0" w:line="240" w:lineRule="auto"/>
        <w:rPr>
          <w:rFonts w:ascii="Garamond" w:eastAsia="MS Mincho" w:hAnsi="Garamond" w:cs="CG Times"/>
          <w:i/>
          <w:sz w:val="24"/>
          <w:szCs w:val="24"/>
          <w:lang w:val="sq-AL"/>
        </w:rPr>
      </w:pPr>
      <w:r w:rsidRPr="00444D18">
        <w:rPr>
          <w:rFonts w:ascii="Garamond" w:eastAsia="MS Mincho" w:hAnsi="Garamond" w:cs="CG Times"/>
          <w:i/>
          <w:sz w:val="24"/>
          <w:szCs w:val="24"/>
          <w:lang w:val="sq-AL"/>
        </w:rPr>
        <w:t>a) e Operatorit të Tregut në Shqipëri, sipas parashikimeve të ligjit nr. 43/2015, “Për sektorin e energjisë elektrike”, të ndryshuar, të këtij vendimi dhe rregullave të tregut, me licencimin nga ERE-ja;</w:t>
      </w:r>
    </w:p>
    <w:p w14:paraId="0EDF7B02" w14:textId="77777777" w:rsidR="00B91E60" w:rsidRPr="00444D18" w:rsidRDefault="00B91E60" w:rsidP="00B91E60">
      <w:pPr>
        <w:widowControl w:val="0"/>
        <w:spacing w:after="0" w:line="240" w:lineRule="auto"/>
        <w:rPr>
          <w:rFonts w:ascii="Garamond" w:eastAsia="MS Mincho" w:hAnsi="Garamond" w:cs="CG Times"/>
          <w:i/>
          <w:sz w:val="24"/>
          <w:szCs w:val="24"/>
          <w:lang w:val="sq-AL"/>
        </w:rPr>
      </w:pPr>
      <w:r w:rsidRPr="00444D18">
        <w:rPr>
          <w:rFonts w:ascii="Garamond" w:eastAsia="MS Mincho" w:hAnsi="Garamond" w:cs="CG Times"/>
          <w:i/>
          <w:sz w:val="24"/>
          <w:szCs w:val="24"/>
          <w:lang w:val="sq-AL"/>
        </w:rPr>
        <w:t xml:space="preserve">b) e sigurimit të platformës elektronike të nevojshme për tregtimin e energjisë elektrike në tregun e ditës në avancë dhe tregjet brenda së njëjtës ditë; </w:t>
      </w:r>
    </w:p>
    <w:p w14:paraId="2E7EA3E2" w14:textId="77777777" w:rsidR="00B91E60" w:rsidRPr="00444D18" w:rsidRDefault="00B91E60" w:rsidP="00B91E60">
      <w:pPr>
        <w:widowControl w:val="0"/>
        <w:spacing w:after="0" w:line="240" w:lineRule="auto"/>
        <w:rPr>
          <w:rFonts w:ascii="Garamond" w:eastAsia="MS Mincho" w:hAnsi="Garamond" w:cs="CG Times"/>
          <w:i/>
          <w:sz w:val="24"/>
          <w:szCs w:val="24"/>
          <w:lang w:val="sq-AL"/>
        </w:rPr>
      </w:pPr>
      <w:r w:rsidRPr="00444D18">
        <w:rPr>
          <w:rFonts w:ascii="Garamond" w:eastAsia="MS Mincho" w:hAnsi="Garamond" w:cs="CG Times"/>
          <w:i/>
          <w:sz w:val="24"/>
          <w:szCs w:val="24"/>
          <w:lang w:val="sq-AL"/>
        </w:rPr>
        <w:t>c) e sigurimit të platformës elektronike të klerimit dhe shlyerjes financiare të transaksioneve në tregjet e BSHE-së;</w:t>
      </w:r>
    </w:p>
    <w:p w14:paraId="4B61E99A" w14:textId="77777777" w:rsidR="00B91E60" w:rsidRPr="00444D18" w:rsidRDefault="00B91E60" w:rsidP="00B91E60">
      <w:pPr>
        <w:widowControl w:val="0"/>
        <w:spacing w:after="0" w:line="240" w:lineRule="auto"/>
        <w:rPr>
          <w:rFonts w:ascii="Garamond" w:eastAsia="MS Mincho" w:hAnsi="Garamond" w:cs="CG Times"/>
          <w:i/>
          <w:sz w:val="24"/>
          <w:szCs w:val="24"/>
          <w:lang w:val="sq-AL"/>
        </w:rPr>
      </w:pPr>
      <w:r w:rsidRPr="00444D18">
        <w:rPr>
          <w:rFonts w:ascii="Garamond" w:eastAsia="MS Mincho" w:hAnsi="Garamond" w:cs="CG Times"/>
          <w:i/>
          <w:sz w:val="24"/>
          <w:szCs w:val="24"/>
          <w:lang w:val="sq-AL"/>
        </w:rPr>
        <w:t xml:space="preserve">ç) e kundërpalës qendrore në garantimin e transaksioneve të palëve të tjera pjesëmarrëse në Bursë, nëpërmjet kërkesave të saj, rregullave përkatëse të tregut për nevojën e garancive, llojeve të tyre, të cilat do të ekzekutohen nga BSHE-ja, në rast të mospërmbushjes së detyrimeve; </w:t>
      </w:r>
    </w:p>
    <w:p w14:paraId="064B9676" w14:textId="77777777" w:rsidR="00B91E60" w:rsidRPr="00444D18" w:rsidRDefault="00B91E60" w:rsidP="00B91E60">
      <w:pPr>
        <w:widowControl w:val="0"/>
        <w:spacing w:after="0" w:line="240" w:lineRule="auto"/>
        <w:rPr>
          <w:rFonts w:ascii="Garamond" w:eastAsia="MS Mincho" w:hAnsi="Garamond" w:cs="CG Times"/>
          <w:i/>
          <w:sz w:val="24"/>
          <w:szCs w:val="24"/>
          <w:lang w:val="sq-AL"/>
        </w:rPr>
      </w:pPr>
      <w:r w:rsidRPr="00444D18">
        <w:rPr>
          <w:rFonts w:ascii="Garamond" w:eastAsia="MS Mincho" w:hAnsi="Garamond" w:cs="CG Times"/>
          <w:i/>
          <w:sz w:val="24"/>
          <w:szCs w:val="24"/>
          <w:lang w:val="sq-AL"/>
        </w:rPr>
        <w:t>d) e monitorimit dhe mbikëqyrjes së tregut të organizuar, në përputhje me kërkesat e rregullores për integritet, transparencë (REMIT);</w:t>
      </w:r>
    </w:p>
    <w:p w14:paraId="1CD7D45B" w14:textId="77777777" w:rsidR="00B91E60" w:rsidRPr="00444D18" w:rsidRDefault="00B91E60" w:rsidP="00B91E60">
      <w:pPr>
        <w:widowControl w:val="0"/>
        <w:spacing w:after="0" w:line="240" w:lineRule="auto"/>
        <w:rPr>
          <w:rFonts w:ascii="Garamond" w:eastAsia="MS Mincho" w:hAnsi="Garamond" w:cs="CG Times"/>
          <w:i/>
          <w:sz w:val="24"/>
          <w:szCs w:val="24"/>
          <w:lang w:val="sq-AL"/>
        </w:rPr>
      </w:pPr>
      <w:r w:rsidRPr="00444D18">
        <w:rPr>
          <w:rFonts w:ascii="Garamond" w:eastAsia="MS Mincho" w:hAnsi="Garamond" w:cs="CG Times"/>
          <w:i/>
          <w:sz w:val="24"/>
          <w:szCs w:val="24"/>
          <w:lang w:val="sq-AL"/>
        </w:rPr>
        <w:t>dh) e hartuesit të rregullave për tregtimin në Bursë, për t’u paraqitur për aprovim tek ERE-ja.</w:t>
      </w:r>
    </w:p>
    <w:p w14:paraId="1EFA7656" w14:textId="77777777" w:rsidR="00B91E60" w:rsidRPr="00444D18" w:rsidRDefault="00B91E60" w:rsidP="00B91E60">
      <w:pPr>
        <w:widowControl w:val="0"/>
        <w:spacing w:after="0" w:line="240" w:lineRule="auto"/>
        <w:rPr>
          <w:rFonts w:ascii="Garamond" w:eastAsia="MS Mincho" w:hAnsi="Garamond" w:cs="CG Times"/>
          <w:i/>
          <w:sz w:val="24"/>
          <w:szCs w:val="24"/>
          <w:lang w:val="sq-AL"/>
        </w:rPr>
      </w:pPr>
      <w:r w:rsidRPr="00444D18">
        <w:rPr>
          <w:rFonts w:ascii="Garamond" w:eastAsia="MS Mincho" w:hAnsi="Garamond" w:cs="CG Times"/>
          <w:i/>
          <w:sz w:val="24"/>
          <w:szCs w:val="24"/>
          <w:lang w:val="sq-AL"/>
        </w:rPr>
        <w:t xml:space="preserve"> Në kuadër të përmbushjes së këtyre funksioneve, BSHE-ja kryen këto detyra:</w:t>
      </w:r>
    </w:p>
    <w:p w14:paraId="099A7B77" w14:textId="77777777" w:rsidR="00B91E60" w:rsidRPr="00444D18" w:rsidRDefault="00B91E60" w:rsidP="00B91E60">
      <w:pPr>
        <w:widowControl w:val="0"/>
        <w:spacing w:after="0" w:line="240" w:lineRule="auto"/>
        <w:rPr>
          <w:rFonts w:ascii="Garamond" w:eastAsia="MS Mincho" w:hAnsi="Garamond" w:cs="CG Times"/>
          <w:i/>
          <w:sz w:val="24"/>
          <w:szCs w:val="24"/>
          <w:lang w:val="sq-AL"/>
        </w:rPr>
      </w:pPr>
      <w:r w:rsidRPr="00444D18">
        <w:rPr>
          <w:rFonts w:ascii="Garamond" w:eastAsia="MS Mincho" w:hAnsi="Garamond" w:cs="CG Times"/>
          <w:i/>
          <w:sz w:val="24"/>
          <w:szCs w:val="24"/>
          <w:lang w:val="sq-AL"/>
        </w:rPr>
        <w:t>a) siguron të gjitha platformat e mësipërme për operimin e tregjeve të BSHE-së;</w:t>
      </w:r>
    </w:p>
    <w:p w14:paraId="4C681F88" w14:textId="067F3CE1" w:rsidR="00B91E60" w:rsidRPr="00444D18" w:rsidRDefault="00B91E60" w:rsidP="00B91E60">
      <w:pPr>
        <w:widowControl w:val="0"/>
        <w:spacing w:after="0" w:line="240" w:lineRule="auto"/>
        <w:rPr>
          <w:rFonts w:ascii="Garamond" w:eastAsia="MS Mincho" w:hAnsi="Garamond" w:cs="CG Times"/>
          <w:i/>
          <w:sz w:val="24"/>
          <w:szCs w:val="24"/>
          <w:lang w:val="sq-AL"/>
        </w:rPr>
      </w:pPr>
      <w:r w:rsidRPr="00444D18">
        <w:rPr>
          <w:rFonts w:ascii="Garamond" w:eastAsia="MS Mincho" w:hAnsi="Garamond" w:cs="CG Times"/>
          <w:i/>
          <w:sz w:val="24"/>
          <w:szCs w:val="24"/>
          <w:lang w:val="sq-AL"/>
        </w:rPr>
        <w:t>b) pranon kërkesa dhe oferta për të blerë dhe shitur energji nga anëtarët e Bursës;</w:t>
      </w:r>
    </w:p>
    <w:p w14:paraId="4C681F89" w14:textId="5A4F4380" w:rsidR="00B91E60" w:rsidRPr="00444D18" w:rsidRDefault="00B91E60" w:rsidP="00B91E60">
      <w:pPr>
        <w:widowControl w:val="0"/>
        <w:spacing w:after="0" w:line="240" w:lineRule="auto"/>
        <w:rPr>
          <w:rFonts w:ascii="Garamond" w:eastAsia="MS Mincho" w:hAnsi="Garamond" w:cs="CG Times"/>
          <w:i/>
          <w:sz w:val="24"/>
          <w:szCs w:val="24"/>
          <w:lang w:val="sq-AL"/>
        </w:rPr>
      </w:pPr>
      <w:r w:rsidRPr="00444D18">
        <w:rPr>
          <w:rFonts w:ascii="Garamond" w:eastAsia="MS Mincho" w:hAnsi="Garamond" w:cs="CG Times"/>
          <w:i/>
          <w:sz w:val="24"/>
          <w:szCs w:val="24"/>
          <w:lang w:val="sq-AL"/>
        </w:rPr>
        <w:t>c) merr dhe proceson kapacitetet e interkonjeksionit nga OST-ja, si dhe informacione të tjera përkatëse;</w:t>
      </w:r>
    </w:p>
    <w:p w14:paraId="4C681F8A" w14:textId="2DDD7572" w:rsidR="00B91E60" w:rsidRPr="00444D18" w:rsidRDefault="00B91E60" w:rsidP="00B91E60">
      <w:pPr>
        <w:widowControl w:val="0"/>
        <w:spacing w:after="0" w:line="240" w:lineRule="auto"/>
        <w:rPr>
          <w:rFonts w:ascii="Garamond" w:eastAsia="MS Mincho" w:hAnsi="Garamond" w:cs="CG Times"/>
          <w:i/>
          <w:sz w:val="24"/>
          <w:szCs w:val="24"/>
          <w:lang w:val="sq-AL"/>
        </w:rPr>
      </w:pPr>
      <w:r w:rsidRPr="00444D18">
        <w:rPr>
          <w:rFonts w:ascii="Garamond" w:eastAsia="MS Mincho" w:hAnsi="Garamond" w:cs="CG Times"/>
          <w:i/>
          <w:sz w:val="24"/>
          <w:szCs w:val="24"/>
          <w:lang w:val="sq-AL"/>
        </w:rPr>
        <w:t xml:space="preserve">ç) kryen ankandet e nevojshme dhe operacionet tregtare, në përputhje me rregullat e miratuara, duke përdorur për këtë qëllim, algoritmet e </w:t>
      </w:r>
      <w:r w:rsidRPr="00444D18">
        <w:rPr>
          <w:rFonts w:ascii="Garamond" w:eastAsia="MS Mincho" w:hAnsi="Garamond" w:cs="CG Times"/>
          <w:i/>
          <w:iCs/>
          <w:sz w:val="24"/>
          <w:szCs w:val="24"/>
          <w:lang w:val="sq-AL"/>
        </w:rPr>
        <w:t>Evropean Market Coupling</w:t>
      </w:r>
      <w:r w:rsidRPr="00444D18">
        <w:rPr>
          <w:rFonts w:ascii="Garamond" w:eastAsia="MS Mincho" w:hAnsi="Garamond" w:cs="CG Times"/>
          <w:i/>
          <w:sz w:val="24"/>
          <w:szCs w:val="24"/>
          <w:lang w:val="sq-AL"/>
        </w:rPr>
        <w:t>;</w:t>
      </w:r>
    </w:p>
    <w:p w14:paraId="4C681F8B" w14:textId="23EF5821" w:rsidR="00B91E60" w:rsidRPr="00444D18" w:rsidRDefault="00B91E60" w:rsidP="00B91E60">
      <w:pPr>
        <w:widowControl w:val="0"/>
        <w:spacing w:after="0" w:line="240" w:lineRule="auto"/>
        <w:rPr>
          <w:rFonts w:ascii="Garamond" w:eastAsia="MS Mincho" w:hAnsi="Garamond" w:cs="CG Times"/>
          <w:i/>
          <w:sz w:val="24"/>
          <w:szCs w:val="24"/>
          <w:lang w:val="sq-AL"/>
        </w:rPr>
      </w:pPr>
      <w:r w:rsidRPr="00444D18">
        <w:rPr>
          <w:rFonts w:ascii="Garamond" w:eastAsia="MS Mincho" w:hAnsi="Garamond" w:cs="CG Times"/>
          <w:i/>
          <w:sz w:val="24"/>
          <w:szCs w:val="24"/>
          <w:lang w:val="sq-AL"/>
        </w:rPr>
        <w:t>d) i dërgon anëtarëve përkatës të Bursës/anëtarëve të klerimit dhe OST-së, sipas afateve të përcaktuara, konfirmimet tregtare, duke përfshirë sasitë e alokuara dhe çmimet;</w:t>
      </w:r>
    </w:p>
    <w:p w14:paraId="4C681F8C" w14:textId="77777777" w:rsidR="00B91E60" w:rsidRPr="00444D18" w:rsidRDefault="00B91E60" w:rsidP="00B91E60">
      <w:pPr>
        <w:widowControl w:val="0"/>
        <w:spacing w:after="0" w:line="240" w:lineRule="auto"/>
        <w:rPr>
          <w:rFonts w:ascii="Garamond" w:eastAsia="MS Mincho" w:hAnsi="Garamond" w:cs="CG Times"/>
          <w:i/>
          <w:sz w:val="24"/>
          <w:szCs w:val="24"/>
          <w:lang w:val="sq-AL"/>
        </w:rPr>
      </w:pPr>
      <w:r w:rsidRPr="00444D18">
        <w:rPr>
          <w:rFonts w:ascii="Garamond" w:eastAsia="MS Mincho" w:hAnsi="Garamond" w:cs="CG Times"/>
          <w:i/>
          <w:sz w:val="24"/>
          <w:szCs w:val="24"/>
          <w:lang w:val="sq-AL"/>
        </w:rPr>
        <w:t>dh) publikon sasitë e shpërndara dhe çmimet përkatëse, sipas afateve të përcaktuara;</w:t>
      </w:r>
    </w:p>
    <w:p w14:paraId="4C681F8D" w14:textId="23A17C1E" w:rsidR="00B91E60" w:rsidRPr="00444D18" w:rsidRDefault="00B91E60" w:rsidP="00B91E60">
      <w:pPr>
        <w:widowControl w:val="0"/>
        <w:spacing w:after="0" w:line="240" w:lineRule="auto"/>
        <w:rPr>
          <w:rFonts w:ascii="Garamond" w:eastAsia="MS Mincho" w:hAnsi="Garamond" w:cs="CG Times"/>
          <w:i/>
          <w:sz w:val="24"/>
          <w:szCs w:val="24"/>
          <w:lang w:val="sq-AL"/>
        </w:rPr>
      </w:pPr>
      <w:r w:rsidRPr="00444D18">
        <w:rPr>
          <w:rFonts w:ascii="Garamond" w:eastAsia="MS Mincho" w:hAnsi="Garamond" w:cs="CG Times"/>
          <w:i/>
          <w:sz w:val="24"/>
          <w:szCs w:val="24"/>
          <w:lang w:val="sq-AL"/>
        </w:rPr>
        <w:t>e) i dërgon anëtarëve përkatës të Bursës/anëtarëve të klerimit , në përputhje me afatin e rënë dakord, njoftimet e rezultateve;</w:t>
      </w:r>
    </w:p>
    <w:p w14:paraId="4C681F8E" w14:textId="05235395" w:rsidR="00B91E60" w:rsidRPr="00444D18" w:rsidRDefault="00B91E60" w:rsidP="00B91E60">
      <w:pPr>
        <w:widowControl w:val="0"/>
        <w:spacing w:after="0" w:line="240" w:lineRule="auto"/>
        <w:rPr>
          <w:rFonts w:ascii="Garamond" w:eastAsia="MS Mincho" w:hAnsi="Garamond" w:cs="CG Times"/>
          <w:i/>
          <w:sz w:val="24"/>
          <w:szCs w:val="24"/>
          <w:lang w:val="sq-AL"/>
        </w:rPr>
      </w:pPr>
      <w:r w:rsidRPr="00444D18">
        <w:rPr>
          <w:rFonts w:ascii="Garamond" w:eastAsia="MS Mincho" w:hAnsi="Garamond" w:cs="CG Times"/>
          <w:i/>
          <w:sz w:val="24"/>
          <w:szCs w:val="24"/>
          <w:lang w:val="sq-AL"/>
        </w:rPr>
        <w:t>ë) ekzekuton garancitë për shlyerjen e detyrimeve për anëtarët përkatës të Bursës/klerimit, në përputhje me rregullat dhe afatet e përcaktuara;</w:t>
      </w:r>
    </w:p>
    <w:p w14:paraId="4C681F8F" w14:textId="77777777" w:rsidR="00B91E60" w:rsidRPr="00444D18" w:rsidRDefault="00B91E60" w:rsidP="00B91E60">
      <w:pPr>
        <w:widowControl w:val="0"/>
        <w:spacing w:after="0" w:line="240" w:lineRule="auto"/>
        <w:rPr>
          <w:rFonts w:ascii="Garamond" w:eastAsia="MS Mincho" w:hAnsi="Garamond" w:cs="CG Times"/>
          <w:i/>
          <w:sz w:val="24"/>
          <w:szCs w:val="24"/>
          <w:lang w:val="sq-AL"/>
        </w:rPr>
      </w:pPr>
      <w:r w:rsidRPr="00444D18">
        <w:rPr>
          <w:rFonts w:ascii="Garamond" w:eastAsia="MS Mincho" w:hAnsi="Garamond" w:cs="CG Times"/>
          <w:i/>
          <w:sz w:val="24"/>
          <w:szCs w:val="24"/>
          <w:lang w:val="sq-AL"/>
        </w:rPr>
        <w:t>f) mban dokumentet e transaksioneve;</w:t>
      </w:r>
    </w:p>
    <w:p w14:paraId="4C681F90" w14:textId="3504754F" w:rsidR="00B91E60" w:rsidRPr="00444D18" w:rsidRDefault="00B91E60" w:rsidP="00B91E60">
      <w:pPr>
        <w:widowControl w:val="0"/>
        <w:spacing w:after="0" w:line="240" w:lineRule="auto"/>
        <w:rPr>
          <w:rFonts w:ascii="Garamond" w:eastAsia="MS Mincho" w:hAnsi="Garamond" w:cs="CG Times"/>
          <w:i/>
          <w:sz w:val="24"/>
          <w:szCs w:val="24"/>
          <w:lang w:val="sq-AL"/>
        </w:rPr>
      </w:pPr>
      <w:r w:rsidRPr="00444D18">
        <w:rPr>
          <w:rFonts w:ascii="Garamond" w:eastAsia="MS Mincho" w:hAnsi="Garamond" w:cs="CG Times"/>
          <w:i/>
          <w:sz w:val="24"/>
          <w:szCs w:val="24"/>
          <w:lang w:val="sq-AL"/>
        </w:rPr>
        <w:t>g) mban dhe përditëson kalendarin e tregtimeve dhe të klerimeve;</w:t>
      </w:r>
    </w:p>
    <w:p w14:paraId="4C681F91" w14:textId="77777777" w:rsidR="00B91E60" w:rsidRPr="00444D18" w:rsidRDefault="00B91E60" w:rsidP="00B91E60">
      <w:pPr>
        <w:widowControl w:val="0"/>
        <w:spacing w:after="0" w:line="240" w:lineRule="auto"/>
        <w:rPr>
          <w:rFonts w:ascii="Garamond" w:eastAsia="MS Mincho" w:hAnsi="Garamond" w:cs="CG Times"/>
          <w:i/>
          <w:sz w:val="24"/>
          <w:szCs w:val="24"/>
          <w:lang w:val="sq-AL"/>
        </w:rPr>
      </w:pPr>
      <w:r w:rsidRPr="00444D18">
        <w:rPr>
          <w:rFonts w:ascii="Garamond" w:eastAsia="MS Mincho" w:hAnsi="Garamond" w:cs="CG Times"/>
          <w:i/>
          <w:sz w:val="24"/>
          <w:szCs w:val="24"/>
          <w:lang w:val="sq-AL"/>
        </w:rPr>
        <w:t>gj) respekton kërkesat për transparencë dhe ushtron kompetenca të monitorimit të tregut;</w:t>
      </w:r>
    </w:p>
    <w:p w14:paraId="5000F07F" w14:textId="77777777" w:rsidR="00B91E60" w:rsidRPr="00444D18" w:rsidRDefault="00B91E60" w:rsidP="00B91E60">
      <w:pPr>
        <w:widowControl w:val="0"/>
        <w:spacing w:after="0" w:line="240" w:lineRule="auto"/>
        <w:rPr>
          <w:rFonts w:ascii="Garamond" w:eastAsia="MS Mincho" w:hAnsi="Garamond" w:cs="CG Times"/>
          <w:i/>
          <w:sz w:val="24"/>
          <w:szCs w:val="24"/>
          <w:lang w:val="sq-AL"/>
        </w:rPr>
      </w:pPr>
      <w:r w:rsidRPr="00444D18">
        <w:rPr>
          <w:rFonts w:ascii="Garamond" w:eastAsia="MS Mincho" w:hAnsi="Garamond" w:cs="CG Times"/>
          <w:i/>
          <w:sz w:val="24"/>
          <w:szCs w:val="24"/>
          <w:lang w:val="sq-AL"/>
        </w:rPr>
        <w:t>h) garanton që platformat e BSHE-së janë të aksesueshme nga personat e certifikuar nga BSHE-ja;</w:t>
      </w:r>
    </w:p>
    <w:p w14:paraId="4F172A67" w14:textId="77777777" w:rsidR="00B91E60" w:rsidRPr="00444D18" w:rsidRDefault="00B91E60" w:rsidP="00B91E60">
      <w:pPr>
        <w:widowControl w:val="0"/>
        <w:spacing w:after="0" w:line="240" w:lineRule="auto"/>
        <w:rPr>
          <w:rFonts w:ascii="Garamond" w:eastAsia="MS Mincho" w:hAnsi="Garamond" w:cs="CG Times"/>
          <w:i/>
          <w:sz w:val="24"/>
          <w:szCs w:val="24"/>
          <w:lang w:val="sq-AL"/>
        </w:rPr>
      </w:pPr>
      <w:r w:rsidRPr="00444D18">
        <w:rPr>
          <w:rFonts w:ascii="Garamond" w:eastAsia="MS Mincho" w:hAnsi="Garamond" w:cs="CG Times"/>
          <w:i/>
          <w:sz w:val="24"/>
          <w:szCs w:val="24"/>
          <w:lang w:val="sq-AL"/>
        </w:rPr>
        <w:t>i) të vlerësojë kërkesat për anëtarësim në BSHE, në përputhje me kërkesat e anëtarësimit;</w:t>
      </w:r>
    </w:p>
    <w:p w14:paraId="46C28B55" w14:textId="77777777" w:rsidR="00B91E60" w:rsidRPr="00444D18" w:rsidRDefault="00B91E60" w:rsidP="00B91E60">
      <w:pPr>
        <w:widowControl w:val="0"/>
        <w:spacing w:after="0" w:line="240" w:lineRule="auto"/>
        <w:rPr>
          <w:rFonts w:ascii="Garamond" w:eastAsia="MS Mincho" w:hAnsi="Garamond" w:cs="CG Times"/>
          <w:i/>
          <w:sz w:val="24"/>
          <w:szCs w:val="24"/>
          <w:lang w:val="sq-AL"/>
        </w:rPr>
      </w:pPr>
      <w:r w:rsidRPr="00444D18">
        <w:rPr>
          <w:rFonts w:ascii="Garamond" w:eastAsia="MS Mincho" w:hAnsi="Garamond" w:cs="CG Times"/>
          <w:i/>
          <w:sz w:val="24"/>
          <w:szCs w:val="24"/>
          <w:lang w:val="sq-AL"/>
        </w:rPr>
        <w:t>j) të lidhë marrëveshje me aplikantët për pranimin e tyre në BSHE, në përputhje me kërkesat e anëtarësimit;</w:t>
      </w:r>
    </w:p>
    <w:p w14:paraId="4C681F92" w14:textId="30681485" w:rsidR="00B91E60" w:rsidRPr="00444D18" w:rsidRDefault="00B91E60" w:rsidP="00B91E60">
      <w:pPr>
        <w:widowControl w:val="0"/>
        <w:spacing w:after="0" w:line="240" w:lineRule="auto"/>
        <w:rPr>
          <w:rFonts w:ascii="Garamond" w:eastAsia="MS Mincho" w:hAnsi="Garamond" w:cs="CG Times"/>
          <w:i/>
          <w:sz w:val="24"/>
          <w:szCs w:val="24"/>
          <w:lang w:val="sq-AL"/>
        </w:rPr>
      </w:pPr>
      <w:r w:rsidRPr="00444D18">
        <w:rPr>
          <w:rFonts w:ascii="Garamond" w:eastAsia="MS Mincho" w:hAnsi="Garamond" w:cs="CG Times"/>
          <w:i/>
          <w:sz w:val="24"/>
          <w:szCs w:val="24"/>
          <w:lang w:val="sq-AL"/>
        </w:rPr>
        <w:t>k) të konsultojë në vazhdimësi me palët e interesuar rregullat eBSHE, për çdo ndryshim të nevojshëm;</w:t>
      </w:r>
    </w:p>
    <w:p w14:paraId="23E80796" w14:textId="77777777" w:rsidR="00B91E60" w:rsidRPr="00444D18" w:rsidRDefault="00B91E60" w:rsidP="00B91E60">
      <w:pPr>
        <w:widowControl w:val="0"/>
        <w:spacing w:after="0" w:line="240" w:lineRule="auto"/>
        <w:rPr>
          <w:rFonts w:ascii="Garamond" w:eastAsia="MS Mincho" w:hAnsi="Garamond" w:cs="CG Times"/>
          <w:i/>
          <w:sz w:val="24"/>
          <w:szCs w:val="24"/>
          <w:lang w:val="sq-AL"/>
        </w:rPr>
      </w:pPr>
      <w:r w:rsidRPr="00444D18">
        <w:rPr>
          <w:rFonts w:ascii="Garamond" w:eastAsia="MS Mincho" w:hAnsi="Garamond" w:cs="CG Times"/>
          <w:i/>
          <w:sz w:val="24"/>
          <w:szCs w:val="24"/>
          <w:lang w:val="sq-AL"/>
        </w:rPr>
        <w:t xml:space="preserve">l) të procesojë urdhërporositë nga anëtarët e Bursës, duke i dërguar ato tek Operatori i Bashkimit të Tregjeve, për procesimin e nxjerrjes së rezultateve, duke përdorur algoritmet evropiane; </w:t>
      </w:r>
    </w:p>
    <w:p w14:paraId="1777D418" w14:textId="77777777" w:rsidR="00B91E60" w:rsidRPr="00444D18" w:rsidRDefault="00B91E60" w:rsidP="00B91E60">
      <w:pPr>
        <w:widowControl w:val="0"/>
        <w:spacing w:after="0" w:line="240" w:lineRule="auto"/>
        <w:rPr>
          <w:rFonts w:ascii="Garamond" w:eastAsia="MS Mincho" w:hAnsi="Garamond" w:cs="CG Times"/>
          <w:i/>
          <w:sz w:val="24"/>
          <w:szCs w:val="24"/>
          <w:lang w:val="sq-AL"/>
        </w:rPr>
      </w:pPr>
      <w:r w:rsidRPr="00444D18">
        <w:rPr>
          <w:rFonts w:ascii="Garamond" w:eastAsia="MS Mincho" w:hAnsi="Garamond" w:cs="CG Times"/>
          <w:i/>
          <w:sz w:val="24"/>
          <w:szCs w:val="24"/>
          <w:lang w:val="sq-AL"/>
        </w:rPr>
        <w:t>ll) të publikojë volumet e energjisë elektrike të alokuara dhe çmimet përkatëse, sipas afateve të përcaktuara;</w:t>
      </w:r>
    </w:p>
    <w:p w14:paraId="6B1064F3" w14:textId="77777777" w:rsidR="00B91E60" w:rsidRPr="00444D18" w:rsidRDefault="00B91E60" w:rsidP="00B91E60">
      <w:pPr>
        <w:widowControl w:val="0"/>
        <w:spacing w:after="0" w:line="240" w:lineRule="auto"/>
        <w:rPr>
          <w:rFonts w:ascii="Garamond" w:eastAsia="MS Mincho" w:hAnsi="Garamond" w:cs="CG Times"/>
          <w:i/>
          <w:sz w:val="24"/>
          <w:szCs w:val="24"/>
          <w:lang w:val="sq-AL"/>
        </w:rPr>
      </w:pPr>
      <w:r w:rsidRPr="00444D18">
        <w:rPr>
          <w:rFonts w:ascii="Garamond" w:eastAsia="MS Mincho" w:hAnsi="Garamond" w:cs="CG Times"/>
          <w:i/>
          <w:sz w:val="24"/>
          <w:szCs w:val="24"/>
          <w:lang w:val="sq-AL"/>
        </w:rPr>
        <w:t>m) të regjistrojë të gjitha transaksionet mbi tregjet e BSHE-së, të cilat do të jenë automatikisht të detyrueshme për t’u shlyer;</w:t>
      </w:r>
    </w:p>
    <w:p w14:paraId="6EFD9C03" w14:textId="77777777" w:rsidR="00B91E60" w:rsidRPr="00444D18" w:rsidRDefault="00B91E60" w:rsidP="00B91E60">
      <w:pPr>
        <w:widowControl w:val="0"/>
        <w:spacing w:after="0" w:line="240" w:lineRule="auto"/>
        <w:rPr>
          <w:rFonts w:ascii="Garamond" w:eastAsia="MS Mincho" w:hAnsi="Garamond" w:cs="CG Times"/>
          <w:i/>
          <w:sz w:val="24"/>
          <w:szCs w:val="24"/>
          <w:lang w:val="sq-AL"/>
        </w:rPr>
      </w:pPr>
      <w:r w:rsidRPr="00444D18">
        <w:rPr>
          <w:rFonts w:ascii="Garamond" w:eastAsia="MS Mincho" w:hAnsi="Garamond" w:cs="CG Times"/>
          <w:i/>
          <w:sz w:val="24"/>
          <w:szCs w:val="24"/>
          <w:lang w:val="sq-AL"/>
        </w:rPr>
        <w:t>n) të marrë vendimet e nevojshme për integritetin dhe operimin e rregullt, duke përfshirë:</w:t>
      </w:r>
    </w:p>
    <w:p w14:paraId="125701EC" w14:textId="77777777" w:rsidR="00B91E60" w:rsidRPr="00444D18" w:rsidRDefault="00B91E60" w:rsidP="00B91E60">
      <w:pPr>
        <w:widowControl w:val="0"/>
        <w:spacing w:after="0" w:line="240" w:lineRule="auto"/>
        <w:rPr>
          <w:rFonts w:ascii="Garamond" w:eastAsia="MS Mincho" w:hAnsi="Garamond" w:cs="CG Times"/>
          <w:i/>
          <w:sz w:val="24"/>
          <w:szCs w:val="24"/>
          <w:lang w:val="sq-AL"/>
        </w:rPr>
      </w:pPr>
      <w:r w:rsidRPr="00444D18">
        <w:rPr>
          <w:rFonts w:ascii="Garamond" w:eastAsia="MS Mincho" w:hAnsi="Garamond" w:cs="CG Times"/>
          <w:i/>
          <w:sz w:val="24"/>
          <w:szCs w:val="24"/>
          <w:lang w:val="sq-AL"/>
        </w:rPr>
        <w:t>i. monitorimin e përputhshmërisë së anëtarëve të Bursës me rregullat dhe procedurat e BSHE-së;</w:t>
      </w:r>
    </w:p>
    <w:p w14:paraId="2EF184B1" w14:textId="77777777" w:rsidR="00B91E60" w:rsidRPr="00444D18" w:rsidRDefault="00B91E60" w:rsidP="00B91E60">
      <w:pPr>
        <w:widowControl w:val="0"/>
        <w:spacing w:after="0" w:line="240" w:lineRule="auto"/>
        <w:rPr>
          <w:rFonts w:ascii="Garamond" w:eastAsia="MS Mincho" w:hAnsi="Garamond" w:cs="CG Times"/>
          <w:i/>
          <w:sz w:val="24"/>
          <w:szCs w:val="24"/>
          <w:lang w:val="sq-AL"/>
        </w:rPr>
      </w:pPr>
      <w:r w:rsidRPr="00444D18">
        <w:rPr>
          <w:rFonts w:ascii="Garamond" w:eastAsia="MS Mincho" w:hAnsi="Garamond" w:cs="CG Times"/>
          <w:i/>
          <w:sz w:val="24"/>
          <w:szCs w:val="24"/>
          <w:lang w:val="sq-AL"/>
        </w:rPr>
        <w:t>ii. kryerjen e auditimeve dhe inspektimeve për aktivitetet e anëtarëve të Bursës.</w:t>
      </w:r>
    </w:p>
    <w:p w14:paraId="4C681F93" w14:textId="027C387F" w:rsidR="00B91E60" w:rsidRPr="00444D18" w:rsidRDefault="00B91E60" w:rsidP="00B91E60">
      <w:pPr>
        <w:widowControl w:val="0"/>
        <w:spacing w:after="0" w:line="240" w:lineRule="auto"/>
        <w:rPr>
          <w:rFonts w:ascii="Garamond" w:eastAsia="MS Mincho" w:hAnsi="Garamond" w:cs="CG Times"/>
          <w:i/>
          <w:sz w:val="24"/>
          <w:szCs w:val="24"/>
          <w:lang w:val="sq-AL"/>
        </w:rPr>
      </w:pPr>
      <w:r w:rsidRPr="00444D18">
        <w:rPr>
          <w:rFonts w:ascii="Garamond" w:eastAsia="MS Mincho" w:hAnsi="Garamond" w:cs="CG Times"/>
          <w:i/>
          <w:sz w:val="24"/>
          <w:szCs w:val="24"/>
          <w:lang w:val="sq-AL"/>
        </w:rPr>
        <w:t>Bursa Shqiptare e Energjisë kontrakton kryerjen e një apo më shumë shërbimeve të sipërcituara nga çdo subjekt që mund të ushtrojë këtë aktivitet, në përputhje me licencën e lëshuar nga ERE-ja.</w:t>
      </w:r>
    </w:p>
    <w:p w14:paraId="72900A78" w14:textId="77777777" w:rsidR="00B91E60" w:rsidRPr="00444D18" w:rsidRDefault="00B91E60" w:rsidP="00B91E60">
      <w:pPr>
        <w:widowControl w:val="0"/>
        <w:spacing w:after="0" w:line="240" w:lineRule="auto"/>
        <w:rPr>
          <w:rFonts w:ascii="Garamond" w:eastAsia="MS Mincho" w:hAnsi="Garamond" w:cs="CG Times"/>
          <w:i/>
          <w:sz w:val="24"/>
          <w:szCs w:val="24"/>
          <w:lang w:val="sq-AL"/>
        </w:rPr>
      </w:pPr>
      <w:r w:rsidRPr="00444D18">
        <w:rPr>
          <w:rFonts w:ascii="Garamond" w:eastAsia="MS Mincho" w:hAnsi="Garamond" w:cs="CG Times"/>
          <w:i/>
          <w:sz w:val="24"/>
          <w:szCs w:val="24"/>
          <w:lang w:val="sq-AL"/>
        </w:rPr>
        <w:t xml:space="preserve">Bursa Shqiptare e Energjisë zbaton planin e masave për implementimin e Tregut Shqiptar të Energjisë Elektrike, të përcaktuar në aneksin 1, që i bashkëlidhet këtij vendimi. </w:t>
      </w:r>
    </w:p>
    <w:p w14:paraId="4C681F96" w14:textId="77777777" w:rsidR="0071099C" w:rsidRPr="00444D18" w:rsidRDefault="0071099C" w:rsidP="0071099C">
      <w:pPr>
        <w:pStyle w:val="Paragrafi"/>
        <w:rPr>
          <w:b/>
          <w:lang w:val="sq-AL"/>
        </w:rPr>
      </w:pPr>
      <w:r w:rsidRPr="00444D18">
        <w:rPr>
          <w:b/>
          <w:lang w:val="sq-AL"/>
        </w:rPr>
        <w:lastRenderedPageBreak/>
        <w:t>4. Roli i rregullatorit të pavarur (ERE)</w:t>
      </w:r>
    </w:p>
    <w:p w14:paraId="4C681F97" w14:textId="77777777" w:rsidR="0071099C" w:rsidRPr="00444D18" w:rsidRDefault="0071099C" w:rsidP="0071099C">
      <w:pPr>
        <w:pStyle w:val="Paragrafi"/>
        <w:rPr>
          <w:lang w:val="sq-AL"/>
        </w:rPr>
      </w:pPr>
      <w:r w:rsidRPr="00444D18">
        <w:rPr>
          <w:lang w:val="sq-AL"/>
        </w:rPr>
        <w:t>ERE ushtron kompetencat e saj në zbatim të ligjit për sektorin e energjisë elektrike dhe direktivën 2009/72/CE.</w:t>
      </w:r>
    </w:p>
    <w:p w14:paraId="4C681F98" w14:textId="77777777" w:rsidR="0071099C" w:rsidRPr="00444D18" w:rsidRDefault="0071099C" w:rsidP="0071099C">
      <w:pPr>
        <w:pStyle w:val="Paragrafi"/>
        <w:rPr>
          <w:lang w:val="sq-AL"/>
        </w:rPr>
      </w:pPr>
      <w:r w:rsidRPr="00444D18">
        <w:rPr>
          <w:lang w:val="sq-AL"/>
        </w:rPr>
        <w:t>Në përputhje me ligjin nr. 43/2015, “Për sektorin e energjisë elektrike”, ERE do të reflektojë ndryshimet në Rregullat e Tregut dhe legjislacionin sekondar të nevojshëm për funksionimin e tregut. Në hartimin e këtyre rregullave, ERE do bashkëpunojë ngushtësisht me Sekretariatin e Komunitetit të Energjisë.</w:t>
      </w:r>
    </w:p>
    <w:p w14:paraId="4C681F99" w14:textId="77777777" w:rsidR="0071099C" w:rsidRPr="00444D18" w:rsidRDefault="0071099C" w:rsidP="0071099C">
      <w:pPr>
        <w:pStyle w:val="Paragrafi"/>
        <w:rPr>
          <w:lang w:val="sq-AL"/>
        </w:rPr>
      </w:pPr>
      <w:r w:rsidRPr="00444D18">
        <w:rPr>
          <w:lang w:val="sq-AL"/>
        </w:rPr>
        <w:t>ERE, gjithashtu, do të miratojë rregullat për menaxhimin e kapaciteteve të kufizuara, të cilat hartohen nga OST-ja. ERE do të përcaktojë në Kodin e Rrjetit dhe Rregullat e Tregut rregullat për implementimin e kufizimeve të ngarkesës ndërmjet konsumatorëve, kur ka një kufizim kapaciteti. Hartimi i këtyre rregullave duhet të udhëhiqet nga parimi i mosdiskriminimit, në mënyrë që këto rregulla të jenë në përputhje me Traktatin e Komunitetit të Energjisë. Në hartimin e këtyre rregullave, duhet të kërkohet mendimi i secilës palë të interesuar si dhe i Sekretariatit të Komunitetit të Energjisë.</w:t>
      </w:r>
    </w:p>
    <w:p w14:paraId="4C681F9A" w14:textId="77777777" w:rsidR="0071099C" w:rsidRPr="00444D18" w:rsidRDefault="0071099C" w:rsidP="0071099C">
      <w:pPr>
        <w:pStyle w:val="Paragrafi"/>
        <w:rPr>
          <w:lang w:val="sq-AL"/>
        </w:rPr>
      </w:pPr>
      <w:r w:rsidRPr="00444D18">
        <w:rPr>
          <w:lang w:val="sq-AL"/>
        </w:rPr>
        <w:t>ERE do të miratojë marrëveshje apo kontrata tip për një sërë marrëdhëniesh ndërmjet pjesëmarrësve të tregut, të cilat përfshijnë:</w:t>
      </w:r>
    </w:p>
    <w:p w14:paraId="4C681F9B" w14:textId="77777777" w:rsidR="0071099C" w:rsidRPr="00444D18" w:rsidRDefault="0071099C" w:rsidP="0071099C">
      <w:pPr>
        <w:pStyle w:val="Paragrafi"/>
        <w:rPr>
          <w:lang w:val="sq-AL"/>
        </w:rPr>
      </w:pPr>
      <w:r w:rsidRPr="00444D18">
        <w:rPr>
          <w:lang w:val="sq-AL"/>
        </w:rPr>
        <w:t>- marrëveshje shërbimi të dyanshme, për shërbimet e shpërndarjes, ndërmjet OSSH-së dhe përdoruesve të sistemit të shpërndarjes;</w:t>
      </w:r>
    </w:p>
    <w:p w14:paraId="4C681F9C" w14:textId="77777777" w:rsidR="0071099C" w:rsidRPr="00444D18" w:rsidRDefault="0071099C" w:rsidP="0071099C">
      <w:pPr>
        <w:pStyle w:val="Paragrafi"/>
        <w:rPr>
          <w:lang w:val="sq-AL"/>
        </w:rPr>
      </w:pPr>
      <w:r w:rsidRPr="00444D18">
        <w:rPr>
          <w:lang w:val="sq-AL"/>
        </w:rPr>
        <w:t>- marrëveshje për shërbimet e transmetimit, ndërmjet OST-së dhe PPB-ve;</w:t>
      </w:r>
    </w:p>
    <w:p w14:paraId="4C681F9D" w14:textId="77777777" w:rsidR="0071099C" w:rsidRPr="00444D18" w:rsidRDefault="0071099C" w:rsidP="0071099C">
      <w:pPr>
        <w:pStyle w:val="Paragrafi"/>
        <w:rPr>
          <w:lang w:val="sq-AL"/>
        </w:rPr>
      </w:pPr>
      <w:r w:rsidRPr="00444D18">
        <w:rPr>
          <w:lang w:val="sq-AL"/>
        </w:rPr>
        <w:t>- modele të kontratave financiare OTC, ndërmjet PPB-ve;</w:t>
      </w:r>
    </w:p>
    <w:p w14:paraId="4C681F9E" w14:textId="77777777" w:rsidR="0071099C" w:rsidRPr="00444D18" w:rsidRDefault="0071099C" w:rsidP="0071099C">
      <w:pPr>
        <w:pStyle w:val="Paragrafi"/>
        <w:rPr>
          <w:lang w:val="sq-AL"/>
        </w:rPr>
      </w:pPr>
      <w:r w:rsidRPr="00444D18">
        <w:rPr>
          <w:lang w:val="sq-AL"/>
        </w:rPr>
        <w:t>- kontrata tip, ndërmjet Bursës së Energjisë dhe PPB-ve, në përputhje me praktikat dhe standardet më të mira evropiane.</w:t>
      </w:r>
    </w:p>
    <w:p w14:paraId="4C681FA1" w14:textId="4DC8370A" w:rsidR="0071099C" w:rsidRPr="00444D18" w:rsidRDefault="0071099C" w:rsidP="00444D18">
      <w:pPr>
        <w:pStyle w:val="Paragrafi"/>
        <w:rPr>
          <w:lang w:val="sq-AL"/>
        </w:rPr>
      </w:pPr>
      <w:r w:rsidRPr="00444D18">
        <w:rPr>
          <w:lang w:val="sq-AL"/>
        </w:rPr>
        <w:t>ERE do të jetë përgjegjëse për përputh-shmërinë e modeleve të kontratave me kuadrin ligjor fiskal.</w:t>
      </w:r>
    </w:p>
    <w:p w14:paraId="4C681FA2" w14:textId="77777777" w:rsidR="0071099C" w:rsidRPr="00444D18" w:rsidRDefault="0071099C" w:rsidP="0071099C">
      <w:pPr>
        <w:pStyle w:val="Paragrafi"/>
        <w:rPr>
          <w:lang w:val="sq-AL"/>
        </w:rPr>
      </w:pPr>
      <w:r w:rsidRPr="00444D18">
        <w:rPr>
          <w:lang w:val="sq-AL"/>
        </w:rPr>
        <w:t xml:space="preserve">Zbatimi i kontratave dhe i detyrimeve tarifore nga gjithë pjesëmarrësit e tregut, duke përfshirë pagesën e plotë për energjinë dhe shërbimet e tjera, është thelbësore për suksesin e tregut shqiptar të energjisë elektrike. </w:t>
      </w:r>
    </w:p>
    <w:p w14:paraId="4C681FA3" w14:textId="77777777" w:rsidR="0071099C" w:rsidRPr="00444D18" w:rsidRDefault="0071099C" w:rsidP="0071099C">
      <w:pPr>
        <w:pStyle w:val="Paragrafi"/>
        <w:rPr>
          <w:lang w:val="sq-AL"/>
        </w:rPr>
      </w:pPr>
      <w:r w:rsidRPr="00444D18">
        <w:rPr>
          <w:lang w:val="sq-AL"/>
        </w:rPr>
        <w:t>ERE, në bashkëpunim me Sekretariatin e Komunitetit të Energjisë, OST-në, Bursën e Energjisë, OSSH-në dhe pjesëtarët e tjerë të tregut, do të hartojnë skema të ekzekutimit të pagesave, që adresojnë çështjet e mospagesave apo pagesave të pjesshme. Për më tepër, ERE do të hartojë rregulla dhe procedura për ushtrimin e autoritetit e saj rregullator mbi PPB-të, në përputhje me marrëveshjet dhe do të ketë, gjithashtu, mundësinë e monitorimit të fluksit të parave. ERE do përdorë të gjitha instrumentet shtrënguese për zbatimin e pagesave dhe detyrimeve tarifore.</w:t>
      </w:r>
    </w:p>
    <w:p w14:paraId="4C681FA4" w14:textId="77777777" w:rsidR="0071099C" w:rsidRPr="00444D18" w:rsidRDefault="0071099C" w:rsidP="0071099C">
      <w:pPr>
        <w:pStyle w:val="Paragrafi"/>
        <w:rPr>
          <w:lang w:val="sq-AL"/>
        </w:rPr>
      </w:pPr>
      <w:r w:rsidRPr="00444D18">
        <w:rPr>
          <w:lang w:val="sq-AL"/>
        </w:rPr>
        <w:t>5. Pjesëmarrja në tregun e organizuar nuk do të jetë e kushtëzuar nga lëshimi i ndonjë licence specifike nga ana ERE-s. Licencat për OST-në dhe OSSH-në do lëshohen në përputhje me ligjin për sektorin e energjisë elektrike dhe legjisla-cionin sekondar. ERE do të përcaktojë kriteret dhe procedurën për licencimin e Bursës së Energjisë Elektrike.</w:t>
      </w:r>
    </w:p>
    <w:p w14:paraId="4C681FA5" w14:textId="77777777" w:rsidR="0071099C" w:rsidRPr="00444D18" w:rsidRDefault="0071099C" w:rsidP="0071099C">
      <w:pPr>
        <w:pStyle w:val="Paragrafi"/>
        <w:rPr>
          <w:b/>
          <w:lang w:val="sq-AL"/>
        </w:rPr>
      </w:pPr>
      <w:r w:rsidRPr="00444D18">
        <w:rPr>
          <w:b/>
          <w:lang w:val="sq-AL"/>
        </w:rPr>
        <w:t>5. Marrëveshjet e blerjes së energjisë elektrike</w:t>
      </w:r>
    </w:p>
    <w:p w14:paraId="4C681FA6" w14:textId="77777777" w:rsidR="0071099C" w:rsidRPr="00444D18" w:rsidRDefault="0071099C" w:rsidP="0071099C">
      <w:pPr>
        <w:pStyle w:val="Paragrafi"/>
        <w:rPr>
          <w:lang w:val="sq-AL"/>
        </w:rPr>
      </w:pPr>
      <w:r w:rsidRPr="00444D18">
        <w:rPr>
          <w:lang w:val="sq-AL"/>
        </w:rPr>
        <w:t>Qeveria shqiptare inkurajon investimet private në burime gjeneruese, për të përmbushur kërkesat e Shqipërisë për energji elektrike, për garantimin e sigurisë së furnizimit, nëpërmjet diversifikimit të burimeve gjeneruese.</w:t>
      </w:r>
    </w:p>
    <w:p w14:paraId="4C681FA7" w14:textId="77777777" w:rsidR="0071099C" w:rsidRPr="00444D18" w:rsidRDefault="0071099C" w:rsidP="0071099C">
      <w:pPr>
        <w:pStyle w:val="Paragrafi"/>
        <w:rPr>
          <w:lang w:val="sq-AL"/>
        </w:rPr>
      </w:pPr>
      <w:r w:rsidRPr="00444D18">
        <w:rPr>
          <w:lang w:val="sq-AL"/>
        </w:rPr>
        <w:t>Në përputhje me ligjin e sektorit të energjisë elektrike dhe ligjin e konkurrencës, ERE dhe Autoriteti i Konkurrencës, në bashkëpunim të ngushtë me Sekretariatin e Komunitetit të Energjisë, do të përdorin autoritetin e tyre për të kufizuar afatin e kontratave afatgjata ndërmjet pjesëtarëve të tregut, në mënyrë që të shmangen efektet bllokuese në zhvillimin e tregut.</w:t>
      </w:r>
    </w:p>
    <w:p w14:paraId="4C681FA8" w14:textId="77777777" w:rsidR="0071099C" w:rsidRPr="00444D18" w:rsidRDefault="0071099C" w:rsidP="0071099C">
      <w:pPr>
        <w:pStyle w:val="Paragrafi"/>
        <w:rPr>
          <w:b/>
          <w:lang w:val="sq-AL"/>
        </w:rPr>
      </w:pPr>
      <w:r w:rsidRPr="00444D18">
        <w:rPr>
          <w:b/>
          <w:lang w:val="sq-AL"/>
        </w:rPr>
        <w:t>6. Procesi i likuidimit financiar</w:t>
      </w:r>
    </w:p>
    <w:p w14:paraId="4C681FA9" w14:textId="77777777" w:rsidR="0071099C" w:rsidRPr="00444D18" w:rsidRDefault="0071099C" w:rsidP="0071099C">
      <w:pPr>
        <w:pStyle w:val="Paragrafi"/>
        <w:rPr>
          <w:lang w:val="sq-AL"/>
        </w:rPr>
      </w:pPr>
      <w:r w:rsidRPr="00444D18">
        <w:rPr>
          <w:lang w:val="sq-AL"/>
        </w:rPr>
        <w:t>Procedurat e likuidimit financiar do të përfshihen në marrëveshjet tip përkatëse.</w:t>
      </w:r>
    </w:p>
    <w:p w14:paraId="4C681FAA" w14:textId="77777777" w:rsidR="0071099C" w:rsidRPr="00444D18" w:rsidRDefault="0071099C" w:rsidP="0071099C">
      <w:pPr>
        <w:pStyle w:val="Paragrafi"/>
        <w:rPr>
          <w:lang w:val="sq-AL"/>
        </w:rPr>
      </w:pPr>
      <w:r w:rsidRPr="00444D18">
        <w:rPr>
          <w:lang w:val="sq-AL"/>
        </w:rPr>
        <w:t xml:space="preserve">Procedurat e likuidimit financiar do të hartohen në mënyrë që të garantojnë transpa-rencën dhe shlyerjen e TVSH-së gjatë procesit të pagesës, duke u siguruar që detyrimet e TVSH-së të mos pengojnë pjesëmarrjen në treg. </w:t>
      </w:r>
    </w:p>
    <w:p w14:paraId="4C681FAB" w14:textId="77777777" w:rsidR="0071099C" w:rsidRPr="00444D18" w:rsidRDefault="0071099C" w:rsidP="0071099C">
      <w:pPr>
        <w:pStyle w:val="Paragrafi"/>
        <w:rPr>
          <w:lang w:val="sq-AL"/>
        </w:rPr>
      </w:pPr>
    </w:p>
    <w:p w14:paraId="4C681FAC" w14:textId="77777777" w:rsidR="0071099C" w:rsidRPr="00444D18" w:rsidRDefault="0071099C" w:rsidP="0071099C">
      <w:pPr>
        <w:pStyle w:val="Paragrafi"/>
        <w:rPr>
          <w:lang w:val="sq-AL"/>
        </w:rPr>
      </w:pPr>
      <w:r w:rsidRPr="00444D18">
        <w:rPr>
          <w:lang w:val="sq-AL"/>
        </w:rPr>
        <w:t>ERE do sigurojë që aktivitetet e palëve do kryhen në përputhje me këto rregulla dhe që të gjitha transaksionet financiare të jenë plotësisht transparente dhe të auditueshme.</w:t>
      </w:r>
    </w:p>
    <w:p w14:paraId="4C681FAD" w14:textId="77777777" w:rsidR="0071099C" w:rsidRPr="00444D18" w:rsidRDefault="0071099C" w:rsidP="0071099C">
      <w:pPr>
        <w:pStyle w:val="Paragrafi"/>
        <w:rPr>
          <w:lang w:val="sq-AL"/>
        </w:rPr>
      </w:pPr>
      <w:r w:rsidRPr="00444D18">
        <w:rPr>
          <w:lang w:val="sq-AL"/>
        </w:rPr>
        <w:t>Modeli i tregut synon të minimizojë riskun e manipulimit të tregut, duke u siguruar, kështu, tregtarëve garanci për funksionimin e tregut. Marrëdhëniet kontraktore ndërmjet pjesëma-rrësve të tregut duhet të jenë të mirëpërcaktuara.</w:t>
      </w:r>
    </w:p>
    <w:p w14:paraId="4C681FAE" w14:textId="77777777" w:rsidR="0071099C" w:rsidRPr="00444D18" w:rsidRDefault="0071099C" w:rsidP="0071099C">
      <w:pPr>
        <w:pStyle w:val="Paragrafi"/>
        <w:rPr>
          <w:lang w:val="sq-AL"/>
        </w:rPr>
      </w:pPr>
      <w:r w:rsidRPr="00444D18">
        <w:rPr>
          <w:lang w:val="sq-AL"/>
        </w:rPr>
        <w:t>Periudha e pagesave të disbalancave duhet të harmonizohet me periudhat e produkteve të tregut, duke lejuar, kështu, PPB-të të balancojnë portofolet e tyre.</w:t>
      </w:r>
    </w:p>
    <w:p w14:paraId="4C681FAF" w14:textId="77777777" w:rsidR="0071099C" w:rsidRPr="00444D18" w:rsidRDefault="0071099C" w:rsidP="0071099C">
      <w:pPr>
        <w:pStyle w:val="Paragrafi"/>
        <w:rPr>
          <w:b/>
          <w:lang w:val="sq-AL"/>
        </w:rPr>
      </w:pPr>
      <w:r w:rsidRPr="00444D18">
        <w:rPr>
          <w:b/>
          <w:lang w:val="sq-AL"/>
        </w:rPr>
        <w:t>7. Marrëveshjet tip</w:t>
      </w:r>
    </w:p>
    <w:p w14:paraId="4C681FB0" w14:textId="77777777" w:rsidR="0071099C" w:rsidRPr="00444D18" w:rsidRDefault="0071099C" w:rsidP="0071099C">
      <w:pPr>
        <w:pStyle w:val="Paragrafi"/>
        <w:rPr>
          <w:lang w:val="sq-AL"/>
        </w:rPr>
      </w:pPr>
      <w:r w:rsidRPr="00444D18">
        <w:rPr>
          <w:lang w:val="sq-AL"/>
        </w:rPr>
        <w:lastRenderedPageBreak/>
        <w:t xml:space="preserve">Të gjitha marrëveshjet tip, që hartohen dhe miratohen në përputhje me këtë model tregu: </w:t>
      </w:r>
    </w:p>
    <w:p w14:paraId="4C681FB1" w14:textId="77777777" w:rsidR="0071099C" w:rsidRPr="00444D18" w:rsidRDefault="0071099C" w:rsidP="0071099C">
      <w:pPr>
        <w:pStyle w:val="Paragrafi"/>
        <w:rPr>
          <w:lang w:val="sq-AL"/>
        </w:rPr>
      </w:pPr>
      <w:r w:rsidRPr="00444D18">
        <w:rPr>
          <w:lang w:val="sq-AL"/>
        </w:rPr>
        <w:t xml:space="preserve">- do t’u nënshtrohen një faze konsultimi me publikun, për të paktën katër javë, duke përfshirë publikimin në </w:t>
      </w:r>
      <w:r w:rsidRPr="00444D18">
        <w:rPr>
          <w:i/>
          <w:lang w:val="sq-AL"/>
        </w:rPr>
        <w:t>website</w:t>
      </w:r>
      <w:r w:rsidRPr="00444D18">
        <w:rPr>
          <w:lang w:val="sq-AL"/>
        </w:rPr>
        <w:t xml:space="preserve"> dhe një njoftim për afatin e konsultimit, nga subjektet përgjegjëse për harti-min dhe miratimin e marrëveshjeve tip përkatëse. Rezultatet e konsultimeve publike do të publikohen;</w:t>
      </w:r>
    </w:p>
    <w:p w14:paraId="4C681FB2" w14:textId="77777777" w:rsidR="0071099C" w:rsidRPr="00444D18" w:rsidRDefault="0071099C" w:rsidP="0071099C">
      <w:pPr>
        <w:pStyle w:val="Paragrafi"/>
        <w:rPr>
          <w:lang w:val="sq-AL"/>
        </w:rPr>
      </w:pPr>
    </w:p>
    <w:p w14:paraId="4C681FB3" w14:textId="77777777" w:rsidR="0071099C" w:rsidRPr="00444D18" w:rsidRDefault="0071099C" w:rsidP="0071099C">
      <w:pPr>
        <w:pStyle w:val="Paragrafi"/>
        <w:rPr>
          <w:lang w:val="sq-AL"/>
        </w:rPr>
      </w:pPr>
    </w:p>
    <w:p w14:paraId="4C681FB4" w14:textId="77777777" w:rsidR="0071099C" w:rsidRPr="00444D18" w:rsidRDefault="0071099C" w:rsidP="0071099C">
      <w:pPr>
        <w:pStyle w:val="Paragrafi"/>
        <w:rPr>
          <w:lang w:val="sq-AL"/>
        </w:rPr>
      </w:pPr>
      <w:r w:rsidRPr="00444D18">
        <w:rPr>
          <w:lang w:val="sq-AL"/>
        </w:rPr>
        <w:t xml:space="preserve">- do t’u nënshtrohen një procesi të rregullt rishikimi, i cili mund të iniciohet me propozim të çdo pjesëmarrësi tregu; </w:t>
      </w:r>
    </w:p>
    <w:p w14:paraId="4C681FB5" w14:textId="77777777" w:rsidR="0071099C" w:rsidRPr="00444D18" w:rsidRDefault="0071099C" w:rsidP="0071099C">
      <w:pPr>
        <w:pStyle w:val="Paragrafi"/>
        <w:rPr>
          <w:lang w:val="sq-AL"/>
        </w:rPr>
      </w:pPr>
      <w:r w:rsidRPr="00444D18">
        <w:rPr>
          <w:lang w:val="sq-AL"/>
        </w:rPr>
        <w:t xml:space="preserve">- do të jenë hartuar apo rishikuar sipas një procedure të miratuar nga çdo subjekt përgjegjës për hartimin dhe rishikimin e marrëveshjeve tip. Kjo procedurë do të publikohet; </w:t>
      </w:r>
    </w:p>
    <w:p w14:paraId="4C681FB6" w14:textId="77777777" w:rsidR="0071099C" w:rsidRPr="00444D18" w:rsidRDefault="0071099C" w:rsidP="0071099C">
      <w:pPr>
        <w:pStyle w:val="Paragrafi"/>
        <w:rPr>
          <w:lang w:val="sq-AL"/>
        </w:rPr>
      </w:pPr>
      <w:r w:rsidRPr="00444D18">
        <w:rPr>
          <w:lang w:val="sq-AL"/>
        </w:rPr>
        <w:t>- do të synojnë të përafrojnë kërkesat e pjesëmarrësve të tregut me kërkesat në Komuni-tetin e Energjisë, duke marrë në konsideratë praktikat më të mira evropiane në hartimin dhe kontrollin e marrëveshjeve tip;</w:t>
      </w:r>
    </w:p>
    <w:p w14:paraId="4C681FB7" w14:textId="77777777" w:rsidR="0071099C" w:rsidRPr="00444D18" w:rsidRDefault="0071099C" w:rsidP="0071099C">
      <w:pPr>
        <w:pStyle w:val="Paragrafi"/>
        <w:rPr>
          <w:lang w:val="sq-AL"/>
        </w:rPr>
      </w:pPr>
      <w:r w:rsidRPr="00444D18">
        <w:rPr>
          <w:lang w:val="sq-AL"/>
        </w:rPr>
        <w:t xml:space="preserve">- do të vihen në dispozicion në gjuhën shqipe dhe angleze. I gjithë dokumentacioni mbi harti-min, kontrollin, konsultimin dhe miratimin e marrëveshjeve tip duhet, gjithashtu, të vihen në dispozicion në gjuhën shqipe dhe angleze; </w:t>
      </w:r>
    </w:p>
    <w:p w14:paraId="4C681FB8" w14:textId="77777777" w:rsidR="0071099C" w:rsidRPr="00444D18" w:rsidRDefault="0071099C" w:rsidP="0071099C">
      <w:pPr>
        <w:pStyle w:val="Paragrafi"/>
        <w:rPr>
          <w:lang w:val="sq-AL"/>
        </w:rPr>
      </w:pPr>
      <w:r w:rsidRPr="00444D18">
        <w:rPr>
          <w:lang w:val="sq-AL"/>
        </w:rPr>
        <w:t>- do të dërgohen për konfirmim në Sekretariatin e Komunitetit të Energjisë para miratimit.</w:t>
      </w:r>
    </w:p>
    <w:p w14:paraId="4C681FB9" w14:textId="77777777" w:rsidR="0071099C" w:rsidRPr="00444D18" w:rsidRDefault="0071099C" w:rsidP="0071099C">
      <w:pPr>
        <w:pStyle w:val="Paragrafi"/>
        <w:rPr>
          <w:b/>
          <w:lang w:val="sq-AL"/>
        </w:rPr>
      </w:pPr>
      <w:r w:rsidRPr="00444D18">
        <w:rPr>
          <w:b/>
          <w:lang w:val="sq-AL"/>
        </w:rPr>
        <w:t>8. Zbatimi i modelit të tregut</w:t>
      </w:r>
    </w:p>
    <w:p w14:paraId="4C681FBA" w14:textId="77777777" w:rsidR="0071099C" w:rsidRPr="00444D18" w:rsidRDefault="0071099C" w:rsidP="0071099C">
      <w:pPr>
        <w:pStyle w:val="Paragrafi"/>
        <w:rPr>
          <w:lang w:val="sq-AL"/>
        </w:rPr>
      </w:pPr>
      <w:r w:rsidRPr="00444D18">
        <w:rPr>
          <w:lang w:val="sq-AL"/>
        </w:rPr>
        <w:t>Modeli i tregut të organizuar, siç është përcaktuar në këtë tekst, do të jetë i aplikueshëm në momentin e fillimit të punës së Bursës Shqiptare të Energjisë.</w:t>
      </w:r>
    </w:p>
    <w:p w14:paraId="4C681FBB" w14:textId="77777777" w:rsidR="0071099C" w:rsidRPr="00444D18" w:rsidRDefault="0071099C" w:rsidP="0071099C">
      <w:pPr>
        <w:pStyle w:val="Paragrafi"/>
        <w:rPr>
          <w:lang w:val="sq-AL"/>
        </w:rPr>
        <w:sectPr w:rsidR="0071099C" w:rsidRPr="00444D18" w:rsidSect="00ED60D9">
          <w:pgSz w:w="11907" w:h="16840" w:code="9"/>
          <w:pgMar w:top="720" w:right="1134" w:bottom="720" w:left="1134" w:header="851" w:footer="851" w:gutter="0"/>
          <w:cols w:space="454"/>
          <w:docGrid w:linePitch="360"/>
        </w:sectPr>
      </w:pPr>
    </w:p>
    <w:p w14:paraId="4C681FBC" w14:textId="77777777" w:rsidR="0071099C" w:rsidRPr="00444D18" w:rsidRDefault="0071099C" w:rsidP="0071099C">
      <w:pPr>
        <w:pStyle w:val="Hapesira7"/>
        <w:rPr>
          <w:lang w:val="sq-AL"/>
        </w:rPr>
      </w:pPr>
    </w:p>
    <w:p w14:paraId="4C681FBD" w14:textId="77777777" w:rsidR="0071099C" w:rsidRPr="00444D18" w:rsidRDefault="0071099C" w:rsidP="0071099C">
      <w:pPr>
        <w:widowControl w:val="0"/>
        <w:spacing w:after="0" w:line="240" w:lineRule="auto"/>
        <w:jc w:val="center"/>
        <w:rPr>
          <w:rFonts w:ascii="Garamond" w:hAnsi="Garamond"/>
          <w:lang w:val="sq-AL" w:eastAsia="en-GB"/>
        </w:rPr>
      </w:pPr>
      <w:r w:rsidRPr="00444D18">
        <w:rPr>
          <w:rFonts w:ascii="Garamond" w:hAnsi="Garamond"/>
          <w:lang w:val="sq-AL" w:eastAsia="en-GB"/>
        </w:rPr>
        <w:t>ANEKS 1</w:t>
      </w:r>
    </w:p>
    <w:p w14:paraId="4C681FBE" w14:textId="77777777" w:rsidR="0071099C" w:rsidRPr="00444D18" w:rsidRDefault="0071099C" w:rsidP="0071099C">
      <w:pPr>
        <w:widowControl w:val="0"/>
        <w:spacing w:after="0" w:line="240" w:lineRule="auto"/>
        <w:jc w:val="center"/>
        <w:rPr>
          <w:rFonts w:ascii="Garamond" w:hAnsi="Garamond"/>
          <w:lang w:val="sq-AL" w:eastAsia="en-GB"/>
        </w:rPr>
      </w:pPr>
      <w:r w:rsidRPr="00444D18">
        <w:rPr>
          <w:rFonts w:ascii="Garamond" w:hAnsi="Garamond"/>
          <w:lang w:val="sq-AL" w:eastAsia="en-GB"/>
        </w:rPr>
        <w:t>PLANI I MASAVE PËR IMPLEMENTIMIN E TREGUT SHQIPTAR TË ENERGJISË ELEKTRIKE</w:t>
      </w:r>
    </w:p>
    <w:p w14:paraId="3945DBDD" w14:textId="77777777" w:rsidR="00B91E60" w:rsidRPr="00444D18" w:rsidRDefault="00B91E60" w:rsidP="00B91E60">
      <w:pPr>
        <w:pStyle w:val="Paragrafi"/>
        <w:jc w:val="center"/>
        <w:rPr>
          <w:i/>
          <w:lang w:val="sq-AL"/>
        </w:rPr>
      </w:pPr>
      <w:r w:rsidRPr="00444D18">
        <w:rPr>
          <w:i/>
          <w:lang w:val="sq-AL"/>
        </w:rPr>
        <w:t>(ndryshuar me VKM-në nr. 872, datë 27.12.2022)</w:t>
      </w:r>
    </w:p>
    <w:p w14:paraId="4C681FC2" w14:textId="77777777" w:rsidR="00B91E60" w:rsidRPr="00444D18" w:rsidRDefault="00B91E60" w:rsidP="0071099C">
      <w:pPr>
        <w:widowControl w:val="0"/>
        <w:spacing w:after="0" w:line="240" w:lineRule="auto"/>
        <w:jc w:val="center"/>
        <w:rPr>
          <w:rFonts w:ascii="Garamond" w:hAnsi="Garamond"/>
          <w:lang w:val="sq-AL" w:eastAsia="en-GB"/>
        </w:rPr>
      </w:pPr>
    </w:p>
    <w:tbl>
      <w:tblPr>
        <w:tblW w:w="5000" w:type="pct"/>
        <w:tblLook w:val="04A0" w:firstRow="1" w:lastRow="0" w:firstColumn="1" w:lastColumn="0" w:noHBand="0" w:noVBand="1"/>
      </w:tblPr>
      <w:tblGrid>
        <w:gridCol w:w="5473"/>
        <w:gridCol w:w="1073"/>
        <w:gridCol w:w="266"/>
        <w:gridCol w:w="1674"/>
        <w:gridCol w:w="756"/>
      </w:tblGrid>
      <w:tr w:rsidR="00444D18" w:rsidRPr="00444D18" w14:paraId="5A256590" w14:textId="77777777" w:rsidTr="00B91E60">
        <w:trPr>
          <w:trHeight w:val="240"/>
        </w:trPr>
        <w:tc>
          <w:tcPr>
            <w:tcW w:w="5000" w:type="pct"/>
            <w:gridSpan w:val="5"/>
            <w:vMerge w:val="restart"/>
            <w:tcBorders>
              <w:top w:val="nil"/>
              <w:left w:val="nil"/>
              <w:bottom w:val="single" w:sz="4" w:space="0" w:color="000000"/>
              <w:right w:val="nil"/>
            </w:tcBorders>
            <w:shd w:val="clear" w:color="auto" w:fill="auto"/>
            <w:noWrap/>
            <w:vAlign w:val="center"/>
            <w:hideMark/>
          </w:tcPr>
          <w:p w14:paraId="3DE01F81" w14:textId="77777777" w:rsidR="00B91E60" w:rsidRPr="00444D18" w:rsidRDefault="00B91E60" w:rsidP="00B91E60">
            <w:pPr>
              <w:spacing w:after="0" w:line="240" w:lineRule="auto"/>
              <w:ind w:firstLine="0"/>
              <w:jc w:val="center"/>
              <w:rPr>
                <w:rFonts w:ascii="Garamond" w:eastAsia="Times New Roman" w:hAnsi="Garamond" w:cs="Calibri"/>
                <w:b/>
                <w:bCs/>
                <w:sz w:val="20"/>
                <w:szCs w:val="20"/>
                <w:lang w:val="sq-AL" w:eastAsia="sq-AL"/>
              </w:rPr>
            </w:pPr>
            <w:r w:rsidRPr="00444D18">
              <w:rPr>
                <w:rFonts w:ascii="Garamond" w:eastAsia="Times New Roman" w:hAnsi="Garamond" w:cs="Calibri"/>
                <w:b/>
                <w:bCs/>
                <w:sz w:val="20"/>
                <w:szCs w:val="20"/>
                <w:lang w:val="sq-AL" w:eastAsia="sq-AL"/>
              </w:rPr>
              <w:t>Faza e parë- duke filluar nga 1 janari 2023</w:t>
            </w:r>
          </w:p>
        </w:tc>
      </w:tr>
      <w:tr w:rsidR="00444D18" w:rsidRPr="00444D18" w14:paraId="52E9B4EA" w14:textId="77777777" w:rsidTr="00B91E60">
        <w:trPr>
          <w:trHeight w:val="240"/>
        </w:trPr>
        <w:tc>
          <w:tcPr>
            <w:tcW w:w="5000" w:type="pct"/>
            <w:gridSpan w:val="5"/>
            <w:vMerge/>
            <w:tcBorders>
              <w:top w:val="nil"/>
              <w:left w:val="nil"/>
              <w:bottom w:val="single" w:sz="4" w:space="0" w:color="000000"/>
              <w:right w:val="nil"/>
            </w:tcBorders>
            <w:vAlign w:val="center"/>
            <w:hideMark/>
          </w:tcPr>
          <w:p w14:paraId="67B62D03" w14:textId="77777777" w:rsidR="00B91E60" w:rsidRPr="00444D18" w:rsidRDefault="00B91E60" w:rsidP="00B91E60">
            <w:pPr>
              <w:spacing w:after="0" w:line="240" w:lineRule="auto"/>
              <w:ind w:firstLine="0"/>
              <w:jc w:val="left"/>
              <w:rPr>
                <w:rFonts w:ascii="Garamond" w:eastAsia="Times New Roman" w:hAnsi="Garamond" w:cs="Calibri"/>
                <w:b/>
                <w:bCs/>
                <w:sz w:val="20"/>
                <w:szCs w:val="20"/>
                <w:lang w:val="sq-AL" w:eastAsia="sq-AL"/>
              </w:rPr>
            </w:pPr>
          </w:p>
        </w:tc>
      </w:tr>
      <w:tr w:rsidR="00444D18" w:rsidRPr="00444D18" w14:paraId="4C681FC4" w14:textId="6ACE5344" w:rsidTr="00B91E60">
        <w:trPr>
          <w:trHeight w:val="240"/>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681FC3" w14:textId="77777777" w:rsidR="00B91E60" w:rsidRPr="00444D18" w:rsidRDefault="00B91E60" w:rsidP="00B91E60">
            <w:pPr>
              <w:spacing w:after="0" w:line="240" w:lineRule="auto"/>
              <w:ind w:firstLine="0"/>
              <w:jc w:val="center"/>
              <w:rPr>
                <w:rFonts w:ascii="Garamond" w:eastAsia="Times New Roman" w:hAnsi="Garamond"/>
                <w:b/>
                <w:sz w:val="20"/>
                <w:lang w:val="sq-AL" w:eastAsia="en-GB"/>
              </w:rPr>
            </w:pPr>
            <w:r w:rsidRPr="00444D18">
              <w:rPr>
                <w:rFonts w:ascii="Garamond" w:eastAsia="Times New Roman" w:hAnsi="Garamond"/>
                <w:b/>
                <w:sz w:val="20"/>
                <w:lang w:val="sq-AL" w:eastAsia="en-GB"/>
              </w:rPr>
              <w:t>Tregu i rregulluar</w:t>
            </w:r>
          </w:p>
        </w:tc>
      </w:tr>
      <w:tr w:rsidR="00444D18" w:rsidRPr="00444D18" w14:paraId="4C681FC8" w14:textId="7D2811E0" w:rsidTr="00B91E60">
        <w:trPr>
          <w:trHeight w:val="240"/>
        </w:trPr>
        <w:tc>
          <w:tcPr>
            <w:tcW w:w="2965" w:type="pct"/>
            <w:tcBorders>
              <w:top w:val="nil"/>
              <w:left w:val="single" w:sz="4" w:space="0" w:color="auto"/>
              <w:bottom w:val="single" w:sz="4" w:space="0" w:color="auto"/>
              <w:right w:val="single" w:sz="4" w:space="0" w:color="auto"/>
            </w:tcBorders>
            <w:shd w:val="clear" w:color="auto" w:fill="auto"/>
            <w:noWrap/>
            <w:vAlign w:val="bottom"/>
            <w:hideMark/>
          </w:tcPr>
          <w:p w14:paraId="4C681FC5" w14:textId="69740984" w:rsidR="00B91E60" w:rsidRPr="00444D18" w:rsidRDefault="00B91E60" w:rsidP="00B91E60">
            <w:pPr>
              <w:spacing w:after="0" w:line="240" w:lineRule="auto"/>
              <w:ind w:firstLine="0"/>
              <w:jc w:val="left"/>
              <w:rPr>
                <w:rFonts w:ascii="Garamond" w:eastAsia="Times New Roman" w:hAnsi="Garamond" w:cs="Calibri"/>
                <w:b/>
                <w:bCs/>
                <w:sz w:val="20"/>
                <w:szCs w:val="20"/>
                <w:lang w:val="sq-AL" w:eastAsia="sq-AL"/>
              </w:rPr>
            </w:pPr>
            <w:r w:rsidRPr="00444D18">
              <w:rPr>
                <w:rFonts w:ascii="Garamond" w:eastAsia="Times New Roman" w:hAnsi="Garamond" w:cs="Calibri"/>
                <w:b/>
                <w:bCs/>
                <w:sz w:val="20"/>
                <w:szCs w:val="20"/>
                <w:lang w:val="sq-AL" w:eastAsia="sq-AL"/>
              </w:rPr>
              <w:t>Blerjet (MWh)</w:t>
            </w:r>
          </w:p>
        </w:tc>
        <w:tc>
          <w:tcPr>
            <w:tcW w:w="585" w:type="pct"/>
            <w:tcBorders>
              <w:top w:val="nil"/>
              <w:left w:val="nil"/>
              <w:bottom w:val="single" w:sz="4" w:space="0" w:color="auto"/>
              <w:right w:val="nil"/>
            </w:tcBorders>
            <w:shd w:val="clear" w:color="auto" w:fill="auto"/>
            <w:noWrap/>
            <w:vAlign w:val="bottom"/>
            <w:hideMark/>
          </w:tcPr>
          <w:p w14:paraId="4C681FC6" w14:textId="239E0B96" w:rsidR="00B91E60" w:rsidRPr="00444D18" w:rsidRDefault="00B91E60" w:rsidP="00B91E60">
            <w:pPr>
              <w:spacing w:after="0" w:line="240" w:lineRule="auto"/>
              <w:ind w:firstLine="0"/>
              <w:jc w:val="left"/>
              <w:rPr>
                <w:rFonts w:ascii="Garamond" w:eastAsia="Times New Roman" w:hAnsi="Garamond"/>
                <w:sz w:val="20"/>
                <w:lang w:val="sq-AL" w:eastAsia="en-GB"/>
              </w:rPr>
            </w:pPr>
            <w:r w:rsidRPr="00444D18">
              <w:rPr>
                <w:rFonts w:ascii="Garamond" w:eastAsia="Times New Roman" w:hAnsi="Garamond" w:cs="Calibri"/>
                <w:sz w:val="20"/>
                <w:szCs w:val="20"/>
                <w:lang w:val="sq-AL" w:eastAsia="sq-AL"/>
              </w:rPr>
              <w:t> </w:t>
            </w:r>
          </w:p>
        </w:tc>
        <w:tc>
          <w:tcPr>
            <w:tcW w:w="127" w:type="pct"/>
            <w:tcBorders>
              <w:top w:val="nil"/>
              <w:left w:val="single" w:sz="4" w:space="0" w:color="auto"/>
              <w:bottom w:val="nil"/>
              <w:right w:val="single" w:sz="4" w:space="0" w:color="auto"/>
            </w:tcBorders>
            <w:shd w:val="clear" w:color="auto" w:fill="auto"/>
            <w:noWrap/>
            <w:vAlign w:val="bottom"/>
            <w:hideMark/>
          </w:tcPr>
          <w:p w14:paraId="012F2BEC" w14:textId="77777777" w:rsidR="00B91E60" w:rsidRPr="00444D18" w:rsidRDefault="00B91E60" w:rsidP="00B91E60">
            <w:pPr>
              <w:spacing w:after="0" w:line="240" w:lineRule="auto"/>
              <w:ind w:firstLine="0"/>
              <w:jc w:val="left"/>
              <w:rPr>
                <w:rFonts w:ascii="Garamond" w:eastAsia="Times New Roman" w:hAnsi="Garamond" w:cs="Calibri"/>
                <w:sz w:val="20"/>
                <w:szCs w:val="20"/>
                <w:lang w:val="sq-AL" w:eastAsia="sq-AL"/>
              </w:rPr>
            </w:pPr>
            <w:r w:rsidRPr="00444D18">
              <w:rPr>
                <w:rFonts w:ascii="Garamond" w:eastAsia="Times New Roman" w:hAnsi="Garamond" w:cs="Calibri"/>
                <w:sz w:val="20"/>
                <w:szCs w:val="20"/>
                <w:lang w:val="sq-AL" w:eastAsia="sq-AL"/>
              </w:rPr>
              <w:t> </w:t>
            </w:r>
          </w:p>
        </w:tc>
        <w:tc>
          <w:tcPr>
            <w:tcW w:w="910" w:type="pct"/>
            <w:tcBorders>
              <w:top w:val="nil"/>
              <w:left w:val="nil"/>
              <w:bottom w:val="single" w:sz="4" w:space="0" w:color="auto"/>
              <w:right w:val="single" w:sz="4" w:space="0" w:color="auto"/>
            </w:tcBorders>
            <w:shd w:val="clear" w:color="auto" w:fill="auto"/>
            <w:noWrap/>
            <w:vAlign w:val="bottom"/>
            <w:hideMark/>
          </w:tcPr>
          <w:p w14:paraId="4C681FC7" w14:textId="7540291F" w:rsidR="00B91E60" w:rsidRPr="00444D18" w:rsidRDefault="00B91E60" w:rsidP="00B91E60">
            <w:pPr>
              <w:spacing w:after="0" w:line="240" w:lineRule="auto"/>
              <w:ind w:firstLine="0"/>
              <w:jc w:val="left"/>
              <w:rPr>
                <w:rFonts w:ascii="Garamond" w:eastAsia="Times New Roman" w:hAnsi="Garamond" w:cs="Calibri"/>
                <w:b/>
                <w:bCs/>
                <w:sz w:val="20"/>
                <w:szCs w:val="20"/>
                <w:lang w:val="sq-AL" w:eastAsia="sq-AL"/>
              </w:rPr>
            </w:pPr>
            <w:r w:rsidRPr="00444D18">
              <w:rPr>
                <w:rFonts w:ascii="Garamond" w:eastAsia="Times New Roman" w:hAnsi="Garamond" w:cs="Calibri"/>
                <w:b/>
                <w:bCs/>
                <w:sz w:val="20"/>
                <w:szCs w:val="20"/>
                <w:lang w:val="sq-AL" w:eastAsia="sq-AL"/>
              </w:rPr>
              <w:t>Shitjet (MWh)</w:t>
            </w:r>
          </w:p>
        </w:tc>
        <w:tc>
          <w:tcPr>
            <w:tcW w:w="414" w:type="pct"/>
            <w:tcBorders>
              <w:top w:val="nil"/>
              <w:left w:val="nil"/>
              <w:bottom w:val="single" w:sz="4" w:space="0" w:color="auto"/>
              <w:right w:val="single" w:sz="4" w:space="0" w:color="auto"/>
            </w:tcBorders>
            <w:shd w:val="clear" w:color="auto" w:fill="auto"/>
            <w:noWrap/>
            <w:vAlign w:val="bottom"/>
            <w:hideMark/>
          </w:tcPr>
          <w:p w14:paraId="3976851B" w14:textId="77777777" w:rsidR="00B91E60" w:rsidRPr="00444D18" w:rsidRDefault="00B91E60" w:rsidP="00B91E60">
            <w:pPr>
              <w:spacing w:after="0" w:line="240" w:lineRule="auto"/>
              <w:ind w:firstLine="0"/>
              <w:jc w:val="left"/>
              <w:rPr>
                <w:rFonts w:ascii="Garamond" w:eastAsia="Times New Roman" w:hAnsi="Garamond" w:cs="Calibri"/>
                <w:sz w:val="20"/>
                <w:szCs w:val="20"/>
                <w:lang w:val="sq-AL" w:eastAsia="sq-AL"/>
              </w:rPr>
            </w:pPr>
            <w:r w:rsidRPr="00444D18">
              <w:rPr>
                <w:rFonts w:ascii="Garamond" w:eastAsia="Times New Roman" w:hAnsi="Garamond" w:cs="Calibri"/>
                <w:sz w:val="20"/>
                <w:szCs w:val="20"/>
                <w:lang w:val="sq-AL" w:eastAsia="sq-AL"/>
              </w:rPr>
              <w:t> </w:t>
            </w:r>
          </w:p>
        </w:tc>
      </w:tr>
      <w:tr w:rsidR="00444D18" w:rsidRPr="00444D18" w14:paraId="4C681FCE" w14:textId="12DD4231" w:rsidTr="00B91E60">
        <w:trPr>
          <w:trHeight w:val="240"/>
        </w:trPr>
        <w:tc>
          <w:tcPr>
            <w:tcW w:w="2965" w:type="pct"/>
            <w:tcBorders>
              <w:top w:val="nil"/>
              <w:left w:val="single" w:sz="4" w:space="0" w:color="auto"/>
              <w:bottom w:val="single" w:sz="4" w:space="0" w:color="auto"/>
              <w:right w:val="single" w:sz="4" w:space="0" w:color="auto"/>
            </w:tcBorders>
            <w:shd w:val="clear" w:color="auto" w:fill="auto"/>
            <w:noWrap/>
            <w:vAlign w:val="bottom"/>
            <w:hideMark/>
          </w:tcPr>
          <w:p w14:paraId="4C681FC9" w14:textId="4D40FC0F" w:rsidR="00B91E60" w:rsidRPr="00444D18" w:rsidRDefault="00B91E60" w:rsidP="00B91E60">
            <w:pPr>
              <w:spacing w:after="0" w:line="240" w:lineRule="auto"/>
              <w:ind w:firstLine="0"/>
              <w:jc w:val="left"/>
              <w:rPr>
                <w:rFonts w:ascii="Garamond" w:eastAsia="Times New Roman" w:hAnsi="Garamond"/>
                <w:sz w:val="20"/>
                <w:lang w:val="sq-AL" w:eastAsia="en-GB"/>
              </w:rPr>
            </w:pPr>
            <w:r w:rsidRPr="00444D18">
              <w:rPr>
                <w:rFonts w:ascii="Garamond" w:eastAsia="Times New Roman" w:hAnsi="Garamond" w:cs="Calibri"/>
                <w:sz w:val="20"/>
                <w:szCs w:val="20"/>
                <w:lang w:val="sq-AL" w:eastAsia="sq-AL"/>
              </w:rPr>
              <w:t>Tarifat e</w:t>
            </w:r>
            <w:r w:rsidRPr="00444D18">
              <w:rPr>
                <w:rFonts w:ascii="Garamond" w:eastAsia="Times New Roman" w:hAnsi="Garamond"/>
                <w:sz w:val="20"/>
                <w:lang w:val="sq-AL" w:eastAsia="en-GB"/>
              </w:rPr>
              <w:t xml:space="preserve"> rregulluara në </w:t>
            </w:r>
            <w:r w:rsidRPr="00444D18">
              <w:rPr>
                <w:rFonts w:ascii="Garamond" w:eastAsia="Times New Roman" w:hAnsi="Garamond" w:cs="Calibri"/>
                <w:sz w:val="20"/>
                <w:szCs w:val="20"/>
                <w:lang w:val="sq-AL" w:eastAsia="sq-AL"/>
              </w:rPr>
              <w:t xml:space="preserve">nivelet 20, </w:t>
            </w:r>
            <w:r w:rsidRPr="00444D18">
              <w:rPr>
                <w:rFonts w:ascii="Garamond" w:eastAsia="Times New Roman" w:hAnsi="Garamond"/>
                <w:sz w:val="20"/>
                <w:lang w:val="sq-AL" w:eastAsia="en-GB"/>
              </w:rPr>
              <w:t>10,</w:t>
            </w:r>
            <w:r w:rsidRPr="00444D18">
              <w:rPr>
                <w:rFonts w:ascii="Garamond" w:eastAsia="Times New Roman" w:hAnsi="Garamond" w:cs="Calibri"/>
                <w:sz w:val="20"/>
                <w:szCs w:val="20"/>
                <w:lang w:val="sq-AL" w:eastAsia="sq-AL"/>
              </w:rPr>
              <w:t xml:space="preserve"> </w:t>
            </w:r>
            <w:r w:rsidRPr="00444D18">
              <w:rPr>
                <w:rFonts w:ascii="Garamond" w:eastAsia="Times New Roman" w:hAnsi="Garamond"/>
                <w:sz w:val="20"/>
                <w:lang w:val="sq-AL" w:eastAsia="en-GB"/>
              </w:rPr>
              <w:t xml:space="preserve">6 </w:t>
            </w:r>
            <w:r w:rsidRPr="00444D18">
              <w:rPr>
                <w:rFonts w:ascii="Garamond" w:eastAsia="Times New Roman" w:hAnsi="Garamond" w:cs="Calibri"/>
                <w:sz w:val="20"/>
                <w:szCs w:val="20"/>
                <w:lang w:val="sq-AL" w:eastAsia="sq-AL"/>
              </w:rPr>
              <w:t>*</w:t>
            </w:r>
            <w:r w:rsidRPr="00444D18">
              <w:rPr>
                <w:rFonts w:ascii="Garamond" w:eastAsia="Times New Roman" w:hAnsi="Garamond"/>
                <w:sz w:val="20"/>
                <w:lang w:val="sq-AL" w:eastAsia="en-GB"/>
              </w:rPr>
              <w:t>dhe 0</w:t>
            </w:r>
            <w:r w:rsidRPr="00444D18">
              <w:rPr>
                <w:rFonts w:ascii="Garamond" w:eastAsia="Times New Roman" w:hAnsi="Garamond" w:cs="Calibri"/>
                <w:sz w:val="20"/>
                <w:szCs w:val="20"/>
                <w:lang w:val="sq-AL" w:eastAsia="sq-AL"/>
              </w:rPr>
              <w:t>,</w:t>
            </w:r>
            <w:r w:rsidRPr="00444D18">
              <w:rPr>
                <w:rFonts w:ascii="Garamond" w:eastAsia="Times New Roman" w:hAnsi="Garamond"/>
                <w:sz w:val="20"/>
                <w:lang w:val="sq-AL" w:eastAsia="en-GB"/>
              </w:rPr>
              <w:t xml:space="preserve">4 </w:t>
            </w:r>
            <w:r w:rsidRPr="00444D18">
              <w:rPr>
                <w:rFonts w:ascii="Garamond" w:eastAsia="Times New Roman" w:hAnsi="Garamond" w:cs="Calibri"/>
                <w:sz w:val="20"/>
                <w:szCs w:val="20"/>
                <w:lang w:val="sq-AL" w:eastAsia="sq-AL"/>
              </w:rPr>
              <w:t xml:space="preserve">kV </w:t>
            </w:r>
          </w:p>
        </w:tc>
        <w:tc>
          <w:tcPr>
            <w:tcW w:w="585" w:type="pct"/>
            <w:tcBorders>
              <w:top w:val="nil"/>
              <w:left w:val="nil"/>
              <w:bottom w:val="single" w:sz="4" w:space="0" w:color="auto"/>
              <w:right w:val="nil"/>
            </w:tcBorders>
            <w:shd w:val="clear" w:color="auto" w:fill="auto"/>
            <w:noWrap/>
            <w:vAlign w:val="bottom"/>
            <w:hideMark/>
          </w:tcPr>
          <w:p w14:paraId="4C681FCA" w14:textId="55EB3C11" w:rsidR="00B91E60" w:rsidRPr="00444D18" w:rsidRDefault="00B91E60" w:rsidP="00B91E60">
            <w:pPr>
              <w:spacing w:after="0" w:line="240" w:lineRule="auto"/>
              <w:ind w:firstLine="0"/>
              <w:jc w:val="center"/>
              <w:rPr>
                <w:rFonts w:ascii="Garamond" w:eastAsia="Times New Roman" w:hAnsi="Garamond" w:cs="Calibri"/>
                <w:sz w:val="20"/>
                <w:szCs w:val="20"/>
                <w:lang w:val="sq-AL" w:eastAsia="sq-AL"/>
              </w:rPr>
            </w:pPr>
            <w:r w:rsidRPr="00444D18">
              <w:rPr>
                <w:rFonts w:ascii="Garamond" w:eastAsia="Times New Roman" w:hAnsi="Garamond" w:cs="Calibri"/>
                <w:sz w:val="20"/>
                <w:szCs w:val="20"/>
                <w:lang w:val="sq-AL" w:eastAsia="sq-AL"/>
              </w:rPr>
              <w:t>5,213,143</w:t>
            </w:r>
          </w:p>
        </w:tc>
        <w:tc>
          <w:tcPr>
            <w:tcW w:w="127" w:type="pct"/>
            <w:tcBorders>
              <w:top w:val="nil"/>
              <w:left w:val="single" w:sz="4" w:space="0" w:color="auto"/>
              <w:bottom w:val="nil"/>
              <w:right w:val="single" w:sz="4" w:space="0" w:color="auto"/>
            </w:tcBorders>
            <w:shd w:val="clear" w:color="auto" w:fill="auto"/>
            <w:noWrap/>
            <w:vAlign w:val="bottom"/>
            <w:hideMark/>
          </w:tcPr>
          <w:p w14:paraId="4C681FCB" w14:textId="3C6C450C" w:rsidR="00B91E60" w:rsidRPr="00444D18" w:rsidRDefault="00B91E60" w:rsidP="00B91E60">
            <w:pPr>
              <w:spacing w:after="0" w:line="240" w:lineRule="auto"/>
              <w:ind w:firstLine="0"/>
              <w:jc w:val="left"/>
              <w:rPr>
                <w:rFonts w:ascii="Garamond" w:eastAsia="Times New Roman" w:hAnsi="Garamond" w:cs="Calibri"/>
                <w:sz w:val="20"/>
                <w:szCs w:val="20"/>
                <w:lang w:val="sq-AL" w:eastAsia="sq-AL"/>
              </w:rPr>
            </w:pPr>
            <w:r w:rsidRPr="00444D18">
              <w:rPr>
                <w:rFonts w:ascii="Garamond" w:eastAsia="Times New Roman" w:hAnsi="Garamond" w:cs="Calibri"/>
                <w:sz w:val="20"/>
                <w:szCs w:val="20"/>
                <w:lang w:val="sq-AL" w:eastAsia="sq-AL"/>
              </w:rPr>
              <w:t> </w:t>
            </w:r>
          </w:p>
        </w:tc>
        <w:tc>
          <w:tcPr>
            <w:tcW w:w="910" w:type="pct"/>
            <w:tcBorders>
              <w:top w:val="nil"/>
              <w:left w:val="nil"/>
              <w:bottom w:val="single" w:sz="4" w:space="0" w:color="auto"/>
              <w:right w:val="single" w:sz="4" w:space="0" w:color="auto"/>
            </w:tcBorders>
            <w:shd w:val="clear" w:color="auto" w:fill="auto"/>
            <w:noWrap/>
            <w:vAlign w:val="bottom"/>
            <w:hideMark/>
          </w:tcPr>
          <w:p w14:paraId="4C681FCC" w14:textId="768DD63D" w:rsidR="00B91E60" w:rsidRPr="00444D18" w:rsidRDefault="00B91E60" w:rsidP="00B91E60">
            <w:pPr>
              <w:spacing w:after="0" w:line="240" w:lineRule="auto"/>
              <w:ind w:firstLine="0"/>
              <w:jc w:val="center"/>
              <w:rPr>
                <w:rFonts w:ascii="Garamond" w:eastAsia="Times New Roman" w:hAnsi="Garamond" w:cs="Calibri"/>
                <w:sz w:val="20"/>
                <w:szCs w:val="20"/>
                <w:lang w:val="sq-AL" w:eastAsia="sq-AL"/>
              </w:rPr>
            </w:pPr>
            <w:r w:rsidRPr="00444D18">
              <w:rPr>
                <w:rFonts w:ascii="Garamond" w:eastAsia="Times New Roman" w:hAnsi="Garamond" w:cs="Calibri"/>
                <w:sz w:val="20"/>
                <w:szCs w:val="20"/>
                <w:lang w:val="sq-AL" w:eastAsia="sq-AL"/>
              </w:rPr>
              <w:t>5,213,143</w:t>
            </w:r>
          </w:p>
        </w:tc>
        <w:tc>
          <w:tcPr>
            <w:tcW w:w="414" w:type="pct"/>
            <w:tcBorders>
              <w:top w:val="nil"/>
              <w:left w:val="nil"/>
              <w:bottom w:val="single" w:sz="4" w:space="0" w:color="auto"/>
              <w:right w:val="single" w:sz="4" w:space="0" w:color="auto"/>
            </w:tcBorders>
            <w:shd w:val="clear" w:color="auto" w:fill="auto"/>
            <w:noWrap/>
            <w:vAlign w:val="bottom"/>
            <w:hideMark/>
          </w:tcPr>
          <w:p w14:paraId="4C681FCD" w14:textId="77777777" w:rsidR="00B91E60" w:rsidRPr="00444D18" w:rsidRDefault="00B91E60" w:rsidP="00B91E60">
            <w:pPr>
              <w:spacing w:after="0" w:line="240" w:lineRule="auto"/>
              <w:ind w:firstLine="0"/>
              <w:jc w:val="center"/>
              <w:rPr>
                <w:rFonts w:ascii="Garamond" w:eastAsia="Times New Roman" w:hAnsi="Garamond"/>
                <w:sz w:val="20"/>
                <w:lang w:val="sq-AL" w:eastAsia="en-GB"/>
              </w:rPr>
            </w:pPr>
            <w:r w:rsidRPr="00444D18">
              <w:rPr>
                <w:rFonts w:ascii="Garamond" w:eastAsia="Times New Roman" w:hAnsi="Garamond"/>
                <w:sz w:val="20"/>
                <w:lang w:val="sq-AL" w:eastAsia="en-GB"/>
              </w:rPr>
              <w:t>KESH</w:t>
            </w:r>
          </w:p>
        </w:tc>
      </w:tr>
      <w:tr w:rsidR="00444D18" w:rsidRPr="00444D18" w14:paraId="4C681FD4" w14:textId="32DE6FD7" w:rsidTr="00B91E60">
        <w:trPr>
          <w:trHeight w:val="240"/>
        </w:trPr>
        <w:tc>
          <w:tcPr>
            <w:tcW w:w="2965" w:type="pct"/>
            <w:tcBorders>
              <w:top w:val="nil"/>
              <w:left w:val="single" w:sz="4" w:space="0" w:color="auto"/>
              <w:bottom w:val="single" w:sz="4" w:space="0" w:color="auto"/>
              <w:right w:val="single" w:sz="4" w:space="0" w:color="auto"/>
            </w:tcBorders>
            <w:shd w:val="clear" w:color="auto" w:fill="auto"/>
            <w:noWrap/>
            <w:vAlign w:val="bottom"/>
            <w:hideMark/>
          </w:tcPr>
          <w:p w14:paraId="4C681FCF" w14:textId="223EA5A7" w:rsidR="00B91E60" w:rsidRPr="00444D18" w:rsidRDefault="00B91E60" w:rsidP="00B91E60">
            <w:pPr>
              <w:spacing w:after="0" w:line="240" w:lineRule="auto"/>
              <w:ind w:firstLine="0"/>
              <w:jc w:val="left"/>
              <w:rPr>
                <w:rFonts w:ascii="Garamond" w:eastAsia="Times New Roman" w:hAnsi="Garamond" w:cs="Calibri"/>
                <w:sz w:val="20"/>
                <w:szCs w:val="20"/>
                <w:lang w:val="sq-AL" w:eastAsia="sq-AL"/>
              </w:rPr>
            </w:pPr>
            <w:r w:rsidRPr="00444D18">
              <w:rPr>
                <w:rFonts w:ascii="Garamond" w:eastAsia="Times New Roman" w:hAnsi="Garamond" w:cs="Calibri"/>
                <w:sz w:val="20"/>
                <w:szCs w:val="20"/>
                <w:lang w:val="sq-AL" w:eastAsia="sq-AL"/>
              </w:rPr>
              <w:t>Humbjet e OSSH</w:t>
            </w:r>
          </w:p>
        </w:tc>
        <w:tc>
          <w:tcPr>
            <w:tcW w:w="585" w:type="pct"/>
            <w:tcBorders>
              <w:top w:val="nil"/>
              <w:left w:val="nil"/>
              <w:bottom w:val="single" w:sz="4" w:space="0" w:color="auto"/>
              <w:right w:val="nil"/>
            </w:tcBorders>
            <w:shd w:val="clear" w:color="auto" w:fill="auto"/>
            <w:noWrap/>
            <w:vAlign w:val="bottom"/>
            <w:hideMark/>
          </w:tcPr>
          <w:p w14:paraId="4C681FD0" w14:textId="511B4853" w:rsidR="00B91E60" w:rsidRPr="00444D18" w:rsidRDefault="00B91E60" w:rsidP="00B91E60">
            <w:pPr>
              <w:spacing w:after="0" w:line="240" w:lineRule="auto"/>
              <w:ind w:firstLine="0"/>
              <w:jc w:val="center"/>
              <w:rPr>
                <w:rFonts w:ascii="Garamond" w:eastAsia="Times New Roman" w:hAnsi="Garamond" w:cs="Calibri"/>
                <w:sz w:val="20"/>
                <w:szCs w:val="20"/>
                <w:lang w:val="sq-AL" w:eastAsia="sq-AL"/>
              </w:rPr>
            </w:pPr>
            <w:r w:rsidRPr="00444D18">
              <w:rPr>
                <w:rFonts w:ascii="Garamond" w:eastAsia="Times New Roman" w:hAnsi="Garamond" w:cs="Calibri"/>
                <w:sz w:val="20"/>
                <w:szCs w:val="20"/>
                <w:lang w:val="sq-AL" w:eastAsia="sq-AL"/>
              </w:rPr>
              <w:t>1,366,592</w:t>
            </w:r>
          </w:p>
        </w:tc>
        <w:tc>
          <w:tcPr>
            <w:tcW w:w="127" w:type="pct"/>
            <w:tcBorders>
              <w:top w:val="nil"/>
              <w:left w:val="single" w:sz="4" w:space="0" w:color="auto"/>
              <w:bottom w:val="nil"/>
              <w:right w:val="single" w:sz="4" w:space="0" w:color="auto"/>
            </w:tcBorders>
            <w:shd w:val="clear" w:color="auto" w:fill="auto"/>
            <w:noWrap/>
            <w:vAlign w:val="bottom"/>
            <w:hideMark/>
          </w:tcPr>
          <w:p w14:paraId="4C681FD1" w14:textId="1EB28733" w:rsidR="00B91E60" w:rsidRPr="00444D18" w:rsidRDefault="00B91E60" w:rsidP="00B91E60">
            <w:pPr>
              <w:spacing w:after="0" w:line="240" w:lineRule="auto"/>
              <w:ind w:firstLine="0"/>
              <w:jc w:val="left"/>
              <w:rPr>
                <w:rFonts w:ascii="Garamond" w:eastAsia="Times New Roman" w:hAnsi="Garamond" w:cs="Calibri"/>
                <w:sz w:val="20"/>
                <w:szCs w:val="20"/>
                <w:lang w:val="sq-AL" w:eastAsia="sq-AL"/>
              </w:rPr>
            </w:pPr>
            <w:r w:rsidRPr="00444D18">
              <w:rPr>
                <w:rFonts w:ascii="Garamond" w:eastAsia="Times New Roman" w:hAnsi="Garamond" w:cs="Calibri"/>
                <w:sz w:val="20"/>
                <w:szCs w:val="20"/>
                <w:lang w:val="sq-AL" w:eastAsia="sq-AL"/>
              </w:rPr>
              <w:t> </w:t>
            </w:r>
          </w:p>
        </w:tc>
        <w:tc>
          <w:tcPr>
            <w:tcW w:w="910" w:type="pct"/>
            <w:tcBorders>
              <w:top w:val="nil"/>
              <w:left w:val="nil"/>
              <w:bottom w:val="single" w:sz="4" w:space="0" w:color="auto"/>
              <w:right w:val="single" w:sz="4" w:space="0" w:color="auto"/>
            </w:tcBorders>
            <w:shd w:val="clear" w:color="auto" w:fill="auto"/>
            <w:noWrap/>
            <w:vAlign w:val="bottom"/>
            <w:hideMark/>
          </w:tcPr>
          <w:p w14:paraId="4C681FD2" w14:textId="1871A25D" w:rsidR="00B91E60" w:rsidRPr="00444D18" w:rsidRDefault="00B91E60" w:rsidP="00B91E60">
            <w:pPr>
              <w:spacing w:after="0" w:line="240" w:lineRule="auto"/>
              <w:ind w:firstLine="0"/>
              <w:jc w:val="center"/>
              <w:rPr>
                <w:rFonts w:ascii="Garamond" w:eastAsia="Times New Roman" w:hAnsi="Garamond" w:cs="Calibri"/>
                <w:sz w:val="20"/>
                <w:szCs w:val="20"/>
                <w:lang w:val="sq-AL" w:eastAsia="sq-AL"/>
              </w:rPr>
            </w:pPr>
            <w:r w:rsidRPr="00444D18">
              <w:rPr>
                <w:rFonts w:ascii="Garamond" w:eastAsia="Times New Roman" w:hAnsi="Garamond" w:cs="Calibri"/>
                <w:sz w:val="20"/>
                <w:szCs w:val="20"/>
                <w:lang w:val="sq-AL" w:eastAsia="sq-AL"/>
              </w:rPr>
              <w:t>1,366,592</w:t>
            </w:r>
          </w:p>
        </w:tc>
        <w:tc>
          <w:tcPr>
            <w:tcW w:w="414" w:type="pct"/>
            <w:tcBorders>
              <w:top w:val="nil"/>
              <w:left w:val="nil"/>
              <w:bottom w:val="single" w:sz="4" w:space="0" w:color="auto"/>
              <w:right w:val="single" w:sz="4" w:space="0" w:color="auto"/>
            </w:tcBorders>
            <w:shd w:val="clear" w:color="auto" w:fill="auto"/>
            <w:noWrap/>
            <w:vAlign w:val="bottom"/>
            <w:hideMark/>
          </w:tcPr>
          <w:p w14:paraId="4C681FD3" w14:textId="5A6E8EF1" w:rsidR="00B91E60" w:rsidRPr="00444D18" w:rsidRDefault="00B91E60" w:rsidP="00B91E60">
            <w:pPr>
              <w:spacing w:after="0" w:line="240" w:lineRule="auto"/>
              <w:ind w:firstLine="0"/>
              <w:jc w:val="left"/>
              <w:rPr>
                <w:rFonts w:ascii="Garamond" w:eastAsia="Times New Roman" w:hAnsi="Garamond"/>
                <w:sz w:val="20"/>
                <w:lang w:val="sq-AL" w:eastAsia="en-GB"/>
              </w:rPr>
            </w:pPr>
            <w:r w:rsidRPr="00444D18">
              <w:rPr>
                <w:rFonts w:ascii="Garamond" w:eastAsia="Times New Roman" w:hAnsi="Garamond" w:cs="Calibri"/>
                <w:sz w:val="20"/>
                <w:szCs w:val="20"/>
                <w:lang w:val="sq-AL" w:eastAsia="sq-AL"/>
              </w:rPr>
              <w:t> </w:t>
            </w:r>
          </w:p>
        </w:tc>
      </w:tr>
      <w:tr w:rsidR="00444D18" w:rsidRPr="00444D18" w14:paraId="4C681FDA" w14:textId="5E6EA67D" w:rsidTr="00B91E60">
        <w:trPr>
          <w:trHeight w:val="240"/>
        </w:trPr>
        <w:tc>
          <w:tcPr>
            <w:tcW w:w="2965" w:type="pct"/>
            <w:tcBorders>
              <w:top w:val="nil"/>
              <w:left w:val="single" w:sz="4" w:space="0" w:color="auto"/>
              <w:bottom w:val="single" w:sz="4" w:space="0" w:color="auto"/>
              <w:right w:val="single" w:sz="4" w:space="0" w:color="auto"/>
            </w:tcBorders>
            <w:shd w:val="clear" w:color="auto" w:fill="auto"/>
            <w:noWrap/>
            <w:vAlign w:val="bottom"/>
            <w:hideMark/>
          </w:tcPr>
          <w:p w14:paraId="4C681FD5" w14:textId="58C4F5C3" w:rsidR="00B91E60" w:rsidRPr="00444D18" w:rsidRDefault="00B91E60" w:rsidP="00B91E60">
            <w:pPr>
              <w:spacing w:after="0" w:line="240" w:lineRule="auto"/>
              <w:ind w:firstLine="0"/>
              <w:jc w:val="left"/>
              <w:rPr>
                <w:rFonts w:ascii="Garamond" w:eastAsia="Times New Roman" w:hAnsi="Garamond" w:cs="Calibri"/>
                <w:b/>
                <w:bCs/>
                <w:sz w:val="20"/>
                <w:szCs w:val="20"/>
                <w:lang w:val="sq-AL" w:eastAsia="sq-AL"/>
              </w:rPr>
            </w:pPr>
            <w:r w:rsidRPr="00444D18">
              <w:rPr>
                <w:rFonts w:ascii="Garamond" w:eastAsia="Times New Roman" w:hAnsi="Garamond" w:cs="Calibri"/>
                <w:b/>
                <w:bCs/>
                <w:sz w:val="20"/>
                <w:szCs w:val="20"/>
                <w:lang w:val="sq-AL" w:eastAsia="sq-AL"/>
              </w:rPr>
              <w:t>Total</w:t>
            </w:r>
          </w:p>
        </w:tc>
        <w:tc>
          <w:tcPr>
            <w:tcW w:w="585" w:type="pct"/>
            <w:tcBorders>
              <w:top w:val="nil"/>
              <w:left w:val="nil"/>
              <w:bottom w:val="single" w:sz="4" w:space="0" w:color="auto"/>
              <w:right w:val="nil"/>
            </w:tcBorders>
            <w:shd w:val="clear" w:color="auto" w:fill="auto"/>
            <w:noWrap/>
            <w:vAlign w:val="bottom"/>
            <w:hideMark/>
          </w:tcPr>
          <w:p w14:paraId="4C681FD6" w14:textId="1E72CDF4" w:rsidR="00B91E60" w:rsidRPr="00444D18" w:rsidRDefault="00B91E60" w:rsidP="00B91E60">
            <w:pPr>
              <w:spacing w:after="0" w:line="240" w:lineRule="auto"/>
              <w:ind w:firstLine="0"/>
              <w:jc w:val="center"/>
              <w:rPr>
                <w:rFonts w:ascii="Garamond" w:eastAsia="Times New Roman" w:hAnsi="Garamond" w:cs="Calibri"/>
                <w:b/>
                <w:bCs/>
                <w:sz w:val="20"/>
                <w:szCs w:val="20"/>
                <w:lang w:val="sq-AL" w:eastAsia="sq-AL"/>
              </w:rPr>
            </w:pPr>
            <w:r w:rsidRPr="00444D18">
              <w:rPr>
                <w:rFonts w:ascii="Garamond" w:eastAsia="Times New Roman" w:hAnsi="Garamond" w:cs="Calibri"/>
                <w:b/>
                <w:bCs/>
                <w:sz w:val="20"/>
                <w:szCs w:val="20"/>
                <w:lang w:val="sq-AL" w:eastAsia="sq-AL"/>
              </w:rPr>
              <w:t>6,579,735</w:t>
            </w:r>
          </w:p>
        </w:tc>
        <w:tc>
          <w:tcPr>
            <w:tcW w:w="127" w:type="pct"/>
            <w:tcBorders>
              <w:top w:val="nil"/>
              <w:left w:val="single" w:sz="4" w:space="0" w:color="auto"/>
              <w:bottom w:val="single" w:sz="4" w:space="0" w:color="auto"/>
              <w:right w:val="single" w:sz="4" w:space="0" w:color="auto"/>
            </w:tcBorders>
            <w:shd w:val="clear" w:color="auto" w:fill="auto"/>
            <w:noWrap/>
            <w:vAlign w:val="bottom"/>
            <w:hideMark/>
          </w:tcPr>
          <w:p w14:paraId="4C681FD7" w14:textId="3553D83E" w:rsidR="00B91E60" w:rsidRPr="00444D18" w:rsidRDefault="00B91E60" w:rsidP="00B91E60">
            <w:pPr>
              <w:spacing w:after="0" w:line="240" w:lineRule="auto"/>
              <w:ind w:firstLine="0"/>
              <w:jc w:val="left"/>
              <w:rPr>
                <w:rFonts w:ascii="Garamond" w:eastAsia="Times New Roman" w:hAnsi="Garamond" w:cs="Calibri"/>
                <w:sz w:val="20"/>
                <w:szCs w:val="20"/>
                <w:lang w:val="sq-AL" w:eastAsia="sq-AL"/>
              </w:rPr>
            </w:pPr>
            <w:r w:rsidRPr="00444D18">
              <w:rPr>
                <w:rFonts w:ascii="Garamond" w:eastAsia="Times New Roman" w:hAnsi="Garamond" w:cs="Calibri"/>
                <w:sz w:val="20"/>
                <w:szCs w:val="20"/>
                <w:lang w:val="sq-AL" w:eastAsia="sq-AL"/>
              </w:rPr>
              <w:t> </w:t>
            </w:r>
          </w:p>
        </w:tc>
        <w:tc>
          <w:tcPr>
            <w:tcW w:w="910" w:type="pct"/>
            <w:tcBorders>
              <w:top w:val="nil"/>
              <w:left w:val="nil"/>
              <w:bottom w:val="single" w:sz="4" w:space="0" w:color="auto"/>
              <w:right w:val="single" w:sz="4" w:space="0" w:color="auto"/>
            </w:tcBorders>
            <w:shd w:val="clear" w:color="auto" w:fill="auto"/>
            <w:noWrap/>
            <w:vAlign w:val="bottom"/>
            <w:hideMark/>
          </w:tcPr>
          <w:p w14:paraId="4C681FD8" w14:textId="2626EBDA" w:rsidR="00B91E60" w:rsidRPr="00444D18" w:rsidRDefault="00B91E60" w:rsidP="00B91E60">
            <w:pPr>
              <w:spacing w:after="0" w:line="240" w:lineRule="auto"/>
              <w:ind w:firstLine="0"/>
              <w:jc w:val="center"/>
              <w:rPr>
                <w:rFonts w:ascii="Garamond" w:eastAsia="Times New Roman" w:hAnsi="Garamond" w:cs="Calibri"/>
                <w:b/>
                <w:bCs/>
                <w:sz w:val="20"/>
                <w:szCs w:val="20"/>
                <w:lang w:val="sq-AL" w:eastAsia="sq-AL"/>
              </w:rPr>
            </w:pPr>
            <w:r w:rsidRPr="00444D18">
              <w:rPr>
                <w:rFonts w:ascii="Garamond" w:eastAsia="Times New Roman" w:hAnsi="Garamond" w:cs="Calibri"/>
                <w:b/>
                <w:bCs/>
                <w:sz w:val="20"/>
                <w:szCs w:val="20"/>
                <w:lang w:val="sq-AL" w:eastAsia="sq-AL"/>
              </w:rPr>
              <w:t>6,579,735</w:t>
            </w:r>
          </w:p>
        </w:tc>
        <w:tc>
          <w:tcPr>
            <w:tcW w:w="414" w:type="pct"/>
            <w:tcBorders>
              <w:top w:val="nil"/>
              <w:left w:val="nil"/>
              <w:bottom w:val="single" w:sz="4" w:space="0" w:color="auto"/>
              <w:right w:val="single" w:sz="4" w:space="0" w:color="auto"/>
            </w:tcBorders>
            <w:shd w:val="clear" w:color="auto" w:fill="auto"/>
            <w:noWrap/>
            <w:vAlign w:val="bottom"/>
            <w:hideMark/>
          </w:tcPr>
          <w:p w14:paraId="4C681FD9" w14:textId="3CFC31A3" w:rsidR="00B91E60" w:rsidRPr="00444D18" w:rsidRDefault="00B91E60" w:rsidP="00B91E60">
            <w:pPr>
              <w:spacing w:after="0" w:line="240" w:lineRule="auto"/>
              <w:ind w:firstLine="0"/>
              <w:jc w:val="center"/>
              <w:rPr>
                <w:rFonts w:ascii="Garamond" w:eastAsia="Times New Roman" w:hAnsi="Garamond" w:cs="Calibri"/>
                <w:b/>
                <w:bCs/>
                <w:sz w:val="20"/>
                <w:szCs w:val="20"/>
                <w:lang w:val="sq-AL" w:eastAsia="sq-AL"/>
              </w:rPr>
            </w:pPr>
            <w:r w:rsidRPr="00444D18">
              <w:rPr>
                <w:rFonts w:ascii="Garamond" w:eastAsia="Times New Roman" w:hAnsi="Garamond" w:cs="Calibri"/>
                <w:b/>
                <w:bCs/>
                <w:sz w:val="20"/>
                <w:szCs w:val="20"/>
                <w:lang w:val="sq-AL" w:eastAsia="sq-AL"/>
              </w:rPr>
              <w:t>Total</w:t>
            </w:r>
          </w:p>
        </w:tc>
      </w:tr>
      <w:tr w:rsidR="00444D18" w:rsidRPr="00444D18" w14:paraId="4C681FDC" w14:textId="320917CD" w:rsidTr="00B91E60">
        <w:trPr>
          <w:trHeight w:val="240"/>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681FDB" w14:textId="77777777" w:rsidR="00B91E60" w:rsidRPr="00444D18" w:rsidRDefault="00B91E60" w:rsidP="00B91E60">
            <w:pPr>
              <w:spacing w:after="0" w:line="240" w:lineRule="auto"/>
              <w:ind w:firstLine="0"/>
              <w:jc w:val="center"/>
              <w:rPr>
                <w:rFonts w:ascii="Garamond" w:eastAsia="Times New Roman" w:hAnsi="Garamond"/>
                <w:b/>
                <w:sz w:val="20"/>
                <w:lang w:val="sq-AL" w:eastAsia="en-GB"/>
              </w:rPr>
            </w:pPr>
            <w:r w:rsidRPr="00444D18">
              <w:rPr>
                <w:rFonts w:ascii="Garamond" w:eastAsia="Times New Roman" w:hAnsi="Garamond"/>
                <w:b/>
                <w:sz w:val="20"/>
                <w:lang w:val="sq-AL" w:eastAsia="en-GB"/>
              </w:rPr>
              <w:t>Tregu i parregulluar</w:t>
            </w:r>
          </w:p>
        </w:tc>
      </w:tr>
      <w:tr w:rsidR="00444D18" w:rsidRPr="00444D18" w14:paraId="4C681FE0" w14:textId="18F65067" w:rsidTr="00B91E60">
        <w:trPr>
          <w:trHeight w:val="240"/>
        </w:trPr>
        <w:tc>
          <w:tcPr>
            <w:tcW w:w="2965" w:type="pct"/>
            <w:tcBorders>
              <w:top w:val="nil"/>
              <w:left w:val="single" w:sz="4" w:space="0" w:color="auto"/>
              <w:bottom w:val="single" w:sz="4" w:space="0" w:color="auto"/>
              <w:right w:val="single" w:sz="4" w:space="0" w:color="auto"/>
            </w:tcBorders>
            <w:shd w:val="clear" w:color="auto" w:fill="auto"/>
            <w:noWrap/>
            <w:vAlign w:val="bottom"/>
            <w:hideMark/>
          </w:tcPr>
          <w:p w14:paraId="4C681FDD" w14:textId="44F96094" w:rsidR="00B91E60" w:rsidRPr="00444D18" w:rsidRDefault="00B91E60" w:rsidP="00B91E60">
            <w:pPr>
              <w:spacing w:after="0" w:line="240" w:lineRule="auto"/>
              <w:ind w:firstLine="0"/>
              <w:jc w:val="left"/>
              <w:rPr>
                <w:rFonts w:ascii="Garamond" w:eastAsia="Times New Roman" w:hAnsi="Garamond" w:cs="Calibri"/>
                <w:b/>
                <w:bCs/>
                <w:sz w:val="20"/>
                <w:szCs w:val="20"/>
                <w:lang w:val="sq-AL" w:eastAsia="sq-AL"/>
              </w:rPr>
            </w:pPr>
            <w:r w:rsidRPr="00444D18">
              <w:rPr>
                <w:rFonts w:ascii="Garamond" w:eastAsia="Times New Roman" w:hAnsi="Garamond" w:cs="Calibri"/>
                <w:b/>
                <w:bCs/>
                <w:sz w:val="20"/>
                <w:szCs w:val="20"/>
                <w:lang w:val="sq-AL" w:eastAsia="sq-AL"/>
              </w:rPr>
              <w:t>Blerjet (MWh)</w:t>
            </w:r>
          </w:p>
        </w:tc>
        <w:tc>
          <w:tcPr>
            <w:tcW w:w="585" w:type="pct"/>
            <w:tcBorders>
              <w:top w:val="nil"/>
              <w:left w:val="nil"/>
              <w:bottom w:val="single" w:sz="4" w:space="0" w:color="auto"/>
              <w:right w:val="nil"/>
            </w:tcBorders>
            <w:shd w:val="clear" w:color="auto" w:fill="auto"/>
            <w:noWrap/>
            <w:vAlign w:val="bottom"/>
            <w:hideMark/>
          </w:tcPr>
          <w:p w14:paraId="4C681FDE" w14:textId="2DFADF4A" w:rsidR="00B91E60" w:rsidRPr="00444D18" w:rsidRDefault="00B91E60" w:rsidP="00B91E60">
            <w:pPr>
              <w:spacing w:after="0" w:line="240" w:lineRule="auto"/>
              <w:ind w:firstLine="0"/>
              <w:jc w:val="left"/>
              <w:rPr>
                <w:rFonts w:ascii="Garamond" w:eastAsia="Times New Roman" w:hAnsi="Garamond"/>
                <w:sz w:val="20"/>
                <w:lang w:val="sq-AL" w:eastAsia="en-GB"/>
              </w:rPr>
            </w:pPr>
            <w:r w:rsidRPr="00444D18">
              <w:rPr>
                <w:rFonts w:ascii="Garamond" w:eastAsia="Times New Roman" w:hAnsi="Garamond" w:cs="Calibri"/>
                <w:sz w:val="20"/>
                <w:szCs w:val="20"/>
                <w:lang w:val="sq-AL" w:eastAsia="sq-AL"/>
              </w:rPr>
              <w:t> </w:t>
            </w:r>
          </w:p>
        </w:tc>
        <w:tc>
          <w:tcPr>
            <w:tcW w:w="127" w:type="pct"/>
            <w:tcBorders>
              <w:top w:val="nil"/>
              <w:left w:val="single" w:sz="4" w:space="0" w:color="auto"/>
              <w:bottom w:val="nil"/>
              <w:right w:val="single" w:sz="4" w:space="0" w:color="auto"/>
            </w:tcBorders>
            <w:shd w:val="clear" w:color="auto" w:fill="auto"/>
            <w:noWrap/>
            <w:vAlign w:val="bottom"/>
            <w:hideMark/>
          </w:tcPr>
          <w:p w14:paraId="0C54E557" w14:textId="77777777" w:rsidR="00B91E60" w:rsidRPr="00444D18" w:rsidRDefault="00B91E60" w:rsidP="00B91E60">
            <w:pPr>
              <w:spacing w:after="0" w:line="240" w:lineRule="auto"/>
              <w:ind w:firstLine="0"/>
              <w:jc w:val="left"/>
              <w:rPr>
                <w:rFonts w:ascii="Garamond" w:eastAsia="Times New Roman" w:hAnsi="Garamond" w:cs="Calibri"/>
                <w:sz w:val="20"/>
                <w:szCs w:val="20"/>
                <w:lang w:val="sq-AL" w:eastAsia="sq-AL"/>
              </w:rPr>
            </w:pPr>
            <w:r w:rsidRPr="00444D18">
              <w:rPr>
                <w:rFonts w:ascii="Garamond" w:eastAsia="Times New Roman" w:hAnsi="Garamond" w:cs="Calibri"/>
                <w:sz w:val="20"/>
                <w:szCs w:val="20"/>
                <w:lang w:val="sq-AL" w:eastAsia="sq-AL"/>
              </w:rPr>
              <w:t> </w:t>
            </w:r>
          </w:p>
        </w:tc>
        <w:tc>
          <w:tcPr>
            <w:tcW w:w="910" w:type="pct"/>
            <w:tcBorders>
              <w:top w:val="nil"/>
              <w:left w:val="nil"/>
              <w:bottom w:val="single" w:sz="4" w:space="0" w:color="auto"/>
              <w:right w:val="single" w:sz="4" w:space="0" w:color="auto"/>
            </w:tcBorders>
            <w:shd w:val="clear" w:color="auto" w:fill="auto"/>
            <w:noWrap/>
            <w:vAlign w:val="bottom"/>
            <w:hideMark/>
          </w:tcPr>
          <w:p w14:paraId="4C681FDF" w14:textId="7BAF131E" w:rsidR="00B91E60" w:rsidRPr="00444D18" w:rsidRDefault="00B91E60" w:rsidP="00B91E60">
            <w:pPr>
              <w:spacing w:after="0" w:line="240" w:lineRule="auto"/>
              <w:ind w:firstLine="0"/>
              <w:jc w:val="left"/>
              <w:rPr>
                <w:rFonts w:ascii="Garamond" w:eastAsia="Times New Roman" w:hAnsi="Garamond" w:cs="Calibri"/>
                <w:b/>
                <w:bCs/>
                <w:sz w:val="20"/>
                <w:szCs w:val="20"/>
                <w:lang w:val="sq-AL" w:eastAsia="sq-AL"/>
              </w:rPr>
            </w:pPr>
            <w:r w:rsidRPr="00444D18">
              <w:rPr>
                <w:rFonts w:ascii="Garamond" w:eastAsia="Times New Roman" w:hAnsi="Garamond" w:cs="Calibri"/>
                <w:b/>
                <w:bCs/>
                <w:sz w:val="20"/>
                <w:szCs w:val="20"/>
                <w:lang w:val="sq-AL" w:eastAsia="sq-AL"/>
              </w:rPr>
              <w:t>Shitjet (MWh)</w:t>
            </w:r>
          </w:p>
        </w:tc>
        <w:tc>
          <w:tcPr>
            <w:tcW w:w="414" w:type="pct"/>
            <w:tcBorders>
              <w:top w:val="nil"/>
              <w:left w:val="nil"/>
              <w:bottom w:val="single" w:sz="4" w:space="0" w:color="auto"/>
              <w:right w:val="single" w:sz="4" w:space="0" w:color="auto"/>
            </w:tcBorders>
            <w:shd w:val="clear" w:color="auto" w:fill="auto"/>
            <w:noWrap/>
            <w:vAlign w:val="bottom"/>
            <w:hideMark/>
          </w:tcPr>
          <w:p w14:paraId="067D5F49" w14:textId="77777777" w:rsidR="00B91E60" w:rsidRPr="00444D18" w:rsidRDefault="00B91E60" w:rsidP="00B91E60">
            <w:pPr>
              <w:spacing w:after="0" w:line="240" w:lineRule="auto"/>
              <w:ind w:firstLine="0"/>
              <w:jc w:val="left"/>
              <w:rPr>
                <w:rFonts w:ascii="Garamond" w:eastAsia="Times New Roman" w:hAnsi="Garamond" w:cs="Calibri"/>
                <w:sz w:val="20"/>
                <w:szCs w:val="20"/>
                <w:lang w:val="sq-AL" w:eastAsia="sq-AL"/>
              </w:rPr>
            </w:pPr>
            <w:r w:rsidRPr="00444D18">
              <w:rPr>
                <w:rFonts w:ascii="Garamond" w:eastAsia="Times New Roman" w:hAnsi="Garamond" w:cs="Calibri"/>
                <w:sz w:val="20"/>
                <w:szCs w:val="20"/>
                <w:lang w:val="sq-AL" w:eastAsia="sq-AL"/>
              </w:rPr>
              <w:t> </w:t>
            </w:r>
          </w:p>
        </w:tc>
      </w:tr>
      <w:tr w:rsidR="00444D18" w:rsidRPr="00444D18" w14:paraId="4C681FEC" w14:textId="12BD30E4" w:rsidTr="00B91E60">
        <w:trPr>
          <w:trHeight w:val="240"/>
        </w:trPr>
        <w:tc>
          <w:tcPr>
            <w:tcW w:w="2965" w:type="pct"/>
            <w:tcBorders>
              <w:top w:val="nil"/>
              <w:left w:val="single" w:sz="4" w:space="0" w:color="auto"/>
              <w:bottom w:val="single" w:sz="4" w:space="0" w:color="auto"/>
              <w:right w:val="single" w:sz="4" w:space="0" w:color="auto"/>
            </w:tcBorders>
            <w:shd w:val="clear" w:color="auto" w:fill="auto"/>
            <w:noWrap/>
            <w:vAlign w:val="bottom"/>
            <w:hideMark/>
          </w:tcPr>
          <w:p w14:paraId="4C681FE7" w14:textId="7F09453C" w:rsidR="00B91E60" w:rsidRPr="00444D18" w:rsidRDefault="00B91E60" w:rsidP="00B91E60">
            <w:pPr>
              <w:spacing w:after="0" w:line="240" w:lineRule="auto"/>
              <w:ind w:firstLine="0"/>
              <w:jc w:val="left"/>
              <w:rPr>
                <w:rFonts w:ascii="Garamond" w:eastAsia="Times New Roman" w:hAnsi="Garamond"/>
                <w:sz w:val="20"/>
                <w:lang w:val="sq-AL" w:eastAsia="en-GB"/>
              </w:rPr>
            </w:pPr>
            <w:r w:rsidRPr="00444D18">
              <w:rPr>
                <w:rFonts w:ascii="Garamond" w:eastAsia="Times New Roman" w:hAnsi="Garamond" w:cs="Calibri"/>
                <w:sz w:val="20"/>
                <w:szCs w:val="20"/>
                <w:lang w:val="sq-AL" w:eastAsia="sq-AL"/>
              </w:rPr>
              <w:t>Konsumatorët</w:t>
            </w:r>
            <w:r w:rsidRPr="00444D18">
              <w:rPr>
                <w:rFonts w:ascii="Garamond" w:eastAsia="Times New Roman" w:hAnsi="Garamond"/>
                <w:sz w:val="20"/>
                <w:lang w:val="sq-AL" w:eastAsia="en-GB"/>
              </w:rPr>
              <w:t xml:space="preserve"> në 35 </w:t>
            </w:r>
            <w:r w:rsidRPr="00444D18">
              <w:rPr>
                <w:rFonts w:ascii="Garamond" w:eastAsia="Times New Roman" w:hAnsi="Garamond" w:cs="Calibri"/>
                <w:sz w:val="20"/>
                <w:szCs w:val="20"/>
                <w:lang w:val="sq-AL" w:eastAsia="sq-AL"/>
              </w:rPr>
              <w:t>kV</w:t>
            </w:r>
          </w:p>
        </w:tc>
        <w:tc>
          <w:tcPr>
            <w:tcW w:w="585" w:type="pct"/>
            <w:tcBorders>
              <w:top w:val="nil"/>
              <w:left w:val="nil"/>
              <w:bottom w:val="single" w:sz="4" w:space="0" w:color="auto"/>
              <w:right w:val="nil"/>
            </w:tcBorders>
            <w:shd w:val="clear" w:color="auto" w:fill="auto"/>
            <w:noWrap/>
            <w:vAlign w:val="bottom"/>
            <w:hideMark/>
          </w:tcPr>
          <w:p w14:paraId="4C681FE8" w14:textId="45DC916C" w:rsidR="00B91E60" w:rsidRPr="00444D18" w:rsidRDefault="00B91E60" w:rsidP="00B91E60">
            <w:pPr>
              <w:spacing w:after="0" w:line="240" w:lineRule="auto"/>
              <w:ind w:firstLine="0"/>
              <w:jc w:val="center"/>
              <w:rPr>
                <w:rFonts w:ascii="Garamond" w:eastAsia="Times New Roman" w:hAnsi="Garamond" w:cs="Calibri"/>
                <w:sz w:val="20"/>
                <w:szCs w:val="20"/>
                <w:lang w:val="sq-AL" w:eastAsia="sq-AL"/>
              </w:rPr>
            </w:pPr>
            <w:r w:rsidRPr="00444D18">
              <w:rPr>
                <w:rFonts w:ascii="Garamond" w:eastAsia="Times New Roman" w:hAnsi="Garamond" w:cs="Calibri"/>
                <w:sz w:val="20"/>
                <w:szCs w:val="20"/>
                <w:lang w:val="sq-AL" w:eastAsia="sq-AL"/>
              </w:rPr>
              <w:t>80,120</w:t>
            </w:r>
          </w:p>
        </w:tc>
        <w:tc>
          <w:tcPr>
            <w:tcW w:w="127" w:type="pct"/>
            <w:tcBorders>
              <w:top w:val="nil"/>
              <w:left w:val="single" w:sz="4" w:space="0" w:color="auto"/>
              <w:bottom w:val="nil"/>
              <w:right w:val="single" w:sz="4" w:space="0" w:color="auto"/>
            </w:tcBorders>
            <w:shd w:val="clear" w:color="auto" w:fill="auto"/>
            <w:noWrap/>
            <w:vAlign w:val="bottom"/>
            <w:hideMark/>
          </w:tcPr>
          <w:p w14:paraId="4C681FE9" w14:textId="39C3AA76" w:rsidR="00B91E60" w:rsidRPr="00444D18" w:rsidRDefault="00B91E60" w:rsidP="00B91E60">
            <w:pPr>
              <w:spacing w:after="0" w:line="240" w:lineRule="auto"/>
              <w:ind w:firstLine="0"/>
              <w:jc w:val="left"/>
              <w:rPr>
                <w:rFonts w:ascii="Garamond" w:eastAsia="Times New Roman" w:hAnsi="Garamond"/>
                <w:sz w:val="20"/>
                <w:lang w:val="sq-AL" w:eastAsia="en-GB"/>
              </w:rPr>
            </w:pPr>
            <w:r w:rsidRPr="00444D18">
              <w:rPr>
                <w:rFonts w:ascii="Garamond" w:eastAsia="Times New Roman" w:hAnsi="Garamond" w:cs="Calibri"/>
                <w:sz w:val="20"/>
                <w:szCs w:val="20"/>
                <w:lang w:val="sq-AL" w:eastAsia="sq-AL"/>
              </w:rPr>
              <w:t> </w:t>
            </w:r>
          </w:p>
        </w:tc>
        <w:tc>
          <w:tcPr>
            <w:tcW w:w="910" w:type="pct"/>
            <w:tcBorders>
              <w:top w:val="nil"/>
              <w:left w:val="nil"/>
              <w:bottom w:val="single" w:sz="4" w:space="0" w:color="auto"/>
              <w:right w:val="single" w:sz="4" w:space="0" w:color="auto"/>
            </w:tcBorders>
            <w:shd w:val="clear" w:color="auto" w:fill="auto"/>
            <w:noWrap/>
            <w:vAlign w:val="bottom"/>
            <w:hideMark/>
          </w:tcPr>
          <w:p w14:paraId="4C681FEA" w14:textId="226F3C9F" w:rsidR="00B91E60" w:rsidRPr="00444D18" w:rsidRDefault="00B91E60" w:rsidP="00B91E60">
            <w:pPr>
              <w:spacing w:after="0" w:line="240" w:lineRule="auto"/>
              <w:ind w:firstLine="0"/>
              <w:jc w:val="left"/>
              <w:rPr>
                <w:rFonts w:ascii="Garamond" w:eastAsia="Times New Roman" w:hAnsi="Garamond"/>
                <w:sz w:val="20"/>
                <w:lang w:val="sq-AL" w:eastAsia="en-GB"/>
              </w:rPr>
            </w:pPr>
            <w:r w:rsidRPr="00444D18">
              <w:rPr>
                <w:rFonts w:ascii="Garamond" w:eastAsia="Times New Roman" w:hAnsi="Garamond" w:cs="Calibri"/>
                <w:sz w:val="20"/>
                <w:szCs w:val="20"/>
                <w:lang w:val="sq-AL" w:eastAsia="sq-AL"/>
              </w:rPr>
              <w:t> </w:t>
            </w:r>
          </w:p>
        </w:tc>
        <w:tc>
          <w:tcPr>
            <w:tcW w:w="414" w:type="pct"/>
            <w:tcBorders>
              <w:top w:val="nil"/>
              <w:left w:val="nil"/>
              <w:bottom w:val="single" w:sz="4" w:space="0" w:color="auto"/>
              <w:right w:val="single" w:sz="4" w:space="0" w:color="auto"/>
            </w:tcBorders>
            <w:shd w:val="clear" w:color="auto" w:fill="auto"/>
            <w:noWrap/>
            <w:vAlign w:val="bottom"/>
            <w:hideMark/>
          </w:tcPr>
          <w:p w14:paraId="4C681FEB" w14:textId="20756BBE" w:rsidR="00B91E60" w:rsidRPr="00444D18" w:rsidRDefault="00B91E60" w:rsidP="00B91E60">
            <w:pPr>
              <w:spacing w:after="0" w:line="240" w:lineRule="auto"/>
              <w:ind w:firstLine="0"/>
              <w:jc w:val="left"/>
              <w:rPr>
                <w:rFonts w:ascii="Garamond" w:eastAsia="Times New Roman" w:hAnsi="Garamond"/>
                <w:sz w:val="20"/>
                <w:lang w:val="sq-AL" w:eastAsia="en-GB"/>
              </w:rPr>
            </w:pPr>
            <w:r w:rsidRPr="00444D18">
              <w:rPr>
                <w:rFonts w:ascii="Garamond" w:eastAsia="Times New Roman" w:hAnsi="Garamond" w:cs="Calibri"/>
                <w:sz w:val="20"/>
                <w:szCs w:val="20"/>
                <w:lang w:val="sq-AL" w:eastAsia="sq-AL"/>
              </w:rPr>
              <w:t> </w:t>
            </w:r>
          </w:p>
        </w:tc>
      </w:tr>
      <w:tr w:rsidR="00444D18" w:rsidRPr="00444D18" w14:paraId="4C681FF2" w14:textId="53B3128B" w:rsidTr="00B91E60">
        <w:trPr>
          <w:trHeight w:val="240"/>
        </w:trPr>
        <w:tc>
          <w:tcPr>
            <w:tcW w:w="2965" w:type="pct"/>
            <w:tcBorders>
              <w:top w:val="nil"/>
              <w:left w:val="single" w:sz="4" w:space="0" w:color="auto"/>
              <w:bottom w:val="single" w:sz="4" w:space="0" w:color="auto"/>
              <w:right w:val="single" w:sz="4" w:space="0" w:color="auto"/>
            </w:tcBorders>
            <w:shd w:val="clear" w:color="auto" w:fill="auto"/>
            <w:noWrap/>
            <w:vAlign w:val="bottom"/>
            <w:hideMark/>
          </w:tcPr>
          <w:p w14:paraId="4C681FED" w14:textId="4F40F618" w:rsidR="00B91E60" w:rsidRPr="00444D18" w:rsidRDefault="00B91E60" w:rsidP="00B91E60">
            <w:pPr>
              <w:spacing w:after="0" w:line="240" w:lineRule="auto"/>
              <w:ind w:firstLine="0"/>
              <w:jc w:val="left"/>
              <w:rPr>
                <w:rFonts w:ascii="Garamond" w:eastAsia="Times New Roman" w:hAnsi="Garamond" w:cs="Calibri"/>
                <w:b/>
                <w:bCs/>
                <w:sz w:val="20"/>
                <w:szCs w:val="20"/>
                <w:lang w:val="sq-AL" w:eastAsia="sq-AL"/>
              </w:rPr>
            </w:pPr>
            <w:r w:rsidRPr="00444D18">
              <w:rPr>
                <w:rFonts w:ascii="Garamond" w:eastAsia="Times New Roman" w:hAnsi="Garamond" w:cs="Calibri"/>
                <w:b/>
                <w:bCs/>
                <w:sz w:val="20"/>
                <w:szCs w:val="20"/>
                <w:lang w:val="sq-AL" w:eastAsia="sq-AL"/>
              </w:rPr>
              <w:t>Total</w:t>
            </w:r>
          </w:p>
        </w:tc>
        <w:tc>
          <w:tcPr>
            <w:tcW w:w="585" w:type="pct"/>
            <w:tcBorders>
              <w:top w:val="nil"/>
              <w:left w:val="nil"/>
              <w:bottom w:val="single" w:sz="4" w:space="0" w:color="auto"/>
              <w:right w:val="nil"/>
            </w:tcBorders>
            <w:shd w:val="clear" w:color="auto" w:fill="auto"/>
            <w:noWrap/>
            <w:vAlign w:val="bottom"/>
            <w:hideMark/>
          </w:tcPr>
          <w:p w14:paraId="4C681FEE" w14:textId="1E3046E3" w:rsidR="00B91E60" w:rsidRPr="00444D18" w:rsidRDefault="00B91E60" w:rsidP="00B91E60">
            <w:pPr>
              <w:spacing w:after="0" w:line="240" w:lineRule="auto"/>
              <w:ind w:firstLine="0"/>
              <w:jc w:val="center"/>
              <w:rPr>
                <w:rFonts w:ascii="Garamond" w:eastAsia="Times New Roman" w:hAnsi="Garamond" w:cs="Calibri"/>
                <w:b/>
                <w:bCs/>
                <w:sz w:val="20"/>
                <w:szCs w:val="20"/>
                <w:lang w:val="sq-AL" w:eastAsia="sq-AL"/>
              </w:rPr>
            </w:pPr>
            <w:r w:rsidRPr="00444D18">
              <w:rPr>
                <w:rFonts w:ascii="Garamond" w:eastAsia="Times New Roman" w:hAnsi="Garamond" w:cs="Calibri"/>
                <w:b/>
                <w:bCs/>
                <w:sz w:val="20"/>
                <w:szCs w:val="20"/>
                <w:lang w:val="sq-AL" w:eastAsia="sq-AL"/>
              </w:rPr>
              <w:t>80,120</w:t>
            </w:r>
          </w:p>
        </w:tc>
        <w:tc>
          <w:tcPr>
            <w:tcW w:w="127" w:type="pct"/>
            <w:tcBorders>
              <w:top w:val="nil"/>
              <w:left w:val="single" w:sz="4" w:space="0" w:color="auto"/>
              <w:bottom w:val="single" w:sz="4" w:space="0" w:color="auto"/>
              <w:right w:val="single" w:sz="4" w:space="0" w:color="auto"/>
            </w:tcBorders>
            <w:shd w:val="clear" w:color="auto" w:fill="auto"/>
            <w:noWrap/>
            <w:vAlign w:val="bottom"/>
            <w:hideMark/>
          </w:tcPr>
          <w:p w14:paraId="4C681FEF" w14:textId="3D1C2BB6" w:rsidR="00B91E60" w:rsidRPr="00444D18" w:rsidRDefault="00B91E60" w:rsidP="00B91E60">
            <w:pPr>
              <w:spacing w:after="0" w:line="240" w:lineRule="auto"/>
              <w:ind w:firstLine="0"/>
              <w:jc w:val="left"/>
              <w:rPr>
                <w:rFonts w:ascii="Garamond" w:eastAsia="Times New Roman" w:hAnsi="Garamond"/>
                <w:sz w:val="20"/>
                <w:lang w:val="sq-AL" w:eastAsia="en-GB"/>
              </w:rPr>
            </w:pPr>
            <w:r w:rsidRPr="00444D18">
              <w:rPr>
                <w:rFonts w:ascii="Garamond" w:eastAsia="Times New Roman" w:hAnsi="Garamond" w:cs="Calibri"/>
                <w:sz w:val="20"/>
                <w:szCs w:val="20"/>
                <w:lang w:val="sq-AL" w:eastAsia="sq-AL"/>
              </w:rPr>
              <w:t> </w:t>
            </w:r>
          </w:p>
        </w:tc>
        <w:tc>
          <w:tcPr>
            <w:tcW w:w="910" w:type="pct"/>
            <w:tcBorders>
              <w:top w:val="nil"/>
              <w:left w:val="nil"/>
              <w:bottom w:val="single" w:sz="4" w:space="0" w:color="auto"/>
              <w:right w:val="single" w:sz="4" w:space="0" w:color="auto"/>
            </w:tcBorders>
            <w:shd w:val="clear" w:color="auto" w:fill="auto"/>
            <w:noWrap/>
            <w:vAlign w:val="bottom"/>
            <w:hideMark/>
          </w:tcPr>
          <w:p w14:paraId="4C681FF0" w14:textId="47EE1DAD" w:rsidR="00B91E60" w:rsidRPr="00444D18" w:rsidRDefault="00B91E60" w:rsidP="00B91E60">
            <w:pPr>
              <w:spacing w:after="0" w:line="240" w:lineRule="auto"/>
              <w:ind w:firstLine="0"/>
              <w:jc w:val="center"/>
              <w:rPr>
                <w:rFonts w:ascii="Garamond" w:eastAsia="Times New Roman" w:hAnsi="Garamond" w:cs="Calibri"/>
                <w:b/>
                <w:bCs/>
                <w:sz w:val="20"/>
                <w:szCs w:val="20"/>
                <w:lang w:val="sq-AL" w:eastAsia="sq-AL"/>
              </w:rPr>
            </w:pPr>
            <w:r w:rsidRPr="00444D18">
              <w:rPr>
                <w:rFonts w:ascii="Garamond" w:eastAsia="Times New Roman" w:hAnsi="Garamond" w:cs="Calibri"/>
                <w:b/>
                <w:bCs/>
                <w:sz w:val="20"/>
                <w:szCs w:val="20"/>
                <w:lang w:val="sq-AL" w:eastAsia="sq-AL"/>
              </w:rPr>
              <w:t>80,120</w:t>
            </w:r>
          </w:p>
        </w:tc>
        <w:tc>
          <w:tcPr>
            <w:tcW w:w="414" w:type="pct"/>
            <w:tcBorders>
              <w:top w:val="nil"/>
              <w:left w:val="nil"/>
              <w:bottom w:val="single" w:sz="4" w:space="0" w:color="auto"/>
              <w:right w:val="single" w:sz="4" w:space="0" w:color="auto"/>
            </w:tcBorders>
            <w:shd w:val="clear" w:color="auto" w:fill="auto"/>
            <w:noWrap/>
            <w:vAlign w:val="bottom"/>
            <w:hideMark/>
          </w:tcPr>
          <w:p w14:paraId="4C681FF1" w14:textId="2499C69C" w:rsidR="00B91E60" w:rsidRPr="00444D18" w:rsidRDefault="00B91E60" w:rsidP="00B91E60">
            <w:pPr>
              <w:spacing w:after="0" w:line="240" w:lineRule="auto"/>
              <w:ind w:firstLine="0"/>
              <w:jc w:val="center"/>
              <w:rPr>
                <w:rFonts w:ascii="Garamond" w:eastAsia="Times New Roman" w:hAnsi="Garamond" w:cs="Calibri"/>
                <w:b/>
                <w:bCs/>
                <w:sz w:val="20"/>
                <w:szCs w:val="20"/>
                <w:lang w:val="sq-AL" w:eastAsia="sq-AL"/>
              </w:rPr>
            </w:pPr>
            <w:r w:rsidRPr="00444D18">
              <w:rPr>
                <w:rFonts w:ascii="Garamond" w:eastAsia="Times New Roman" w:hAnsi="Garamond" w:cs="Calibri"/>
                <w:b/>
                <w:bCs/>
                <w:sz w:val="20"/>
                <w:szCs w:val="20"/>
                <w:lang w:val="sq-AL" w:eastAsia="sq-AL"/>
              </w:rPr>
              <w:t>Total</w:t>
            </w:r>
          </w:p>
        </w:tc>
      </w:tr>
      <w:tr w:rsidR="00444D18" w:rsidRPr="00444D18" w14:paraId="4C681FF8" w14:textId="3A6504B2" w:rsidTr="00B91E60">
        <w:trPr>
          <w:trHeight w:val="240"/>
        </w:trPr>
        <w:tc>
          <w:tcPr>
            <w:tcW w:w="2965" w:type="pct"/>
            <w:tcBorders>
              <w:top w:val="nil"/>
              <w:left w:val="nil"/>
              <w:bottom w:val="nil"/>
              <w:right w:val="nil"/>
            </w:tcBorders>
            <w:shd w:val="clear" w:color="auto" w:fill="auto"/>
            <w:noWrap/>
            <w:vAlign w:val="bottom"/>
            <w:hideMark/>
          </w:tcPr>
          <w:p w14:paraId="4C681FF3" w14:textId="3F6D5AFE" w:rsidR="00B91E60" w:rsidRPr="00444D18" w:rsidRDefault="00B91E60" w:rsidP="00B91E60">
            <w:pPr>
              <w:spacing w:after="0" w:line="240" w:lineRule="auto"/>
              <w:ind w:firstLine="0"/>
              <w:jc w:val="left"/>
              <w:rPr>
                <w:rFonts w:ascii="Garamond" w:eastAsia="Times New Roman" w:hAnsi="Garamond" w:cs="Calibri"/>
                <w:sz w:val="20"/>
                <w:szCs w:val="20"/>
                <w:lang w:val="sq-AL" w:eastAsia="sq-AL"/>
              </w:rPr>
            </w:pPr>
          </w:p>
        </w:tc>
        <w:tc>
          <w:tcPr>
            <w:tcW w:w="585" w:type="pct"/>
            <w:tcBorders>
              <w:top w:val="nil"/>
              <w:left w:val="nil"/>
              <w:bottom w:val="nil"/>
              <w:right w:val="nil"/>
            </w:tcBorders>
            <w:shd w:val="clear" w:color="auto" w:fill="auto"/>
            <w:noWrap/>
            <w:vAlign w:val="bottom"/>
            <w:hideMark/>
          </w:tcPr>
          <w:p w14:paraId="4C681FF4" w14:textId="39C4F445" w:rsidR="00B91E60" w:rsidRPr="00444D18" w:rsidRDefault="00B91E60" w:rsidP="00B91E60">
            <w:pPr>
              <w:spacing w:after="0" w:line="240" w:lineRule="auto"/>
              <w:ind w:firstLine="0"/>
              <w:jc w:val="left"/>
              <w:rPr>
                <w:rFonts w:ascii="Garamond" w:eastAsia="Times New Roman" w:hAnsi="Garamond" w:cs="Calibri"/>
                <w:sz w:val="20"/>
                <w:szCs w:val="20"/>
                <w:lang w:val="sq-AL" w:eastAsia="sq-AL"/>
              </w:rPr>
            </w:pPr>
          </w:p>
        </w:tc>
        <w:tc>
          <w:tcPr>
            <w:tcW w:w="127" w:type="pct"/>
            <w:tcBorders>
              <w:top w:val="nil"/>
              <w:left w:val="nil"/>
              <w:bottom w:val="nil"/>
              <w:right w:val="nil"/>
            </w:tcBorders>
            <w:shd w:val="clear" w:color="auto" w:fill="auto"/>
            <w:noWrap/>
            <w:vAlign w:val="bottom"/>
            <w:hideMark/>
          </w:tcPr>
          <w:p w14:paraId="4C681FF5" w14:textId="77777777" w:rsidR="00B91E60" w:rsidRPr="00444D18" w:rsidRDefault="00B91E60" w:rsidP="00B91E60">
            <w:pPr>
              <w:spacing w:after="0" w:line="240" w:lineRule="auto"/>
              <w:ind w:firstLine="0"/>
              <w:jc w:val="left"/>
              <w:rPr>
                <w:rFonts w:ascii="Garamond" w:eastAsia="Times New Roman" w:hAnsi="Garamond"/>
                <w:sz w:val="20"/>
                <w:lang w:val="sq-AL" w:eastAsia="en-GB"/>
              </w:rPr>
            </w:pPr>
          </w:p>
        </w:tc>
        <w:tc>
          <w:tcPr>
            <w:tcW w:w="910" w:type="pct"/>
            <w:tcBorders>
              <w:top w:val="nil"/>
              <w:left w:val="nil"/>
              <w:bottom w:val="nil"/>
              <w:right w:val="nil"/>
            </w:tcBorders>
            <w:shd w:val="clear" w:color="auto" w:fill="auto"/>
            <w:noWrap/>
            <w:vAlign w:val="bottom"/>
            <w:hideMark/>
          </w:tcPr>
          <w:p w14:paraId="4C681FF6" w14:textId="77777777" w:rsidR="00B91E60" w:rsidRPr="00444D18" w:rsidRDefault="00B91E60" w:rsidP="00B91E60">
            <w:pPr>
              <w:spacing w:after="0" w:line="240" w:lineRule="auto"/>
              <w:ind w:firstLine="0"/>
              <w:jc w:val="left"/>
              <w:rPr>
                <w:rFonts w:ascii="Garamond" w:eastAsia="Times New Roman" w:hAnsi="Garamond"/>
                <w:sz w:val="20"/>
                <w:lang w:val="sq-AL" w:eastAsia="en-GB"/>
              </w:rPr>
            </w:pPr>
          </w:p>
        </w:tc>
        <w:tc>
          <w:tcPr>
            <w:tcW w:w="414" w:type="pct"/>
            <w:tcBorders>
              <w:top w:val="nil"/>
              <w:left w:val="nil"/>
              <w:bottom w:val="nil"/>
              <w:right w:val="nil"/>
            </w:tcBorders>
            <w:shd w:val="clear" w:color="auto" w:fill="auto"/>
            <w:noWrap/>
            <w:vAlign w:val="bottom"/>
            <w:hideMark/>
          </w:tcPr>
          <w:p w14:paraId="4C681FF7" w14:textId="77777777" w:rsidR="00B91E60" w:rsidRPr="00444D18" w:rsidRDefault="00B91E60" w:rsidP="00B91E60">
            <w:pPr>
              <w:spacing w:after="0" w:line="240" w:lineRule="auto"/>
              <w:ind w:firstLine="0"/>
              <w:jc w:val="left"/>
              <w:rPr>
                <w:rFonts w:ascii="Garamond" w:eastAsia="Times New Roman" w:hAnsi="Garamond"/>
                <w:sz w:val="20"/>
                <w:lang w:val="sq-AL" w:eastAsia="en-GB"/>
              </w:rPr>
            </w:pPr>
          </w:p>
        </w:tc>
      </w:tr>
      <w:tr w:rsidR="00444D18" w:rsidRPr="00444D18" w14:paraId="4C681FFE" w14:textId="76EDB372" w:rsidTr="00B91E60">
        <w:trPr>
          <w:trHeight w:val="240"/>
        </w:trPr>
        <w:tc>
          <w:tcPr>
            <w:tcW w:w="2965" w:type="pct"/>
            <w:tcBorders>
              <w:top w:val="nil"/>
              <w:left w:val="nil"/>
              <w:bottom w:val="nil"/>
              <w:right w:val="nil"/>
            </w:tcBorders>
            <w:shd w:val="clear" w:color="auto" w:fill="auto"/>
            <w:noWrap/>
            <w:vAlign w:val="bottom"/>
            <w:hideMark/>
          </w:tcPr>
          <w:p w14:paraId="4C681FF9" w14:textId="567FF093" w:rsidR="00B91E60" w:rsidRPr="00444D18" w:rsidRDefault="00B91E60" w:rsidP="00B91E60">
            <w:pPr>
              <w:spacing w:after="0" w:line="240" w:lineRule="auto"/>
              <w:ind w:firstLine="0"/>
              <w:jc w:val="left"/>
              <w:rPr>
                <w:rFonts w:ascii="Garamond" w:eastAsia="Times New Roman" w:hAnsi="Garamond" w:cs="Calibri"/>
                <w:sz w:val="20"/>
                <w:szCs w:val="20"/>
                <w:lang w:val="sq-AL" w:eastAsia="sq-AL"/>
              </w:rPr>
            </w:pPr>
          </w:p>
        </w:tc>
        <w:tc>
          <w:tcPr>
            <w:tcW w:w="585" w:type="pct"/>
            <w:tcBorders>
              <w:top w:val="nil"/>
              <w:left w:val="nil"/>
              <w:bottom w:val="nil"/>
              <w:right w:val="nil"/>
            </w:tcBorders>
            <w:shd w:val="clear" w:color="auto" w:fill="auto"/>
            <w:noWrap/>
            <w:vAlign w:val="bottom"/>
            <w:hideMark/>
          </w:tcPr>
          <w:p w14:paraId="4C681FFA" w14:textId="16B67C10" w:rsidR="00B91E60" w:rsidRPr="00444D18" w:rsidRDefault="00B91E60" w:rsidP="00B91E60">
            <w:pPr>
              <w:spacing w:after="0" w:line="240" w:lineRule="auto"/>
              <w:ind w:firstLine="0"/>
              <w:jc w:val="left"/>
              <w:rPr>
                <w:rFonts w:ascii="Garamond" w:eastAsia="Times New Roman" w:hAnsi="Garamond" w:cs="Calibri"/>
                <w:sz w:val="20"/>
                <w:szCs w:val="20"/>
                <w:lang w:val="sq-AL" w:eastAsia="sq-AL"/>
              </w:rPr>
            </w:pPr>
          </w:p>
        </w:tc>
        <w:tc>
          <w:tcPr>
            <w:tcW w:w="127" w:type="pct"/>
            <w:tcBorders>
              <w:top w:val="nil"/>
              <w:left w:val="nil"/>
              <w:bottom w:val="nil"/>
              <w:right w:val="nil"/>
            </w:tcBorders>
            <w:shd w:val="clear" w:color="auto" w:fill="auto"/>
            <w:noWrap/>
            <w:vAlign w:val="bottom"/>
            <w:hideMark/>
          </w:tcPr>
          <w:p w14:paraId="4C681FFB" w14:textId="77777777" w:rsidR="00B91E60" w:rsidRPr="00444D18" w:rsidRDefault="00B91E60" w:rsidP="00B91E60">
            <w:pPr>
              <w:spacing w:after="0" w:line="240" w:lineRule="auto"/>
              <w:ind w:firstLine="0"/>
              <w:jc w:val="left"/>
              <w:rPr>
                <w:rFonts w:ascii="Garamond" w:eastAsia="Times New Roman" w:hAnsi="Garamond" w:cs="Calibri"/>
                <w:sz w:val="20"/>
                <w:szCs w:val="20"/>
                <w:lang w:val="sq-AL" w:eastAsia="sq-AL"/>
              </w:rPr>
            </w:pPr>
          </w:p>
        </w:tc>
        <w:tc>
          <w:tcPr>
            <w:tcW w:w="910" w:type="pct"/>
            <w:tcBorders>
              <w:top w:val="nil"/>
              <w:left w:val="nil"/>
              <w:bottom w:val="nil"/>
              <w:right w:val="nil"/>
            </w:tcBorders>
            <w:shd w:val="clear" w:color="auto" w:fill="auto"/>
            <w:noWrap/>
            <w:vAlign w:val="bottom"/>
            <w:hideMark/>
          </w:tcPr>
          <w:p w14:paraId="4C681FFC" w14:textId="1924F02C" w:rsidR="00B91E60" w:rsidRPr="00444D18" w:rsidRDefault="00B91E60" w:rsidP="00B91E60">
            <w:pPr>
              <w:spacing w:after="0" w:line="240" w:lineRule="auto"/>
              <w:ind w:firstLine="0"/>
              <w:jc w:val="left"/>
              <w:rPr>
                <w:rFonts w:ascii="Garamond" w:eastAsia="Times New Roman" w:hAnsi="Garamond" w:cs="Calibri"/>
                <w:sz w:val="20"/>
                <w:szCs w:val="20"/>
                <w:lang w:val="sq-AL" w:eastAsia="sq-AL"/>
              </w:rPr>
            </w:pPr>
          </w:p>
        </w:tc>
        <w:tc>
          <w:tcPr>
            <w:tcW w:w="414" w:type="pct"/>
            <w:tcBorders>
              <w:top w:val="nil"/>
              <w:left w:val="nil"/>
              <w:bottom w:val="nil"/>
              <w:right w:val="nil"/>
            </w:tcBorders>
            <w:shd w:val="clear" w:color="auto" w:fill="auto"/>
            <w:noWrap/>
            <w:vAlign w:val="bottom"/>
            <w:hideMark/>
          </w:tcPr>
          <w:p w14:paraId="4C681FFD" w14:textId="63927718" w:rsidR="00B91E60" w:rsidRPr="00444D18" w:rsidRDefault="00B91E60" w:rsidP="00B91E60">
            <w:pPr>
              <w:spacing w:after="0" w:line="240" w:lineRule="auto"/>
              <w:ind w:firstLine="0"/>
              <w:jc w:val="left"/>
              <w:rPr>
                <w:rFonts w:ascii="Garamond" w:eastAsia="Times New Roman" w:hAnsi="Garamond" w:cs="Calibri"/>
                <w:sz w:val="20"/>
                <w:szCs w:val="20"/>
                <w:lang w:val="sq-AL" w:eastAsia="sq-AL"/>
              </w:rPr>
            </w:pPr>
          </w:p>
        </w:tc>
      </w:tr>
      <w:tr w:rsidR="00444D18" w:rsidRPr="00444D18" w14:paraId="4C682004" w14:textId="04EFC7DD" w:rsidTr="00B91E60">
        <w:trPr>
          <w:trHeight w:val="240"/>
        </w:trPr>
        <w:tc>
          <w:tcPr>
            <w:tcW w:w="5000" w:type="pct"/>
            <w:gridSpan w:val="5"/>
            <w:vMerge w:val="restart"/>
            <w:tcBorders>
              <w:top w:val="nil"/>
              <w:left w:val="nil"/>
              <w:bottom w:val="single" w:sz="4" w:space="0" w:color="000000"/>
              <w:right w:val="nil"/>
            </w:tcBorders>
            <w:shd w:val="clear" w:color="auto" w:fill="auto"/>
            <w:noWrap/>
            <w:vAlign w:val="center"/>
            <w:hideMark/>
          </w:tcPr>
          <w:p w14:paraId="4C681FFF" w14:textId="7DD30B39" w:rsidR="00B91E60" w:rsidRPr="00444D18" w:rsidRDefault="00B91E60" w:rsidP="00B91E60">
            <w:pPr>
              <w:spacing w:after="0" w:line="240" w:lineRule="auto"/>
              <w:ind w:firstLine="0"/>
              <w:jc w:val="center"/>
              <w:rPr>
                <w:rFonts w:ascii="Garamond" w:eastAsia="Times New Roman" w:hAnsi="Garamond" w:cs="Calibri"/>
                <w:b/>
                <w:bCs/>
                <w:sz w:val="20"/>
                <w:szCs w:val="20"/>
                <w:lang w:val="sq-AL" w:eastAsia="sq-AL"/>
              </w:rPr>
            </w:pPr>
            <w:r w:rsidRPr="00444D18">
              <w:rPr>
                <w:rFonts w:ascii="Garamond" w:eastAsia="Times New Roman" w:hAnsi="Garamond" w:cs="Calibri"/>
                <w:b/>
                <w:bCs/>
                <w:sz w:val="20"/>
                <w:szCs w:val="20"/>
                <w:lang w:val="sq-AL" w:eastAsia="sq-AL"/>
              </w:rPr>
              <w:t>Faza e dytë- duke filluar nga janari 2024</w:t>
            </w:r>
          </w:p>
        </w:tc>
      </w:tr>
      <w:tr w:rsidR="00444D18" w:rsidRPr="00444D18" w14:paraId="74F24E90" w14:textId="77777777" w:rsidTr="00B91E60">
        <w:trPr>
          <w:trHeight w:val="240"/>
        </w:trPr>
        <w:tc>
          <w:tcPr>
            <w:tcW w:w="5000" w:type="pct"/>
            <w:gridSpan w:val="5"/>
            <w:vMerge/>
            <w:tcBorders>
              <w:top w:val="nil"/>
              <w:left w:val="nil"/>
              <w:bottom w:val="single" w:sz="4" w:space="0" w:color="000000"/>
              <w:right w:val="nil"/>
            </w:tcBorders>
            <w:vAlign w:val="center"/>
            <w:hideMark/>
          </w:tcPr>
          <w:p w14:paraId="246294C7" w14:textId="77777777" w:rsidR="00B91E60" w:rsidRPr="00444D18" w:rsidRDefault="00B91E60" w:rsidP="00B91E60">
            <w:pPr>
              <w:spacing w:after="0" w:line="240" w:lineRule="auto"/>
              <w:ind w:firstLine="0"/>
              <w:jc w:val="left"/>
              <w:rPr>
                <w:rFonts w:ascii="Garamond" w:eastAsia="Times New Roman" w:hAnsi="Garamond" w:cs="Calibri"/>
                <w:b/>
                <w:bCs/>
                <w:sz w:val="20"/>
                <w:szCs w:val="20"/>
                <w:lang w:val="sq-AL" w:eastAsia="sq-AL"/>
              </w:rPr>
            </w:pPr>
          </w:p>
        </w:tc>
      </w:tr>
      <w:tr w:rsidR="00444D18" w:rsidRPr="00444D18" w14:paraId="4C682006" w14:textId="0EBCD3F7" w:rsidTr="00B91E60">
        <w:trPr>
          <w:trHeight w:val="240"/>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682005" w14:textId="7D1C62B3" w:rsidR="00B91E60" w:rsidRPr="00444D18" w:rsidRDefault="00B91E60" w:rsidP="00B91E60">
            <w:pPr>
              <w:spacing w:after="0" w:line="240" w:lineRule="auto"/>
              <w:ind w:firstLine="0"/>
              <w:jc w:val="center"/>
              <w:rPr>
                <w:rFonts w:ascii="Garamond" w:eastAsia="Times New Roman" w:hAnsi="Garamond" w:cs="Calibri"/>
                <w:b/>
                <w:bCs/>
                <w:sz w:val="20"/>
                <w:szCs w:val="20"/>
                <w:lang w:val="sq-AL" w:eastAsia="sq-AL"/>
              </w:rPr>
            </w:pPr>
            <w:r w:rsidRPr="00444D18">
              <w:rPr>
                <w:rFonts w:ascii="Garamond" w:eastAsia="Times New Roman" w:hAnsi="Garamond" w:cs="Calibri"/>
                <w:b/>
                <w:bCs/>
                <w:sz w:val="20"/>
                <w:szCs w:val="20"/>
                <w:lang w:val="sq-AL" w:eastAsia="sq-AL"/>
              </w:rPr>
              <w:t>Tregu i rregulluar</w:t>
            </w:r>
          </w:p>
        </w:tc>
      </w:tr>
      <w:tr w:rsidR="00444D18" w:rsidRPr="00444D18" w14:paraId="4C68200A" w14:textId="4503612B" w:rsidTr="00B91E60">
        <w:trPr>
          <w:trHeight w:val="240"/>
        </w:trPr>
        <w:tc>
          <w:tcPr>
            <w:tcW w:w="2965" w:type="pct"/>
            <w:tcBorders>
              <w:top w:val="nil"/>
              <w:left w:val="single" w:sz="4" w:space="0" w:color="auto"/>
              <w:bottom w:val="single" w:sz="4" w:space="0" w:color="auto"/>
              <w:right w:val="single" w:sz="4" w:space="0" w:color="auto"/>
            </w:tcBorders>
            <w:shd w:val="clear" w:color="auto" w:fill="auto"/>
            <w:noWrap/>
            <w:vAlign w:val="bottom"/>
            <w:hideMark/>
          </w:tcPr>
          <w:p w14:paraId="4C682007" w14:textId="58EC068B" w:rsidR="00B91E60" w:rsidRPr="00444D18" w:rsidRDefault="00B91E60" w:rsidP="00B91E60">
            <w:pPr>
              <w:spacing w:after="0" w:line="240" w:lineRule="auto"/>
              <w:ind w:firstLine="0"/>
              <w:jc w:val="left"/>
              <w:rPr>
                <w:rFonts w:ascii="Garamond" w:eastAsia="Times New Roman" w:hAnsi="Garamond" w:cs="Calibri"/>
                <w:b/>
                <w:bCs/>
                <w:sz w:val="20"/>
                <w:szCs w:val="20"/>
                <w:lang w:val="sq-AL" w:eastAsia="sq-AL"/>
              </w:rPr>
            </w:pPr>
            <w:r w:rsidRPr="00444D18">
              <w:rPr>
                <w:rFonts w:ascii="Garamond" w:eastAsia="Times New Roman" w:hAnsi="Garamond" w:cs="Calibri"/>
                <w:b/>
                <w:bCs/>
                <w:sz w:val="20"/>
                <w:szCs w:val="20"/>
                <w:lang w:val="sq-AL" w:eastAsia="sq-AL"/>
              </w:rPr>
              <w:t>Blerjet (MWh)</w:t>
            </w:r>
          </w:p>
        </w:tc>
        <w:tc>
          <w:tcPr>
            <w:tcW w:w="585" w:type="pct"/>
            <w:tcBorders>
              <w:top w:val="nil"/>
              <w:left w:val="nil"/>
              <w:bottom w:val="single" w:sz="4" w:space="0" w:color="auto"/>
              <w:right w:val="nil"/>
            </w:tcBorders>
            <w:shd w:val="clear" w:color="auto" w:fill="auto"/>
            <w:noWrap/>
            <w:vAlign w:val="bottom"/>
            <w:hideMark/>
          </w:tcPr>
          <w:p w14:paraId="4C682008" w14:textId="71C3D8E3" w:rsidR="00B91E60" w:rsidRPr="00444D18" w:rsidRDefault="00B91E60" w:rsidP="00B91E60">
            <w:pPr>
              <w:spacing w:after="0" w:line="240" w:lineRule="auto"/>
              <w:ind w:firstLine="0"/>
              <w:jc w:val="left"/>
              <w:rPr>
                <w:rFonts w:ascii="Garamond" w:eastAsia="Times New Roman" w:hAnsi="Garamond" w:cs="Calibri"/>
                <w:sz w:val="20"/>
                <w:szCs w:val="20"/>
                <w:lang w:val="sq-AL" w:eastAsia="sq-AL"/>
              </w:rPr>
            </w:pPr>
            <w:r w:rsidRPr="00444D18">
              <w:rPr>
                <w:rFonts w:ascii="Garamond" w:eastAsia="Times New Roman" w:hAnsi="Garamond" w:cs="Calibri"/>
                <w:sz w:val="20"/>
                <w:szCs w:val="20"/>
                <w:lang w:val="sq-AL" w:eastAsia="sq-AL"/>
              </w:rPr>
              <w:t> </w:t>
            </w:r>
          </w:p>
        </w:tc>
        <w:tc>
          <w:tcPr>
            <w:tcW w:w="127" w:type="pct"/>
            <w:tcBorders>
              <w:top w:val="nil"/>
              <w:left w:val="single" w:sz="4" w:space="0" w:color="auto"/>
              <w:bottom w:val="nil"/>
              <w:right w:val="single" w:sz="4" w:space="0" w:color="auto"/>
            </w:tcBorders>
            <w:shd w:val="clear" w:color="auto" w:fill="auto"/>
            <w:noWrap/>
            <w:vAlign w:val="bottom"/>
            <w:hideMark/>
          </w:tcPr>
          <w:p w14:paraId="016466DE" w14:textId="77777777" w:rsidR="00B91E60" w:rsidRPr="00444D18" w:rsidRDefault="00B91E60" w:rsidP="00B91E60">
            <w:pPr>
              <w:spacing w:after="0" w:line="240" w:lineRule="auto"/>
              <w:ind w:firstLine="0"/>
              <w:jc w:val="left"/>
              <w:rPr>
                <w:rFonts w:ascii="Garamond" w:eastAsia="Times New Roman" w:hAnsi="Garamond" w:cs="Calibri"/>
                <w:sz w:val="20"/>
                <w:szCs w:val="20"/>
                <w:lang w:val="sq-AL" w:eastAsia="sq-AL"/>
              </w:rPr>
            </w:pPr>
            <w:r w:rsidRPr="00444D18">
              <w:rPr>
                <w:rFonts w:ascii="Garamond" w:eastAsia="Times New Roman" w:hAnsi="Garamond" w:cs="Calibri"/>
                <w:sz w:val="20"/>
                <w:szCs w:val="20"/>
                <w:lang w:val="sq-AL" w:eastAsia="sq-AL"/>
              </w:rPr>
              <w:t> </w:t>
            </w:r>
          </w:p>
        </w:tc>
        <w:tc>
          <w:tcPr>
            <w:tcW w:w="910" w:type="pct"/>
            <w:tcBorders>
              <w:top w:val="nil"/>
              <w:left w:val="nil"/>
              <w:bottom w:val="single" w:sz="4" w:space="0" w:color="auto"/>
              <w:right w:val="single" w:sz="4" w:space="0" w:color="auto"/>
            </w:tcBorders>
            <w:shd w:val="clear" w:color="auto" w:fill="auto"/>
            <w:noWrap/>
            <w:vAlign w:val="bottom"/>
            <w:hideMark/>
          </w:tcPr>
          <w:p w14:paraId="4C682009" w14:textId="1E4F4FF5" w:rsidR="00B91E60" w:rsidRPr="00444D18" w:rsidRDefault="00B91E60" w:rsidP="00B91E60">
            <w:pPr>
              <w:spacing w:after="0" w:line="240" w:lineRule="auto"/>
              <w:ind w:firstLine="0"/>
              <w:jc w:val="left"/>
              <w:rPr>
                <w:rFonts w:ascii="Garamond" w:eastAsia="Times New Roman" w:hAnsi="Garamond" w:cs="Calibri"/>
                <w:b/>
                <w:bCs/>
                <w:sz w:val="20"/>
                <w:szCs w:val="20"/>
                <w:lang w:val="sq-AL" w:eastAsia="sq-AL"/>
              </w:rPr>
            </w:pPr>
            <w:r w:rsidRPr="00444D18">
              <w:rPr>
                <w:rFonts w:ascii="Garamond" w:eastAsia="Times New Roman" w:hAnsi="Garamond" w:cs="Calibri"/>
                <w:b/>
                <w:bCs/>
                <w:sz w:val="20"/>
                <w:szCs w:val="20"/>
                <w:lang w:val="sq-AL" w:eastAsia="sq-AL"/>
              </w:rPr>
              <w:t>Shitjet (MWh)</w:t>
            </w:r>
          </w:p>
        </w:tc>
        <w:tc>
          <w:tcPr>
            <w:tcW w:w="414" w:type="pct"/>
            <w:tcBorders>
              <w:top w:val="nil"/>
              <w:left w:val="nil"/>
              <w:bottom w:val="single" w:sz="4" w:space="0" w:color="auto"/>
              <w:right w:val="single" w:sz="4" w:space="0" w:color="auto"/>
            </w:tcBorders>
            <w:shd w:val="clear" w:color="auto" w:fill="auto"/>
            <w:noWrap/>
            <w:vAlign w:val="bottom"/>
            <w:hideMark/>
          </w:tcPr>
          <w:p w14:paraId="63BB236E" w14:textId="77777777" w:rsidR="00B91E60" w:rsidRPr="00444D18" w:rsidRDefault="00B91E60" w:rsidP="00B91E60">
            <w:pPr>
              <w:spacing w:after="0" w:line="240" w:lineRule="auto"/>
              <w:ind w:firstLine="0"/>
              <w:jc w:val="left"/>
              <w:rPr>
                <w:rFonts w:ascii="Garamond" w:eastAsia="Times New Roman" w:hAnsi="Garamond" w:cs="Calibri"/>
                <w:sz w:val="20"/>
                <w:szCs w:val="20"/>
                <w:lang w:val="sq-AL" w:eastAsia="sq-AL"/>
              </w:rPr>
            </w:pPr>
            <w:r w:rsidRPr="00444D18">
              <w:rPr>
                <w:rFonts w:ascii="Garamond" w:eastAsia="Times New Roman" w:hAnsi="Garamond" w:cs="Calibri"/>
                <w:sz w:val="20"/>
                <w:szCs w:val="20"/>
                <w:lang w:val="sq-AL" w:eastAsia="sq-AL"/>
              </w:rPr>
              <w:t> </w:t>
            </w:r>
          </w:p>
        </w:tc>
      </w:tr>
      <w:tr w:rsidR="00444D18" w:rsidRPr="00444D18" w14:paraId="4C682010" w14:textId="1D4B2112" w:rsidTr="00B91E60">
        <w:trPr>
          <w:trHeight w:val="240"/>
        </w:trPr>
        <w:tc>
          <w:tcPr>
            <w:tcW w:w="2965" w:type="pct"/>
            <w:tcBorders>
              <w:top w:val="nil"/>
              <w:left w:val="single" w:sz="4" w:space="0" w:color="auto"/>
              <w:bottom w:val="single" w:sz="4" w:space="0" w:color="auto"/>
              <w:right w:val="single" w:sz="4" w:space="0" w:color="auto"/>
            </w:tcBorders>
            <w:shd w:val="clear" w:color="auto" w:fill="auto"/>
            <w:noWrap/>
            <w:vAlign w:val="bottom"/>
            <w:hideMark/>
          </w:tcPr>
          <w:p w14:paraId="4C68200B" w14:textId="6640731F" w:rsidR="00B91E60" w:rsidRPr="00444D18" w:rsidRDefault="00B91E60" w:rsidP="00B91E60">
            <w:pPr>
              <w:spacing w:after="0" w:line="240" w:lineRule="auto"/>
              <w:ind w:firstLine="0"/>
              <w:jc w:val="left"/>
              <w:rPr>
                <w:rFonts w:ascii="Garamond" w:eastAsia="Times New Roman" w:hAnsi="Garamond" w:cs="Calibri"/>
                <w:sz w:val="20"/>
                <w:szCs w:val="20"/>
                <w:lang w:val="sq-AL" w:eastAsia="sq-AL"/>
              </w:rPr>
            </w:pPr>
            <w:r w:rsidRPr="00444D18">
              <w:rPr>
                <w:rFonts w:ascii="Garamond" w:eastAsia="Times New Roman" w:hAnsi="Garamond" w:cs="Calibri"/>
                <w:sz w:val="20"/>
                <w:szCs w:val="20"/>
                <w:lang w:val="sq-AL" w:eastAsia="sq-AL"/>
              </w:rPr>
              <w:t>Tarifat e rregulluara në nivelin 0,4 kV</w:t>
            </w:r>
          </w:p>
        </w:tc>
        <w:tc>
          <w:tcPr>
            <w:tcW w:w="585" w:type="pct"/>
            <w:tcBorders>
              <w:top w:val="nil"/>
              <w:left w:val="nil"/>
              <w:bottom w:val="single" w:sz="4" w:space="0" w:color="auto"/>
              <w:right w:val="nil"/>
            </w:tcBorders>
            <w:shd w:val="clear" w:color="auto" w:fill="auto"/>
            <w:noWrap/>
            <w:vAlign w:val="bottom"/>
            <w:hideMark/>
          </w:tcPr>
          <w:p w14:paraId="4C68200C" w14:textId="389B2D82" w:rsidR="00B91E60" w:rsidRPr="00444D18" w:rsidRDefault="00B91E60" w:rsidP="00B91E60">
            <w:pPr>
              <w:spacing w:after="0" w:line="240" w:lineRule="auto"/>
              <w:ind w:firstLine="0"/>
              <w:jc w:val="center"/>
              <w:rPr>
                <w:rFonts w:ascii="Garamond" w:eastAsia="Times New Roman" w:hAnsi="Garamond" w:cs="Calibri"/>
                <w:sz w:val="20"/>
                <w:szCs w:val="20"/>
                <w:lang w:val="sq-AL" w:eastAsia="sq-AL"/>
              </w:rPr>
            </w:pPr>
            <w:r w:rsidRPr="00444D18">
              <w:rPr>
                <w:rFonts w:ascii="Garamond" w:eastAsia="Times New Roman" w:hAnsi="Garamond" w:cs="Calibri"/>
                <w:sz w:val="20"/>
                <w:szCs w:val="20"/>
                <w:lang w:val="sq-AL" w:eastAsia="sq-AL"/>
              </w:rPr>
              <w:t>4,887,058</w:t>
            </w:r>
          </w:p>
        </w:tc>
        <w:tc>
          <w:tcPr>
            <w:tcW w:w="127" w:type="pct"/>
            <w:tcBorders>
              <w:top w:val="nil"/>
              <w:left w:val="single" w:sz="4" w:space="0" w:color="auto"/>
              <w:bottom w:val="nil"/>
              <w:right w:val="single" w:sz="4" w:space="0" w:color="auto"/>
            </w:tcBorders>
            <w:shd w:val="clear" w:color="auto" w:fill="auto"/>
            <w:noWrap/>
            <w:vAlign w:val="bottom"/>
            <w:hideMark/>
          </w:tcPr>
          <w:p w14:paraId="4C68200D" w14:textId="342DA646" w:rsidR="00B91E60" w:rsidRPr="00444D18" w:rsidRDefault="00B91E60" w:rsidP="00B91E60">
            <w:pPr>
              <w:spacing w:after="0" w:line="240" w:lineRule="auto"/>
              <w:ind w:firstLine="0"/>
              <w:jc w:val="left"/>
              <w:rPr>
                <w:rFonts w:ascii="Garamond" w:eastAsia="Times New Roman" w:hAnsi="Garamond" w:cs="Calibri"/>
                <w:sz w:val="20"/>
                <w:szCs w:val="20"/>
                <w:lang w:val="sq-AL" w:eastAsia="sq-AL"/>
              </w:rPr>
            </w:pPr>
            <w:r w:rsidRPr="00444D18">
              <w:rPr>
                <w:rFonts w:ascii="Garamond" w:eastAsia="Times New Roman" w:hAnsi="Garamond" w:cs="Calibri"/>
                <w:sz w:val="20"/>
                <w:szCs w:val="20"/>
                <w:lang w:val="sq-AL" w:eastAsia="sq-AL"/>
              </w:rPr>
              <w:t> </w:t>
            </w:r>
          </w:p>
        </w:tc>
        <w:tc>
          <w:tcPr>
            <w:tcW w:w="910" w:type="pct"/>
            <w:tcBorders>
              <w:top w:val="nil"/>
              <w:left w:val="nil"/>
              <w:bottom w:val="single" w:sz="4" w:space="0" w:color="auto"/>
              <w:right w:val="nil"/>
            </w:tcBorders>
            <w:shd w:val="clear" w:color="auto" w:fill="auto"/>
            <w:noWrap/>
            <w:vAlign w:val="bottom"/>
            <w:hideMark/>
          </w:tcPr>
          <w:p w14:paraId="4C68200E" w14:textId="6E48C097" w:rsidR="00B91E60" w:rsidRPr="00444D18" w:rsidRDefault="00B91E60" w:rsidP="00B91E60">
            <w:pPr>
              <w:spacing w:after="0" w:line="240" w:lineRule="auto"/>
              <w:ind w:firstLine="0"/>
              <w:jc w:val="center"/>
              <w:rPr>
                <w:rFonts w:ascii="Garamond" w:eastAsia="Times New Roman" w:hAnsi="Garamond" w:cs="Calibri"/>
                <w:b/>
                <w:bCs/>
                <w:sz w:val="20"/>
                <w:szCs w:val="20"/>
                <w:lang w:val="sq-AL" w:eastAsia="sq-AL"/>
              </w:rPr>
            </w:pPr>
            <w:r w:rsidRPr="00444D18">
              <w:rPr>
                <w:rFonts w:ascii="Garamond" w:eastAsia="Times New Roman" w:hAnsi="Garamond" w:cs="Calibri"/>
                <w:b/>
                <w:bCs/>
                <w:sz w:val="20"/>
                <w:szCs w:val="20"/>
                <w:lang w:val="sq-AL" w:eastAsia="sq-AL"/>
              </w:rPr>
              <w:t>6,238,045</w:t>
            </w:r>
          </w:p>
        </w:tc>
        <w:tc>
          <w:tcPr>
            <w:tcW w:w="414" w:type="pct"/>
            <w:tcBorders>
              <w:top w:val="nil"/>
              <w:left w:val="single" w:sz="4" w:space="0" w:color="auto"/>
              <w:bottom w:val="single" w:sz="4" w:space="0" w:color="auto"/>
              <w:right w:val="single" w:sz="4" w:space="0" w:color="auto"/>
            </w:tcBorders>
            <w:shd w:val="clear" w:color="auto" w:fill="auto"/>
            <w:noWrap/>
            <w:vAlign w:val="bottom"/>
            <w:hideMark/>
          </w:tcPr>
          <w:p w14:paraId="4C68200F" w14:textId="77777777" w:rsidR="00B91E60" w:rsidRPr="00444D18" w:rsidRDefault="00B91E60" w:rsidP="00B91E60">
            <w:pPr>
              <w:spacing w:after="0" w:line="240" w:lineRule="auto"/>
              <w:ind w:firstLine="0"/>
              <w:jc w:val="center"/>
              <w:rPr>
                <w:rFonts w:ascii="Garamond" w:eastAsia="Times New Roman" w:hAnsi="Garamond" w:cs="Calibri"/>
                <w:sz w:val="20"/>
                <w:szCs w:val="20"/>
                <w:lang w:val="sq-AL" w:eastAsia="sq-AL"/>
              </w:rPr>
            </w:pPr>
            <w:r w:rsidRPr="00444D18">
              <w:rPr>
                <w:rFonts w:ascii="Garamond" w:eastAsia="Times New Roman" w:hAnsi="Garamond" w:cs="Calibri"/>
                <w:sz w:val="20"/>
                <w:szCs w:val="20"/>
                <w:lang w:val="sq-AL" w:eastAsia="sq-AL"/>
              </w:rPr>
              <w:t>KESH</w:t>
            </w:r>
          </w:p>
        </w:tc>
      </w:tr>
      <w:tr w:rsidR="00444D18" w:rsidRPr="00444D18" w14:paraId="4C68204C" w14:textId="4BF0C333" w:rsidTr="00B91E60">
        <w:trPr>
          <w:trHeight w:val="240"/>
        </w:trPr>
        <w:tc>
          <w:tcPr>
            <w:tcW w:w="2965" w:type="pct"/>
            <w:tcBorders>
              <w:top w:val="nil"/>
              <w:left w:val="single" w:sz="4" w:space="0" w:color="auto"/>
              <w:bottom w:val="single" w:sz="4" w:space="0" w:color="auto"/>
              <w:right w:val="single" w:sz="4" w:space="0" w:color="auto"/>
            </w:tcBorders>
            <w:shd w:val="clear" w:color="auto" w:fill="auto"/>
            <w:noWrap/>
            <w:vAlign w:val="bottom"/>
            <w:hideMark/>
          </w:tcPr>
          <w:p w14:paraId="4C682047" w14:textId="6E7D688C" w:rsidR="00B91E60" w:rsidRPr="00444D18" w:rsidRDefault="00B91E60" w:rsidP="00B91E60">
            <w:pPr>
              <w:spacing w:after="0" w:line="240" w:lineRule="auto"/>
              <w:ind w:firstLine="0"/>
              <w:jc w:val="left"/>
              <w:rPr>
                <w:rFonts w:ascii="Garamond" w:eastAsia="Times New Roman" w:hAnsi="Garamond" w:cs="Calibri"/>
                <w:sz w:val="20"/>
                <w:szCs w:val="20"/>
                <w:lang w:val="sq-AL" w:eastAsia="sq-AL"/>
              </w:rPr>
            </w:pPr>
            <w:r w:rsidRPr="00444D18">
              <w:rPr>
                <w:rFonts w:ascii="Garamond" w:eastAsia="Times New Roman" w:hAnsi="Garamond" w:cs="Calibri"/>
                <w:sz w:val="20"/>
                <w:szCs w:val="20"/>
                <w:lang w:val="sq-AL" w:eastAsia="sq-AL"/>
              </w:rPr>
              <w:t>Humbjet e OSSH</w:t>
            </w:r>
          </w:p>
        </w:tc>
        <w:tc>
          <w:tcPr>
            <w:tcW w:w="585" w:type="pct"/>
            <w:tcBorders>
              <w:top w:val="nil"/>
              <w:left w:val="nil"/>
              <w:bottom w:val="single" w:sz="4" w:space="0" w:color="auto"/>
              <w:right w:val="nil"/>
            </w:tcBorders>
            <w:shd w:val="clear" w:color="auto" w:fill="auto"/>
            <w:noWrap/>
            <w:vAlign w:val="bottom"/>
            <w:hideMark/>
          </w:tcPr>
          <w:p w14:paraId="4C682048" w14:textId="6BCEDDD6" w:rsidR="00B91E60" w:rsidRPr="00444D18" w:rsidRDefault="00B91E60" w:rsidP="00B91E60">
            <w:pPr>
              <w:spacing w:after="0" w:line="240" w:lineRule="auto"/>
              <w:ind w:firstLine="0"/>
              <w:jc w:val="center"/>
              <w:rPr>
                <w:rFonts w:ascii="Garamond" w:eastAsia="Times New Roman" w:hAnsi="Garamond" w:cs="Calibri"/>
                <w:sz w:val="20"/>
                <w:szCs w:val="20"/>
                <w:lang w:val="sq-AL" w:eastAsia="sq-AL"/>
              </w:rPr>
            </w:pPr>
            <w:r w:rsidRPr="00444D18">
              <w:rPr>
                <w:rFonts w:ascii="Garamond" w:eastAsia="Times New Roman" w:hAnsi="Garamond" w:cs="Calibri"/>
                <w:sz w:val="20"/>
                <w:szCs w:val="20"/>
                <w:lang w:val="sq-AL" w:eastAsia="sq-AL"/>
              </w:rPr>
              <w:t>1,350,987</w:t>
            </w:r>
          </w:p>
        </w:tc>
        <w:tc>
          <w:tcPr>
            <w:tcW w:w="127" w:type="pct"/>
            <w:tcBorders>
              <w:top w:val="nil"/>
              <w:left w:val="single" w:sz="4" w:space="0" w:color="auto"/>
              <w:bottom w:val="nil"/>
              <w:right w:val="single" w:sz="4" w:space="0" w:color="auto"/>
            </w:tcBorders>
            <w:shd w:val="clear" w:color="auto" w:fill="auto"/>
            <w:noWrap/>
            <w:vAlign w:val="bottom"/>
            <w:hideMark/>
          </w:tcPr>
          <w:p w14:paraId="4C682049" w14:textId="7A214A15" w:rsidR="00B91E60" w:rsidRPr="00444D18" w:rsidRDefault="00B91E60" w:rsidP="00B91E60">
            <w:pPr>
              <w:spacing w:after="0" w:line="240" w:lineRule="auto"/>
              <w:ind w:firstLine="0"/>
              <w:jc w:val="left"/>
              <w:rPr>
                <w:rFonts w:ascii="Garamond" w:eastAsia="Times New Roman" w:hAnsi="Garamond" w:cs="Calibri"/>
                <w:sz w:val="20"/>
                <w:szCs w:val="20"/>
                <w:lang w:val="sq-AL" w:eastAsia="sq-AL"/>
              </w:rPr>
            </w:pPr>
            <w:r w:rsidRPr="00444D18">
              <w:rPr>
                <w:rFonts w:ascii="Garamond" w:eastAsia="Times New Roman" w:hAnsi="Garamond" w:cs="Calibri"/>
                <w:sz w:val="20"/>
                <w:szCs w:val="20"/>
                <w:lang w:val="sq-AL" w:eastAsia="sq-AL"/>
              </w:rPr>
              <w:t> </w:t>
            </w:r>
          </w:p>
        </w:tc>
        <w:tc>
          <w:tcPr>
            <w:tcW w:w="910" w:type="pct"/>
            <w:tcBorders>
              <w:top w:val="nil"/>
              <w:left w:val="nil"/>
              <w:bottom w:val="single" w:sz="4" w:space="0" w:color="auto"/>
              <w:right w:val="single" w:sz="4" w:space="0" w:color="auto"/>
            </w:tcBorders>
            <w:shd w:val="clear" w:color="auto" w:fill="auto"/>
            <w:noWrap/>
            <w:vAlign w:val="bottom"/>
            <w:hideMark/>
          </w:tcPr>
          <w:p w14:paraId="4C68204A" w14:textId="6A2404D5" w:rsidR="00B91E60" w:rsidRPr="00444D18" w:rsidRDefault="00B91E60" w:rsidP="00B91E60">
            <w:pPr>
              <w:spacing w:after="0" w:line="240" w:lineRule="auto"/>
              <w:ind w:firstLine="0"/>
              <w:jc w:val="left"/>
              <w:rPr>
                <w:rFonts w:ascii="Garamond" w:eastAsia="Times New Roman" w:hAnsi="Garamond" w:cs="Calibri"/>
                <w:sz w:val="20"/>
                <w:szCs w:val="20"/>
                <w:lang w:val="sq-AL" w:eastAsia="sq-AL"/>
              </w:rPr>
            </w:pPr>
            <w:r w:rsidRPr="00444D18">
              <w:rPr>
                <w:rFonts w:ascii="Garamond" w:eastAsia="Times New Roman" w:hAnsi="Garamond" w:cs="Calibri"/>
                <w:sz w:val="20"/>
                <w:szCs w:val="20"/>
                <w:lang w:val="sq-AL" w:eastAsia="sq-AL"/>
              </w:rPr>
              <w:t> </w:t>
            </w:r>
          </w:p>
        </w:tc>
        <w:tc>
          <w:tcPr>
            <w:tcW w:w="414" w:type="pct"/>
            <w:tcBorders>
              <w:top w:val="nil"/>
              <w:left w:val="nil"/>
              <w:bottom w:val="single" w:sz="4" w:space="0" w:color="auto"/>
              <w:right w:val="single" w:sz="4" w:space="0" w:color="auto"/>
            </w:tcBorders>
            <w:shd w:val="clear" w:color="auto" w:fill="auto"/>
            <w:noWrap/>
            <w:vAlign w:val="bottom"/>
            <w:hideMark/>
          </w:tcPr>
          <w:p w14:paraId="4C68204B" w14:textId="02DA4D4E" w:rsidR="00B91E60" w:rsidRPr="00444D18" w:rsidRDefault="00B91E60" w:rsidP="00B91E60">
            <w:pPr>
              <w:spacing w:after="0" w:line="240" w:lineRule="auto"/>
              <w:ind w:firstLine="0"/>
              <w:jc w:val="left"/>
              <w:rPr>
                <w:rFonts w:ascii="Garamond" w:eastAsia="Times New Roman" w:hAnsi="Garamond" w:cs="Calibri"/>
                <w:sz w:val="20"/>
                <w:szCs w:val="20"/>
                <w:lang w:val="sq-AL" w:eastAsia="sq-AL"/>
              </w:rPr>
            </w:pPr>
            <w:r w:rsidRPr="00444D18">
              <w:rPr>
                <w:rFonts w:ascii="Garamond" w:eastAsia="Times New Roman" w:hAnsi="Garamond" w:cs="Calibri"/>
                <w:sz w:val="20"/>
                <w:szCs w:val="20"/>
                <w:lang w:val="sq-AL" w:eastAsia="sq-AL"/>
              </w:rPr>
              <w:t> </w:t>
            </w:r>
          </w:p>
        </w:tc>
      </w:tr>
      <w:tr w:rsidR="00444D18" w:rsidRPr="00444D18" w14:paraId="4C682052" w14:textId="0BD4485C" w:rsidTr="00B91E60">
        <w:trPr>
          <w:trHeight w:val="240"/>
        </w:trPr>
        <w:tc>
          <w:tcPr>
            <w:tcW w:w="2965" w:type="pct"/>
            <w:tcBorders>
              <w:top w:val="nil"/>
              <w:left w:val="single" w:sz="4" w:space="0" w:color="auto"/>
              <w:bottom w:val="single" w:sz="4" w:space="0" w:color="auto"/>
              <w:right w:val="single" w:sz="4" w:space="0" w:color="auto"/>
            </w:tcBorders>
            <w:shd w:val="clear" w:color="auto" w:fill="auto"/>
            <w:noWrap/>
            <w:vAlign w:val="bottom"/>
            <w:hideMark/>
          </w:tcPr>
          <w:p w14:paraId="4C68204D" w14:textId="1E302708" w:rsidR="00B91E60" w:rsidRPr="00444D18" w:rsidRDefault="00B91E60" w:rsidP="00B91E60">
            <w:pPr>
              <w:spacing w:after="0" w:line="240" w:lineRule="auto"/>
              <w:ind w:firstLine="0"/>
              <w:jc w:val="left"/>
              <w:rPr>
                <w:rFonts w:ascii="Garamond" w:eastAsia="Times New Roman" w:hAnsi="Garamond" w:cs="Calibri"/>
                <w:b/>
                <w:bCs/>
                <w:sz w:val="20"/>
                <w:szCs w:val="20"/>
                <w:lang w:val="sq-AL" w:eastAsia="sq-AL"/>
              </w:rPr>
            </w:pPr>
            <w:r w:rsidRPr="00444D18">
              <w:rPr>
                <w:rFonts w:ascii="Garamond" w:eastAsia="Times New Roman" w:hAnsi="Garamond" w:cs="Calibri"/>
                <w:b/>
                <w:bCs/>
                <w:sz w:val="20"/>
                <w:szCs w:val="20"/>
                <w:lang w:val="sq-AL" w:eastAsia="sq-AL"/>
              </w:rPr>
              <w:t>Total</w:t>
            </w:r>
          </w:p>
        </w:tc>
        <w:tc>
          <w:tcPr>
            <w:tcW w:w="585" w:type="pct"/>
            <w:tcBorders>
              <w:top w:val="nil"/>
              <w:left w:val="nil"/>
              <w:bottom w:val="single" w:sz="4" w:space="0" w:color="auto"/>
              <w:right w:val="nil"/>
            </w:tcBorders>
            <w:shd w:val="clear" w:color="auto" w:fill="auto"/>
            <w:noWrap/>
            <w:vAlign w:val="bottom"/>
            <w:hideMark/>
          </w:tcPr>
          <w:p w14:paraId="4C68204E" w14:textId="5B2D3405" w:rsidR="00B91E60" w:rsidRPr="00444D18" w:rsidRDefault="00B91E60" w:rsidP="00B91E60">
            <w:pPr>
              <w:spacing w:after="0" w:line="240" w:lineRule="auto"/>
              <w:ind w:firstLine="0"/>
              <w:jc w:val="center"/>
              <w:rPr>
                <w:rFonts w:ascii="Garamond" w:eastAsia="Times New Roman" w:hAnsi="Garamond" w:cs="Calibri"/>
                <w:b/>
                <w:bCs/>
                <w:sz w:val="20"/>
                <w:szCs w:val="20"/>
                <w:lang w:val="sq-AL" w:eastAsia="sq-AL"/>
              </w:rPr>
            </w:pPr>
            <w:r w:rsidRPr="00444D18">
              <w:rPr>
                <w:rFonts w:ascii="Garamond" w:eastAsia="Times New Roman" w:hAnsi="Garamond" w:cs="Calibri"/>
                <w:b/>
                <w:bCs/>
                <w:sz w:val="20"/>
                <w:szCs w:val="20"/>
                <w:lang w:val="sq-AL" w:eastAsia="sq-AL"/>
              </w:rPr>
              <w:t>6,238,045</w:t>
            </w:r>
          </w:p>
        </w:tc>
        <w:tc>
          <w:tcPr>
            <w:tcW w:w="127" w:type="pct"/>
            <w:tcBorders>
              <w:top w:val="nil"/>
              <w:left w:val="single" w:sz="4" w:space="0" w:color="auto"/>
              <w:bottom w:val="single" w:sz="4" w:space="0" w:color="auto"/>
              <w:right w:val="single" w:sz="4" w:space="0" w:color="auto"/>
            </w:tcBorders>
            <w:shd w:val="clear" w:color="auto" w:fill="auto"/>
            <w:noWrap/>
            <w:vAlign w:val="bottom"/>
            <w:hideMark/>
          </w:tcPr>
          <w:p w14:paraId="4C68204F" w14:textId="7031849F" w:rsidR="00B91E60" w:rsidRPr="00444D18" w:rsidRDefault="00B91E60" w:rsidP="00B91E60">
            <w:pPr>
              <w:spacing w:after="0" w:line="240" w:lineRule="auto"/>
              <w:ind w:firstLine="0"/>
              <w:jc w:val="left"/>
              <w:rPr>
                <w:rFonts w:ascii="Garamond" w:eastAsia="Times New Roman" w:hAnsi="Garamond" w:cs="Calibri"/>
                <w:sz w:val="20"/>
                <w:szCs w:val="20"/>
                <w:lang w:val="sq-AL" w:eastAsia="sq-AL"/>
              </w:rPr>
            </w:pPr>
            <w:r w:rsidRPr="00444D18">
              <w:rPr>
                <w:rFonts w:ascii="Garamond" w:eastAsia="Times New Roman" w:hAnsi="Garamond" w:cs="Calibri"/>
                <w:sz w:val="20"/>
                <w:szCs w:val="20"/>
                <w:lang w:val="sq-AL" w:eastAsia="sq-AL"/>
              </w:rPr>
              <w:t> </w:t>
            </w:r>
          </w:p>
        </w:tc>
        <w:tc>
          <w:tcPr>
            <w:tcW w:w="910" w:type="pct"/>
            <w:tcBorders>
              <w:top w:val="nil"/>
              <w:left w:val="nil"/>
              <w:bottom w:val="single" w:sz="4" w:space="0" w:color="auto"/>
              <w:right w:val="single" w:sz="4" w:space="0" w:color="auto"/>
            </w:tcBorders>
            <w:shd w:val="clear" w:color="auto" w:fill="auto"/>
            <w:noWrap/>
            <w:vAlign w:val="bottom"/>
            <w:hideMark/>
          </w:tcPr>
          <w:p w14:paraId="4C682050" w14:textId="0E61B5B1" w:rsidR="00B91E60" w:rsidRPr="00444D18" w:rsidRDefault="00B91E60" w:rsidP="00B91E60">
            <w:pPr>
              <w:spacing w:after="0" w:line="240" w:lineRule="auto"/>
              <w:ind w:firstLine="0"/>
              <w:jc w:val="center"/>
              <w:rPr>
                <w:rFonts w:ascii="Garamond" w:eastAsia="Times New Roman" w:hAnsi="Garamond" w:cs="Calibri"/>
                <w:b/>
                <w:bCs/>
                <w:sz w:val="20"/>
                <w:szCs w:val="20"/>
                <w:lang w:val="sq-AL" w:eastAsia="sq-AL"/>
              </w:rPr>
            </w:pPr>
            <w:r w:rsidRPr="00444D18">
              <w:rPr>
                <w:rFonts w:ascii="Garamond" w:eastAsia="Times New Roman" w:hAnsi="Garamond" w:cs="Calibri"/>
                <w:b/>
                <w:bCs/>
                <w:sz w:val="20"/>
                <w:szCs w:val="20"/>
                <w:lang w:val="sq-AL" w:eastAsia="sq-AL"/>
              </w:rPr>
              <w:t>6,238,045</w:t>
            </w:r>
          </w:p>
        </w:tc>
        <w:tc>
          <w:tcPr>
            <w:tcW w:w="414" w:type="pct"/>
            <w:tcBorders>
              <w:top w:val="nil"/>
              <w:left w:val="nil"/>
              <w:bottom w:val="single" w:sz="4" w:space="0" w:color="auto"/>
              <w:right w:val="single" w:sz="4" w:space="0" w:color="auto"/>
            </w:tcBorders>
            <w:shd w:val="clear" w:color="auto" w:fill="auto"/>
            <w:noWrap/>
            <w:vAlign w:val="bottom"/>
            <w:hideMark/>
          </w:tcPr>
          <w:p w14:paraId="4C682051" w14:textId="41FF2410" w:rsidR="00B91E60" w:rsidRPr="00444D18" w:rsidRDefault="00B91E60" w:rsidP="00B91E60">
            <w:pPr>
              <w:spacing w:after="0" w:line="240" w:lineRule="auto"/>
              <w:ind w:firstLine="0"/>
              <w:jc w:val="center"/>
              <w:rPr>
                <w:rFonts w:ascii="Garamond" w:eastAsia="Times New Roman" w:hAnsi="Garamond" w:cs="Calibri"/>
                <w:b/>
                <w:bCs/>
                <w:sz w:val="20"/>
                <w:szCs w:val="20"/>
                <w:lang w:val="sq-AL" w:eastAsia="sq-AL"/>
              </w:rPr>
            </w:pPr>
            <w:r w:rsidRPr="00444D18">
              <w:rPr>
                <w:rFonts w:ascii="Garamond" w:eastAsia="Times New Roman" w:hAnsi="Garamond" w:cs="Calibri"/>
                <w:b/>
                <w:bCs/>
                <w:sz w:val="20"/>
                <w:szCs w:val="20"/>
                <w:lang w:val="sq-AL" w:eastAsia="sq-AL"/>
              </w:rPr>
              <w:t>Total</w:t>
            </w:r>
          </w:p>
        </w:tc>
      </w:tr>
      <w:tr w:rsidR="00444D18" w:rsidRPr="00444D18" w14:paraId="4C682073" w14:textId="74174809" w:rsidTr="00B91E60">
        <w:trPr>
          <w:trHeight w:val="240"/>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682072" w14:textId="77777777" w:rsidR="00B91E60" w:rsidRPr="00444D18" w:rsidRDefault="00B91E60" w:rsidP="00B91E60">
            <w:pPr>
              <w:spacing w:after="0" w:line="240" w:lineRule="auto"/>
              <w:ind w:firstLine="0"/>
              <w:jc w:val="center"/>
              <w:rPr>
                <w:rFonts w:ascii="Garamond" w:eastAsia="Times New Roman" w:hAnsi="Garamond" w:cs="Calibri"/>
                <w:b/>
                <w:bCs/>
                <w:sz w:val="20"/>
                <w:szCs w:val="20"/>
                <w:lang w:val="sq-AL" w:eastAsia="sq-AL"/>
              </w:rPr>
            </w:pPr>
            <w:r w:rsidRPr="00444D18">
              <w:rPr>
                <w:rFonts w:ascii="Garamond" w:eastAsia="Times New Roman" w:hAnsi="Garamond" w:cs="Calibri"/>
                <w:b/>
                <w:bCs/>
                <w:sz w:val="20"/>
                <w:szCs w:val="20"/>
                <w:lang w:val="sq-AL" w:eastAsia="sq-AL"/>
              </w:rPr>
              <w:t>Tregu i parregulluar</w:t>
            </w:r>
          </w:p>
        </w:tc>
      </w:tr>
      <w:tr w:rsidR="00444D18" w:rsidRPr="00444D18" w14:paraId="4C682077" w14:textId="1CDE6905" w:rsidTr="00B91E60">
        <w:trPr>
          <w:trHeight w:val="240"/>
        </w:trPr>
        <w:tc>
          <w:tcPr>
            <w:tcW w:w="2965" w:type="pct"/>
            <w:tcBorders>
              <w:top w:val="nil"/>
              <w:left w:val="single" w:sz="4" w:space="0" w:color="auto"/>
              <w:bottom w:val="single" w:sz="4" w:space="0" w:color="auto"/>
              <w:right w:val="single" w:sz="4" w:space="0" w:color="auto"/>
            </w:tcBorders>
            <w:shd w:val="clear" w:color="auto" w:fill="auto"/>
            <w:noWrap/>
            <w:vAlign w:val="bottom"/>
            <w:hideMark/>
          </w:tcPr>
          <w:p w14:paraId="4C682074" w14:textId="254BCEBC" w:rsidR="00B91E60" w:rsidRPr="00444D18" w:rsidRDefault="00B91E60" w:rsidP="00B91E60">
            <w:pPr>
              <w:spacing w:after="0" w:line="240" w:lineRule="auto"/>
              <w:ind w:firstLine="0"/>
              <w:jc w:val="left"/>
              <w:rPr>
                <w:rFonts w:ascii="Garamond" w:eastAsia="Times New Roman" w:hAnsi="Garamond" w:cs="Calibri"/>
                <w:b/>
                <w:bCs/>
                <w:sz w:val="20"/>
                <w:szCs w:val="20"/>
                <w:lang w:val="sq-AL" w:eastAsia="sq-AL"/>
              </w:rPr>
            </w:pPr>
            <w:r w:rsidRPr="00444D18">
              <w:rPr>
                <w:rFonts w:ascii="Garamond" w:eastAsia="Times New Roman" w:hAnsi="Garamond" w:cs="Calibri"/>
                <w:b/>
                <w:bCs/>
                <w:sz w:val="20"/>
                <w:szCs w:val="20"/>
                <w:lang w:val="sq-AL" w:eastAsia="sq-AL"/>
              </w:rPr>
              <w:t>Blerjet (MWh)</w:t>
            </w:r>
          </w:p>
        </w:tc>
        <w:tc>
          <w:tcPr>
            <w:tcW w:w="585" w:type="pct"/>
            <w:tcBorders>
              <w:top w:val="nil"/>
              <w:left w:val="nil"/>
              <w:bottom w:val="single" w:sz="4" w:space="0" w:color="auto"/>
              <w:right w:val="nil"/>
            </w:tcBorders>
            <w:shd w:val="clear" w:color="auto" w:fill="auto"/>
            <w:noWrap/>
            <w:vAlign w:val="bottom"/>
            <w:hideMark/>
          </w:tcPr>
          <w:p w14:paraId="4C682075" w14:textId="6846D850" w:rsidR="00B91E60" w:rsidRPr="00444D18" w:rsidRDefault="00B91E60" w:rsidP="00B91E60">
            <w:pPr>
              <w:spacing w:after="0" w:line="240" w:lineRule="auto"/>
              <w:ind w:firstLine="0"/>
              <w:jc w:val="left"/>
              <w:rPr>
                <w:rFonts w:ascii="Garamond" w:eastAsia="Times New Roman" w:hAnsi="Garamond" w:cs="Calibri"/>
                <w:sz w:val="20"/>
                <w:szCs w:val="20"/>
                <w:lang w:val="sq-AL" w:eastAsia="sq-AL"/>
              </w:rPr>
            </w:pPr>
            <w:r w:rsidRPr="00444D18">
              <w:rPr>
                <w:rFonts w:ascii="Garamond" w:eastAsia="Times New Roman" w:hAnsi="Garamond" w:cs="Calibri"/>
                <w:sz w:val="20"/>
                <w:szCs w:val="20"/>
                <w:lang w:val="sq-AL" w:eastAsia="sq-AL"/>
              </w:rPr>
              <w:t> </w:t>
            </w:r>
          </w:p>
        </w:tc>
        <w:tc>
          <w:tcPr>
            <w:tcW w:w="127" w:type="pct"/>
            <w:tcBorders>
              <w:top w:val="nil"/>
              <w:left w:val="single" w:sz="4" w:space="0" w:color="auto"/>
              <w:bottom w:val="nil"/>
              <w:right w:val="single" w:sz="4" w:space="0" w:color="auto"/>
            </w:tcBorders>
            <w:shd w:val="clear" w:color="auto" w:fill="auto"/>
            <w:noWrap/>
            <w:vAlign w:val="bottom"/>
            <w:hideMark/>
          </w:tcPr>
          <w:p w14:paraId="00E562FD" w14:textId="77777777" w:rsidR="00B91E60" w:rsidRPr="00444D18" w:rsidRDefault="00B91E60" w:rsidP="00B91E60">
            <w:pPr>
              <w:spacing w:after="0" w:line="240" w:lineRule="auto"/>
              <w:ind w:firstLine="0"/>
              <w:jc w:val="left"/>
              <w:rPr>
                <w:rFonts w:ascii="Garamond" w:eastAsia="Times New Roman" w:hAnsi="Garamond" w:cs="Calibri"/>
                <w:sz w:val="20"/>
                <w:szCs w:val="20"/>
                <w:lang w:val="sq-AL" w:eastAsia="sq-AL"/>
              </w:rPr>
            </w:pPr>
            <w:r w:rsidRPr="00444D18">
              <w:rPr>
                <w:rFonts w:ascii="Garamond" w:eastAsia="Times New Roman" w:hAnsi="Garamond" w:cs="Calibri"/>
                <w:sz w:val="20"/>
                <w:szCs w:val="20"/>
                <w:lang w:val="sq-AL" w:eastAsia="sq-AL"/>
              </w:rPr>
              <w:t> </w:t>
            </w:r>
          </w:p>
        </w:tc>
        <w:tc>
          <w:tcPr>
            <w:tcW w:w="910" w:type="pct"/>
            <w:tcBorders>
              <w:top w:val="nil"/>
              <w:left w:val="nil"/>
              <w:bottom w:val="single" w:sz="4" w:space="0" w:color="auto"/>
              <w:right w:val="single" w:sz="4" w:space="0" w:color="auto"/>
            </w:tcBorders>
            <w:shd w:val="clear" w:color="auto" w:fill="auto"/>
            <w:noWrap/>
            <w:vAlign w:val="bottom"/>
            <w:hideMark/>
          </w:tcPr>
          <w:p w14:paraId="4C682076" w14:textId="282FE5F2" w:rsidR="00B91E60" w:rsidRPr="00444D18" w:rsidRDefault="00B91E60" w:rsidP="00B91E60">
            <w:pPr>
              <w:spacing w:after="0" w:line="240" w:lineRule="auto"/>
              <w:ind w:firstLine="0"/>
              <w:jc w:val="left"/>
              <w:rPr>
                <w:rFonts w:ascii="Garamond" w:eastAsia="Times New Roman" w:hAnsi="Garamond" w:cs="Calibri"/>
                <w:b/>
                <w:bCs/>
                <w:sz w:val="20"/>
                <w:szCs w:val="20"/>
                <w:lang w:val="sq-AL" w:eastAsia="sq-AL"/>
              </w:rPr>
            </w:pPr>
            <w:r w:rsidRPr="00444D18">
              <w:rPr>
                <w:rFonts w:ascii="Garamond" w:eastAsia="Times New Roman" w:hAnsi="Garamond" w:cs="Calibri"/>
                <w:b/>
                <w:bCs/>
                <w:sz w:val="20"/>
                <w:szCs w:val="20"/>
                <w:lang w:val="sq-AL" w:eastAsia="sq-AL"/>
              </w:rPr>
              <w:t>Shitjet (MWh)</w:t>
            </w:r>
          </w:p>
        </w:tc>
        <w:tc>
          <w:tcPr>
            <w:tcW w:w="414" w:type="pct"/>
            <w:tcBorders>
              <w:top w:val="nil"/>
              <w:left w:val="nil"/>
              <w:bottom w:val="single" w:sz="4" w:space="0" w:color="auto"/>
              <w:right w:val="single" w:sz="4" w:space="0" w:color="auto"/>
            </w:tcBorders>
            <w:shd w:val="clear" w:color="auto" w:fill="auto"/>
            <w:noWrap/>
            <w:vAlign w:val="bottom"/>
            <w:hideMark/>
          </w:tcPr>
          <w:p w14:paraId="50954011" w14:textId="77777777" w:rsidR="00B91E60" w:rsidRPr="00444D18" w:rsidRDefault="00B91E60" w:rsidP="00B91E60">
            <w:pPr>
              <w:spacing w:after="0" w:line="240" w:lineRule="auto"/>
              <w:ind w:firstLine="0"/>
              <w:jc w:val="left"/>
              <w:rPr>
                <w:rFonts w:ascii="Garamond" w:eastAsia="Times New Roman" w:hAnsi="Garamond" w:cs="Calibri"/>
                <w:sz w:val="20"/>
                <w:szCs w:val="20"/>
                <w:lang w:val="sq-AL" w:eastAsia="sq-AL"/>
              </w:rPr>
            </w:pPr>
            <w:r w:rsidRPr="00444D18">
              <w:rPr>
                <w:rFonts w:ascii="Garamond" w:eastAsia="Times New Roman" w:hAnsi="Garamond" w:cs="Calibri"/>
                <w:sz w:val="20"/>
                <w:szCs w:val="20"/>
                <w:lang w:val="sq-AL" w:eastAsia="sq-AL"/>
              </w:rPr>
              <w:t> </w:t>
            </w:r>
          </w:p>
        </w:tc>
      </w:tr>
      <w:tr w:rsidR="00444D18" w:rsidRPr="00444D18" w14:paraId="4C68207D" w14:textId="08C7AD23" w:rsidTr="00B91E60">
        <w:trPr>
          <w:trHeight w:val="240"/>
        </w:trPr>
        <w:tc>
          <w:tcPr>
            <w:tcW w:w="2965" w:type="pct"/>
            <w:tcBorders>
              <w:top w:val="nil"/>
              <w:left w:val="single" w:sz="4" w:space="0" w:color="auto"/>
              <w:bottom w:val="single" w:sz="4" w:space="0" w:color="auto"/>
              <w:right w:val="single" w:sz="4" w:space="0" w:color="auto"/>
            </w:tcBorders>
            <w:shd w:val="clear" w:color="auto" w:fill="auto"/>
            <w:noWrap/>
            <w:vAlign w:val="bottom"/>
            <w:hideMark/>
          </w:tcPr>
          <w:p w14:paraId="4C682078" w14:textId="7D4425A0" w:rsidR="00B91E60" w:rsidRPr="00444D18" w:rsidRDefault="00B91E60" w:rsidP="00B91E60">
            <w:pPr>
              <w:spacing w:after="0" w:line="240" w:lineRule="auto"/>
              <w:ind w:firstLine="0"/>
              <w:jc w:val="left"/>
              <w:rPr>
                <w:rFonts w:ascii="Garamond" w:eastAsia="Times New Roman" w:hAnsi="Garamond" w:cs="Calibri"/>
                <w:sz w:val="20"/>
                <w:szCs w:val="20"/>
                <w:lang w:val="sq-AL" w:eastAsia="sq-AL"/>
              </w:rPr>
            </w:pPr>
            <w:r w:rsidRPr="00444D18">
              <w:rPr>
                <w:rFonts w:ascii="Garamond" w:eastAsia="Times New Roman" w:hAnsi="Garamond" w:cs="Calibri"/>
                <w:sz w:val="20"/>
                <w:szCs w:val="20"/>
                <w:lang w:val="sq-AL" w:eastAsia="sq-AL"/>
              </w:rPr>
              <w:t> </w:t>
            </w:r>
          </w:p>
        </w:tc>
        <w:tc>
          <w:tcPr>
            <w:tcW w:w="585" w:type="pct"/>
            <w:tcBorders>
              <w:top w:val="nil"/>
              <w:left w:val="nil"/>
              <w:bottom w:val="single" w:sz="4" w:space="0" w:color="auto"/>
              <w:right w:val="nil"/>
            </w:tcBorders>
            <w:shd w:val="clear" w:color="auto" w:fill="auto"/>
            <w:noWrap/>
            <w:vAlign w:val="bottom"/>
            <w:hideMark/>
          </w:tcPr>
          <w:p w14:paraId="4C682079" w14:textId="374E6018" w:rsidR="00B91E60" w:rsidRPr="00444D18" w:rsidRDefault="00B91E60" w:rsidP="00B91E60">
            <w:pPr>
              <w:spacing w:after="0" w:line="240" w:lineRule="auto"/>
              <w:ind w:firstLine="0"/>
              <w:jc w:val="center"/>
              <w:rPr>
                <w:rFonts w:ascii="Garamond" w:eastAsia="Times New Roman" w:hAnsi="Garamond" w:cs="Calibri"/>
                <w:sz w:val="20"/>
                <w:szCs w:val="20"/>
                <w:lang w:val="sq-AL" w:eastAsia="sq-AL"/>
              </w:rPr>
            </w:pPr>
            <w:r w:rsidRPr="00444D18">
              <w:rPr>
                <w:rFonts w:ascii="Garamond" w:eastAsia="Times New Roman" w:hAnsi="Garamond" w:cs="Calibri"/>
                <w:sz w:val="20"/>
                <w:szCs w:val="20"/>
                <w:lang w:val="sq-AL" w:eastAsia="sq-AL"/>
              </w:rPr>
              <w:t>N/A</w:t>
            </w:r>
          </w:p>
        </w:tc>
        <w:tc>
          <w:tcPr>
            <w:tcW w:w="127" w:type="pct"/>
            <w:tcBorders>
              <w:top w:val="nil"/>
              <w:left w:val="single" w:sz="4" w:space="0" w:color="auto"/>
              <w:bottom w:val="nil"/>
              <w:right w:val="single" w:sz="4" w:space="0" w:color="auto"/>
            </w:tcBorders>
            <w:shd w:val="clear" w:color="auto" w:fill="auto"/>
            <w:noWrap/>
            <w:vAlign w:val="bottom"/>
            <w:hideMark/>
          </w:tcPr>
          <w:p w14:paraId="4C68207A" w14:textId="54C94AB0" w:rsidR="00B91E60" w:rsidRPr="00444D18" w:rsidRDefault="00B91E60" w:rsidP="00B91E60">
            <w:pPr>
              <w:spacing w:after="0" w:line="240" w:lineRule="auto"/>
              <w:ind w:firstLine="0"/>
              <w:jc w:val="left"/>
              <w:rPr>
                <w:rFonts w:ascii="Garamond" w:eastAsia="Times New Roman" w:hAnsi="Garamond" w:cs="Calibri"/>
                <w:sz w:val="20"/>
                <w:szCs w:val="20"/>
                <w:lang w:val="sq-AL" w:eastAsia="sq-AL"/>
              </w:rPr>
            </w:pPr>
            <w:r w:rsidRPr="00444D18">
              <w:rPr>
                <w:rFonts w:ascii="Garamond" w:eastAsia="Times New Roman" w:hAnsi="Garamond" w:cs="Calibri"/>
                <w:sz w:val="20"/>
                <w:szCs w:val="20"/>
                <w:lang w:val="sq-AL" w:eastAsia="sq-AL"/>
              </w:rPr>
              <w:t> </w:t>
            </w:r>
          </w:p>
        </w:tc>
        <w:tc>
          <w:tcPr>
            <w:tcW w:w="910" w:type="pct"/>
            <w:tcBorders>
              <w:top w:val="nil"/>
              <w:left w:val="nil"/>
              <w:bottom w:val="single" w:sz="4" w:space="0" w:color="auto"/>
              <w:right w:val="single" w:sz="4" w:space="0" w:color="auto"/>
            </w:tcBorders>
            <w:shd w:val="clear" w:color="auto" w:fill="auto"/>
            <w:noWrap/>
            <w:vAlign w:val="bottom"/>
            <w:hideMark/>
          </w:tcPr>
          <w:p w14:paraId="4C68207B" w14:textId="32A983A2" w:rsidR="00B91E60" w:rsidRPr="00444D18" w:rsidRDefault="00B91E60" w:rsidP="00B91E60">
            <w:pPr>
              <w:spacing w:after="0" w:line="240" w:lineRule="auto"/>
              <w:ind w:firstLine="0"/>
              <w:jc w:val="center"/>
              <w:rPr>
                <w:rFonts w:ascii="Garamond" w:eastAsia="Times New Roman" w:hAnsi="Garamond" w:cs="Calibri"/>
                <w:sz w:val="20"/>
                <w:szCs w:val="20"/>
                <w:lang w:val="sq-AL" w:eastAsia="sq-AL"/>
              </w:rPr>
            </w:pPr>
            <w:r w:rsidRPr="00444D18">
              <w:rPr>
                <w:rFonts w:ascii="Garamond" w:eastAsia="Times New Roman" w:hAnsi="Garamond" w:cs="Calibri"/>
                <w:sz w:val="20"/>
                <w:szCs w:val="20"/>
                <w:lang w:val="sq-AL" w:eastAsia="sq-AL"/>
              </w:rPr>
              <w:t>N/A</w:t>
            </w:r>
          </w:p>
        </w:tc>
        <w:tc>
          <w:tcPr>
            <w:tcW w:w="414" w:type="pct"/>
            <w:tcBorders>
              <w:top w:val="nil"/>
              <w:left w:val="nil"/>
              <w:bottom w:val="single" w:sz="4" w:space="0" w:color="auto"/>
              <w:right w:val="single" w:sz="4" w:space="0" w:color="auto"/>
            </w:tcBorders>
            <w:shd w:val="clear" w:color="auto" w:fill="auto"/>
            <w:noWrap/>
            <w:vAlign w:val="bottom"/>
            <w:hideMark/>
          </w:tcPr>
          <w:p w14:paraId="4C68207C" w14:textId="2C2BAB1B" w:rsidR="00B91E60" w:rsidRPr="00444D18" w:rsidRDefault="00B91E60" w:rsidP="00B91E60">
            <w:pPr>
              <w:spacing w:after="0" w:line="240" w:lineRule="auto"/>
              <w:ind w:firstLine="0"/>
              <w:jc w:val="center"/>
              <w:rPr>
                <w:rFonts w:ascii="Garamond" w:eastAsia="Times New Roman" w:hAnsi="Garamond" w:cs="Calibri"/>
                <w:sz w:val="20"/>
                <w:szCs w:val="20"/>
                <w:lang w:val="sq-AL" w:eastAsia="sq-AL"/>
              </w:rPr>
            </w:pPr>
            <w:r w:rsidRPr="00444D18">
              <w:rPr>
                <w:rFonts w:ascii="Garamond" w:eastAsia="Times New Roman" w:hAnsi="Garamond" w:cs="Calibri"/>
                <w:sz w:val="20"/>
                <w:szCs w:val="20"/>
                <w:lang w:val="sq-AL" w:eastAsia="sq-AL"/>
              </w:rPr>
              <w:t> </w:t>
            </w:r>
          </w:p>
        </w:tc>
      </w:tr>
      <w:tr w:rsidR="00444D18" w:rsidRPr="00444D18" w14:paraId="4C682083" w14:textId="224FE8B4" w:rsidTr="00B91E60">
        <w:trPr>
          <w:trHeight w:val="240"/>
        </w:trPr>
        <w:tc>
          <w:tcPr>
            <w:tcW w:w="2965" w:type="pct"/>
            <w:tcBorders>
              <w:top w:val="nil"/>
              <w:left w:val="single" w:sz="4" w:space="0" w:color="auto"/>
              <w:bottom w:val="single" w:sz="4" w:space="0" w:color="auto"/>
              <w:right w:val="single" w:sz="4" w:space="0" w:color="auto"/>
            </w:tcBorders>
            <w:shd w:val="clear" w:color="auto" w:fill="auto"/>
            <w:noWrap/>
            <w:vAlign w:val="bottom"/>
            <w:hideMark/>
          </w:tcPr>
          <w:p w14:paraId="4C68207E" w14:textId="635877FE" w:rsidR="00B91E60" w:rsidRPr="00444D18" w:rsidRDefault="00B91E60" w:rsidP="00B91E60">
            <w:pPr>
              <w:spacing w:after="0" w:line="240" w:lineRule="auto"/>
              <w:ind w:firstLine="0"/>
              <w:jc w:val="left"/>
              <w:rPr>
                <w:rFonts w:ascii="Garamond" w:eastAsia="Times New Roman" w:hAnsi="Garamond" w:cs="Calibri"/>
                <w:sz w:val="20"/>
                <w:szCs w:val="20"/>
                <w:lang w:val="sq-AL" w:eastAsia="sq-AL"/>
              </w:rPr>
            </w:pPr>
            <w:r w:rsidRPr="00444D18">
              <w:rPr>
                <w:rFonts w:ascii="Garamond" w:eastAsia="Times New Roman" w:hAnsi="Garamond" w:cs="Calibri"/>
                <w:sz w:val="20"/>
                <w:szCs w:val="20"/>
                <w:lang w:val="sq-AL" w:eastAsia="sq-AL"/>
              </w:rPr>
              <w:t>Blerjet në voltazhin e lartë</w:t>
            </w:r>
          </w:p>
        </w:tc>
        <w:tc>
          <w:tcPr>
            <w:tcW w:w="585" w:type="pct"/>
            <w:tcBorders>
              <w:top w:val="nil"/>
              <w:left w:val="nil"/>
              <w:bottom w:val="single" w:sz="4" w:space="0" w:color="auto"/>
              <w:right w:val="nil"/>
            </w:tcBorders>
            <w:shd w:val="clear" w:color="auto" w:fill="auto"/>
            <w:noWrap/>
            <w:vAlign w:val="bottom"/>
            <w:hideMark/>
          </w:tcPr>
          <w:p w14:paraId="4C68207F" w14:textId="24ED1796" w:rsidR="00B91E60" w:rsidRPr="00444D18" w:rsidRDefault="00B91E60" w:rsidP="00B91E60">
            <w:pPr>
              <w:spacing w:after="0" w:line="240" w:lineRule="auto"/>
              <w:ind w:firstLine="0"/>
              <w:jc w:val="left"/>
              <w:rPr>
                <w:rFonts w:ascii="Garamond" w:eastAsia="Times New Roman" w:hAnsi="Garamond" w:cs="Calibri"/>
                <w:sz w:val="20"/>
                <w:szCs w:val="20"/>
                <w:lang w:val="sq-AL" w:eastAsia="sq-AL"/>
              </w:rPr>
            </w:pPr>
            <w:r w:rsidRPr="00444D18">
              <w:rPr>
                <w:rFonts w:ascii="Garamond" w:eastAsia="Times New Roman" w:hAnsi="Garamond" w:cs="Calibri"/>
                <w:sz w:val="20"/>
                <w:szCs w:val="20"/>
                <w:lang w:val="sq-AL" w:eastAsia="sq-AL"/>
              </w:rPr>
              <w:t> </w:t>
            </w:r>
          </w:p>
        </w:tc>
        <w:tc>
          <w:tcPr>
            <w:tcW w:w="127" w:type="pct"/>
            <w:tcBorders>
              <w:top w:val="nil"/>
              <w:left w:val="single" w:sz="4" w:space="0" w:color="auto"/>
              <w:bottom w:val="nil"/>
              <w:right w:val="single" w:sz="4" w:space="0" w:color="auto"/>
            </w:tcBorders>
            <w:shd w:val="clear" w:color="auto" w:fill="auto"/>
            <w:noWrap/>
            <w:vAlign w:val="bottom"/>
            <w:hideMark/>
          </w:tcPr>
          <w:p w14:paraId="4C682080" w14:textId="36AEAE95" w:rsidR="00B91E60" w:rsidRPr="00444D18" w:rsidRDefault="00B91E60" w:rsidP="00B91E60">
            <w:pPr>
              <w:spacing w:after="0" w:line="240" w:lineRule="auto"/>
              <w:ind w:firstLine="0"/>
              <w:jc w:val="left"/>
              <w:rPr>
                <w:rFonts w:ascii="Garamond" w:eastAsia="Times New Roman" w:hAnsi="Garamond" w:cs="Calibri"/>
                <w:sz w:val="20"/>
                <w:szCs w:val="20"/>
                <w:lang w:val="sq-AL" w:eastAsia="sq-AL"/>
              </w:rPr>
            </w:pPr>
            <w:r w:rsidRPr="00444D18">
              <w:rPr>
                <w:rFonts w:ascii="Garamond" w:eastAsia="Times New Roman" w:hAnsi="Garamond" w:cs="Calibri"/>
                <w:sz w:val="20"/>
                <w:szCs w:val="20"/>
                <w:lang w:val="sq-AL" w:eastAsia="sq-AL"/>
              </w:rPr>
              <w:t> </w:t>
            </w:r>
          </w:p>
        </w:tc>
        <w:tc>
          <w:tcPr>
            <w:tcW w:w="910" w:type="pct"/>
            <w:tcBorders>
              <w:top w:val="nil"/>
              <w:left w:val="nil"/>
              <w:bottom w:val="single" w:sz="4" w:space="0" w:color="auto"/>
              <w:right w:val="nil"/>
            </w:tcBorders>
            <w:shd w:val="clear" w:color="auto" w:fill="auto"/>
            <w:noWrap/>
            <w:vAlign w:val="bottom"/>
            <w:hideMark/>
          </w:tcPr>
          <w:p w14:paraId="4C682081" w14:textId="6718D4B4" w:rsidR="00B91E60" w:rsidRPr="00444D18" w:rsidRDefault="00B91E60" w:rsidP="00B91E60">
            <w:pPr>
              <w:spacing w:after="0" w:line="240" w:lineRule="auto"/>
              <w:ind w:firstLine="0"/>
              <w:jc w:val="center"/>
              <w:rPr>
                <w:rFonts w:ascii="Garamond" w:eastAsia="Times New Roman" w:hAnsi="Garamond" w:cs="Calibri"/>
                <w:b/>
                <w:bCs/>
                <w:sz w:val="20"/>
                <w:szCs w:val="20"/>
                <w:lang w:val="sq-AL" w:eastAsia="sq-AL"/>
              </w:rPr>
            </w:pPr>
            <w:r w:rsidRPr="00444D18">
              <w:rPr>
                <w:rFonts w:ascii="Garamond" w:eastAsia="Times New Roman" w:hAnsi="Garamond" w:cs="Calibri"/>
                <w:b/>
                <w:bCs/>
                <w:sz w:val="20"/>
                <w:szCs w:val="20"/>
                <w:lang w:val="sq-AL" w:eastAsia="sq-AL"/>
              </w:rPr>
              <w:t>435,482</w:t>
            </w:r>
          </w:p>
        </w:tc>
        <w:tc>
          <w:tcPr>
            <w:tcW w:w="414" w:type="pct"/>
            <w:tcBorders>
              <w:top w:val="nil"/>
              <w:left w:val="single" w:sz="4" w:space="0" w:color="auto"/>
              <w:bottom w:val="single" w:sz="4" w:space="0" w:color="auto"/>
              <w:right w:val="single" w:sz="4" w:space="0" w:color="auto"/>
            </w:tcBorders>
            <w:shd w:val="clear" w:color="auto" w:fill="auto"/>
            <w:noWrap/>
            <w:vAlign w:val="bottom"/>
            <w:hideMark/>
          </w:tcPr>
          <w:p w14:paraId="4C682082" w14:textId="58543C67" w:rsidR="00B91E60" w:rsidRPr="00444D18" w:rsidRDefault="00B91E60" w:rsidP="00B91E60">
            <w:pPr>
              <w:spacing w:after="0" w:line="240" w:lineRule="auto"/>
              <w:ind w:firstLine="0"/>
              <w:jc w:val="center"/>
              <w:rPr>
                <w:rFonts w:ascii="Garamond" w:eastAsia="Times New Roman" w:hAnsi="Garamond" w:cs="Calibri"/>
                <w:sz w:val="20"/>
                <w:szCs w:val="20"/>
                <w:lang w:val="sq-AL" w:eastAsia="sq-AL"/>
              </w:rPr>
            </w:pPr>
            <w:r w:rsidRPr="00444D18">
              <w:rPr>
                <w:rFonts w:ascii="Garamond" w:eastAsia="Times New Roman" w:hAnsi="Garamond" w:cs="Calibri"/>
                <w:sz w:val="20"/>
                <w:szCs w:val="20"/>
                <w:lang w:val="sq-AL" w:eastAsia="sq-AL"/>
              </w:rPr>
              <w:t> </w:t>
            </w:r>
          </w:p>
        </w:tc>
      </w:tr>
      <w:tr w:rsidR="00444D18" w:rsidRPr="00444D18" w14:paraId="4C682089" w14:textId="329E15A2" w:rsidTr="00B91E60">
        <w:trPr>
          <w:trHeight w:val="240"/>
        </w:trPr>
        <w:tc>
          <w:tcPr>
            <w:tcW w:w="2965" w:type="pct"/>
            <w:tcBorders>
              <w:top w:val="nil"/>
              <w:left w:val="single" w:sz="4" w:space="0" w:color="auto"/>
              <w:bottom w:val="single" w:sz="4" w:space="0" w:color="auto"/>
              <w:right w:val="single" w:sz="4" w:space="0" w:color="auto"/>
            </w:tcBorders>
            <w:shd w:val="clear" w:color="auto" w:fill="auto"/>
            <w:noWrap/>
            <w:vAlign w:val="bottom"/>
            <w:hideMark/>
          </w:tcPr>
          <w:p w14:paraId="4C682084" w14:textId="75B0B600" w:rsidR="00B91E60" w:rsidRPr="00444D18" w:rsidRDefault="00B91E60" w:rsidP="00B91E60">
            <w:pPr>
              <w:spacing w:after="0" w:line="240" w:lineRule="auto"/>
              <w:ind w:firstLine="0"/>
              <w:jc w:val="left"/>
              <w:rPr>
                <w:rFonts w:ascii="Garamond" w:eastAsia="Times New Roman" w:hAnsi="Garamond" w:cs="Calibri"/>
                <w:sz w:val="20"/>
                <w:szCs w:val="20"/>
                <w:lang w:val="sq-AL" w:eastAsia="sq-AL"/>
              </w:rPr>
            </w:pPr>
            <w:r w:rsidRPr="00444D18">
              <w:rPr>
                <w:rFonts w:ascii="Garamond" w:eastAsia="Times New Roman" w:hAnsi="Garamond" w:cs="Calibri"/>
                <w:sz w:val="20"/>
                <w:szCs w:val="20"/>
                <w:lang w:val="sq-AL" w:eastAsia="sq-AL"/>
              </w:rPr>
              <w:t>Konsumatorët në 35 kV</w:t>
            </w:r>
          </w:p>
        </w:tc>
        <w:tc>
          <w:tcPr>
            <w:tcW w:w="585" w:type="pct"/>
            <w:tcBorders>
              <w:top w:val="nil"/>
              <w:left w:val="nil"/>
              <w:bottom w:val="single" w:sz="4" w:space="0" w:color="auto"/>
              <w:right w:val="nil"/>
            </w:tcBorders>
            <w:shd w:val="clear" w:color="auto" w:fill="auto"/>
            <w:noWrap/>
            <w:vAlign w:val="bottom"/>
            <w:hideMark/>
          </w:tcPr>
          <w:p w14:paraId="4C682085" w14:textId="01C2C70F" w:rsidR="00B91E60" w:rsidRPr="00444D18" w:rsidRDefault="00B91E60" w:rsidP="00B91E60">
            <w:pPr>
              <w:spacing w:after="0" w:line="240" w:lineRule="auto"/>
              <w:ind w:firstLine="0"/>
              <w:jc w:val="center"/>
              <w:rPr>
                <w:rFonts w:ascii="Garamond" w:eastAsia="Times New Roman" w:hAnsi="Garamond" w:cs="Calibri"/>
                <w:sz w:val="20"/>
                <w:szCs w:val="20"/>
                <w:lang w:val="sq-AL" w:eastAsia="sq-AL"/>
              </w:rPr>
            </w:pPr>
            <w:r w:rsidRPr="00444D18">
              <w:rPr>
                <w:rFonts w:ascii="Garamond" w:eastAsia="Times New Roman" w:hAnsi="Garamond" w:cs="Calibri"/>
                <w:sz w:val="20"/>
                <w:szCs w:val="20"/>
                <w:lang w:val="sq-AL" w:eastAsia="sq-AL"/>
              </w:rPr>
              <w:t>80,563</w:t>
            </w:r>
          </w:p>
        </w:tc>
        <w:tc>
          <w:tcPr>
            <w:tcW w:w="127" w:type="pct"/>
            <w:tcBorders>
              <w:top w:val="nil"/>
              <w:left w:val="single" w:sz="4" w:space="0" w:color="auto"/>
              <w:bottom w:val="nil"/>
              <w:right w:val="single" w:sz="4" w:space="0" w:color="auto"/>
            </w:tcBorders>
            <w:shd w:val="clear" w:color="auto" w:fill="auto"/>
            <w:noWrap/>
            <w:vAlign w:val="bottom"/>
            <w:hideMark/>
          </w:tcPr>
          <w:p w14:paraId="4C682086" w14:textId="285B2C2B" w:rsidR="00B91E60" w:rsidRPr="00444D18" w:rsidRDefault="00B91E60" w:rsidP="00B91E60">
            <w:pPr>
              <w:spacing w:after="0" w:line="240" w:lineRule="auto"/>
              <w:ind w:firstLine="0"/>
              <w:jc w:val="left"/>
              <w:rPr>
                <w:rFonts w:ascii="Garamond" w:eastAsia="Times New Roman" w:hAnsi="Garamond" w:cs="Calibri"/>
                <w:sz w:val="20"/>
                <w:szCs w:val="20"/>
                <w:lang w:val="sq-AL" w:eastAsia="sq-AL"/>
              </w:rPr>
            </w:pPr>
            <w:r w:rsidRPr="00444D18">
              <w:rPr>
                <w:rFonts w:ascii="Garamond" w:eastAsia="Times New Roman" w:hAnsi="Garamond" w:cs="Calibri"/>
                <w:sz w:val="20"/>
                <w:szCs w:val="20"/>
                <w:lang w:val="sq-AL" w:eastAsia="sq-AL"/>
              </w:rPr>
              <w:t> </w:t>
            </w:r>
          </w:p>
        </w:tc>
        <w:tc>
          <w:tcPr>
            <w:tcW w:w="910" w:type="pct"/>
            <w:tcBorders>
              <w:top w:val="nil"/>
              <w:left w:val="nil"/>
              <w:bottom w:val="single" w:sz="4" w:space="0" w:color="auto"/>
              <w:right w:val="single" w:sz="4" w:space="0" w:color="auto"/>
            </w:tcBorders>
            <w:shd w:val="clear" w:color="auto" w:fill="auto"/>
            <w:noWrap/>
            <w:vAlign w:val="bottom"/>
            <w:hideMark/>
          </w:tcPr>
          <w:p w14:paraId="4C682087" w14:textId="4CBA3D6C" w:rsidR="00B91E60" w:rsidRPr="00444D18" w:rsidRDefault="00B91E60" w:rsidP="00B91E60">
            <w:pPr>
              <w:spacing w:after="0" w:line="240" w:lineRule="auto"/>
              <w:ind w:firstLine="0"/>
              <w:jc w:val="left"/>
              <w:rPr>
                <w:rFonts w:ascii="Garamond" w:eastAsia="Times New Roman" w:hAnsi="Garamond" w:cs="Calibri"/>
                <w:sz w:val="20"/>
                <w:szCs w:val="20"/>
                <w:lang w:val="sq-AL" w:eastAsia="sq-AL"/>
              </w:rPr>
            </w:pPr>
            <w:r w:rsidRPr="00444D18">
              <w:rPr>
                <w:rFonts w:ascii="Garamond" w:eastAsia="Times New Roman" w:hAnsi="Garamond" w:cs="Calibri"/>
                <w:sz w:val="20"/>
                <w:szCs w:val="20"/>
                <w:lang w:val="sq-AL" w:eastAsia="sq-AL"/>
              </w:rPr>
              <w:t> </w:t>
            </w:r>
          </w:p>
        </w:tc>
        <w:tc>
          <w:tcPr>
            <w:tcW w:w="414" w:type="pct"/>
            <w:tcBorders>
              <w:top w:val="nil"/>
              <w:left w:val="nil"/>
              <w:bottom w:val="single" w:sz="4" w:space="0" w:color="auto"/>
              <w:right w:val="single" w:sz="4" w:space="0" w:color="auto"/>
            </w:tcBorders>
            <w:shd w:val="clear" w:color="auto" w:fill="auto"/>
            <w:noWrap/>
            <w:vAlign w:val="bottom"/>
            <w:hideMark/>
          </w:tcPr>
          <w:p w14:paraId="4C682088" w14:textId="1FD333E0" w:rsidR="00B91E60" w:rsidRPr="00444D18" w:rsidRDefault="00B91E60" w:rsidP="00B91E60">
            <w:pPr>
              <w:spacing w:after="0" w:line="240" w:lineRule="auto"/>
              <w:ind w:firstLine="0"/>
              <w:jc w:val="left"/>
              <w:rPr>
                <w:rFonts w:ascii="Garamond" w:eastAsia="Times New Roman" w:hAnsi="Garamond" w:cs="Calibri"/>
                <w:sz w:val="20"/>
                <w:szCs w:val="20"/>
                <w:lang w:val="sq-AL" w:eastAsia="sq-AL"/>
              </w:rPr>
            </w:pPr>
            <w:r w:rsidRPr="00444D18">
              <w:rPr>
                <w:rFonts w:ascii="Garamond" w:eastAsia="Times New Roman" w:hAnsi="Garamond" w:cs="Calibri"/>
                <w:sz w:val="20"/>
                <w:szCs w:val="20"/>
                <w:lang w:val="sq-AL" w:eastAsia="sq-AL"/>
              </w:rPr>
              <w:t> </w:t>
            </w:r>
          </w:p>
        </w:tc>
      </w:tr>
      <w:tr w:rsidR="00444D18" w:rsidRPr="00444D18" w14:paraId="4C68208F" w14:textId="0479D179" w:rsidTr="00B91E60">
        <w:trPr>
          <w:trHeight w:val="240"/>
        </w:trPr>
        <w:tc>
          <w:tcPr>
            <w:tcW w:w="2965" w:type="pct"/>
            <w:tcBorders>
              <w:top w:val="nil"/>
              <w:left w:val="single" w:sz="4" w:space="0" w:color="auto"/>
              <w:bottom w:val="single" w:sz="4" w:space="0" w:color="auto"/>
              <w:right w:val="single" w:sz="4" w:space="0" w:color="auto"/>
            </w:tcBorders>
            <w:shd w:val="clear" w:color="auto" w:fill="auto"/>
            <w:noWrap/>
            <w:vAlign w:val="bottom"/>
            <w:hideMark/>
          </w:tcPr>
          <w:p w14:paraId="4C68208A" w14:textId="5065D22B" w:rsidR="00B91E60" w:rsidRPr="00444D18" w:rsidRDefault="00B91E60" w:rsidP="00B91E60">
            <w:pPr>
              <w:spacing w:after="0" w:line="240" w:lineRule="auto"/>
              <w:ind w:firstLine="0"/>
              <w:jc w:val="left"/>
              <w:rPr>
                <w:rFonts w:ascii="Garamond" w:eastAsia="Times New Roman" w:hAnsi="Garamond" w:cs="Calibri"/>
                <w:sz w:val="20"/>
                <w:szCs w:val="20"/>
                <w:lang w:val="sq-AL" w:eastAsia="sq-AL"/>
              </w:rPr>
            </w:pPr>
            <w:r w:rsidRPr="00444D18">
              <w:rPr>
                <w:rFonts w:ascii="Garamond" w:eastAsia="Times New Roman" w:hAnsi="Garamond" w:cs="Calibri"/>
                <w:sz w:val="20"/>
                <w:szCs w:val="20"/>
                <w:lang w:val="sq-AL" w:eastAsia="sq-AL"/>
              </w:rPr>
              <w:t>Konsumatorët në 20 kV</w:t>
            </w:r>
          </w:p>
        </w:tc>
        <w:tc>
          <w:tcPr>
            <w:tcW w:w="585" w:type="pct"/>
            <w:tcBorders>
              <w:top w:val="nil"/>
              <w:left w:val="nil"/>
              <w:bottom w:val="single" w:sz="4" w:space="0" w:color="auto"/>
              <w:right w:val="nil"/>
            </w:tcBorders>
            <w:shd w:val="clear" w:color="auto" w:fill="auto"/>
            <w:noWrap/>
            <w:vAlign w:val="bottom"/>
            <w:hideMark/>
          </w:tcPr>
          <w:p w14:paraId="4C68208B" w14:textId="47DA0611" w:rsidR="00B91E60" w:rsidRPr="00444D18" w:rsidRDefault="00B91E60" w:rsidP="00B91E60">
            <w:pPr>
              <w:spacing w:after="0" w:line="240" w:lineRule="auto"/>
              <w:ind w:firstLine="0"/>
              <w:jc w:val="center"/>
              <w:rPr>
                <w:rFonts w:ascii="Garamond" w:eastAsia="Times New Roman" w:hAnsi="Garamond" w:cs="Calibri"/>
                <w:sz w:val="20"/>
                <w:szCs w:val="20"/>
                <w:lang w:val="sq-AL" w:eastAsia="sq-AL"/>
              </w:rPr>
            </w:pPr>
            <w:r w:rsidRPr="00444D18">
              <w:rPr>
                <w:rFonts w:ascii="Garamond" w:eastAsia="Times New Roman" w:hAnsi="Garamond" w:cs="Calibri"/>
                <w:sz w:val="20"/>
                <w:szCs w:val="20"/>
                <w:lang w:val="sq-AL" w:eastAsia="sq-AL"/>
              </w:rPr>
              <w:t>245,086</w:t>
            </w:r>
          </w:p>
        </w:tc>
        <w:tc>
          <w:tcPr>
            <w:tcW w:w="127" w:type="pct"/>
            <w:tcBorders>
              <w:top w:val="nil"/>
              <w:left w:val="single" w:sz="4" w:space="0" w:color="auto"/>
              <w:bottom w:val="nil"/>
              <w:right w:val="single" w:sz="4" w:space="0" w:color="auto"/>
            </w:tcBorders>
            <w:shd w:val="clear" w:color="auto" w:fill="auto"/>
            <w:noWrap/>
            <w:vAlign w:val="bottom"/>
            <w:hideMark/>
          </w:tcPr>
          <w:p w14:paraId="4C68208C" w14:textId="12278A6D" w:rsidR="00B91E60" w:rsidRPr="00444D18" w:rsidRDefault="00B91E60" w:rsidP="00B91E60">
            <w:pPr>
              <w:spacing w:after="0" w:line="240" w:lineRule="auto"/>
              <w:ind w:firstLine="0"/>
              <w:jc w:val="left"/>
              <w:rPr>
                <w:rFonts w:ascii="Garamond" w:eastAsia="Times New Roman" w:hAnsi="Garamond" w:cs="Calibri"/>
                <w:sz w:val="20"/>
                <w:szCs w:val="20"/>
                <w:lang w:val="sq-AL" w:eastAsia="sq-AL"/>
              </w:rPr>
            </w:pPr>
            <w:r w:rsidRPr="00444D18">
              <w:rPr>
                <w:rFonts w:ascii="Garamond" w:eastAsia="Times New Roman" w:hAnsi="Garamond" w:cs="Calibri"/>
                <w:sz w:val="20"/>
                <w:szCs w:val="20"/>
                <w:lang w:val="sq-AL" w:eastAsia="sq-AL"/>
              </w:rPr>
              <w:t> </w:t>
            </w:r>
          </w:p>
        </w:tc>
        <w:tc>
          <w:tcPr>
            <w:tcW w:w="910" w:type="pct"/>
            <w:tcBorders>
              <w:top w:val="nil"/>
              <w:left w:val="nil"/>
              <w:bottom w:val="single" w:sz="4" w:space="0" w:color="auto"/>
              <w:right w:val="single" w:sz="4" w:space="0" w:color="auto"/>
            </w:tcBorders>
            <w:shd w:val="clear" w:color="auto" w:fill="auto"/>
            <w:noWrap/>
            <w:vAlign w:val="bottom"/>
            <w:hideMark/>
          </w:tcPr>
          <w:p w14:paraId="4C68208D" w14:textId="11F63FAF" w:rsidR="00B91E60" w:rsidRPr="00444D18" w:rsidRDefault="00B91E60" w:rsidP="00B91E60">
            <w:pPr>
              <w:spacing w:after="0" w:line="240" w:lineRule="auto"/>
              <w:ind w:firstLine="0"/>
              <w:jc w:val="left"/>
              <w:rPr>
                <w:rFonts w:ascii="Garamond" w:eastAsia="Times New Roman" w:hAnsi="Garamond" w:cs="Calibri"/>
                <w:sz w:val="20"/>
                <w:szCs w:val="20"/>
                <w:lang w:val="sq-AL" w:eastAsia="sq-AL"/>
              </w:rPr>
            </w:pPr>
            <w:r w:rsidRPr="00444D18">
              <w:rPr>
                <w:rFonts w:ascii="Garamond" w:eastAsia="Times New Roman" w:hAnsi="Garamond" w:cs="Calibri"/>
                <w:sz w:val="20"/>
                <w:szCs w:val="20"/>
                <w:lang w:val="sq-AL" w:eastAsia="sq-AL"/>
              </w:rPr>
              <w:t> </w:t>
            </w:r>
          </w:p>
        </w:tc>
        <w:tc>
          <w:tcPr>
            <w:tcW w:w="414" w:type="pct"/>
            <w:tcBorders>
              <w:top w:val="nil"/>
              <w:left w:val="nil"/>
              <w:bottom w:val="single" w:sz="4" w:space="0" w:color="auto"/>
              <w:right w:val="single" w:sz="4" w:space="0" w:color="auto"/>
            </w:tcBorders>
            <w:shd w:val="clear" w:color="auto" w:fill="auto"/>
            <w:noWrap/>
            <w:vAlign w:val="bottom"/>
            <w:hideMark/>
          </w:tcPr>
          <w:p w14:paraId="4C68208E" w14:textId="2EF5C603" w:rsidR="00B91E60" w:rsidRPr="00444D18" w:rsidRDefault="00B91E60" w:rsidP="00B91E60">
            <w:pPr>
              <w:spacing w:after="0" w:line="240" w:lineRule="auto"/>
              <w:ind w:firstLine="0"/>
              <w:jc w:val="left"/>
              <w:rPr>
                <w:rFonts w:ascii="Garamond" w:eastAsia="Times New Roman" w:hAnsi="Garamond" w:cs="Calibri"/>
                <w:sz w:val="20"/>
                <w:szCs w:val="20"/>
                <w:lang w:val="sq-AL" w:eastAsia="sq-AL"/>
              </w:rPr>
            </w:pPr>
            <w:r w:rsidRPr="00444D18">
              <w:rPr>
                <w:rFonts w:ascii="Garamond" w:eastAsia="Times New Roman" w:hAnsi="Garamond" w:cs="Calibri"/>
                <w:sz w:val="20"/>
                <w:szCs w:val="20"/>
                <w:lang w:val="sq-AL" w:eastAsia="sq-AL"/>
              </w:rPr>
              <w:t> </w:t>
            </w:r>
          </w:p>
        </w:tc>
      </w:tr>
      <w:tr w:rsidR="00444D18" w:rsidRPr="00444D18" w14:paraId="4C682095" w14:textId="25BA25BA" w:rsidTr="00B91E60">
        <w:trPr>
          <w:trHeight w:val="240"/>
        </w:trPr>
        <w:tc>
          <w:tcPr>
            <w:tcW w:w="2965" w:type="pct"/>
            <w:tcBorders>
              <w:top w:val="nil"/>
              <w:left w:val="single" w:sz="4" w:space="0" w:color="auto"/>
              <w:bottom w:val="single" w:sz="4" w:space="0" w:color="auto"/>
              <w:right w:val="single" w:sz="4" w:space="0" w:color="auto"/>
            </w:tcBorders>
            <w:shd w:val="clear" w:color="auto" w:fill="auto"/>
            <w:noWrap/>
            <w:vAlign w:val="bottom"/>
            <w:hideMark/>
          </w:tcPr>
          <w:p w14:paraId="4C682090" w14:textId="714612BB" w:rsidR="00B91E60" w:rsidRPr="00444D18" w:rsidRDefault="00B91E60" w:rsidP="00B91E60">
            <w:pPr>
              <w:spacing w:after="0" w:line="240" w:lineRule="auto"/>
              <w:ind w:firstLine="0"/>
              <w:jc w:val="left"/>
              <w:rPr>
                <w:rFonts w:ascii="Garamond" w:eastAsia="Times New Roman" w:hAnsi="Garamond" w:cs="Calibri"/>
                <w:sz w:val="20"/>
                <w:szCs w:val="20"/>
                <w:lang w:val="sq-AL" w:eastAsia="sq-AL"/>
              </w:rPr>
            </w:pPr>
            <w:r w:rsidRPr="00444D18">
              <w:rPr>
                <w:rFonts w:ascii="Garamond" w:eastAsia="Times New Roman" w:hAnsi="Garamond" w:cs="Calibri"/>
                <w:sz w:val="20"/>
                <w:szCs w:val="20"/>
                <w:lang w:val="sq-AL" w:eastAsia="sq-AL"/>
              </w:rPr>
              <w:t>Konsumatorët në 10/6 kV</w:t>
            </w:r>
          </w:p>
        </w:tc>
        <w:tc>
          <w:tcPr>
            <w:tcW w:w="585" w:type="pct"/>
            <w:tcBorders>
              <w:top w:val="nil"/>
              <w:left w:val="nil"/>
              <w:bottom w:val="single" w:sz="4" w:space="0" w:color="auto"/>
              <w:right w:val="nil"/>
            </w:tcBorders>
            <w:shd w:val="clear" w:color="auto" w:fill="auto"/>
            <w:noWrap/>
            <w:vAlign w:val="bottom"/>
            <w:hideMark/>
          </w:tcPr>
          <w:p w14:paraId="4C682091" w14:textId="25A7A904" w:rsidR="00B91E60" w:rsidRPr="00444D18" w:rsidRDefault="00B91E60" w:rsidP="00B91E60">
            <w:pPr>
              <w:spacing w:after="0" w:line="240" w:lineRule="auto"/>
              <w:ind w:firstLine="0"/>
              <w:jc w:val="center"/>
              <w:rPr>
                <w:rFonts w:ascii="Garamond" w:eastAsia="Times New Roman" w:hAnsi="Garamond" w:cs="Calibri"/>
                <w:sz w:val="20"/>
                <w:szCs w:val="20"/>
                <w:lang w:val="sq-AL" w:eastAsia="sq-AL"/>
              </w:rPr>
            </w:pPr>
            <w:r w:rsidRPr="00444D18">
              <w:rPr>
                <w:rFonts w:ascii="Garamond" w:eastAsia="Times New Roman" w:hAnsi="Garamond" w:cs="Calibri"/>
                <w:sz w:val="20"/>
                <w:szCs w:val="20"/>
                <w:lang w:val="sq-AL" w:eastAsia="sq-AL"/>
              </w:rPr>
              <w:t>109,833</w:t>
            </w:r>
          </w:p>
        </w:tc>
        <w:tc>
          <w:tcPr>
            <w:tcW w:w="127" w:type="pct"/>
            <w:tcBorders>
              <w:top w:val="nil"/>
              <w:left w:val="single" w:sz="4" w:space="0" w:color="auto"/>
              <w:bottom w:val="nil"/>
              <w:right w:val="single" w:sz="4" w:space="0" w:color="auto"/>
            </w:tcBorders>
            <w:shd w:val="clear" w:color="auto" w:fill="auto"/>
            <w:noWrap/>
            <w:vAlign w:val="bottom"/>
            <w:hideMark/>
          </w:tcPr>
          <w:p w14:paraId="4C682092" w14:textId="2C0BD752" w:rsidR="00B91E60" w:rsidRPr="00444D18" w:rsidRDefault="00B91E60" w:rsidP="00B91E60">
            <w:pPr>
              <w:spacing w:after="0" w:line="240" w:lineRule="auto"/>
              <w:ind w:firstLine="0"/>
              <w:jc w:val="left"/>
              <w:rPr>
                <w:rFonts w:ascii="Garamond" w:eastAsia="Times New Roman" w:hAnsi="Garamond" w:cs="Calibri"/>
                <w:sz w:val="20"/>
                <w:szCs w:val="20"/>
                <w:lang w:val="sq-AL" w:eastAsia="sq-AL"/>
              </w:rPr>
            </w:pPr>
            <w:r w:rsidRPr="00444D18">
              <w:rPr>
                <w:rFonts w:ascii="Garamond" w:eastAsia="Times New Roman" w:hAnsi="Garamond" w:cs="Calibri"/>
                <w:sz w:val="20"/>
                <w:szCs w:val="20"/>
                <w:lang w:val="sq-AL" w:eastAsia="sq-AL"/>
              </w:rPr>
              <w:t> </w:t>
            </w:r>
          </w:p>
        </w:tc>
        <w:tc>
          <w:tcPr>
            <w:tcW w:w="910" w:type="pct"/>
            <w:tcBorders>
              <w:top w:val="nil"/>
              <w:left w:val="nil"/>
              <w:bottom w:val="single" w:sz="4" w:space="0" w:color="auto"/>
              <w:right w:val="single" w:sz="4" w:space="0" w:color="auto"/>
            </w:tcBorders>
            <w:shd w:val="clear" w:color="auto" w:fill="auto"/>
            <w:noWrap/>
            <w:vAlign w:val="bottom"/>
            <w:hideMark/>
          </w:tcPr>
          <w:p w14:paraId="4C682093" w14:textId="5D502899" w:rsidR="00B91E60" w:rsidRPr="00444D18" w:rsidRDefault="00B91E60" w:rsidP="00B91E60">
            <w:pPr>
              <w:spacing w:after="0" w:line="240" w:lineRule="auto"/>
              <w:ind w:firstLine="0"/>
              <w:jc w:val="left"/>
              <w:rPr>
                <w:rFonts w:ascii="Garamond" w:eastAsia="Times New Roman" w:hAnsi="Garamond" w:cs="Calibri"/>
                <w:sz w:val="20"/>
                <w:szCs w:val="20"/>
                <w:lang w:val="sq-AL" w:eastAsia="sq-AL"/>
              </w:rPr>
            </w:pPr>
            <w:r w:rsidRPr="00444D18">
              <w:rPr>
                <w:rFonts w:ascii="Garamond" w:eastAsia="Times New Roman" w:hAnsi="Garamond" w:cs="Calibri"/>
                <w:sz w:val="20"/>
                <w:szCs w:val="20"/>
                <w:lang w:val="sq-AL" w:eastAsia="sq-AL"/>
              </w:rPr>
              <w:t> </w:t>
            </w:r>
          </w:p>
        </w:tc>
        <w:tc>
          <w:tcPr>
            <w:tcW w:w="414" w:type="pct"/>
            <w:tcBorders>
              <w:top w:val="nil"/>
              <w:left w:val="nil"/>
              <w:bottom w:val="single" w:sz="4" w:space="0" w:color="auto"/>
              <w:right w:val="single" w:sz="4" w:space="0" w:color="auto"/>
            </w:tcBorders>
            <w:shd w:val="clear" w:color="auto" w:fill="auto"/>
            <w:noWrap/>
            <w:vAlign w:val="bottom"/>
            <w:hideMark/>
          </w:tcPr>
          <w:p w14:paraId="4C682094" w14:textId="67325E2E" w:rsidR="00B91E60" w:rsidRPr="00444D18" w:rsidRDefault="00B91E60" w:rsidP="00B91E60">
            <w:pPr>
              <w:spacing w:after="0" w:line="240" w:lineRule="auto"/>
              <w:ind w:firstLine="0"/>
              <w:jc w:val="left"/>
              <w:rPr>
                <w:rFonts w:ascii="Garamond" w:eastAsia="Times New Roman" w:hAnsi="Garamond" w:cs="Calibri"/>
                <w:sz w:val="20"/>
                <w:szCs w:val="20"/>
                <w:lang w:val="sq-AL" w:eastAsia="sq-AL"/>
              </w:rPr>
            </w:pPr>
            <w:r w:rsidRPr="00444D18">
              <w:rPr>
                <w:rFonts w:ascii="Garamond" w:eastAsia="Times New Roman" w:hAnsi="Garamond" w:cs="Calibri"/>
                <w:sz w:val="20"/>
                <w:szCs w:val="20"/>
                <w:lang w:val="sq-AL" w:eastAsia="sq-AL"/>
              </w:rPr>
              <w:t> </w:t>
            </w:r>
          </w:p>
        </w:tc>
      </w:tr>
      <w:tr w:rsidR="00444D18" w:rsidRPr="00444D18" w14:paraId="4C68209B" w14:textId="1253FA6F" w:rsidTr="00B91E60">
        <w:trPr>
          <w:trHeight w:val="240"/>
        </w:trPr>
        <w:tc>
          <w:tcPr>
            <w:tcW w:w="2965" w:type="pct"/>
            <w:tcBorders>
              <w:top w:val="nil"/>
              <w:left w:val="nil"/>
              <w:bottom w:val="nil"/>
              <w:right w:val="nil"/>
            </w:tcBorders>
            <w:shd w:val="clear" w:color="auto" w:fill="auto"/>
            <w:noWrap/>
            <w:vAlign w:val="bottom"/>
            <w:hideMark/>
          </w:tcPr>
          <w:p w14:paraId="4C682096" w14:textId="37F2E0A8" w:rsidR="00B91E60" w:rsidRPr="00444D18" w:rsidRDefault="00B91E60" w:rsidP="00B91E60">
            <w:pPr>
              <w:spacing w:after="0" w:line="240" w:lineRule="auto"/>
              <w:ind w:firstLine="0"/>
              <w:jc w:val="left"/>
              <w:rPr>
                <w:rFonts w:ascii="Garamond" w:eastAsia="Times New Roman" w:hAnsi="Garamond" w:cs="Calibri"/>
                <w:sz w:val="20"/>
                <w:szCs w:val="20"/>
                <w:lang w:val="sq-AL" w:eastAsia="sq-AL"/>
              </w:rPr>
            </w:pPr>
          </w:p>
        </w:tc>
        <w:tc>
          <w:tcPr>
            <w:tcW w:w="585" w:type="pct"/>
            <w:tcBorders>
              <w:top w:val="nil"/>
              <w:left w:val="nil"/>
              <w:bottom w:val="nil"/>
              <w:right w:val="nil"/>
            </w:tcBorders>
            <w:shd w:val="clear" w:color="auto" w:fill="auto"/>
            <w:noWrap/>
            <w:vAlign w:val="bottom"/>
            <w:hideMark/>
          </w:tcPr>
          <w:p w14:paraId="4C682097" w14:textId="775C488E" w:rsidR="00B91E60" w:rsidRPr="00444D18" w:rsidRDefault="00B91E60" w:rsidP="00B91E60">
            <w:pPr>
              <w:spacing w:after="0" w:line="240" w:lineRule="auto"/>
              <w:ind w:firstLine="0"/>
              <w:jc w:val="left"/>
              <w:rPr>
                <w:rFonts w:ascii="Garamond" w:eastAsia="Times New Roman" w:hAnsi="Garamond" w:cs="Calibri"/>
                <w:sz w:val="20"/>
                <w:szCs w:val="20"/>
                <w:lang w:val="sq-AL" w:eastAsia="sq-AL"/>
              </w:rPr>
            </w:pPr>
          </w:p>
        </w:tc>
        <w:tc>
          <w:tcPr>
            <w:tcW w:w="127" w:type="pct"/>
            <w:tcBorders>
              <w:top w:val="nil"/>
              <w:left w:val="nil"/>
              <w:bottom w:val="nil"/>
              <w:right w:val="nil"/>
            </w:tcBorders>
            <w:shd w:val="clear" w:color="auto" w:fill="auto"/>
            <w:noWrap/>
            <w:vAlign w:val="bottom"/>
            <w:hideMark/>
          </w:tcPr>
          <w:p w14:paraId="4C682098" w14:textId="77777777" w:rsidR="00B91E60" w:rsidRPr="00444D18" w:rsidRDefault="00B91E60" w:rsidP="00B91E60">
            <w:pPr>
              <w:spacing w:after="0" w:line="240" w:lineRule="auto"/>
              <w:ind w:firstLine="0"/>
              <w:jc w:val="left"/>
              <w:rPr>
                <w:rFonts w:ascii="Garamond" w:eastAsia="Times New Roman" w:hAnsi="Garamond" w:cs="Calibri"/>
                <w:sz w:val="20"/>
                <w:szCs w:val="20"/>
                <w:lang w:val="sq-AL" w:eastAsia="sq-AL"/>
              </w:rPr>
            </w:pPr>
          </w:p>
        </w:tc>
        <w:tc>
          <w:tcPr>
            <w:tcW w:w="910" w:type="pct"/>
            <w:tcBorders>
              <w:top w:val="nil"/>
              <w:left w:val="nil"/>
              <w:bottom w:val="nil"/>
              <w:right w:val="nil"/>
            </w:tcBorders>
            <w:shd w:val="clear" w:color="auto" w:fill="auto"/>
            <w:noWrap/>
            <w:vAlign w:val="bottom"/>
            <w:hideMark/>
          </w:tcPr>
          <w:p w14:paraId="4C682099" w14:textId="77777777" w:rsidR="00B91E60" w:rsidRPr="00444D18" w:rsidRDefault="00B91E60" w:rsidP="00B91E60">
            <w:pPr>
              <w:spacing w:after="0" w:line="240" w:lineRule="auto"/>
              <w:ind w:firstLine="0"/>
              <w:jc w:val="left"/>
              <w:rPr>
                <w:rFonts w:ascii="Garamond" w:eastAsia="Times New Roman" w:hAnsi="Garamond" w:cs="Calibri"/>
                <w:sz w:val="20"/>
                <w:szCs w:val="20"/>
                <w:lang w:val="sq-AL" w:eastAsia="sq-AL"/>
              </w:rPr>
            </w:pPr>
          </w:p>
        </w:tc>
        <w:tc>
          <w:tcPr>
            <w:tcW w:w="414" w:type="pct"/>
            <w:tcBorders>
              <w:top w:val="nil"/>
              <w:left w:val="nil"/>
              <w:bottom w:val="nil"/>
              <w:right w:val="nil"/>
            </w:tcBorders>
            <w:shd w:val="clear" w:color="auto" w:fill="auto"/>
            <w:noWrap/>
            <w:vAlign w:val="bottom"/>
            <w:hideMark/>
          </w:tcPr>
          <w:p w14:paraId="4C68209A" w14:textId="77777777" w:rsidR="00B91E60" w:rsidRPr="00444D18" w:rsidRDefault="00B91E60" w:rsidP="00B91E60">
            <w:pPr>
              <w:spacing w:after="0" w:line="240" w:lineRule="auto"/>
              <w:ind w:firstLine="0"/>
              <w:jc w:val="left"/>
              <w:rPr>
                <w:rFonts w:ascii="Garamond" w:eastAsia="Times New Roman" w:hAnsi="Garamond" w:cs="Calibri"/>
                <w:sz w:val="20"/>
                <w:szCs w:val="20"/>
                <w:lang w:val="sq-AL" w:eastAsia="sq-AL"/>
              </w:rPr>
            </w:pPr>
          </w:p>
        </w:tc>
      </w:tr>
      <w:tr w:rsidR="00B91E60" w:rsidRPr="00444D18" w14:paraId="4C6820A1" w14:textId="0132502A" w:rsidTr="00B91E60">
        <w:trPr>
          <w:trHeight w:val="240"/>
        </w:trPr>
        <w:tc>
          <w:tcPr>
            <w:tcW w:w="296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68209C" w14:textId="074E7FBE" w:rsidR="00B91E60" w:rsidRPr="00444D18" w:rsidRDefault="00B91E60" w:rsidP="00B91E60">
            <w:pPr>
              <w:spacing w:after="0" w:line="240" w:lineRule="auto"/>
              <w:ind w:firstLine="0"/>
              <w:jc w:val="left"/>
              <w:rPr>
                <w:rFonts w:ascii="Garamond" w:eastAsia="Times New Roman" w:hAnsi="Garamond" w:cs="Calibri"/>
                <w:b/>
                <w:bCs/>
                <w:sz w:val="20"/>
                <w:szCs w:val="20"/>
                <w:lang w:val="sq-AL" w:eastAsia="sq-AL"/>
              </w:rPr>
            </w:pPr>
            <w:r w:rsidRPr="00444D18">
              <w:rPr>
                <w:rFonts w:ascii="Garamond" w:eastAsia="Times New Roman" w:hAnsi="Garamond" w:cs="Calibri"/>
                <w:b/>
                <w:bCs/>
                <w:sz w:val="20"/>
                <w:szCs w:val="20"/>
                <w:lang w:val="sq-AL" w:eastAsia="sq-AL"/>
              </w:rPr>
              <w:t>Total</w:t>
            </w:r>
          </w:p>
        </w:tc>
        <w:tc>
          <w:tcPr>
            <w:tcW w:w="585" w:type="pct"/>
            <w:tcBorders>
              <w:top w:val="single" w:sz="4" w:space="0" w:color="auto"/>
              <w:left w:val="nil"/>
              <w:bottom w:val="single" w:sz="4" w:space="0" w:color="auto"/>
              <w:right w:val="nil"/>
            </w:tcBorders>
            <w:shd w:val="clear" w:color="auto" w:fill="auto"/>
            <w:noWrap/>
            <w:vAlign w:val="bottom"/>
            <w:hideMark/>
          </w:tcPr>
          <w:p w14:paraId="4C68209D" w14:textId="075F07FB" w:rsidR="00B91E60" w:rsidRPr="00444D18" w:rsidRDefault="00B91E60" w:rsidP="00B91E60">
            <w:pPr>
              <w:spacing w:after="0" w:line="240" w:lineRule="auto"/>
              <w:ind w:firstLine="0"/>
              <w:jc w:val="center"/>
              <w:rPr>
                <w:rFonts w:ascii="Garamond" w:eastAsia="Times New Roman" w:hAnsi="Garamond" w:cs="Calibri"/>
                <w:b/>
                <w:bCs/>
                <w:sz w:val="20"/>
                <w:szCs w:val="20"/>
                <w:lang w:val="sq-AL" w:eastAsia="sq-AL"/>
              </w:rPr>
            </w:pPr>
            <w:r w:rsidRPr="00444D18">
              <w:rPr>
                <w:rFonts w:ascii="Garamond" w:eastAsia="Times New Roman" w:hAnsi="Garamond" w:cs="Calibri"/>
                <w:b/>
                <w:bCs/>
                <w:sz w:val="20"/>
                <w:szCs w:val="20"/>
                <w:lang w:val="sq-AL" w:eastAsia="sq-AL"/>
              </w:rPr>
              <w:t>435,482</w:t>
            </w:r>
          </w:p>
        </w:tc>
        <w:tc>
          <w:tcPr>
            <w:tcW w:w="127" w:type="pct"/>
            <w:tcBorders>
              <w:top w:val="nil"/>
              <w:left w:val="single" w:sz="4" w:space="0" w:color="auto"/>
              <w:bottom w:val="single" w:sz="4" w:space="0" w:color="auto"/>
              <w:right w:val="single" w:sz="4" w:space="0" w:color="auto"/>
            </w:tcBorders>
            <w:shd w:val="clear" w:color="auto" w:fill="auto"/>
            <w:noWrap/>
            <w:vAlign w:val="bottom"/>
            <w:hideMark/>
          </w:tcPr>
          <w:p w14:paraId="4C68209E" w14:textId="63C1CD7F" w:rsidR="00B91E60" w:rsidRPr="00444D18" w:rsidRDefault="00B91E60" w:rsidP="00B91E60">
            <w:pPr>
              <w:spacing w:after="0" w:line="240" w:lineRule="auto"/>
              <w:ind w:firstLine="0"/>
              <w:jc w:val="left"/>
              <w:rPr>
                <w:rFonts w:ascii="Garamond" w:eastAsia="Times New Roman" w:hAnsi="Garamond" w:cs="Calibri"/>
                <w:sz w:val="20"/>
                <w:szCs w:val="20"/>
                <w:lang w:val="sq-AL" w:eastAsia="sq-AL"/>
              </w:rPr>
            </w:pPr>
            <w:r w:rsidRPr="00444D18">
              <w:rPr>
                <w:rFonts w:ascii="Garamond" w:eastAsia="Times New Roman" w:hAnsi="Garamond" w:cs="Calibri"/>
                <w:sz w:val="20"/>
                <w:szCs w:val="20"/>
                <w:lang w:val="sq-AL" w:eastAsia="sq-AL"/>
              </w:rPr>
              <w:t> </w:t>
            </w:r>
          </w:p>
        </w:tc>
        <w:tc>
          <w:tcPr>
            <w:tcW w:w="910" w:type="pct"/>
            <w:tcBorders>
              <w:top w:val="single" w:sz="4" w:space="0" w:color="auto"/>
              <w:left w:val="nil"/>
              <w:bottom w:val="single" w:sz="4" w:space="0" w:color="auto"/>
              <w:right w:val="single" w:sz="4" w:space="0" w:color="auto"/>
            </w:tcBorders>
            <w:shd w:val="clear" w:color="auto" w:fill="auto"/>
            <w:noWrap/>
            <w:vAlign w:val="bottom"/>
            <w:hideMark/>
          </w:tcPr>
          <w:p w14:paraId="4C68209F" w14:textId="0E509C3C" w:rsidR="00B91E60" w:rsidRPr="00444D18" w:rsidRDefault="00B91E60" w:rsidP="00B91E60">
            <w:pPr>
              <w:spacing w:after="0" w:line="240" w:lineRule="auto"/>
              <w:ind w:firstLine="0"/>
              <w:jc w:val="center"/>
              <w:rPr>
                <w:rFonts w:ascii="Garamond" w:eastAsia="Times New Roman" w:hAnsi="Garamond" w:cs="Calibri"/>
                <w:b/>
                <w:bCs/>
                <w:sz w:val="20"/>
                <w:szCs w:val="20"/>
                <w:lang w:val="sq-AL" w:eastAsia="sq-AL"/>
              </w:rPr>
            </w:pPr>
            <w:r w:rsidRPr="00444D18">
              <w:rPr>
                <w:rFonts w:ascii="Garamond" w:eastAsia="Times New Roman" w:hAnsi="Garamond" w:cs="Calibri"/>
                <w:b/>
                <w:bCs/>
                <w:sz w:val="20"/>
                <w:szCs w:val="20"/>
                <w:lang w:val="sq-AL" w:eastAsia="sq-AL"/>
              </w:rPr>
              <w:t>435,482</w:t>
            </w:r>
          </w:p>
        </w:tc>
        <w:tc>
          <w:tcPr>
            <w:tcW w:w="414" w:type="pct"/>
            <w:tcBorders>
              <w:top w:val="single" w:sz="4" w:space="0" w:color="auto"/>
              <w:left w:val="nil"/>
              <w:bottom w:val="single" w:sz="4" w:space="0" w:color="auto"/>
              <w:right w:val="single" w:sz="4" w:space="0" w:color="auto"/>
            </w:tcBorders>
            <w:shd w:val="clear" w:color="auto" w:fill="auto"/>
            <w:noWrap/>
            <w:vAlign w:val="bottom"/>
            <w:hideMark/>
          </w:tcPr>
          <w:p w14:paraId="4C6820A0" w14:textId="4DDAA1EE" w:rsidR="00B91E60" w:rsidRPr="00444D18" w:rsidRDefault="00B91E60" w:rsidP="00B91E60">
            <w:pPr>
              <w:spacing w:after="0" w:line="240" w:lineRule="auto"/>
              <w:ind w:firstLine="0"/>
              <w:jc w:val="center"/>
              <w:rPr>
                <w:rFonts w:ascii="Garamond" w:eastAsia="Times New Roman" w:hAnsi="Garamond" w:cs="Calibri"/>
                <w:b/>
                <w:bCs/>
                <w:sz w:val="20"/>
                <w:szCs w:val="20"/>
                <w:lang w:val="sq-AL" w:eastAsia="sq-AL"/>
              </w:rPr>
            </w:pPr>
            <w:r w:rsidRPr="00444D18">
              <w:rPr>
                <w:rFonts w:ascii="Garamond" w:eastAsia="Times New Roman" w:hAnsi="Garamond" w:cs="Calibri"/>
                <w:b/>
                <w:bCs/>
                <w:sz w:val="20"/>
                <w:szCs w:val="20"/>
                <w:lang w:val="sq-AL" w:eastAsia="sq-AL"/>
              </w:rPr>
              <w:t>Total</w:t>
            </w:r>
          </w:p>
        </w:tc>
      </w:tr>
    </w:tbl>
    <w:p w14:paraId="4C6820AE" w14:textId="77777777" w:rsidR="00B91E60" w:rsidRPr="00444D18" w:rsidRDefault="00B91E60" w:rsidP="00B91E60">
      <w:pPr>
        <w:spacing w:after="0" w:line="240" w:lineRule="auto"/>
        <w:jc w:val="right"/>
        <w:rPr>
          <w:rFonts w:ascii="Garamond" w:eastAsiaTheme="minorHAnsi" w:hAnsi="Garamond" w:cstheme="minorBidi"/>
          <w:sz w:val="24"/>
          <w:szCs w:val="24"/>
          <w:lang w:val="sq-AL"/>
        </w:rPr>
      </w:pPr>
    </w:p>
    <w:p w14:paraId="58B5EE8E" w14:textId="77777777" w:rsidR="00B91E60" w:rsidRPr="00444D18" w:rsidRDefault="00B91E60" w:rsidP="00B91E60">
      <w:pPr>
        <w:spacing w:after="0" w:line="240" w:lineRule="auto"/>
        <w:rPr>
          <w:rFonts w:ascii="Garamond" w:eastAsiaTheme="minorHAnsi" w:hAnsi="Garamond" w:cstheme="minorBidi"/>
          <w:sz w:val="16"/>
          <w:szCs w:val="16"/>
          <w:lang w:val="sq-AL"/>
        </w:rPr>
      </w:pPr>
      <w:r w:rsidRPr="00444D18">
        <w:rPr>
          <w:rFonts w:ascii="Garamond" w:eastAsiaTheme="minorHAnsi" w:hAnsi="Garamond" w:cstheme="minorBidi"/>
          <w:sz w:val="16"/>
          <w:szCs w:val="16"/>
          <w:lang w:val="sq-AL"/>
        </w:rPr>
        <w:t xml:space="preserve">*Duke filluar nga janari 2022 të gjithë konsumatorët e lidhur në 20/10/6 kV janë në treg të liberalizuar dhe mund të zgjedhin lirisht furnizuesin e tyre. </w:t>
      </w:r>
    </w:p>
    <w:p w14:paraId="568DAECD" w14:textId="77777777" w:rsidR="00B91E60" w:rsidRPr="00444D18" w:rsidRDefault="00B91E60" w:rsidP="00B91E60">
      <w:pPr>
        <w:spacing w:after="0" w:line="240" w:lineRule="auto"/>
        <w:rPr>
          <w:rFonts w:ascii="Garamond" w:eastAsiaTheme="minorHAnsi" w:hAnsi="Garamond" w:cstheme="minorBidi"/>
          <w:sz w:val="16"/>
          <w:szCs w:val="16"/>
          <w:lang w:val="sq-AL"/>
        </w:rPr>
      </w:pPr>
      <w:r w:rsidRPr="00444D18">
        <w:rPr>
          <w:rFonts w:ascii="Garamond" w:eastAsiaTheme="minorHAnsi" w:hAnsi="Garamond" w:cstheme="minorBidi"/>
          <w:sz w:val="16"/>
          <w:szCs w:val="16"/>
          <w:lang w:val="sq-AL"/>
        </w:rPr>
        <w:t>Bazuar në ligjin nr. 43/2015 "Për sektorin e energjisë elektrike", të ndryshuar, ata do të vijojnë të furnizohen nga furnizuesi i mundësisë së fundit për një periudhë 2-vjeçare, deri në 31 dhjetor 2023.</w:t>
      </w:r>
      <w:r w:rsidRPr="00444D18">
        <w:rPr>
          <w:rFonts w:ascii="Garamond" w:eastAsiaTheme="minorHAnsi" w:hAnsi="Garamond" w:cstheme="minorBidi"/>
          <w:sz w:val="16"/>
          <w:szCs w:val="16"/>
          <w:lang w:val="sq-AL"/>
        </w:rPr>
        <w:tab/>
        <w:t xml:space="preserve"> </w:t>
      </w:r>
    </w:p>
    <w:p w14:paraId="1477D9EC" w14:textId="77777777" w:rsidR="00B91E60" w:rsidRPr="00444D18" w:rsidRDefault="00B91E60" w:rsidP="00B91E60">
      <w:pPr>
        <w:widowControl w:val="0"/>
        <w:spacing w:after="0" w:line="240" w:lineRule="auto"/>
        <w:rPr>
          <w:rFonts w:ascii="Garamond" w:hAnsi="Garamond"/>
          <w:lang w:val="sq-AL" w:eastAsia="en-GB"/>
        </w:rPr>
      </w:pPr>
    </w:p>
    <w:p w14:paraId="54EFF858" w14:textId="77777777" w:rsidR="00B91E60" w:rsidRPr="00444D18" w:rsidRDefault="00B91E60" w:rsidP="0071099C">
      <w:pPr>
        <w:widowControl w:val="0"/>
        <w:spacing w:after="0" w:line="240" w:lineRule="auto"/>
        <w:jc w:val="center"/>
        <w:rPr>
          <w:rFonts w:ascii="Garamond" w:hAnsi="Garamond"/>
          <w:lang w:val="sq-AL" w:eastAsia="en-GB"/>
        </w:rPr>
      </w:pPr>
    </w:p>
    <w:p w14:paraId="4C6820B1" w14:textId="77777777" w:rsidR="0071099C" w:rsidRPr="00444D18" w:rsidRDefault="0071099C" w:rsidP="0071099C">
      <w:pPr>
        <w:pStyle w:val="Paragrafi"/>
        <w:jc w:val="center"/>
      </w:pPr>
      <w:r w:rsidRPr="00444D18">
        <w:t>ANEKSI 2</w:t>
      </w:r>
    </w:p>
    <w:p w14:paraId="4C6820B2" w14:textId="77777777" w:rsidR="0071099C" w:rsidRPr="00444D18" w:rsidRDefault="0071099C" w:rsidP="0071099C">
      <w:pPr>
        <w:pStyle w:val="Paragrafi"/>
        <w:jc w:val="center"/>
      </w:pPr>
      <w:r w:rsidRPr="00444D18">
        <w:t>PLANI I VEPRIMIT PËR KRIJIMIN E BSHE-</w:t>
      </w:r>
      <w:proofErr w:type="spellStart"/>
      <w:r w:rsidRPr="00444D18">
        <w:t>së</w:t>
      </w:r>
      <w:proofErr w:type="spellEnd"/>
    </w:p>
    <w:p w14:paraId="4C6820B3" w14:textId="77777777" w:rsidR="0071099C" w:rsidRPr="00444D18" w:rsidRDefault="0071099C" w:rsidP="0071099C">
      <w:pPr>
        <w:pStyle w:val="Paragrafi"/>
        <w:rPr>
          <w:sz w:val="14"/>
        </w:rPr>
      </w:pPr>
    </w:p>
    <w:p w14:paraId="339A9215" w14:textId="77777777" w:rsidR="00B91E60" w:rsidRPr="00444D18" w:rsidRDefault="00B91E60" w:rsidP="00B91E60">
      <w:pPr>
        <w:pStyle w:val="Paragrafi"/>
        <w:jc w:val="center"/>
        <w:rPr>
          <w:i/>
          <w:lang w:val="sq-AL"/>
        </w:rPr>
      </w:pPr>
      <w:r w:rsidRPr="00444D18">
        <w:rPr>
          <w:i/>
          <w:lang w:val="sq-AL"/>
        </w:rPr>
        <w:t>(shfuqizar me VKM-në nr. 872, datë 27.12.2022)</w:t>
      </w:r>
    </w:p>
    <w:p w14:paraId="4C6820C5" w14:textId="77777777" w:rsidR="004C2C66" w:rsidRPr="00444D18" w:rsidRDefault="004C2C66"/>
    <w:sectPr w:rsidR="004C2C66" w:rsidRPr="00444D1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7276F5" w14:textId="77777777" w:rsidR="00444D18" w:rsidRDefault="00444D18" w:rsidP="0071099C">
      <w:pPr>
        <w:spacing w:after="0" w:line="240" w:lineRule="auto"/>
      </w:pPr>
      <w:r>
        <w:separator/>
      </w:r>
    </w:p>
  </w:endnote>
  <w:endnote w:type="continuationSeparator" w:id="0">
    <w:p w14:paraId="53820413" w14:textId="77777777" w:rsidR="00444D18" w:rsidRDefault="00444D18" w:rsidP="0071099C">
      <w:pPr>
        <w:spacing w:after="0" w:line="240" w:lineRule="auto"/>
      </w:pPr>
      <w:r>
        <w:continuationSeparator/>
      </w:r>
    </w:p>
  </w:endnote>
  <w:endnote w:type="continuationNotice" w:id="1">
    <w:p w14:paraId="4D3B453D" w14:textId="77777777" w:rsidR="00444D18" w:rsidRDefault="00444D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D68CDB" w14:textId="77777777" w:rsidR="00444D18" w:rsidRDefault="00444D18" w:rsidP="0071099C">
      <w:pPr>
        <w:spacing w:after="0" w:line="240" w:lineRule="auto"/>
      </w:pPr>
      <w:r>
        <w:separator/>
      </w:r>
    </w:p>
  </w:footnote>
  <w:footnote w:type="continuationSeparator" w:id="0">
    <w:p w14:paraId="2CABFF56" w14:textId="77777777" w:rsidR="00444D18" w:rsidRDefault="00444D18" w:rsidP="0071099C">
      <w:pPr>
        <w:spacing w:after="0" w:line="240" w:lineRule="auto"/>
      </w:pPr>
      <w:r>
        <w:continuationSeparator/>
      </w:r>
    </w:p>
  </w:footnote>
  <w:footnote w:type="continuationNotice" w:id="1">
    <w:p w14:paraId="10818873" w14:textId="77777777" w:rsidR="00444D18" w:rsidRDefault="00444D18">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021F7C"/>
    <w:multiLevelType w:val="hybridMultilevel"/>
    <w:tmpl w:val="A75028DC"/>
    <w:lvl w:ilvl="0" w:tplc="7F6CD7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99C"/>
    <w:rsid w:val="00226249"/>
    <w:rsid w:val="002D2EE4"/>
    <w:rsid w:val="00444D18"/>
    <w:rsid w:val="004C2C66"/>
    <w:rsid w:val="0071099C"/>
    <w:rsid w:val="008D24F5"/>
    <w:rsid w:val="009272B8"/>
    <w:rsid w:val="00B22181"/>
    <w:rsid w:val="00B8529D"/>
    <w:rsid w:val="00B91E60"/>
    <w:rsid w:val="00DB1890"/>
    <w:rsid w:val="00DF64DE"/>
    <w:rsid w:val="00EA160E"/>
    <w:rsid w:val="00ED60D9"/>
    <w:rsid w:val="00FD3A99"/>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81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99C"/>
    <w:pPr>
      <w:ind w:firstLine="284"/>
      <w:jc w:val="both"/>
    </w:pPr>
    <w:rPr>
      <w:rFonts w:ascii="Calibri" w:eastAsia="Calibri" w:hAnsi="Calibri" w:cs="Times New Roman"/>
      <w:lang w:val="en-US"/>
    </w:rPr>
  </w:style>
  <w:style w:type="paragraph" w:styleId="Heading1">
    <w:name w:val="heading 1"/>
    <w:basedOn w:val="Normal"/>
    <w:next w:val="Normal"/>
    <w:link w:val="Heading1Char"/>
    <w:uiPriority w:val="9"/>
    <w:qFormat/>
    <w:rsid w:val="002D2EE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1099C"/>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71099C"/>
    <w:rPr>
      <w:rFonts w:ascii="Garamond" w:eastAsia="MS Mincho" w:hAnsi="Garamond" w:cs="CG Times"/>
      <w:sz w:val="24"/>
      <w:lang w:val="en-US"/>
    </w:rPr>
  </w:style>
  <w:style w:type="paragraph" w:customStyle="1" w:styleId="Hapesira7">
    <w:name w:val="Hapesira 7"/>
    <w:basedOn w:val="Paragrafi"/>
    <w:qFormat/>
    <w:rsid w:val="0071099C"/>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71099C"/>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71099C"/>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Footnote Reference S"/>
    <w:rsid w:val="0071099C"/>
    <w:rPr>
      <w:vertAlign w:val="superscript"/>
    </w:rPr>
  </w:style>
  <w:style w:type="character" w:customStyle="1" w:styleId="Heading1Char">
    <w:name w:val="Heading 1 Char"/>
    <w:basedOn w:val="DefaultParagraphFont"/>
    <w:link w:val="Heading1"/>
    <w:uiPriority w:val="9"/>
    <w:rsid w:val="002D2EE4"/>
    <w:rPr>
      <w:rFonts w:asciiTheme="majorHAnsi" w:eastAsiaTheme="majorEastAsia" w:hAnsiTheme="majorHAnsi" w:cstheme="majorBidi"/>
      <w:b/>
      <w:bCs/>
      <w:color w:val="365F91" w:themeColor="accent1" w:themeShade="BF"/>
      <w:sz w:val="28"/>
      <w:szCs w:val="28"/>
      <w:lang w:val="en-US"/>
    </w:rPr>
  </w:style>
  <w:style w:type="paragraph" w:styleId="Header">
    <w:name w:val="header"/>
    <w:basedOn w:val="Normal"/>
    <w:link w:val="HeaderChar"/>
    <w:uiPriority w:val="99"/>
    <w:semiHidden/>
    <w:unhideWhenUsed/>
    <w:rsid w:val="0022624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26249"/>
    <w:rPr>
      <w:rFonts w:ascii="Calibri" w:eastAsia="Calibri" w:hAnsi="Calibri" w:cs="Times New Roman"/>
      <w:lang w:val="en-US"/>
    </w:rPr>
  </w:style>
  <w:style w:type="paragraph" w:styleId="Footer">
    <w:name w:val="footer"/>
    <w:basedOn w:val="Normal"/>
    <w:link w:val="FooterChar"/>
    <w:uiPriority w:val="99"/>
    <w:semiHidden/>
    <w:unhideWhenUsed/>
    <w:rsid w:val="0022624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26249"/>
    <w:rPr>
      <w:rFonts w:ascii="Calibri" w:eastAsia="Calibri" w:hAnsi="Calibri"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99C"/>
    <w:pPr>
      <w:ind w:firstLine="284"/>
      <w:jc w:val="both"/>
    </w:pPr>
    <w:rPr>
      <w:rFonts w:ascii="Calibri" w:eastAsia="Calibri" w:hAnsi="Calibri" w:cs="Times New Roman"/>
      <w:lang w:val="en-US"/>
    </w:rPr>
  </w:style>
  <w:style w:type="paragraph" w:styleId="Heading1">
    <w:name w:val="heading 1"/>
    <w:basedOn w:val="Normal"/>
    <w:next w:val="Normal"/>
    <w:link w:val="Heading1Char"/>
    <w:uiPriority w:val="9"/>
    <w:qFormat/>
    <w:rsid w:val="002D2EE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1099C"/>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71099C"/>
    <w:rPr>
      <w:rFonts w:ascii="Garamond" w:eastAsia="MS Mincho" w:hAnsi="Garamond" w:cs="CG Times"/>
      <w:sz w:val="24"/>
      <w:lang w:val="en-US"/>
    </w:rPr>
  </w:style>
  <w:style w:type="paragraph" w:customStyle="1" w:styleId="Hapesira7">
    <w:name w:val="Hapesira 7"/>
    <w:basedOn w:val="Paragrafi"/>
    <w:qFormat/>
    <w:rsid w:val="0071099C"/>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71099C"/>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71099C"/>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Footnote Reference S"/>
    <w:rsid w:val="0071099C"/>
    <w:rPr>
      <w:vertAlign w:val="superscript"/>
    </w:rPr>
  </w:style>
  <w:style w:type="character" w:customStyle="1" w:styleId="Heading1Char">
    <w:name w:val="Heading 1 Char"/>
    <w:basedOn w:val="DefaultParagraphFont"/>
    <w:link w:val="Heading1"/>
    <w:uiPriority w:val="9"/>
    <w:rsid w:val="002D2EE4"/>
    <w:rPr>
      <w:rFonts w:asciiTheme="majorHAnsi" w:eastAsiaTheme="majorEastAsia" w:hAnsiTheme="majorHAnsi" w:cstheme="majorBidi"/>
      <w:b/>
      <w:bCs/>
      <w:color w:val="365F91" w:themeColor="accent1" w:themeShade="BF"/>
      <w:sz w:val="28"/>
      <w:szCs w:val="28"/>
      <w:lang w:val="en-US"/>
    </w:rPr>
  </w:style>
  <w:style w:type="paragraph" w:styleId="Header">
    <w:name w:val="header"/>
    <w:basedOn w:val="Normal"/>
    <w:link w:val="HeaderChar"/>
    <w:uiPriority w:val="99"/>
    <w:semiHidden/>
    <w:unhideWhenUsed/>
    <w:rsid w:val="0022624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26249"/>
    <w:rPr>
      <w:rFonts w:ascii="Calibri" w:eastAsia="Calibri" w:hAnsi="Calibri" w:cs="Times New Roman"/>
      <w:lang w:val="en-US"/>
    </w:rPr>
  </w:style>
  <w:style w:type="paragraph" w:styleId="Footer">
    <w:name w:val="footer"/>
    <w:basedOn w:val="Normal"/>
    <w:link w:val="FooterChar"/>
    <w:uiPriority w:val="99"/>
    <w:semiHidden/>
    <w:unhideWhenUsed/>
    <w:rsid w:val="0022624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26249"/>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2023-01-04T11:35:19Z</Data_x0020_e_x0020_Krijimit>
    <Modifikuesi xmlns="0e656187-b300-4fb0-8bf4-3a50f872073c">elona.baci</Modifikuesi>
    <Data_x0020_e_x0020_Modifikimit xmlns="0e656187-b300-4fb0-8bf4-3a50f872073c">2023-02-13T10:37:26Z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88A42129606D4596AC7BBA224DBF45A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868AD5-7474-462C-88C6-7EA3555CC20B}">
  <ds:schemaRefs>
    <ds:schemaRef ds:uri="http://schemas.microsoft.com/office/2006/metadata/properties"/>
    <ds:schemaRef ds:uri="http://schemas.microsoft.com/office/2006/documentManagement/types"/>
    <ds:schemaRef ds:uri="http://purl.org/dc/terms/"/>
    <ds:schemaRef ds:uri="http://purl.org/dc/dcmitype/"/>
    <ds:schemaRef ds:uri="http://purl.org/dc/elements/1.1/"/>
    <ds:schemaRef ds:uri="http://schemas.openxmlformats.org/package/2006/metadata/core-properties"/>
    <ds:schemaRef ds:uri="0e656187-b300-4fb0-8bf4-3a50f872073c"/>
    <ds:schemaRef ds:uri="http://www.w3.org/XML/1998/namespace"/>
  </ds:schemaRefs>
</ds:datastoreItem>
</file>

<file path=customXml/itemProps2.xml><?xml version="1.0" encoding="utf-8"?>
<ds:datastoreItem xmlns:ds="http://schemas.openxmlformats.org/officeDocument/2006/customXml" ds:itemID="{3020B80D-D9E7-43DD-AEF5-9C5E594B2D1B}">
  <ds:schemaRefs>
    <ds:schemaRef ds:uri="http://schemas.microsoft.com/sharepoint/v3/contenttype/forms"/>
  </ds:schemaRefs>
</ds:datastoreItem>
</file>

<file path=customXml/itemProps3.xml><?xml version="1.0" encoding="utf-8"?>
<ds:datastoreItem xmlns:ds="http://schemas.openxmlformats.org/officeDocument/2006/customXml" ds:itemID="{8826B4BE-0F65-4A08-8A5B-680F7B46BD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72FD96E-912C-4120-A2EF-78C8406B0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4352</Words>
  <Characters>24813</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Valjeta Kaftalli</cp:lastModifiedBy>
  <cp:revision>7</cp:revision>
  <dcterms:created xsi:type="dcterms:W3CDTF">2016-08-15T08:05:00Z</dcterms:created>
  <dcterms:modified xsi:type="dcterms:W3CDTF">2023-02-13T10:51:00Z</dcterms:modified>
</cp:coreProperties>
</file>