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7544" w:rsidRPr="00487EAE" w:rsidRDefault="003B7544" w:rsidP="003B7544">
      <w:pPr>
        <w:pStyle w:val="Paragrafi"/>
        <w:jc w:val="center"/>
        <w:rPr>
          <w:b/>
          <w:lang w:val="sq-AL"/>
        </w:rPr>
      </w:pPr>
      <w:r w:rsidRPr="00487EAE">
        <w:rPr>
          <w:b/>
          <w:lang w:val="sq-AL"/>
        </w:rPr>
        <w:t>VENDIM</w:t>
      </w:r>
    </w:p>
    <w:p w:rsidR="003B7544" w:rsidRDefault="003B7544" w:rsidP="003B7544">
      <w:pPr>
        <w:pStyle w:val="NeniTitull"/>
        <w:rPr>
          <w:lang w:val="sq-AL"/>
        </w:rPr>
      </w:pPr>
      <w:r w:rsidRPr="00487EAE">
        <w:rPr>
          <w:lang w:val="sq-AL"/>
        </w:rPr>
        <w:t>Nr. 542, datë 27.7.2016</w:t>
      </w:r>
    </w:p>
    <w:p w:rsidR="003B7544" w:rsidRPr="00EC645D" w:rsidRDefault="003B7544" w:rsidP="003B7544">
      <w:pPr>
        <w:spacing w:after="0" w:line="240" w:lineRule="auto"/>
        <w:rPr>
          <w:lang w:val="sq-AL"/>
        </w:rPr>
      </w:pPr>
    </w:p>
    <w:p w:rsidR="003B7544" w:rsidRPr="00065717" w:rsidRDefault="003B7544" w:rsidP="003B7544">
      <w:pPr>
        <w:pStyle w:val="NeniTitull"/>
        <w:rPr>
          <w:lang w:val="sq-AL"/>
        </w:rPr>
      </w:pPr>
      <w:r w:rsidRPr="00065717">
        <w:rPr>
          <w:lang w:val="sq-AL"/>
        </w:rPr>
        <w:t xml:space="preserve">PËR NJË NDRYSHIM NË </w:t>
      </w:r>
      <w:hyperlink r:id="rId7" w:tgtFrame="_blank" w:history="1">
        <w:r w:rsidRPr="00065717">
          <w:rPr>
            <w:rStyle w:val="Hyperlink"/>
            <w:color w:val="auto"/>
            <w:lang w:val="sq-AL"/>
          </w:rPr>
          <w:t xml:space="preserve">VENDIMIN NR.919, DATË 29.12.2014, TË KËSHILLIT </w:t>
        </w:r>
        <w:bookmarkStart w:id="0" w:name="_GoBack"/>
        <w:bookmarkEnd w:id="0"/>
        <w:r w:rsidRPr="00065717">
          <w:rPr>
            <w:rStyle w:val="Hyperlink"/>
            <w:color w:val="auto"/>
            <w:lang w:val="sq-AL"/>
          </w:rPr>
          <w:t>TË MINISTRAVE, “PËR MIRATIMIN E DISPOZITAVE ZBATUESE TË LIGJIT NR.102/2014, DATË 31.7.2014, “KODI DOGANOR I REPUBLIKËS SË SHQIPËRISË</w:t>
        </w:r>
      </w:hyperlink>
      <w:r w:rsidRPr="00065717">
        <w:rPr>
          <w:lang w:val="sq-AL"/>
        </w:rPr>
        <w:t>””</w:t>
      </w:r>
      <w:r w:rsidRPr="00065717">
        <w:rPr>
          <w:vertAlign w:val="superscript"/>
          <w:lang w:val="sq-AL"/>
        </w:rPr>
        <w:footnoteReference w:id="1"/>
      </w:r>
      <w:r w:rsidRPr="00065717">
        <w:rPr>
          <w:vertAlign w:val="superscript"/>
          <w:lang w:val="sq-AL"/>
        </w:rPr>
        <w:footnoteReference w:id="2"/>
      </w:r>
    </w:p>
    <w:p w:rsidR="003B7544" w:rsidRPr="00487EAE" w:rsidRDefault="003B7544" w:rsidP="003B7544">
      <w:pPr>
        <w:pStyle w:val="Hapesira7"/>
        <w:rPr>
          <w:lang w:val="sq-AL"/>
        </w:rPr>
      </w:pPr>
    </w:p>
    <w:p w:rsidR="003B7544" w:rsidRPr="00487EAE" w:rsidRDefault="003B7544" w:rsidP="003B7544">
      <w:pPr>
        <w:pStyle w:val="Paragrafi"/>
        <w:rPr>
          <w:lang w:val="sq-AL"/>
        </w:rPr>
      </w:pPr>
      <w:r w:rsidRPr="00487EAE">
        <w:rPr>
          <w:lang w:val="sq-AL"/>
        </w:rPr>
        <w:t>Në mbështetje të nenit 100 të Kushtetutës dhe të neneve 9, 10, 40 deri 42, 47, 119, pika 7, 149, 150 deri 152, 153, pikat 1, 2 e 3, 154, 161 deri 168, 169, 174, 175, 176, 177, 184 e 188, të ligjit nr.102/2014, “Kodi Doganor i Republikës së Shqipërisë”, me propozimin e ministrit të Financave, Këshilli i Ministrave</w:t>
      </w:r>
    </w:p>
    <w:p w:rsidR="003B7544" w:rsidRPr="00807F51" w:rsidRDefault="003B7544" w:rsidP="003B7544">
      <w:pPr>
        <w:pStyle w:val="NeniNr"/>
        <w:rPr>
          <w:sz w:val="14"/>
          <w:lang w:val="sq-AL"/>
        </w:rPr>
      </w:pPr>
    </w:p>
    <w:p w:rsidR="003B7544" w:rsidRPr="00487EAE" w:rsidRDefault="003B7544" w:rsidP="003B7544">
      <w:pPr>
        <w:pStyle w:val="NeniNr"/>
        <w:rPr>
          <w:lang w:val="sq-AL"/>
        </w:rPr>
      </w:pPr>
      <w:r w:rsidRPr="00487EAE">
        <w:rPr>
          <w:lang w:val="sq-AL"/>
        </w:rPr>
        <w:t>VENDOSI:</w:t>
      </w:r>
    </w:p>
    <w:p w:rsidR="003B7544" w:rsidRPr="00487EAE" w:rsidRDefault="003B7544" w:rsidP="003B7544">
      <w:pPr>
        <w:pStyle w:val="Hapesira7"/>
        <w:rPr>
          <w:lang w:val="sq-AL"/>
        </w:rPr>
      </w:pPr>
    </w:p>
    <w:p w:rsidR="003B7544" w:rsidRPr="00487EAE" w:rsidRDefault="003B7544" w:rsidP="003B7544">
      <w:pPr>
        <w:pStyle w:val="Paragrafi"/>
        <w:rPr>
          <w:lang w:val="sq-AL"/>
        </w:rPr>
      </w:pPr>
      <w:r w:rsidRPr="00487EAE">
        <w:rPr>
          <w:lang w:val="sq-AL"/>
        </w:rPr>
        <w:t>1. Në kreun 2, “Përjashtimi nga detyrimet e importit”, seksioni 5, “Dërgesat me vlerë të papërfillshme”, të vendimit nr.919, datë 29.12.2014, të Këshillit të Ministrave, neni 116, “Mallra me vlerë të papërfillshme”, ndryshohet, si më poshtë vijon:</w:t>
      </w:r>
    </w:p>
    <w:p w:rsidR="003B7544" w:rsidRPr="00487EAE" w:rsidRDefault="003B7544" w:rsidP="003B7544">
      <w:pPr>
        <w:pStyle w:val="Paragrafi"/>
        <w:rPr>
          <w:lang w:val="sq-AL"/>
        </w:rPr>
      </w:pPr>
    </w:p>
    <w:p w:rsidR="003B7544" w:rsidRPr="00487EAE" w:rsidRDefault="003B7544" w:rsidP="003B7544">
      <w:pPr>
        <w:pStyle w:val="NeniNr"/>
        <w:rPr>
          <w:lang w:val="sq-AL"/>
        </w:rPr>
      </w:pPr>
      <w:r w:rsidRPr="00487EAE">
        <w:rPr>
          <w:lang w:val="sq-AL"/>
        </w:rPr>
        <w:t>“Neni 116</w:t>
      </w:r>
    </w:p>
    <w:p w:rsidR="003B7544" w:rsidRPr="00CD1A7E" w:rsidRDefault="003B7544" w:rsidP="003B7544">
      <w:pPr>
        <w:pStyle w:val="NeniNr"/>
        <w:rPr>
          <w:b/>
          <w:lang w:val="sq-AL"/>
        </w:rPr>
      </w:pPr>
      <w:r w:rsidRPr="00CD1A7E">
        <w:rPr>
          <w:b/>
          <w:lang w:val="sq-AL"/>
        </w:rPr>
        <w:t>Mallra me vlerë të papërfillshme</w:t>
      </w:r>
    </w:p>
    <w:p w:rsidR="003B7544" w:rsidRPr="00487EAE" w:rsidRDefault="003B7544" w:rsidP="003B7544">
      <w:pPr>
        <w:pStyle w:val="Hapesira7"/>
        <w:rPr>
          <w:lang w:val="sq-AL"/>
        </w:rPr>
      </w:pPr>
    </w:p>
    <w:p w:rsidR="003B7544" w:rsidRPr="00487EAE" w:rsidRDefault="003B7544" w:rsidP="003B7544">
      <w:pPr>
        <w:pStyle w:val="Paragrafi"/>
        <w:rPr>
          <w:lang w:val="sq-AL"/>
        </w:rPr>
      </w:pPr>
      <w:r w:rsidRPr="00487EAE">
        <w:rPr>
          <w:lang w:val="sq-AL"/>
        </w:rPr>
        <w:t xml:space="preserve">1. </w:t>
      </w:r>
      <w:r w:rsidRPr="00487EAE">
        <w:rPr>
          <w:lang w:val="sq-AL"/>
        </w:rPr>
        <w:tab/>
        <w:t xml:space="preserve">Në përputhje me nenin 117, çdo dërgesë mallrash me karakter jotregtar, e përbërë nga mallra me vlerë të papërfillshme, të dërguara drejtpërdrejt nga një vend tjetër te një marrës në Republikën e Shqipërisë, përjashtohet nga detyrimet e importit. </w:t>
      </w:r>
    </w:p>
    <w:p w:rsidR="003B7544" w:rsidRPr="00487EAE" w:rsidRDefault="003B7544" w:rsidP="003B7544">
      <w:pPr>
        <w:pStyle w:val="Paragrafi"/>
        <w:rPr>
          <w:lang w:val="sq-AL"/>
        </w:rPr>
      </w:pPr>
      <w:r w:rsidRPr="00487EAE">
        <w:rPr>
          <w:lang w:val="sq-AL"/>
        </w:rPr>
        <w:t xml:space="preserve">2. </w:t>
      </w:r>
      <w:r w:rsidRPr="00487EAE">
        <w:rPr>
          <w:lang w:val="sq-AL"/>
        </w:rPr>
        <w:tab/>
        <w:t>Për qëllime të pikës 1, mallra me vlerë të papërfillshme janë:</w:t>
      </w:r>
    </w:p>
    <w:p w:rsidR="003B7544" w:rsidRPr="00487EAE" w:rsidRDefault="003B7544" w:rsidP="003B7544">
      <w:pPr>
        <w:pStyle w:val="Paragrafi"/>
        <w:rPr>
          <w:lang w:val="sq-AL"/>
        </w:rPr>
      </w:pPr>
      <w:r w:rsidRPr="00487EAE">
        <w:rPr>
          <w:lang w:val="sq-AL"/>
        </w:rPr>
        <w:t>a)</w:t>
      </w:r>
      <w:r>
        <w:rPr>
          <w:lang w:val="sq-AL"/>
        </w:rPr>
        <w:t xml:space="preserve"> </w:t>
      </w:r>
      <w:r w:rsidRPr="00487EAE">
        <w:rPr>
          <w:lang w:val="sq-AL"/>
        </w:rPr>
        <w:t>mallrat e blera nëpërmjet porosisë nga interneti, që importohen nëpërmjet dërgesave postare, vlera e të cilave nuk kalon vlerën ekuivalente në lekë të shumës 22 euro;</w:t>
      </w:r>
    </w:p>
    <w:p w:rsidR="003B7544" w:rsidRPr="00487EAE" w:rsidRDefault="003B7544" w:rsidP="003B7544">
      <w:pPr>
        <w:pStyle w:val="Paragrafi"/>
        <w:rPr>
          <w:lang w:val="sq-AL"/>
        </w:rPr>
      </w:pPr>
      <w:r w:rsidRPr="00487EAE">
        <w:rPr>
          <w:lang w:val="sq-AL"/>
        </w:rPr>
        <w:t>b) dërgesat e mallrave nga një individ jashtë Republikës së Shqipërisë për një individ në Republikën e Shqipërisë, të një natyre rastësore, pa pagesë dhe që përmbajnë vetëm mallrat e destinuara për përdorim personal ose familjar prej marrësit, vlera e të cilave nuk e kalon vlerën ekuivalente në lekë të shumës 45 euro.”.</w:t>
      </w:r>
    </w:p>
    <w:p w:rsidR="003B7544" w:rsidRPr="00487EAE" w:rsidRDefault="003B7544" w:rsidP="003B7544">
      <w:pPr>
        <w:pStyle w:val="Paragrafi"/>
        <w:rPr>
          <w:lang w:val="sq-AL"/>
        </w:rPr>
      </w:pPr>
      <w:r w:rsidRPr="00487EAE">
        <w:rPr>
          <w:lang w:val="sq-AL"/>
        </w:rPr>
        <w:t>Ngarkohen Ministria e Financave dhe Drejtoria e Përgjithshme e Doganave për zbatimin e këtij vendimi.</w:t>
      </w:r>
    </w:p>
    <w:p w:rsidR="003B7544" w:rsidRPr="00487EAE" w:rsidRDefault="003B7544" w:rsidP="003B7544">
      <w:pPr>
        <w:pStyle w:val="Paragrafi"/>
        <w:rPr>
          <w:lang w:val="sq-AL"/>
        </w:rPr>
      </w:pPr>
      <w:r w:rsidRPr="00487EAE">
        <w:rPr>
          <w:lang w:val="sq-AL"/>
        </w:rPr>
        <w:t>Ky vendim hyn në fuqi pas botimit në Fletoren Zyrtare.</w:t>
      </w:r>
    </w:p>
    <w:p w:rsidR="003B7544" w:rsidRPr="00CE3645" w:rsidRDefault="003B7544" w:rsidP="003B7544">
      <w:pPr>
        <w:pStyle w:val="Hapesira7"/>
        <w:rPr>
          <w:sz w:val="10"/>
          <w:lang w:val="sq-AL"/>
        </w:rPr>
      </w:pPr>
    </w:p>
    <w:p w:rsidR="003B7544" w:rsidRPr="00487EAE" w:rsidRDefault="003B7544" w:rsidP="003B7544">
      <w:pPr>
        <w:pStyle w:val="Autoriteti"/>
        <w:rPr>
          <w:lang w:val="sq-AL"/>
        </w:rPr>
      </w:pPr>
      <w:r w:rsidRPr="00487EAE">
        <w:rPr>
          <w:lang w:val="sq-AL"/>
        </w:rPr>
        <w:t xml:space="preserve">KRYEMINISTRI </w:t>
      </w:r>
    </w:p>
    <w:p w:rsidR="003B7544" w:rsidRPr="00487EAE" w:rsidRDefault="003B7544" w:rsidP="003B7544">
      <w:pPr>
        <w:pStyle w:val="AutoritetiEmer"/>
        <w:rPr>
          <w:lang w:val="sq-AL"/>
        </w:rPr>
      </w:pPr>
      <w:r w:rsidRPr="00487EAE">
        <w:rPr>
          <w:lang w:val="sq-AL"/>
        </w:rPr>
        <w:t>Edi Rama</w:t>
      </w:r>
    </w:p>
    <w:p w:rsidR="00A94DD3" w:rsidRDefault="00A94DD3"/>
    <w:sectPr w:rsidR="00A94DD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7544" w:rsidRDefault="003B7544" w:rsidP="003B7544">
      <w:pPr>
        <w:spacing w:after="0" w:line="240" w:lineRule="auto"/>
      </w:pPr>
      <w:r>
        <w:separator/>
      </w:r>
    </w:p>
  </w:endnote>
  <w:endnote w:type="continuationSeparator" w:id="0">
    <w:p w:rsidR="003B7544" w:rsidRDefault="003B7544" w:rsidP="003B75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7544" w:rsidRDefault="003B7544" w:rsidP="003B7544">
      <w:pPr>
        <w:spacing w:after="0" w:line="240" w:lineRule="auto"/>
      </w:pPr>
      <w:r>
        <w:separator/>
      </w:r>
    </w:p>
  </w:footnote>
  <w:footnote w:type="continuationSeparator" w:id="0">
    <w:p w:rsidR="003B7544" w:rsidRDefault="003B7544" w:rsidP="003B7544">
      <w:pPr>
        <w:spacing w:after="0" w:line="240" w:lineRule="auto"/>
      </w:pPr>
      <w:r>
        <w:continuationSeparator/>
      </w:r>
    </w:p>
  </w:footnote>
  <w:footnote w:id="1">
    <w:p w:rsidR="003B7544" w:rsidRPr="00D61CE5" w:rsidRDefault="003B7544" w:rsidP="003B7544">
      <w:pPr>
        <w:pStyle w:val="FootnoteText"/>
        <w:ind w:firstLine="0"/>
        <w:rPr>
          <w:rFonts w:ascii="Garamond" w:hAnsi="Garamond"/>
        </w:rPr>
      </w:pPr>
      <w:r w:rsidRPr="00D61CE5">
        <w:rPr>
          <w:rStyle w:val="FootnoteReference"/>
          <w:rFonts w:ascii="Garamond" w:hAnsi="Garamond"/>
        </w:rPr>
        <w:footnoteRef/>
      </w:r>
      <w:r w:rsidRPr="00D61CE5">
        <w:rPr>
          <w:rFonts w:ascii="Garamond" w:hAnsi="Garamond"/>
        </w:rPr>
        <w:t xml:space="preserve"> Direktiva 2006/79/EC</w:t>
      </w:r>
      <w:r>
        <w:rPr>
          <w:rFonts w:ascii="Garamond" w:hAnsi="Garamond"/>
        </w:rPr>
        <w:t>,</w:t>
      </w:r>
      <w:r w:rsidRPr="00D61CE5">
        <w:rPr>
          <w:rFonts w:ascii="Garamond" w:hAnsi="Garamond"/>
        </w:rPr>
        <w:t xml:space="preserve"> e datës 5 tetor 2006</w:t>
      </w:r>
      <w:r>
        <w:rPr>
          <w:rFonts w:ascii="Garamond" w:hAnsi="Garamond"/>
        </w:rPr>
        <w:t>,</w:t>
      </w:r>
      <w:r w:rsidRPr="00D61CE5">
        <w:rPr>
          <w:rFonts w:ascii="Garamond" w:hAnsi="Garamond"/>
        </w:rPr>
        <w:t xml:space="preserve"> “Mbi përjashtimin nga taksat e importit të dërgesave të vogla të mallrave me natyrë jotregtare nga vendet jashtë BE-së”. Celex nr.32006L0079; Fletorja Zyrtare e Bashkimit Evropian, seria L, nr.286, 17 October 2006, faqe 15</w:t>
      </w:r>
      <w:r>
        <w:rPr>
          <w:rFonts w:ascii="Garamond" w:hAnsi="Garamond"/>
        </w:rPr>
        <w:t>–</w:t>
      </w:r>
      <w:r w:rsidRPr="00D61CE5">
        <w:rPr>
          <w:rFonts w:ascii="Garamond" w:hAnsi="Garamond"/>
        </w:rPr>
        <w:t>18;</w:t>
      </w:r>
    </w:p>
  </w:footnote>
  <w:footnote w:id="2">
    <w:p w:rsidR="003B7544" w:rsidRPr="00D61CE5" w:rsidRDefault="003B7544" w:rsidP="003B7544">
      <w:pPr>
        <w:pStyle w:val="ListParagraph"/>
        <w:spacing w:after="0" w:line="240" w:lineRule="auto"/>
        <w:ind w:left="0"/>
        <w:jc w:val="both"/>
        <w:rPr>
          <w:rFonts w:ascii="Garamond" w:hAnsi="Garamond"/>
          <w:sz w:val="20"/>
          <w:szCs w:val="20"/>
          <w:lang w:val="sq-AL"/>
        </w:rPr>
      </w:pPr>
      <w:r w:rsidRPr="00D61CE5">
        <w:rPr>
          <w:rStyle w:val="FootnoteReference"/>
          <w:rFonts w:ascii="Garamond" w:hAnsi="Garamond"/>
          <w:sz w:val="20"/>
          <w:szCs w:val="20"/>
          <w:lang w:val="sq-AL"/>
        </w:rPr>
        <w:footnoteRef/>
      </w:r>
      <w:r w:rsidRPr="00D61CE5">
        <w:rPr>
          <w:rFonts w:ascii="Garamond" w:hAnsi="Garamond"/>
          <w:sz w:val="20"/>
          <w:szCs w:val="20"/>
          <w:lang w:val="sq-AL"/>
        </w:rPr>
        <w:t xml:space="preserve"> Direktiva 2009/132/EC</w:t>
      </w:r>
      <w:r>
        <w:rPr>
          <w:rFonts w:ascii="Garamond" w:hAnsi="Garamond"/>
          <w:sz w:val="20"/>
          <w:szCs w:val="20"/>
          <w:lang w:val="sq-AL"/>
        </w:rPr>
        <w:t>,</w:t>
      </w:r>
      <w:r w:rsidRPr="00D61CE5">
        <w:rPr>
          <w:rFonts w:ascii="Garamond" w:hAnsi="Garamond"/>
          <w:sz w:val="20"/>
          <w:szCs w:val="20"/>
          <w:lang w:val="sq-AL"/>
        </w:rPr>
        <w:t xml:space="preserve"> e datës 19 tetor 2009</w:t>
      </w:r>
      <w:r>
        <w:rPr>
          <w:rFonts w:ascii="Garamond" w:hAnsi="Garamond"/>
          <w:sz w:val="20"/>
          <w:szCs w:val="20"/>
          <w:lang w:val="sq-AL"/>
        </w:rPr>
        <w:t>,</w:t>
      </w:r>
      <w:r w:rsidRPr="00D61CE5">
        <w:rPr>
          <w:rFonts w:ascii="Garamond" w:hAnsi="Garamond"/>
          <w:sz w:val="20"/>
          <w:szCs w:val="20"/>
          <w:lang w:val="sq-AL"/>
        </w:rPr>
        <w:t xml:space="preserve"> “Mbi përcaktimin e qëllimit të nenit 143 (b) dhe (c) të </w:t>
      </w:r>
      <w:r>
        <w:rPr>
          <w:rFonts w:ascii="Garamond" w:hAnsi="Garamond"/>
          <w:sz w:val="20"/>
          <w:szCs w:val="20"/>
          <w:lang w:val="sq-AL"/>
        </w:rPr>
        <w:t>d</w:t>
      </w:r>
      <w:r w:rsidRPr="00D61CE5">
        <w:rPr>
          <w:rFonts w:ascii="Garamond" w:hAnsi="Garamond"/>
          <w:sz w:val="20"/>
          <w:szCs w:val="20"/>
          <w:lang w:val="sq-AL"/>
        </w:rPr>
        <w:t>irektivës 2006/112/ EC</w:t>
      </w:r>
      <w:r>
        <w:rPr>
          <w:rFonts w:ascii="Garamond" w:hAnsi="Garamond"/>
          <w:sz w:val="20"/>
          <w:szCs w:val="20"/>
          <w:lang w:val="sq-AL"/>
        </w:rPr>
        <w:t>,</w:t>
      </w:r>
      <w:r w:rsidRPr="00D61CE5">
        <w:rPr>
          <w:rFonts w:ascii="Garamond" w:hAnsi="Garamond"/>
          <w:sz w:val="20"/>
          <w:szCs w:val="20"/>
          <w:lang w:val="sq-AL"/>
        </w:rPr>
        <w:t xml:space="preserve"> në lidhje me përjashtimin nga tatimi mbi vlerën e shtuar për importimin final të mallrave të caktuara”. Celex nr.32009L0132; Fletorja Zyrtare e Bashkimit Evropian, seria L, 292, 10 nëntor 2009, faqe 5</w:t>
      </w:r>
      <w:r>
        <w:rPr>
          <w:rFonts w:ascii="Garamond" w:hAnsi="Garamond"/>
        </w:rPr>
        <w:t>–</w:t>
      </w:r>
      <w:r w:rsidRPr="00D61CE5">
        <w:rPr>
          <w:rFonts w:ascii="Garamond" w:hAnsi="Garamond"/>
          <w:sz w:val="20"/>
          <w:szCs w:val="20"/>
          <w:lang w:val="sq-AL"/>
        </w:rPr>
        <w:t>30.</w:t>
      </w:r>
    </w:p>
    <w:p w:rsidR="003B7544" w:rsidRPr="00D61CE5" w:rsidRDefault="003B7544" w:rsidP="003B7544">
      <w:pPr>
        <w:pStyle w:val="FootnoteText"/>
        <w:rPr>
          <w:rFonts w:ascii="Garamond" w:hAnsi="Garamond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544"/>
    <w:rsid w:val="00065717"/>
    <w:rsid w:val="003B7544"/>
    <w:rsid w:val="00A94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7544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B754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B7544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3B754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B754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B7544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3B754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B754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B7544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B7544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3B7544"/>
    <w:rPr>
      <w:sz w:val="14"/>
      <w:szCs w:val="24"/>
    </w:rPr>
  </w:style>
  <w:style w:type="paragraph" w:styleId="ListParagraph">
    <w:name w:val="List Paragraph"/>
    <w:aliases w:val="List Paragraph2,List Paragraph (numbered (a)),Normal 1,List Paragraph 1,Akapit z listą BS,Bullets"/>
    <w:basedOn w:val="Normal"/>
    <w:link w:val="ListParagraphChar"/>
    <w:uiPriority w:val="34"/>
    <w:qFormat/>
    <w:rsid w:val="003B7544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,List Paragraph (numbered (a)) Char,Normal 1 Char,List Paragraph 1 Char,Akapit z listą BS Char,Bullets Char"/>
    <w:link w:val="ListParagraph"/>
    <w:uiPriority w:val="34"/>
    <w:locked/>
    <w:rsid w:val="003B7544"/>
    <w:rPr>
      <w:rFonts w:ascii="Calibri" w:eastAsia="Times New Roman" w:hAnsi="Calibri" w:cs="Times New Roman"/>
      <w:lang w:val="en-US"/>
    </w:rPr>
  </w:style>
  <w:style w:type="character" w:styleId="Hyperlink">
    <w:name w:val="Hyperlink"/>
    <w:uiPriority w:val="99"/>
    <w:unhideWhenUsed/>
    <w:rsid w:val="003B7544"/>
    <w:rPr>
      <w:color w:val="0000FF"/>
      <w:u w:val="single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3B7544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3B7544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Footnote Reference Arial,nota pié di pagina,Footnote reference number"/>
    <w:link w:val="BVIfnrCarCarCarCarChar"/>
    <w:uiPriority w:val="99"/>
    <w:qFormat/>
    <w:rsid w:val="003B7544"/>
    <w:rPr>
      <w:vertAlign w:val="superscript"/>
    </w:rPr>
  </w:style>
  <w:style w:type="paragraph" w:customStyle="1" w:styleId="BVIfnrCarCarCarCarChar">
    <w:name w:val="BVI fnr Car Car Car Car Char"/>
    <w:basedOn w:val="Normal"/>
    <w:link w:val="FootnoteReference"/>
    <w:uiPriority w:val="99"/>
    <w:rsid w:val="003B7544"/>
    <w:pPr>
      <w:spacing w:after="160" w:line="240" w:lineRule="exact"/>
      <w:ind w:firstLine="0"/>
      <w:jc w:val="left"/>
    </w:pPr>
    <w:rPr>
      <w:rFonts w:asciiTheme="minorHAnsi" w:eastAsiaTheme="minorHAnsi" w:hAnsiTheme="minorHAnsi" w:cstheme="minorBidi"/>
      <w:vertAlign w:val="superscript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7544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B754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B7544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3B754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B754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B7544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3B754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B754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B7544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B7544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3B7544"/>
    <w:rPr>
      <w:sz w:val="14"/>
      <w:szCs w:val="24"/>
    </w:rPr>
  </w:style>
  <w:style w:type="paragraph" w:styleId="ListParagraph">
    <w:name w:val="List Paragraph"/>
    <w:aliases w:val="List Paragraph2,List Paragraph (numbered (a)),Normal 1,List Paragraph 1,Akapit z listą BS,Bullets"/>
    <w:basedOn w:val="Normal"/>
    <w:link w:val="ListParagraphChar"/>
    <w:uiPriority w:val="34"/>
    <w:qFormat/>
    <w:rsid w:val="003B7544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,List Paragraph (numbered (a)) Char,Normal 1 Char,List Paragraph 1 Char,Akapit z listą BS Char,Bullets Char"/>
    <w:link w:val="ListParagraph"/>
    <w:uiPriority w:val="34"/>
    <w:locked/>
    <w:rsid w:val="003B7544"/>
    <w:rPr>
      <w:rFonts w:ascii="Calibri" w:eastAsia="Times New Roman" w:hAnsi="Calibri" w:cs="Times New Roman"/>
      <w:lang w:val="en-US"/>
    </w:rPr>
  </w:style>
  <w:style w:type="character" w:styleId="Hyperlink">
    <w:name w:val="Hyperlink"/>
    <w:uiPriority w:val="99"/>
    <w:unhideWhenUsed/>
    <w:rsid w:val="003B7544"/>
    <w:rPr>
      <w:color w:val="0000FF"/>
      <w:u w:val="single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3B7544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3B7544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Footnote Reference Arial,nota pié di pagina,Footnote reference number"/>
    <w:link w:val="BVIfnrCarCarCarCarChar"/>
    <w:uiPriority w:val="99"/>
    <w:qFormat/>
    <w:rsid w:val="003B7544"/>
    <w:rPr>
      <w:vertAlign w:val="superscript"/>
    </w:rPr>
  </w:style>
  <w:style w:type="paragraph" w:customStyle="1" w:styleId="BVIfnrCarCarCarCarChar">
    <w:name w:val="BVI fnr Car Car Car Car Char"/>
    <w:basedOn w:val="Normal"/>
    <w:link w:val="FootnoteReference"/>
    <w:uiPriority w:val="99"/>
    <w:rsid w:val="003B7544"/>
    <w:pPr>
      <w:spacing w:after="160" w:line="240" w:lineRule="exact"/>
      <w:ind w:firstLine="0"/>
      <w:jc w:val="left"/>
    </w:pPr>
    <w:rPr>
      <w:rFonts w:asciiTheme="minorHAnsi" w:eastAsiaTheme="minorHAnsi" w:hAnsiTheme="minorHAnsi" w:cstheme="minorBidi"/>
      <w:vertAlign w:val="superscript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dogana.gov.al/sites/default/files/fletore_zyrtare/Dispozitat%20zbatuese%20te%20Koditet%20Ri%20doganor%20nr.%20919%2C%20dat%2029.12.2014%20.pd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2016-08-16T10:49:00Z</dcterms:created>
  <dcterms:modified xsi:type="dcterms:W3CDTF">2018-01-22T11:21:00Z</dcterms:modified>
</cp:coreProperties>
</file>