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758" w:rsidRPr="00720488" w:rsidRDefault="00402758" w:rsidP="00402758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20488">
        <w:rPr>
          <w:spacing w:val="-4"/>
          <w:lang w:val="sq-AL"/>
        </w:rPr>
        <w:t xml:space="preserve">VENDIM </w:t>
      </w:r>
    </w:p>
    <w:p w:rsidR="00402758" w:rsidRPr="00720488" w:rsidRDefault="00402758" w:rsidP="00402758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Nr. 718, datë 12.10.2016</w:t>
      </w:r>
    </w:p>
    <w:p w:rsidR="00402758" w:rsidRPr="00720488" w:rsidRDefault="00402758" w:rsidP="00402758">
      <w:pPr>
        <w:pStyle w:val="Hapesira7"/>
        <w:rPr>
          <w:spacing w:val="-4"/>
          <w:sz w:val="10"/>
          <w:lang w:val="sq-AL"/>
        </w:rPr>
      </w:pPr>
    </w:p>
    <w:p w:rsidR="00402758" w:rsidRPr="00720488" w:rsidRDefault="00402758" w:rsidP="00402758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PËR DISA NDRYSHIME DHE SHTESA NË VENDIMIN NR. 822, DATË 7.10.2015, TË KËSHILLIT TË MINISTRAVE, “PËR MIRATIMIN E RREGULLAVE DHE PROCEDURAVE TË NDËRTIMIT TË KAPACITETEVE TË REJA PRODHUESE TË ENERGJISË ELEKTRIKE, QË NUK JANË OBJEKT KONCESIONI”</w:t>
      </w:r>
    </w:p>
    <w:p w:rsidR="00402758" w:rsidRPr="00720488" w:rsidRDefault="00402758" w:rsidP="00402758">
      <w:pPr>
        <w:pStyle w:val="Hapesira7"/>
        <w:rPr>
          <w:spacing w:val="-4"/>
          <w:sz w:val="12"/>
          <w:lang w:val="sq-AL"/>
        </w:rPr>
      </w:pP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Në mbështetje të nenit 100 të Kushtetutës dhe të pikës 2, të nenit, 49, të ligjit nr. 43/2015, “Për sektorin e energjisë elektrike”, me propozimin e ministrit të Energjisë dhe Industrisë, Këshilli i Ministrave</w:t>
      </w:r>
    </w:p>
    <w:p w:rsidR="00402758" w:rsidRPr="00720488" w:rsidRDefault="00402758" w:rsidP="00402758">
      <w:pPr>
        <w:pStyle w:val="NeniNr"/>
        <w:rPr>
          <w:spacing w:val="-4"/>
          <w:lang w:val="sq-AL"/>
        </w:rPr>
      </w:pPr>
      <w:r w:rsidRPr="00720488">
        <w:rPr>
          <w:spacing w:val="-4"/>
          <w:lang w:val="sq-AL"/>
        </w:rPr>
        <w:t>VENDOSI:</w:t>
      </w:r>
    </w:p>
    <w:p w:rsidR="00402758" w:rsidRPr="00720488" w:rsidRDefault="00402758" w:rsidP="00402758">
      <w:pPr>
        <w:pStyle w:val="Hapesira7"/>
        <w:rPr>
          <w:spacing w:val="-4"/>
          <w:sz w:val="10"/>
          <w:lang w:val="sq-AL"/>
        </w:rPr>
      </w:pP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Në tekstin e rregullave e të procedurave të ndërtimit të kapaciteteve të reja prodhuese të energjisë elektrike, që nuk janë objekt koncesioni, i cili i bashkëlidhet vendimit nr. 822, datë 7.10.2015, të Këshillit të Ministrav</w:t>
      </w:r>
      <w:r>
        <w:rPr>
          <w:spacing w:val="-4"/>
          <w:lang w:val="sq-AL"/>
        </w:rPr>
        <w:t>e, bëhen ndryshimet dhe shtesat</w:t>
      </w:r>
      <w:r w:rsidRPr="00720488">
        <w:rPr>
          <w:spacing w:val="-4"/>
          <w:lang w:val="sq-AL"/>
        </w:rPr>
        <w:t xml:space="preserve"> si më poshtë vijon: 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1. Pika 2, e nenit 2, të kapitullit I, “Dispozita të përgjithshme”, shfuqizohet.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2. Në kapitullin II, “Ndërtimi i burimeve të reja gjeneruese mbi 2MW”, bëhen këto ndryshime: 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a) Pika 2, e nenit 6, “Forma e aplikimit”, ndryshohet, me këtë përmbajtje: 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“2. Në momentin e dorëzimit të aplikimit, çdo aplikues paraqet faturën e kryerjes së pagesës për atë aplikim, në vlerën dhe numrin e llogarisë së ministrisë, siç përcaktohet në aneksin 2, të këtyre rregullave. Aplikimi dhe dokumentacioni bashkëlidhur tij quhet i dorëzuar prej aplikuesit vetëm pas kryerjes së kësaj pagese.”.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b) Neni 7, “Dokumentacioni shoqërues që kërkohet për një miratim”, ndryshohet, si më poshtë vijon:</w:t>
      </w:r>
    </w:p>
    <w:p w:rsidR="00402758" w:rsidRPr="00720488" w:rsidRDefault="00402758" w:rsidP="00402758">
      <w:pPr>
        <w:pStyle w:val="Hapesira7"/>
        <w:rPr>
          <w:spacing w:val="-4"/>
          <w:lang w:val="sq-AL"/>
        </w:rPr>
      </w:pPr>
    </w:p>
    <w:p w:rsidR="00402758" w:rsidRPr="00720488" w:rsidRDefault="00402758" w:rsidP="00402758">
      <w:pPr>
        <w:pStyle w:val="NeniNr"/>
        <w:rPr>
          <w:spacing w:val="-4"/>
          <w:lang w:val="sq-AL"/>
        </w:rPr>
      </w:pPr>
      <w:r w:rsidRPr="00720488">
        <w:rPr>
          <w:spacing w:val="-4"/>
          <w:lang w:val="sq-AL"/>
        </w:rPr>
        <w:t>“Neni 7</w:t>
      </w:r>
    </w:p>
    <w:p w:rsidR="00402758" w:rsidRPr="00720488" w:rsidRDefault="00402758" w:rsidP="00402758">
      <w:pPr>
        <w:pStyle w:val="NeniNr"/>
        <w:rPr>
          <w:b/>
          <w:spacing w:val="-4"/>
          <w:lang w:val="sq-AL"/>
        </w:rPr>
      </w:pPr>
      <w:r w:rsidRPr="00720488">
        <w:rPr>
          <w:b/>
          <w:spacing w:val="-4"/>
          <w:lang w:val="sq-AL"/>
        </w:rPr>
        <w:t>Dokumentacioni shoqërues që kërkohet për një miratim</w:t>
      </w:r>
    </w:p>
    <w:p w:rsidR="00402758" w:rsidRPr="00720488" w:rsidRDefault="00402758" w:rsidP="00402758">
      <w:pPr>
        <w:pStyle w:val="Hapesira7"/>
        <w:rPr>
          <w:spacing w:val="-4"/>
          <w:lang w:val="sq-AL"/>
        </w:rPr>
      </w:pP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Çdo aplikim për një miratim ndërtimi shoqërohet me dokumentet dhe/ose informacionin, si më poshtë vijon: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a) Ekstrakt të Regjistrit Tregtar për të Dhënat e Subjektit, ekstrakt për historikun e subjektit, të lëshuara nga Qendra Kombëtare e Regjistrimit, me të cilat vërtetohen, ndër të tjera, se objekti i veprimtarisë së subjektit është në fushën energjetike, aplikuesi nuk është në proces falimentimi, nuk është dënuar me vendim të gjykatës së formës së prerë, që lidhet me aktivitetin e</w:t>
      </w:r>
      <w:r>
        <w:rPr>
          <w:spacing w:val="-4"/>
          <w:lang w:val="sq-AL"/>
        </w:rPr>
        <w:t xml:space="preserve"> tij profesional, statusi aktiv</w:t>
      </w:r>
      <w:r w:rsidRPr="00720488">
        <w:rPr>
          <w:spacing w:val="-4"/>
          <w:lang w:val="sq-AL"/>
        </w:rPr>
        <w:t xml:space="preserve"> etj.;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b)</w:t>
      </w:r>
      <w:r w:rsidRPr="00720488">
        <w:rPr>
          <w:spacing w:val="-4"/>
          <w:lang w:val="sq-AL"/>
        </w:rPr>
        <w:tab/>
        <w:t>Vërtetime për shlyerjen e detyrimeve tatimore, për pagesën e sigurimeve shoqërore, të shoqëruara me listëpagesat e sigurimeve, në të cilat të jenë përfshirë emrat e punonjësve, për secilin muaj (të vitit të fundit);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c) </w:t>
      </w:r>
      <w:r w:rsidRPr="00720488">
        <w:rPr>
          <w:spacing w:val="-4"/>
          <w:lang w:val="sq-AL"/>
        </w:rPr>
        <w:tab/>
        <w:t>Dokument që vërteton se kapitalet/asetet e subjektit nuk janë në proces ekzekutimi nga përmbaruesi gjyqësor apo ekziston një urdhër sekuestroje për to, lëshuar nga zyra e përmbarimit në qytetin ku ndodhet selia e subjektit;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ç) Vërtetim që konfirmon shlyerjen e të gjitha detyrimeve të maturuara të energjisë elektrike të kontratave të energjisë, të cilat duhet të jenë në emër të subjektit aplikues, për çdo ambient ku subjekti aplikues, ushtron aktivitetin e tij;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Mosshlyerja e detyrimeve të energjisë elektrike, përveç rastit kur rezulton se detyrimet e papaguara të energjisë elektrike, të konfirmuara në vërtetimin e lëshuar nga furnizuesi, janë në proces ankimi në gjykatë, apo mungesa e lidhjes së kontratës për furnizim me energji elektrike të aplikuesit me furnizuesin publik për çdo ambient ku subjekti ushtron aktivitetin e tij, përbën shkak për refuzimin e aplikimit;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 d) Struktura organizative e shoqërisë;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 dh) </w:t>
      </w:r>
      <w:r w:rsidRPr="00720488">
        <w:rPr>
          <w:spacing w:val="-4"/>
          <w:lang w:val="sq-AL"/>
        </w:rPr>
        <w:tab/>
        <w:t>Përshkrim të kapaciteteve teknike, organizative dhe profesionale të shoqërisë;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e) Mjetet, pajisjet teknike në dispozicion apo që mund të vihen në dispozicion të aplikuesit;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ë) Informacion/dokumentacion, kontrata të ngjashme, që vërtetojnë se aplikuesi ose, të paktën, </w:t>
      </w:r>
      <w:r w:rsidRPr="00720488">
        <w:rPr>
          <w:spacing w:val="-4"/>
          <w:lang w:val="sq-AL"/>
        </w:rPr>
        <w:lastRenderedPageBreak/>
        <w:t>një nga anëtarët e bashkimit të përkohshëm të shoqërive kanë realizuar me sukses veprimtari të ngjashme në fushën energjetike;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f) Numrin e identifikimit personal të zyrës së taksave (NUIS);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g) Një ose më shumë dokumente bankare në emër të subjektit që, të marra së bashku, vërtetojnë se subjekti disponon 20% të vlerës së investimit të përgjithshëm të propozuar. Data e lëshimit të tyre (dokumenteve bankare) duhet të jetë jo më parë se 5 ditë nga dorëzimi i aplikimit;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gj) Pasqyrat financiare, të audituara nga auditues të licencuar, të tri viteve të fundit të veprimtarisë dhe të certif</w:t>
      </w:r>
      <w:r>
        <w:rPr>
          <w:spacing w:val="-4"/>
          <w:lang w:val="sq-AL"/>
        </w:rPr>
        <w:t>ikuara nga organet tatimore ose</w:t>
      </w:r>
      <w:r w:rsidRPr="00720488">
        <w:rPr>
          <w:spacing w:val="-4"/>
          <w:lang w:val="sq-AL"/>
        </w:rPr>
        <w:t xml:space="preserve"> kur shoqëria ka më pak se tre vjet që është krijuar, për periudhën e ekzistencës së saj, si dhe çdo dokument tjetër financiar që provon aftësitë financiare për të realizuar projektin e propozuar.”.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 w:rsidRPr="00720488">
        <w:rPr>
          <w:spacing w:val="-4"/>
          <w:lang w:val="sq-AL"/>
        </w:rPr>
        <w:t>Në fjalinë e parë, të pikës 1, të nenit 10, fjala “...pikën...” zëvendësohet me “...nenin...”.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ç) Pikat 2 dhe 3, të nenit 11, “Aplikimi nga një</w:t>
      </w:r>
      <w:r>
        <w:rPr>
          <w:spacing w:val="-4"/>
          <w:lang w:val="sq-AL"/>
        </w:rPr>
        <w:t xml:space="preserve"> bashkim shoqërish”, ndryshohen</w:t>
      </w:r>
      <w:r w:rsidRPr="00720488">
        <w:rPr>
          <w:spacing w:val="-4"/>
          <w:lang w:val="sq-AL"/>
        </w:rPr>
        <w:t xml:space="preserve"> me këtë përmbajtje: 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“2.</w:t>
      </w:r>
      <w:r>
        <w:rPr>
          <w:spacing w:val="-4"/>
          <w:lang w:val="sq-AL"/>
        </w:rPr>
        <w:t xml:space="preserve"> </w:t>
      </w:r>
      <w:r w:rsidRPr="00720488">
        <w:rPr>
          <w:spacing w:val="-4"/>
          <w:lang w:val="sq-AL"/>
        </w:rPr>
        <w:t>Përpara dorëzimit të aplikimit, bashkimi i përkohshëm i shoqërive duhet të krijohet zyrtarisht, me një marrëveshje të noterizuar dhe ku të përcaktohet përfaqësuesi i grupit, përqindja e pjesëmarrjes së secilës shoqëri dhe detyrimet e përgjithshme që do të përmbushë secila nga shoqëritë e këtij bashkimi të përkohshëm. Vullneti për të hyrë në marrëveshje të bashkimit të përkohshëm të shoqërive duhet të jetë i shprehur qartë, me vendim të organit vendimmarrës të të gjitha shoqërive pjesëmarrëse, në kontratën e bashkimit të përkohshëm.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Pas krijimit të bashkimit të përkohshëm të shoqërive, anëtarët e këtij bashkimi caktojnë një përfaqësues, i cili është i autorizuar, nëpërmjet një prokure të nënshkruar nga të gjithë anëtarët e bashkimit, për të vepruar në emër të tyre për qëllimin e aplikimit.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3. Dokumentet e përcaktuara në nenin 7, të këtyre rregullave, përveç shkronjës “ë”, duhet të paraqiten nga secili anëtar i bashkimit të shoqërive. 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Plotësimi i kritereve ekonomike, financiare, profesionale dhe atyre teknike duhet të përmbushen nga i gjithë grupi, në përputhje me përcaktimet e aktmarrëveshjes së bashkimit të përkohshëm të shoqërive.”.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d) Pika 3 e nenit 12, “Shqyrtimi i dokumen</w:t>
      </w:r>
      <w:r>
        <w:rPr>
          <w:spacing w:val="-4"/>
          <w:lang w:val="sq-AL"/>
        </w:rPr>
        <w:t>teve të aplikuesit”, ndryshohet</w:t>
      </w:r>
      <w:r w:rsidRPr="00720488">
        <w:rPr>
          <w:spacing w:val="-4"/>
          <w:lang w:val="sq-AL"/>
        </w:rPr>
        <w:t xml:space="preserve"> si më poshtë vijon: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“3. Nëse dokumentet dhe informacioni i paraqitur nga aplikuesi janë të plota dhe në përputhje me kërkesat e neneve 7, 8, 9 e 10, të këtyre rregullave, ministria i komunikon aplikuesit ose të deleguarit përgjegjës të tij pranimin e aplikimit, brenda 20 (njëzet) ditëve kalendarike nga data e paraqitjes së aplikimit ose, për rastet kur për burimin/pellgun, kuotat e kërkuara ka informacion se nuk është i lirë dhe i mundshëm, nga data në të cilën është depozituar në ministri informacioni i institucionit përkatës se burimi/pellgu, kuotat e kërkuara janë të lira dhe të mundshme.”.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dh) Pika 2, e nenit 14, “Mbivendosja e vendndodh</w:t>
      </w:r>
      <w:r>
        <w:rPr>
          <w:spacing w:val="-4"/>
          <w:lang w:val="sq-AL"/>
        </w:rPr>
        <w:t>jeve të aplikimeve”, ndryshohet</w:t>
      </w:r>
      <w:r w:rsidRPr="00720488">
        <w:rPr>
          <w:spacing w:val="-4"/>
          <w:lang w:val="sq-AL"/>
        </w:rPr>
        <w:t xml:space="preserve"> si më poshtë vijon: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“2. Nëse aplikimi i paraqitur i pari në kohë refuzohet, atëherë do të vijohet me shqyrtimin e aplikimit vijues, nëse ka, e kështu me radhë.”.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e) Në shkronjën “dh”, të nenit 20, “Paraqitja e dokumenteve të tjera”, fjala “...truallin...” zëvendësohet me “...pasurinë...”.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ë) </w:t>
      </w:r>
      <w:r w:rsidRPr="00720488">
        <w:rPr>
          <w:spacing w:val="-4"/>
          <w:lang w:val="sq-AL"/>
        </w:rPr>
        <w:tab/>
        <w:t>Shkronja “d”, e nenit 22, “Përmbajtja e miratimit të ndërtimit”, shfuqizohet.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f) Shkron</w:t>
      </w:r>
      <w:r>
        <w:rPr>
          <w:spacing w:val="-4"/>
          <w:lang w:val="sq-AL"/>
        </w:rPr>
        <w:t>ja “dh”, e nenit 22, ndryshohet</w:t>
      </w:r>
      <w:r w:rsidRPr="00720488">
        <w:rPr>
          <w:spacing w:val="-4"/>
          <w:lang w:val="sq-AL"/>
        </w:rPr>
        <w:t xml:space="preserve"> si më poshtë vijon: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“dh) të drejtën e ministrisë përgjegjëse për energjinë dhe të institucioneve të tjera kompetente shtetërore për të monitoruar, mbikëqyrur dhe certifikuar veprimtarinë e Mbajtësit të Miratimit;”.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g) Shkronja “f”, e nenit 22, </w:t>
      </w:r>
      <w:r>
        <w:rPr>
          <w:spacing w:val="-4"/>
          <w:lang w:val="sq-AL"/>
        </w:rPr>
        <w:t>riformulohet</w:t>
      </w:r>
      <w:r w:rsidRPr="00720488">
        <w:rPr>
          <w:spacing w:val="-4"/>
          <w:lang w:val="sq-AL"/>
        </w:rPr>
        <w:t xml:space="preserve"> me këtë përmbajtje: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“f) detyrimin e dorëzimit prej aplikuesit të sigurimit të kontratës, në masën jo më pak 5% të vlerës së investimit, përpara nënshkrimit të kontratës ndërmjet aplikuesit dhe ministrisë. Në këtë kontratë përcaktohen të drejtat dhe detyrimet e palëve për realizimin e këtij projekti, penalitetet, në rast mosrealizimi, si dhe çështje të tjera, që lidhen me zbatimin e saj;”.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3. Në </w:t>
      </w:r>
      <w:r>
        <w:rPr>
          <w:spacing w:val="-4"/>
          <w:lang w:val="sq-AL"/>
        </w:rPr>
        <w:t>kapitullin III bëhen ndryshimet</w:t>
      </w:r>
      <w:r w:rsidRPr="00720488">
        <w:rPr>
          <w:spacing w:val="-4"/>
          <w:lang w:val="sq-AL"/>
        </w:rPr>
        <w:t xml:space="preserve"> si më poshtë vijon: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a) Titulli i kapitullit III, “Ndërtimi i burimeve të reja gjeneruese nën 2MW”, ndryshohet dhe bëhet </w:t>
      </w:r>
      <w:r w:rsidRPr="00720488">
        <w:rPr>
          <w:spacing w:val="-4"/>
          <w:lang w:val="sq-AL"/>
        </w:rPr>
        <w:lastRenderedPageBreak/>
        <w:t>“Ndërtimi i burimeve gjeneruese deri në 2MW”;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b) Neni 23, “Ndërtimi i objekteve të reja me kapacite</w:t>
      </w:r>
      <w:r>
        <w:rPr>
          <w:spacing w:val="-4"/>
          <w:lang w:val="sq-AL"/>
        </w:rPr>
        <w:t>t prodhues nën 2MW”, ndryshohet</w:t>
      </w:r>
      <w:r w:rsidRPr="00720488">
        <w:rPr>
          <w:spacing w:val="-4"/>
          <w:lang w:val="sq-AL"/>
        </w:rPr>
        <w:t xml:space="preserve"> si më poshtë vijon:</w:t>
      </w:r>
    </w:p>
    <w:p w:rsidR="00402758" w:rsidRPr="00720488" w:rsidRDefault="00402758" w:rsidP="00402758">
      <w:pPr>
        <w:pStyle w:val="Hapesira7"/>
        <w:rPr>
          <w:spacing w:val="-4"/>
          <w:lang w:val="sq-AL"/>
        </w:rPr>
      </w:pPr>
    </w:p>
    <w:p w:rsidR="00402758" w:rsidRPr="00720488" w:rsidRDefault="00402758" w:rsidP="00402758">
      <w:pPr>
        <w:pStyle w:val="NeniNr"/>
        <w:rPr>
          <w:spacing w:val="-4"/>
          <w:lang w:val="sq-AL"/>
        </w:rPr>
      </w:pPr>
      <w:r w:rsidRPr="00720488">
        <w:rPr>
          <w:spacing w:val="-4"/>
          <w:lang w:val="sq-AL"/>
        </w:rPr>
        <w:t>“Neni 23</w:t>
      </w:r>
    </w:p>
    <w:p w:rsidR="00402758" w:rsidRPr="00720488" w:rsidRDefault="00402758" w:rsidP="00402758">
      <w:pPr>
        <w:pStyle w:val="NeniNr"/>
        <w:rPr>
          <w:b/>
          <w:spacing w:val="-4"/>
          <w:lang w:val="sq-AL"/>
        </w:rPr>
      </w:pPr>
      <w:r w:rsidRPr="00720488">
        <w:rPr>
          <w:b/>
          <w:spacing w:val="-4"/>
          <w:lang w:val="sq-AL"/>
        </w:rPr>
        <w:t>Ndërtimi i objekteve gjeneruese me kapacitet prodhues deri në 2MW</w:t>
      </w:r>
    </w:p>
    <w:p w:rsidR="00402758" w:rsidRPr="00720488" w:rsidRDefault="00402758" w:rsidP="00402758">
      <w:pPr>
        <w:pStyle w:val="Hapesira7"/>
        <w:rPr>
          <w:spacing w:val="-4"/>
          <w:lang w:val="sq-AL"/>
        </w:rPr>
      </w:pP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Ndërtimi i objekteve të reja, si dhe i atyre gjeneruese ekzistuese, që nuk janë objekt koncesioni, me kapacitet deri në 2MW fuqi e instaluar, bëhet me miratim të ministrit. Për dhënien e miratimit zbatohen procedurat e parashikuara në nenet 4 deri 22, të këtyre rregullave.”.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c) Shkronja “c”, e p</w:t>
      </w:r>
      <w:r>
        <w:rPr>
          <w:spacing w:val="-4"/>
          <w:lang w:val="sq-AL"/>
        </w:rPr>
        <w:t>ikës 1, të nenit 24, ndryshohet</w:t>
      </w:r>
      <w:r w:rsidRPr="00720488">
        <w:rPr>
          <w:spacing w:val="-4"/>
          <w:lang w:val="sq-AL"/>
        </w:rPr>
        <w:t xml:space="preserve"> me këtë përmbajtje: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“c) opinionin e marrë nga organet e përcaktuara në aktet ligjore apo nënligjore, për prioritetin dhe për sasinë e ujit që mund të përdoret për prodhimin e energjisë elektrike;”.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ç) Shkronjat “a”, “b”, “ë”, “f” dhe “g”, të p</w:t>
      </w:r>
      <w:r>
        <w:rPr>
          <w:spacing w:val="-4"/>
          <w:lang w:val="sq-AL"/>
        </w:rPr>
        <w:t>ikës 2, të nenit 24, ndryshohen</w:t>
      </w:r>
      <w:r w:rsidRPr="00720488">
        <w:rPr>
          <w:spacing w:val="-4"/>
          <w:lang w:val="sq-AL"/>
        </w:rPr>
        <w:t xml:space="preserve"> si më poshtë vijon: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“a) studimin e plotë të fisibilitetit teknik, mjedisor e social, si dhe projektin e zbatimit, të bazuar në të dhëna dhe matje reale, të kryera në zonat e zbatimit të projektit;”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b) studimin e plotë ekonomik dhe financiar të projektit, të shoqëruar me dokumente që vërtetojnë financimin nga vetë aplikuesi, apo/dhe mbështetjen financiare të projektit nga institucionet financiare ose bankat vendase apo të huaja, ku shprehen qartë vlerat monetare për financimin dhe struktura e financimit;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.......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ë) oponencën për projektin e zbatimit nga ana e AKBN-së. Në rastin e projekteve të paraqitura nga aplikuesi, për të cilat është kryer më parë oponenca nga ana e AKBN-së, aplikuesi mund ta paraqesë atë projekt në ministri, të rikonfirmuar nga AKBN-ja, pa qenë e nevojshme ta kalojë përsëri për oponencë pranë saj; 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f) miratimin për përdorimin e ujit, të lëshuar nga organet përkatëse të përcaktuara në aktet ligjore apo nënligjore;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g) dokumentacionin ligjor, në përputhje me dispozitat e Kodit Civil, që provon marrëdhënien afatgjatë mbi pasurinë që do të përdoret për ndërtimin dhe operimin e burimit gjenerues. Në rastin kur pasuria është pronë shtetërore, ministria, me kërkesë të aplikuesit, mund të ndihmojë këtë të fundit për zgjidhjen e marrëdhënies së pronësisë me institucionet përkatëse, që kanë në administrim/ pronësi pasurinë, pronë shtetërore.”.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d) Pika 1, e nenit 25, “Dhënia e miratimit për ndërtim për objektet </w:t>
      </w:r>
      <w:r>
        <w:rPr>
          <w:spacing w:val="-4"/>
          <w:lang w:val="sq-AL"/>
        </w:rPr>
        <w:t>nën 2 MW”, ndryshohet</w:t>
      </w:r>
      <w:r w:rsidRPr="00720488">
        <w:rPr>
          <w:spacing w:val="-4"/>
          <w:lang w:val="sq-AL"/>
        </w:rPr>
        <w:t xml:space="preserve"> si më poshtë vijon: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“1. Ministri, nëse arrin në përfundimin se të gjitha dokumentet e paraqitura nga aplikuesi, sipas këtyre rregullave, janë të plota e të sakta, miraton ndërtimin e kapaciteteve të reja prodhuse deri në 2MW apo zgjerimin e kapaciteteve, për objektet që nuk janë objekt koncesioni. Në çdo rast, ministri mund të miratojë vetëm zgjerim të kapaciteteve që nuk tejkalojnë 2MW.”. 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dh) </w:t>
      </w:r>
      <w:r w:rsidRPr="00720488">
        <w:rPr>
          <w:spacing w:val="-4"/>
          <w:lang w:val="sq-AL"/>
        </w:rPr>
        <w:tab/>
        <w:t>Kudo në këto rregulla, fjalët “....nën 2MW...”, zëvendësohen me “...deri në 2MW...”.</w:t>
      </w:r>
    </w:p>
    <w:p w:rsidR="00402758" w:rsidRPr="00720488" w:rsidRDefault="00402758" w:rsidP="0040275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Ky vendim hyn në fuqi pas botimit në Fletoren Zyrtare.</w:t>
      </w:r>
    </w:p>
    <w:p w:rsidR="00402758" w:rsidRPr="00720488" w:rsidRDefault="00402758" w:rsidP="00402758">
      <w:pPr>
        <w:pStyle w:val="Hapesira7"/>
        <w:rPr>
          <w:spacing w:val="-4"/>
          <w:sz w:val="10"/>
          <w:lang w:val="sq-AL"/>
        </w:rPr>
      </w:pPr>
    </w:p>
    <w:p w:rsidR="00402758" w:rsidRPr="00720488" w:rsidRDefault="00402758" w:rsidP="004027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720488">
        <w:rPr>
          <w:spacing w:val="-4"/>
          <w:lang w:val="sq-AL"/>
        </w:rPr>
        <w:t>KRYEMINISTRI</w:t>
      </w:r>
    </w:p>
    <w:p w:rsidR="00402758" w:rsidRPr="00720488" w:rsidRDefault="00402758" w:rsidP="0040275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Niko Peleshi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758"/>
    <w:rsid w:val="00402758"/>
    <w:rsid w:val="0087600A"/>
    <w:rsid w:val="0094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27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0275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027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27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275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275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27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0275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027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27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275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27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2019-02-05T09:31:00Z</cp:lastPrinted>
  <dcterms:created xsi:type="dcterms:W3CDTF">2016-11-01T11:13:00Z</dcterms:created>
  <dcterms:modified xsi:type="dcterms:W3CDTF">2019-02-05T09:31:00Z</dcterms:modified>
</cp:coreProperties>
</file>