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AF8" w:rsidRPr="00720488" w:rsidRDefault="00AD5AF8" w:rsidP="00AD5AF8">
      <w:pPr>
        <w:pStyle w:val="NeniTitull"/>
        <w:rPr>
          <w:spacing w:val="-4"/>
          <w:lang w:val="sq-AL"/>
        </w:rPr>
      </w:pPr>
      <w:bookmarkStart w:id="0" w:name="_GoBack"/>
      <w:bookmarkEnd w:id="0"/>
      <w:r w:rsidRPr="00720488">
        <w:rPr>
          <w:spacing w:val="-4"/>
          <w:lang w:val="sq-AL"/>
        </w:rPr>
        <w:t>VENDIM</w:t>
      </w:r>
    </w:p>
    <w:p w:rsidR="00AD5AF8" w:rsidRPr="00720488" w:rsidRDefault="00AD5AF8" w:rsidP="00AD5AF8">
      <w:pPr>
        <w:pStyle w:val="NeniTitull"/>
        <w:rPr>
          <w:spacing w:val="-4"/>
          <w:lang w:val="sq-AL"/>
        </w:rPr>
      </w:pPr>
      <w:r w:rsidRPr="00720488">
        <w:rPr>
          <w:spacing w:val="-4"/>
          <w:lang w:val="sq-AL"/>
        </w:rPr>
        <w:t>Nr. 719, datë 12.10.2016</w:t>
      </w:r>
    </w:p>
    <w:p w:rsidR="00AD5AF8" w:rsidRPr="00720488" w:rsidRDefault="00AD5AF8" w:rsidP="00AD5AF8">
      <w:pPr>
        <w:pStyle w:val="Hapesira7"/>
        <w:rPr>
          <w:spacing w:val="-4"/>
          <w:lang w:val="sq-AL"/>
        </w:rPr>
      </w:pPr>
    </w:p>
    <w:p w:rsidR="00AD5AF8" w:rsidRPr="00720488" w:rsidRDefault="00AD5AF8" w:rsidP="00AD5AF8">
      <w:pPr>
        <w:pStyle w:val="NeniTitull"/>
        <w:rPr>
          <w:spacing w:val="-4"/>
          <w:lang w:val="sq-AL"/>
        </w:rPr>
      </w:pPr>
      <w:r w:rsidRPr="00720488">
        <w:rPr>
          <w:spacing w:val="-4"/>
          <w:lang w:val="sq-AL"/>
        </w:rPr>
        <w:t>PËR MENAXHIMIN E KAPACITETEVE TË PESHKIMIT TREGTAR DHE DISA RREGULLIME TË MËNYRËS SË FUNKSIONIMIT TË REGJISTRIT TË ANIJEVE TË PESHKIMIT</w:t>
      </w:r>
    </w:p>
    <w:p w:rsidR="00AD5AF8" w:rsidRPr="00720488" w:rsidRDefault="00AD5AF8" w:rsidP="00AD5AF8">
      <w:pPr>
        <w:pStyle w:val="Hapesira7"/>
        <w:rPr>
          <w:spacing w:val="-4"/>
          <w:lang w:val="sq-AL"/>
        </w:rPr>
      </w:pP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Në mbështetje të nenit 100 të Kushtetutës dhe të neneve 5, pika 2; 101, pika 2; 119, pika 2, dhe 135, të ligjit nr. 64/2012, “Për peshkimin”, të ndryshuar, me propozimin e ministrit të Bujqësisë, Zhvillimit Rural dhe Administrimit të Ujërave, Këshilli i Ministrave </w:t>
      </w:r>
    </w:p>
    <w:p w:rsidR="00AD5AF8" w:rsidRPr="00720488" w:rsidRDefault="00AD5AF8" w:rsidP="00AD5AF8">
      <w:pPr>
        <w:pStyle w:val="Hapesira7"/>
        <w:rPr>
          <w:spacing w:val="-4"/>
          <w:sz w:val="12"/>
          <w:lang w:val="sq-AL"/>
        </w:rPr>
      </w:pPr>
    </w:p>
    <w:p w:rsidR="00AD5AF8" w:rsidRPr="00720488" w:rsidRDefault="00AD5AF8" w:rsidP="00AD5AF8">
      <w:pPr>
        <w:pStyle w:val="NeniNr"/>
        <w:rPr>
          <w:spacing w:val="-4"/>
          <w:lang w:val="sq-AL"/>
        </w:rPr>
      </w:pPr>
      <w:r w:rsidRPr="00720488">
        <w:rPr>
          <w:spacing w:val="-4"/>
          <w:lang w:val="sq-AL"/>
        </w:rPr>
        <w:t>VENDOSI:</w:t>
      </w:r>
    </w:p>
    <w:p w:rsidR="00AD5AF8" w:rsidRPr="00720488" w:rsidRDefault="00AD5AF8" w:rsidP="00AD5AF8">
      <w:pPr>
        <w:pStyle w:val="Hapesira7"/>
        <w:rPr>
          <w:spacing w:val="-4"/>
          <w:sz w:val="12"/>
          <w:lang w:val="sq-AL"/>
        </w:rPr>
      </w:pP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I. TË PËRGJITHSHME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1. Ky vendim ka për qëllim marrjen e masave menaxhuese, që synojnë mbrojtjen dhe konservimin e burimeve të gjallesave ujore në det dhe në bregdet. Ky vendim nuk zbatohet për aktivitetin e peshkimit në lagunat bregdetare dhe në ujërat e brendshme.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2. Termat e përdorur në ligjin nr. 64/2012, kanë të njëjtin kuptim edhe në këtë vendim, ndërsa termat e mëposhtëm nënkuptojnë: 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a) “Dalje/nxjerrje nga flota e peshkimit”, çregjistrimi përfundimtar i një anijeje peshkimi nga Regjistri i Anijeve të Peshkimit (RAP), të krijuar sipas nenit 32, të ligjit nr. 64/2012, “Për peshkimin”, të ndryshuar;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b) “Hyrje në flotën e peshkimit”, regjistrimi i një anijeje peshkimi në Regjistrin e Anijeve të Peshkimit (RAP), sipas specifikimeve të përcaktuara në nenin 32, të ligjit nr. 64/2012, “Për peshkimin”, të ndryshuar; 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c) “Kapacitet peshkimi”, aftësia e një anijeje peshkimi ose një grup anijesh peshkimi për të zënë peshk. Matja e kapacitetit të një anijeje bazohet në dy indikatorë: tonazhin e anijes GT dhe fuqinë motorike të saj në kW. 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II. RREGULLIMI I KAPACITETIT TË PESHKIMIT DHE I NUMRIT TË LEJEVE TË PESHKIMIT TREGTAR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1. Numri i lejeve të peshkimit tregtar, sipas llojeve të peshkimit, përcaktohet, si më poshtë vijon: 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a) Leje peshkimi tregtar profesional, për mjete lundruese që përdorin trata tërheqëse fundore (trata koçe): </w:t>
      </w:r>
      <w:r w:rsidRPr="00720488">
        <w:rPr>
          <w:spacing w:val="-4"/>
          <w:lang w:val="sq-AL"/>
        </w:rPr>
        <w:tab/>
        <w:t xml:space="preserve"> 230 (dyqind e tridhjetë);</w:t>
      </w:r>
    </w:p>
    <w:p w:rsidR="00AD5AF8" w:rsidRPr="00043FF2" w:rsidRDefault="00AD5AF8" w:rsidP="00AD5AF8">
      <w:pPr>
        <w:pStyle w:val="Paragrafi"/>
        <w:rPr>
          <w:spacing w:val="-4"/>
          <w:lang w:val="sq-AL"/>
        </w:rPr>
      </w:pPr>
      <w:r w:rsidRPr="00043FF2">
        <w:rPr>
          <w:spacing w:val="-4"/>
          <w:lang w:val="sq-AL"/>
        </w:rPr>
        <w:t>b) Leje peshkimi tregtar profesional, për mjete lundruese që përdorin trata tërheqëse pelagjike (trata volante), veçmas ose së bashku me trata tërheqëse</w:t>
      </w:r>
      <w:r w:rsidRPr="00043FF2">
        <w:rPr>
          <w:spacing w:val="-4"/>
          <w:sz w:val="4"/>
          <w:lang w:val="sq-AL"/>
        </w:rPr>
        <w:t xml:space="preserve"> </w:t>
      </w:r>
      <w:r w:rsidRPr="00043FF2">
        <w:rPr>
          <w:spacing w:val="-4"/>
          <w:lang w:val="sq-AL"/>
        </w:rPr>
        <w:t>fundore</w:t>
      </w:r>
      <w:r w:rsidRPr="00043FF2">
        <w:rPr>
          <w:spacing w:val="-4"/>
          <w:sz w:val="4"/>
          <w:lang w:val="sq-AL"/>
        </w:rPr>
        <w:t xml:space="preserve"> </w:t>
      </w:r>
      <w:r w:rsidRPr="00043FF2">
        <w:rPr>
          <w:spacing w:val="-4"/>
          <w:lang w:val="sq-AL"/>
        </w:rPr>
        <w:t>(shumë</w:t>
      </w:r>
      <w:r w:rsidRPr="00043FF2">
        <w:rPr>
          <w:spacing w:val="-4"/>
          <w:sz w:val="4"/>
          <w:lang w:val="sq-AL"/>
        </w:rPr>
        <w:t xml:space="preserve"> </w:t>
      </w:r>
      <w:r w:rsidRPr="00043FF2">
        <w:rPr>
          <w:spacing w:val="-4"/>
          <w:lang w:val="sq-AL"/>
        </w:rPr>
        <w:t>përdorimesh):</w:t>
      </w:r>
      <w:r w:rsidRPr="00043FF2">
        <w:rPr>
          <w:spacing w:val="-4"/>
          <w:sz w:val="4"/>
          <w:lang w:val="sq-AL"/>
        </w:rPr>
        <w:t xml:space="preserve"> </w:t>
      </w:r>
      <w:r w:rsidRPr="00043FF2">
        <w:rPr>
          <w:spacing w:val="-4"/>
          <w:lang w:val="sq-AL"/>
        </w:rPr>
        <w:t>20</w:t>
      </w:r>
      <w:r w:rsidRPr="00043FF2">
        <w:rPr>
          <w:spacing w:val="-4"/>
          <w:sz w:val="4"/>
          <w:lang w:val="sq-AL"/>
        </w:rPr>
        <w:t xml:space="preserve"> </w:t>
      </w:r>
      <w:r w:rsidRPr="00043FF2">
        <w:rPr>
          <w:spacing w:val="-4"/>
          <w:lang w:val="sq-AL"/>
        </w:rPr>
        <w:t>(njëzet);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c) Leje peshkimi tregtar industrial, për mjete lundruese që përdorin draga hidraulike: </w:t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  <w:t xml:space="preserve"> 5 (pesë); 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 xml:space="preserve">ç) Leje peshkimi tregtar profesional, për mjete lundruese që përdorin koshilok për peshkimin e pelagjikëve të vegjël (peshkim pelagjik me rrethim): </w:t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  <w:t xml:space="preserve"> 45 (dyzet e pesë);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d) Leje peshkimi tregtar profesional, për mjete lundruese që përdorin koshilok për peshkimin e tonit të kuq (Thunnus thynnus, Linnaeus 1758):</w:t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</w:r>
      <w:r w:rsidRPr="00720488">
        <w:rPr>
          <w:spacing w:val="-4"/>
          <w:lang w:val="sq-AL"/>
        </w:rPr>
        <w:tab/>
        <w:t xml:space="preserve"> 1 (një);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dh) Leje peshkimi tregtar artizanal, për mjete lundruese në bregdet, që përdorin mbrezhda, njica, parangallë etj.: 300 (treqind).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2. Brenda 75 ditëve, nga hyrja në fuqi e këtij vendimi, Ministria e Bujqësisë, Zhvillimit Rural dhe Administrimit të Ujërave verifikon Regjistrin e Anijeve të Peshkimit, duke përcaktuar të gjitha anijet që kanë një leje peshkimi, së cilës i ka përfunduar afati i vlefshmërisë.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3. MBZHRAU-ja njofton subjektet e peshkimit, pronarët ose administratorët e tyre, të cilëve u ka përfunduar afati i vlefshmërisë, për fillimin e procedurave të nxjerrjes nga flota e peshkimit të anijeve të peshkimit në pronësi ose në administrim prej tyre.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Pr="00720488">
        <w:rPr>
          <w:spacing w:val="-4"/>
          <w:lang w:val="sq-AL"/>
        </w:rPr>
        <w:t xml:space="preserve">Subjektet e peshkimit, pronarët ose administratorët e anijeve të peshkimit, brenda 45 ditëve nga njoftimi zyrtar, sipas pikës 3, më sipër, duhet të deklarojnë vullnetin për të vazhduar aktivitetin e </w:t>
      </w:r>
      <w:r w:rsidRPr="00720488">
        <w:rPr>
          <w:spacing w:val="-4"/>
          <w:lang w:val="sq-AL"/>
        </w:rPr>
        <w:lastRenderedPageBreak/>
        <w:t>peshkimit pranë Drejtorisë së Peshkimit dhe të pajisen me leje peshkimi, duke shlyer të gjitha detyrimet përkatëse. Në rast mospërgjigjeje, Drejtoria e Peshkimit bën daljen përfundimtare të anijes nga flota e peshkimit dhe bën të pavlefshëm numrin NFR të anijes së peshkimit. Procesi i përditësimit të Regjistrit të Anijeve të Peshkimit përfundon në datën 31 mars 2017.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</w:t>
      </w:r>
      <w:r w:rsidRPr="00720488">
        <w:rPr>
          <w:spacing w:val="-4"/>
          <w:lang w:val="sq-AL"/>
        </w:rPr>
        <w:t>MBZHRAU-ja njofton Drejtorinë e Përgjithshme Detare dhe QKB-në për nxjerrjen e anijeve nga flota e peshkimit, sipas pikës 4, të këtij kreu.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6. Një anije peshkimi e nxjerrë nga flota e peshkimit, sipas pikës 4, nuk mund të hyjë përsëri në flotë edhe në rast se ndryshon emrin, pronarin/administratorin e saj, portin e veprimtarisë etj.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7. Subjektet e peshkimit, në aplikimin në QKB për pajisje me leje peshkimi, dorëzojnë edhe një kopje të lejes dhe aktit të miratimit të vjetër, në rastet kur anija ka qenë e pajisur me leje peshkimi.</w:t>
      </w:r>
    </w:p>
    <w:p w:rsidR="00AD5AF8" w:rsidRPr="00C250C2" w:rsidRDefault="00AD5AF8" w:rsidP="00AD5AF8">
      <w:pPr>
        <w:pStyle w:val="Paragrafi"/>
        <w:rPr>
          <w:lang w:val="sq-AL"/>
        </w:rPr>
      </w:pPr>
      <w:r w:rsidRPr="00C250C2">
        <w:rPr>
          <w:lang w:val="sq-AL"/>
        </w:rPr>
        <w:t>8. Në momentin kur numri i lejeve të peshkimit, i përcaktuar sipas pikës 1, të kreut II, të këtij vendimi, për një lloj aktiviteti peshkimi plotësohet, numri i lejeve të peshkimit për atë lloj aktiviteti peshkimi deklarohet i mbyllur nga MBZHRAU-ja.</w:t>
      </w:r>
    </w:p>
    <w:p w:rsidR="00AD5AF8" w:rsidRPr="00C250C2" w:rsidRDefault="00AD5AF8" w:rsidP="00AD5AF8">
      <w:pPr>
        <w:pStyle w:val="Paragrafi"/>
        <w:rPr>
          <w:lang w:val="sq-AL"/>
        </w:rPr>
      </w:pPr>
      <w:r w:rsidRPr="00C250C2">
        <w:rPr>
          <w:lang w:val="sq-AL"/>
        </w:rPr>
        <w:t xml:space="preserve">9. Kur numri i lejeve të peshkimit deklarohet i mbyllur për një lloj peshkimi, MBZHRAU-ja njofton QKB-në, e cila refuzon kërkesën e anijeve të papajisura me numër NFR për pajisje me leje peshkimi për atë lloj peshkimi, përveç rastit të parashikuar në pikën 10, të këtij kreu. 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C250C2">
        <w:rPr>
          <w:lang w:val="sq-AL"/>
        </w:rPr>
        <w:t>10. Kur numri i lejeve të peshkimit deklarohet i mbyllur, hyrja në flotën e peshkimit të një kapaciteti të ri peshkimi kompensohet nga dalja paraprake e një kapaciteti peshkimi të njëjtë ose më</w:t>
      </w:r>
      <w:r w:rsidRPr="00720488">
        <w:rPr>
          <w:spacing w:val="-4"/>
          <w:lang w:val="sq-AL"/>
        </w:rPr>
        <w:t xml:space="preserve"> të madh.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11. Me hyrjen në fuqi të këtij vendimi ndalohet hyrja në flotën e peshkimit të mjeteve lundruese që përdorin trata tërheqëse fundore (trata koçe) me moshë më të madhe se 20 vjet.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III. TË FUNDIT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Ngarkohen Ministria e Bujqësisë, Zhvillimit Rural dhe Administrimit të Ujërave, Qendra Kombëtare e Biznesit dhe Drejtoria e Përgjithshme Detare për zbatimin e këtij vendimi.</w:t>
      </w:r>
    </w:p>
    <w:p w:rsidR="00AD5AF8" w:rsidRPr="00720488" w:rsidRDefault="00AD5AF8" w:rsidP="00AD5AF8">
      <w:pPr>
        <w:pStyle w:val="Paragrafi"/>
        <w:rPr>
          <w:spacing w:val="-4"/>
          <w:lang w:val="sq-AL"/>
        </w:rPr>
      </w:pPr>
      <w:r w:rsidRPr="00720488">
        <w:rPr>
          <w:spacing w:val="-4"/>
          <w:lang w:val="sq-AL"/>
        </w:rPr>
        <w:t>Ky vendim hyn në fuqi pas botimit në Fletoren Zyrtare.</w:t>
      </w:r>
    </w:p>
    <w:p w:rsidR="00AD5AF8" w:rsidRPr="00C250C2" w:rsidRDefault="00AD5AF8" w:rsidP="00AD5AF8">
      <w:pPr>
        <w:pStyle w:val="Paragrafi"/>
        <w:rPr>
          <w:spacing w:val="-4"/>
          <w:sz w:val="2"/>
          <w:lang w:val="sq-AL"/>
        </w:rPr>
      </w:pPr>
    </w:p>
    <w:p w:rsidR="00AD5AF8" w:rsidRPr="00720488" w:rsidRDefault="00AD5AF8" w:rsidP="00AD5AF8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</w:t>
      </w:r>
      <w:r w:rsidRPr="00720488">
        <w:rPr>
          <w:spacing w:val="-4"/>
          <w:lang w:val="sq-AL"/>
        </w:rPr>
        <w:t>KRYEMINISTRI</w:t>
      </w:r>
    </w:p>
    <w:p w:rsidR="00AD5AF8" w:rsidRPr="00720488" w:rsidRDefault="00AD5AF8" w:rsidP="00AD5AF8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Niko Peleshi</w:t>
      </w:r>
    </w:p>
    <w:p w:rsidR="00944F41" w:rsidRDefault="00944F41"/>
    <w:sectPr w:rsidR="00944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AF8"/>
    <w:rsid w:val="008A2D7C"/>
    <w:rsid w:val="00944F41"/>
    <w:rsid w:val="00AD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D5A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5AF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D5AF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D5AF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D5AF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D5AF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D5A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5AF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D5AF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D5AF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D5AF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D5AF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2019-02-05T09:32:00Z</cp:lastPrinted>
  <dcterms:created xsi:type="dcterms:W3CDTF">2016-11-01T11:14:00Z</dcterms:created>
  <dcterms:modified xsi:type="dcterms:W3CDTF">2019-02-05T09:32:00Z</dcterms:modified>
</cp:coreProperties>
</file>