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EDF63" w14:textId="77777777" w:rsidR="00AD5AF8" w:rsidRPr="00720488" w:rsidRDefault="00AD5AF8" w:rsidP="00AD5AF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VENDIM</w:t>
      </w:r>
    </w:p>
    <w:p w14:paraId="61AEDF64" w14:textId="77777777" w:rsidR="00AD5AF8" w:rsidRPr="00720488" w:rsidRDefault="00AD5AF8" w:rsidP="00AD5AF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Nr. 719, datë 12.10.2016</w:t>
      </w:r>
    </w:p>
    <w:p w14:paraId="61AEDF65" w14:textId="77777777" w:rsidR="00AD5AF8" w:rsidRPr="00720488" w:rsidRDefault="00AD5AF8" w:rsidP="00AD5AF8">
      <w:pPr>
        <w:pStyle w:val="Hapesira7"/>
        <w:rPr>
          <w:spacing w:val="-4"/>
          <w:lang w:val="sq-AL"/>
        </w:rPr>
      </w:pPr>
    </w:p>
    <w:p w14:paraId="61AEDF66" w14:textId="77777777" w:rsidR="00AD5AF8" w:rsidRDefault="00AD5AF8" w:rsidP="00AD5AF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PËR MENAXHIMIN E KAPACITETEVE TË PESHKIMIT TREGTAR DHE DISA RREGULLIME TË MËNYRËS SË FUNKSIONIMIT TË REGJISTRIT TË ANIJEVE TË PESHKIMIT</w:t>
      </w:r>
    </w:p>
    <w:p w14:paraId="0A82D27A" w14:textId="77777777" w:rsidR="00AF1EB0" w:rsidRPr="00AF1EB0" w:rsidRDefault="00AF1EB0" w:rsidP="00AF1EB0">
      <w:pPr>
        <w:jc w:val="center"/>
        <w:rPr>
          <w:rFonts w:ascii="Garamond" w:hAnsi="Garamond"/>
          <w:i/>
          <w:sz w:val="24"/>
          <w:szCs w:val="24"/>
        </w:rPr>
      </w:pPr>
      <w:r w:rsidRPr="00AF1EB0">
        <w:rPr>
          <w:rFonts w:ascii="Garamond" w:hAnsi="Garamond"/>
          <w:i/>
          <w:sz w:val="24"/>
          <w:szCs w:val="24"/>
        </w:rPr>
        <w:t>(ndryshuar me VKM nr. 772, datë 30.9.2020)</w:t>
      </w:r>
    </w:p>
    <w:p w14:paraId="61AEDF67" w14:textId="77777777" w:rsidR="00AD5AF8" w:rsidRPr="00720488" w:rsidRDefault="00AD5AF8" w:rsidP="00AD5AF8">
      <w:pPr>
        <w:pStyle w:val="Hapesira7"/>
        <w:rPr>
          <w:spacing w:val="-4"/>
          <w:lang w:val="sq-AL"/>
        </w:rPr>
      </w:pPr>
    </w:p>
    <w:p w14:paraId="61AEDF68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Në mbështetje të nenit 100 të Kushtetutës dhe të neneve 5, pika 2; 101, pika 2; 119, pika 2, dhe 135, të ligjit nr. 64/2012, “Për peshkimin”, të ndryshuar, me propozimin e ministrit të Bujqësisë, Zhvillimit Rural dhe Administrimit të Ujërave, Këshilli i Ministrave </w:t>
      </w:r>
    </w:p>
    <w:p w14:paraId="61AEDF69" w14:textId="77777777" w:rsidR="00AD5AF8" w:rsidRPr="00720488" w:rsidRDefault="00AD5AF8" w:rsidP="00AD5AF8">
      <w:pPr>
        <w:pStyle w:val="Hapesira7"/>
        <w:rPr>
          <w:spacing w:val="-4"/>
          <w:sz w:val="12"/>
          <w:lang w:val="sq-AL"/>
        </w:rPr>
      </w:pPr>
    </w:p>
    <w:p w14:paraId="61AEDF6A" w14:textId="77777777" w:rsidR="00AD5AF8" w:rsidRPr="00720488" w:rsidRDefault="00AD5AF8" w:rsidP="00AD5AF8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VENDOSI:</w:t>
      </w:r>
    </w:p>
    <w:p w14:paraId="61AEDF6B" w14:textId="77777777" w:rsidR="00AD5AF8" w:rsidRPr="00720488" w:rsidRDefault="00AD5AF8" w:rsidP="00AD5AF8">
      <w:pPr>
        <w:pStyle w:val="Hapesira7"/>
        <w:rPr>
          <w:spacing w:val="-4"/>
          <w:sz w:val="12"/>
          <w:lang w:val="sq-AL"/>
        </w:rPr>
      </w:pPr>
    </w:p>
    <w:p w14:paraId="61AEDF6C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I. TË PËRGJITHSHME</w:t>
      </w:r>
    </w:p>
    <w:p w14:paraId="61AEDF6D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1. Ky vendim ka për qëllim marrjen e masave </w:t>
      </w:r>
      <w:proofErr w:type="spellStart"/>
      <w:r w:rsidRPr="00720488">
        <w:rPr>
          <w:spacing w:val="-4"/>
          <w:lang w:val="sq-AL"/>
        </w:rPr>
        <w:t>menaxhuese</w:t>
      </w:r>
      <w:proofErr w:type="spellEnd"/>
      <w:r w:rsidRPr="00720488">
        <w:rPr>
          <w:spacing w:val="-4"/>
          <w:lang w:val="sq-AL"/>
        </w:rPr>
        <w:t>, që synojnë mbrojtjen dhe konservimin e burimeve të gjallesave ujore në det dhe në bregdet. Ky vendim nuk zbatohet për aktivitetin e peshkimit në lagunat bregdetare dhe në ujërat e brendshme.</w:t>
      </w:r>
    </w:p>
    <w:p w14:paraId="61AEDF6E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2. Termat e përdorur në ligjin nr. 64/2012, kanë të njëjtin kuptim edhe në këtë vendim, ndërsa termat e mëposhtëm nënkuptojnë: </w:t>
      </w:r>
    </w:p>
    <w:p w14:paraId="61AEDF6F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a) “Dalje/nxjerrje nga flota e peshkimit”, çregjistrimi përfundimtar i një anijeje peshkimi nga Regjistri i Anijeve të Peshkimit (RAP), të krijuar sipas nenit 32, të ligjit nr. 64/2012, “Për peshkimin”, të ndryshuar;</w:t>
      </w:r>
    </w:p>
    <w:p w14:paraId="61AEDF70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b) “Hyrje në flotën e peshkimit”, regjistrimi i një anijeje peshkimi në Regjistrin e Anijeve të Peshkimit (RAP), sipas specifikimeve të përcaktuara në nenin 32, të ligjit nr. 64/2012, “Për peshkimin”, të ndryshuar; </w:t>
      </w:r>
    </w:p>
    <w:p w14:paraId="61AEDF71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c) “Kapacitet peshkimi”, aftësia e një anijeje peshkimi ose një grup anijesh peshkimi për të zënë peshk. Matja e kapacitetit të një anijeje bazohet në dy indikatorë: tonazhin e anijes GT dhe fuqinë motorike të saj në </w:t>
      </w:r>
      <w:proofErr w:type="spellStart"/>
      <w:r w:rsidRPr="00720488">
        <w:rPr>
          <w:spacing w:val="-4"/>
          <w:lang w:val="sq-AL"/>
        </w:rPr>
        <w:t>kW</w:t>
      </w:r>
      <w:proofErr w:type="spellEnd"/>
      <w:r w:rsidRPr="00720488">
        <w:rPr>
          <w:spacing w:val="-4"/>
          <w:lang w:val="sq-AL"/>
        </w:rPr>
        <w:t xml:space="preserve">. </w:t>
      </w:r>
    </w:p>
    <w:p w14:paraId="61AEDF72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II. RREGULLIMI I KAPACITETIT TË PESHKIMIT DHE I NUMRIT TË LEJEVE TË PESHKIMIT TREGTAR</w:t>
      </w:r>
    </w:p>
    <w:p w14:paraId="61AEDF73" w14:textId="40441DBF" w:rsidR="00AF1EB0" w:rsidRDefault="00AF1EB0" w:rsidP="00AD5AF8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 xml:space="preserve">1. Numri i lejeve të peshkimit tregtar profesional, për të gjitha format dhe llojet e këtij peshkimi, deklarohet i mbyllur. Me qëllim ruajtjen dhe mbrojtjen e resurseve të </w:t>
      </w:r>
      <w:proofErr w:type="spellStart"/>
      <w:r w:rsidRPr="00AF1EB0">
        <w:rPr>
          <w:i/>
          <w:spacing w:val="-4"/>
          <w:lang w:val="sq-AL"/>
        </w:rPr>
        <w:t>pelagjikëve</w:t>
      </w:r>
      <w:proofErr w:type="spellEnd"/>
      <w:r w:rsidRPr="00AF1EB0">
        <w:rPr>
          <w:i/>
          <w:spacing w:val="-4"/>
          <w:lang w:val="sq-AL"/>
        </w:rPr>
        <w:t xml:space="preserve"> të vegjël, për anijet që janë të lejuara për të dyja format e peshkimit së bashku, tërheqëse fundore dhe tërheqëse </w:t>
      </w:r>
      <w:proofErr w:type="spellStart"/>
      <w:r w:rsidRPr="00AF1EB0">
        <w:rPr>
          <w:i/>
          <w:spacing w:val="-4"/>
          <w:lang w:val="sq-AL"/>
        </w:rPr>
        <w:t>pelagjike</w:t>
      </w:r>
      <w:proofErr w:type="spellEnd"/>
      <w:r w:rsidRPr="00AF1EB0">
        <w:rPr>
          <w:i/>
          <w:spacing w:val="-4"/>
          <w:lang w:val="sq-AL"/>
        </w:rPr>
        <w:t>, subjekti i peshkimit ka të drejtë të ndryshojë lejen e peshkimit duke kaluar vetëm në rrjeta tërheqëse fundore.</w:t>
      </w:r>
    </w:p>
    <w:p w14:paraId="10361111" w14:textId="77777777" w:rsidR="00AF1EB0" w:rsidRPr="00AF1EB0" w:rsidRDefault="00AF1EB0" w:rsidP="00AF1EB0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 xml:space="preserve">1/1. Kalimi nga lejet e peshkimit për të dyja format e peshkimit, në rrjeta tërheqëse fundore dhe në rrjeta tërheqëse </w:t>
      </w:r>
      <w:proofErr w:type="spellStart"/>
      <w:r w:rsidRPr="00AF1EB0">
        <w:rPr>
          <w:i/>
          <w:spacing w:val="-4"/>
          <w:lang w:val="sq-AL"/>
        </w:rPr>
        <w:t>pelagjike</w:t>
      </w:r>
      <w:proofErr w:type="spellEnd"/>
      <w:r w:rsidRPr="00AF1EB0">
        <w:rPr>
          <w:i/>
          <w:spacing w:val="-4"/>
          <w:lang w:val="sq-AL"/>
        </w:rPr>
        <w:t xml:space="preserve">, në formën e peshkimit vetëm tërheqëse fundore, bëhet nga ministria përgjegjëse për peshkimin. </w:t>
      </w:r>
    </w:p>
    <w:p w14:paraId="05396324" w14:textId="77777777" w:rsidR="00AF1EB0" w:rsidRPr="00AF1EB0" w:rsidRDefault="00AF1EB0" w:rsidP="00AF1EB0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 xml:space="preserve">1/2. Numri maksimal i lejeve të peshkimit tregtar artizanal bregdetar përcaktohet me urdhër nga ministri përgjegjës për peshkimin, në zbatim të planit të menaxhimit të peshkimit dhe të planit të zbatimit të peshkimit. </w:t>
      </w:r>
    </w:p>
    <w:p w14:paraId="059D04C5" w14:textId="77777777" w:rsidR="00AF1EB0" w:rsidRPr="00AF1EB0" w:rsidRDefault="00AF1EB0" w:rsidP="00AF1EB0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>Për numrin e lejeve të peshkimit tregtar artizanal, të cilat mund të jepen në zonat e mbrojtura të kategorive IV, V dhe VI, të merret pëlqimi dhe nga Agjencia Kombëtare e Zonave të Mbrojtura.</w:t>
      </w:r>
    </w:p>
    <w:p w14:paraId="73CC9EE1" w14:textId="77777777" w:rsidR="00AF1EB0" w:rsidRPr="00AF1EB0" w:rsidRDefault="00AF1EB0" w:rsidP="00AF1EB0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>2. Të gjitha anijet e peshkimit të regjistruara në regjistrin e anijeve të peshkimit dhe të pajisura me numër regjistri (NFR), por që iu ka mbaruar afati i vlefshmërisë së lejes së peshkimit dhe nuk e kanë rinovuar atë, kanë të drejtë të aplikojnë për rinovimin e lejes deri në datën 5 dhjetor 2020.</w:t>
      </w:r>
    </w:p>
    <w:p w14:paraId="61AEDF7B" w14:textId="0BF8091D" w:rsidR="00AF1EB0" w:rsidRPr="00AF1EB0" w:rsidRDefault="00AF1EB0" w:rsidP="00AF1EB0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 xml:space="preserve">3. Me hyrjen në fuqi të këtij vendimi, Inspektorati i Peshkimit pranë Drejtorisë së Shërbimeve të Peshkimit dhe </w:t>
      </w:r>
      <w:proofErr w:type="spellStart"/>
      <w:r w:rsidRPr="00AF1EB0">
        <w:rPr>
          <w:i/>
          <w:spacing w:val="-4"/>
          <w:lang w:val="sq-AL"/>
        </w:rPr>
        <w:t>Akuakulturës</w:t>
      </w:r>
      <w:proofErr w:type="spellEnd"/>
      <w:r w:rsidRPr="00AF1EB0">
        <w:rPr>
          <w:i/>
          <w:spacing w:val="-4"/>
          <w:lang w:val="sq-AL"/>
        </w:rPr>
        <w:t>, njofton, sipas procedurave të njoftimit të Kodit të Procedurave Administrative, subjektet e peshkimit, pronarët ose administratorët e tyre, të cilëve u ka përfunduar afati i vlefshmërisë, nuk e kanë rinovuar ose që nuk do të rinovojnë lejen e peshkimit për fillimin e procedurave të nxjerrjes nga flota e peshkimit të anijeve të peshkimit në pronësi ose në administrim prej tyre.</w:t>
      </w:r>
    </w:p>
    <w:p w14:paraId="61AEDF7C" w14:textId="45825C40" w:rsidR="00AF1EB0" w:rsidRPr="00AF1EB0" w:rsidRDefault="00AF1EB0" w:rsidP="00AF1EB0">
      <w:pPr>
        <w:pStyle w:val="Paragrafi"/>
        <w:rPr>
          <w:i/>
          <w:spacing w:val="-4"/>
          <w:lang w:val="sq-AL"/>
        </w:rPr>
      </w:pPr>
      <w:r w:rsidRPr="00AF1EB0">
        <w:rPr>
          <w:i/>
          <w:spacing w:val="-4"/>
          <w:lang w:val="sq-AL"/>
        </w:rPr>
        <w:t xml:space="preserve"> 4. Në rast se subjektet e peshkimit, pronarët ose administratorët e anijeve të peshkimit, sipas pikës 2, të këtij kreu, nuk deklarojnë vullnetin për të vazhduar aktivitetin e peshkimit dhe të rinovojnë lejen e peshkimit, ministria përgjegjëse për peshkimin bën daljen përfundimtare të anijes nga flota e peshkimit dhe bën të pavlefshëm numrin e regjistrit (NFR) të anijes së peshkimit. </w:t>
      </w:r>
    </w:p>
    <w:p w14:paraId="61AEDF7D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720488">
        <w:rPr>
          <w:spacing w:val="-4"/>
          <w:lang w:val="sq-AL"/>
        </w:rPr>
        <w:t>MBZHRAU-ja njofton Drejtorinë e Përgjithshme Detare dhe QKB-në për nxjerrjen e anijeve nga flota e peshkimit, sipas pikës 4, të këtij kreu.</w:t>
      </w:r>
    </w:p>
    <w:p w14:paraId="61AEDF7E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6. Një anije peshkimi e nxjerrë nga flota e peshkimit, sipas pikës 4, nuk mund të hyjë përsëri në flotë edhe në rast se ndryshon emrin, pronarin/administratorin e saj, portin e veprimtarisë etj.</w:t>
      </w:r>
    </w:p>
    <w:p w14:paraId="61AEDF7F" w14:textId="59332713" w:rsidR="00AF1EB0" w:rsidRDefault="00AF1EB0" w:rsidP="00AD5AF8">
      <w:pPr>
        <w:pStyle w:val="Paragrafi"/>
        <w:rPr>
          <w:spacing w:val="-4"/>
          <w:lang w:val="sq-AL"/>
        </w:rPr>
      </w:pPr>
      <w:r w:rsidRPr="00AF1EB0">
        <w:rPr>
          <w:i/>
          <w:spacing w:val="-4"/>
          <w:lang w:val="sq-AL"/>
        </w:rPr>
        <w:t>7. Subjektet e peshkimit, në aplikimin pranë Qendrës Kombëtare të Biznesit për rinovimin e lejes së peshkimit, dorëzojnë edhe një kopje të lejes dhe të aktit të miratimit të vjetër, në rastet kur anija ka qenë e pajisur me leje peshkimi të vlefshme</w:t>
      </w:r>
      <w:r w:rsidRPr="00AF1EB0">
        <w:rPr>
          <w:spacing w:val="-4"/>
          <w:lang w:val="sq-AL"/>
        </w:rPr>
        <w:t>.</w:t>
      </w:r>
    </w:p>
    <w:p w14:paraId="1A6ED880" w14:textId="77777777" w:rsidR="00AD5AF8" w:rsidRPr="00C250C2" w:rsidRDefault="00AD5AF8" w:rsidP="00AD5AF8">
      <w:pPr>
        <w:pStyle w:val="Paragrafi"/>
        <w:rPr>
          <w:lang w:val="sq-AL"/>
        </w:rPr>
      </w:pPr>
      <w:r w:rsidRPr="00C250C2">
        <w:rPr>
          <w:lang w:val="sq-AL"/>
        </w:rPr>
        <w:t xml:space="preserve">8. </w:t>
      </w:r>
      <w:r w:rsidR="00AF1EB0">
        <w:rPr>
          <w:lang w:val="sq-AL"/>
        </w:rPr>
        <w:t>Shfuqizuar</w:t>
      </w:r>
      <w:r w:rsidRPr="00C250C2">
        <w:rPr>
          <w:lang w:val="sq-AL"/>
        </w:rPr>
        <w:t>.</w:t>
      </w:r>
    </w:p>
    <w:p w14:paraId="29745CC0" w14:textId="77777777" w:rsidR="00AF1EB0" w:rsidRPr="00AF1EB0" w:rsidRDefault="00AF1EB0" w:rsidP="00AF1EB0">
      <w:pPr>
        <w:pStyle w:val="Paragrafi"/>
        <w:rPr>
          <w:i/>
          <w:lang w:val="sq-AL"/>
        </w:rPr>
      </w:pPr>
      <w:r w:rsidRPr="00AF1EB0">
        <w:rPr>
          <w:i/>
          <w:lang w:val="sq-AL"/>
        </w:rPr>
        <w:t>9. Me mbylljen e numrit të lejeve të peshkimit tregtar profesional dhe artizanal, pas datës 5 dhjetor 2020, ministria përgjegjëse për peshkimin njofton Qendrën Kombëtare të Biznesit, e cila refuzon kërkesën e subjekteve të peshkimit për hyrjen e anijeve të peshkimit tregtar profesional, përveç rastit të parashikuar në pikën 10, të këtij kreu.</w:t>
      </w:r>
    </w:p>
    <w:p w14:paraId="7016F8B4" w14:textId="77777777" w:rsidR="00AF1EB0" w:rsidRDefault="00AF1EB0" w:rsidP="00AF1EB0">
      <w:pPr>
        <w:pStyle w:val="Paragrafi"/>
        <w:rPr>
          <w:i/>
          <w:lang w:val="sq-AL"/>
        </w:rPr>
      </w:pPr>
      <w:r w:rsidRPr="00AF1EB0">
        <w:rPr>
          <w:i/>
          <w:lang w:val="sq-AL"/>
        </w:rPr>
        <w:t>10. Hyrja në flotën e peshkimit e një kapaciteti të ri peshkimi bëhet vetëm si zëvendësim me një anije me tonazh dhe fuqi motorike më të vogël ose të barabartë i një anijeje me leje të vlefshme peshkimi ose si zëvendësim i një anijeje peshkimi të mbytur, e cila ishte e pajisur me një leje të vlefshme peshkimi. Në këtë rast, subjekti i peshkimit të anijes së mbytur, pronari ose trashëgimtarët e tij aplikojnë për t’u pajisur me leje të re peshkimi.</w:t>
      </w:r>
    </w:p>
    <w:p w14:paraId="3C50121E" w14:textId="77777777" w:rsidR="00960103" w:rsidRPr="00AF1EB0" w:rsidRDefault="00960103" w:rsidP="00AF1EB0">
      <w:pPr>
        <w:pStyle w:val="Paragrafi"/>
        <w:rPr>
          <w:i/>
          <w:lang w:val="sq-AL"/>
        </w:rPr>
      </w:pPr>
      <w:r w:rsidRPr="00960103">
        <w:rPr>
          <w:i/>
          <w:lang w:val="sq-AL"/>
        </w:rPr>
        <w:t>10/1. Në aktin e miratimit të lejes së re të peshkimit, për anijen e peshkimit zëvendësuese vendoset një numër regjistri (NFR) i ri duke u specifikuar qartësisht që është zëvendësim i anijes me numrin e regjistrit (NFR) të mëparshëm. Anija zëvendësuese nuk konsiderohet si hyrje e re në peshkim.</w:t>
      </w:r>
      <w:bookmarkStart w:id="0" w:name="_GoBack"/>
      <w:bookmarkEnd w:id="0"/>
    </w:p>
    <w:p w14:paraId="61AEDF83" w14:textId="77777777" w:rsidR="00AD5AF8" w:rsidRPr="00720488" w:rsidRDefault="00AD5AF8" w:rsidP="00AF1EB0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11. Me hyrjen në fuqi të këtij vendimi ndalohet hyrja në flotën e peshkimit të mjeteve lundruese që përdorin trata tërheqëse fundore (trata koçe) me moshë më të madhe se 20 vjet.</w:t>
      </w:r>
    </w:p>
    <w:p w14:paraId="61AEDF84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III. TË FUNDIT</w:t>
      </w:r>
    </w:p>
    <w:p w14:paraId="61AEDF85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Ngarkohen Ministria e Bujqësisë, Zhvillimit Rural dhe Administrimit të Ujërave, Qendra Kombëtare e Biznesit dhe Drejtoria e Përgjithshme Detare për zbatimin e këtij vendimi.</w:t>
      </w:r>
    </w:p>
    <w:p w14:paraId="61AEDF86" w14:textId="77777777"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Ky vendim hyn në fuqi pas botimit në Fletoren Zyrtare.</w:t>
      </w:r>
    </w:p>
    <w:p w14:paraId="61AEDF87" w14:textId="77777777" w:rsidR="00AD5AF8" w:rsidRPr="00C250C2" w:rsidRDefault="00AD5AF8" w:rsidP="00AD5AF8">
      <w:pPr>
        <w:pStyle w:val="Paragrafi"/>
        <w:rPr>
          <w:spacing w:val="-4"/>
          <w:sz w:val="2"/>
          <w:lang w:val="sq-AL"/>
        </w:rPr>
      </w:pPr>
    </w:p>
    <w:p w14:paraId="61AEDF88" w14:textId="77777777" w:rsidR="00AD5AF8" w:rsidRPr="00720488" w:rsidRDefault="00AD5AF8" w:rsidP="00AD5AF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20488">
        <w:rPr>
          <w:spacing w:val="-4"/>
          <w:lang w:val="sq-AL"/>
        </w:rPr>
        <w:t>KRYEMINISTRI</w:t>
      </w:r>
    </w:p>
    <w:p w14:paraId="61AEDF89" w14:textId="77777777" w:rsidR="00AD5AF8" w:rsidRPr="00720488" w:rsidRDefault="00AD5AF8" w:rsidP="00AD5AF8">
      <w:pPr>
        <w:pStyle w:val="Paragrafi"/>
        <w:jc w:val="right"/>
        <w:rPr>
          <w:b/>
          <w:spacing w:val="-4"/>
          <w:lang w:val="sq-AL"/>
        </w:rPr>
      </w:pPr>
      <w:proofErr w:type="spellStart"/>
      <w:r>
        <w:rPr>
          <w:b/>
          <w:spacing w:val="-4"/>
          <w:lang w:val="sq-AL"/>
        </w:rPr>
        <w:t>Niko</w:t>
      </w:r>
      <w:proofErr w:type="spellEnd"/>
      <w:r>
        <w:rPr>
          <w:b/>
          <w:spacing w:val="-4"/>
          <w:lang w:val="sq-AL"/>
        </w:rPr>
        <w:t xml:space="preserve"> </w:t>
      </w:r>
      <w:proofErr w:type="spellStart"/>
      <w:r>
        <w:rPr>
          <w:b/>
          <w:spacing w:val="-4"/>
          <w:lang w:val="sq-AL"/>
        </w:rPr>
        <w:t>Peleshi</w:t>
      </w:r>
      <w:proofErr w:type="spellEnd"/>
    </w:p>
    <w:p w14:paraId="61AEDF8A" w14:textId="77777777"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AF8"/>
    <w:rsid w:val="006768DE"/>
    <w:rsid w:val="008A2D7C"/>
    <w:rsid w:val="00944F41"/>
    <w:rsid w:val="00960103"/>
    <w:rsid w:val="00AD5AF8"/>
    <w:rsid w:val="00AF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EDF63"/>
  <w15:docId w15:val="{E5371572-822C-47A6-9901-24FD9ED4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5A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AF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5A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5A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5A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D5AF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4CD1E23E0D64551B9E68FC9B5765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2020-10-06T09:38:09Z</Data_x0020_e_x0020_Krijimit>
    <Modifikuesi xmlns="0e656187-b300-4fb0-8bf4-3a50f872073c">Eliona.Lloja</Modifikuesi>
    <Data_x0020_e_x0020_Modifikimit xmlns="0e656187-b300-4fb0-8bf4-3a50f872073c">2020-10-06T09:38:09Z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4CD1E23E0D64551B9E68FC9B5765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FBE1A-6D09-45D2-86E1-D2B290B19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81657E-C6B6-4395-9E36-7087BA97E2F8}">
  <ds:schemaRefs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CC2CC73-A08F-493A-A064-D0DC7D157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56368-BBE8-4D69-98C5-471CF484B4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918BB7-D04F-4305-8838-0FE1794C8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BF363A-02A0-4B47-B693-7A6C453CE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Elona Baci</cp:lastModifiedBy>
  <cp:revision>3</cp:revision>
  <cp:lastPrinted>2019-02-05T09:32:00Z</cp:lastPrinted>
  <dcterms:created xsi:type="dcterms:W3CDTF">2016-11-01T11:14:00Z</dcterms:created>
  <dcterms:modified xsi:type="dcterms:W3CDTF">2020-10-08T11:00:00Z</dcterms:modified>
</cp:coreProperties>
</file>