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7E89" w:rsidRPr="00033CDD" w:rsidRDefault="00D97E89" w:rsidP="00D97E89">
      <w:pPr>
        <w:pStyle w:val="Akti"/>
        <w:rPr>
          <w:lang w:val="sq-AL"/>
        </w:rPr>
      </w:pPr>
      <w:r w:rsidRPr="00033CDD">
        <w:rPr>
          <w:lang w:val="sq-AL"/>
        </w:rPr>
        <w:t>VENDIM</w:t>
      </w:r>
    </w:p>
    <w:p w:rsidR="00D97E89" w:rsidRPr="00033CDD" w:rsidRDefault="00D97E89" w:rsidP="00D97E89">
      <w:pPr>
        <w:pStyle w:val="NumriData"/>
        <w:rPr>
          <w:lang w:val="sq-AL"/>
        </w:rPr>
      </w:pPr>
      <w:r w:rsidRPr="00033CDD">
        <w:rPr>
          <w:lang w:val="sq-AL"/>
        </w:rPr>
        <w:t>Nr. 808, datë 16.11.2016</w:t>
      </w:r>
    </w:p>
    <w:p w:rsidR="00D97E89" w:rsidRPr="00033CDD" w:rsidRDefault="00D97E89" w:rsidP="00D97E89">
      <w:pPr>
        <w:pStyle w:val="Hapesira7"/>
        <w:rPr>
          <w:spacing w:val="-4"/>
          <w:lang w:val="sq-AL"/>
        </w:rPr>
      </w:pPr>
    </w:p>
    <w:p w:rsidR="00D97E89" w:rsidRDefault="00D97E89" w:rsidP="00D97E89">
      <w:pPr>
        <w:pStyle w:val="Titulli"/>
        <w:rPr>
          <w:lang w:val="sq-AL"/>
        </w:rPr>
      </w:pPr>
      <w:r w:rsidRPr="00033CDD">
        <w:rPr>
          <w:lang w:val="sq-AL"/>
        </w:rPr>
        <w:t xml:space="preserve">PËR MIRATIMIN E LICENCËS SË KONCESIONIT PËR RAFINERI SHOQËRISË AKSIONARE </w:t>
      </w:r>
    </w:p>
    <w:p w:rsidR="00D97E89" w:rsidRPr="00033CDD" w:rsidRDefault="00D97E89" w:rsidP="00D97E89">
      <w:pPr>
        <w:pStyle w:val="Titulli"/>
        <w:rPr>
          <w:lang w:val="sq-AL"/>
        </w:rPr>
      </w:pPr>
      <w:r w:rsidRPr="00033CDD">
        <w:rPr>
          <w:lang w:val="sq-AL"/>
        </w:rPr>
        <w:t>“RBH BELINE”</w:t>
      </w:r>
    </w:p>
    <w:p w:rsidR="00D97E89" w:rsidRPr="00033CDD" w:rsidRDefault="00D97E89" w:rsidP="00D97E89">
      <w:pPr>
        <w:pStyle w:val="Hapesira7"/>
        <w:rPr>
          <w:spacing w:val="-4"/>
          <w:lang w:val="sq-AL"/>
        </w:rPr>
      </w:pPr>
    </w:p>
    <w:p w:rsidR="00D97E89" w:rsidRPr="00033CDD" w:rsidRDefault="00D97E89" w:rsidP="00D97E89">
      <w:pPr>
        <w:pStyle w:val="Paragrafi"/>
        <w:rPr>
          <w:spacing w:val="-4"/>
          <w:lang w:val="sq-AL"/>
        </w:rPr>
      </w:pPr>
      <w:r w:rsidRPr="00033CDD">
        <w:rPr>
          <w:spacing w:val="-4"/>
          <w:lang w:val="sq-AL"/>
        </w:rPr>
        <w:t>Në mbështetje të pikës 2, të nenit 100, të Kushtetutës, të pikës 2, të nenit 18, të ligjit nr. 8450, datë 24.2.1999, “Për përpunimin, transportimin dhe tregtimin e naftës, të gazit dhe nënprodukteve të tyre”, të ndryshuar, dhe të vendimit nr. 19, datë 14.1.2015, të Këshillit të Ministrave, “Për procedurat dhe kushtet për dhënien, transferimin dhe përsëritjen e licencës së koncesionit për rafineri për kryerjen e veprimtarisë së përpunimit të naftës bruto për prodhimin e nënprodukteve të saj”, me propozimin e ministrit të Energjisë dhe Industrisë, Këshilli i Ministrave</w:t>
      </w:r>
    </w:p>
    <w:p w:rsidR="00D97E89" w:rsidRPr="00033CDD" w:rsidRDefault="00D97E89" w:rsidP="00D97E89">
      <w:pPr>
        <w:pStyle w:val="Paragrafi"/>
        <w:jc w:val="center"/>
        <w:rPr>
          <w:spacing w:val="-4"/>
          <w:sz w:val="14"/>
          <w:lang w:val="sq-AL"/>
        </w:rPr>
      </w:pPr>
    </w:p>
    <w:p w:rsidR="00D97E89" w:rsidRPr="00033CDD" w:rsidRDefault="00D97E89" w:rsidP="00D97E89">
      <w:pPr>
        <w:pStyle w:val="Paragrafi"/>
        <w:jc w:val="center"/>
        <w:rPr>
          <w:spacing w:val="-4"/>
          <w:lang w:val="sq-AL"/>
        </w:rPr>
      </w:pPr>
      <w:r w:rsidRPr="00033CDD">
        <w:rPr>
          <w:spacing w:val="-4"/>
          <w:lang w:val="sq-AL"/>
        </w:rPr>
        <w:t>VENDOSI:</w:t>
      </w:r>
    </w:p>
    <w:p w:rsidR="00D97E89" w:rsidRPr="00033CDD" w:rsidRDefault="00D97E89" w:rsidP="00D97E89">
      <w:pPr>
        <w:pStyle w:val="Paragrafi"/>
        <w:rPr>
          <w:spacing w:val="-4"/>
          <w:sz w:val="14"/>
          <w:lang w:val="sq-AL"/>
        </w:rPr>
      </w:pPr>
    </w:p>
    <w:p w:rsidR="00D97E89" w:rsidRPr="00033CDD" w:rsidRDefault="00D97E89" w:rsidP="00D97E89">
      <w:pPr>
        <w:pStyle w:val="Paragrafi"/>
        <w:rPr>
          <w:spacing w:val="-4"/>
          <w:lang w:val="sq-AL"/>
        </w:rPr>
      </w:pPr>
      <w:r w:rsidRPr="00033CDD">
        <w:rPr>
          <w:spacing w:val="-4"/>
          <w:lang w:val="sq-AL"/>
        </w:rPr>
        <w:t>1. Miratimin e licencës së koncesionit për rafineri shoqërisë aksionare “RBH Beline”, me NIPT L22524401A dhe seli në Balldren, Elbasan, sipas tekstit që i bashkëlidhet këtij vendimi.</w:t>
      </w:r>
    </w:p>
    <w:p w:rsidR="00D97E89" w:rsidRPr="00033CDD" w:rsidRDefault="00D97E89" w:rsidP="00D97E89">
      <w:pPr>
        <w:pStyle w:val="Paragrafi"/>
        <w:rPr>
          <w:spacing w:val="-4"/>
          <w:lang w:val="sq-AL"/>
        </w:rPr>
      </w:pPr>
      <w:r w:rsidRPr="00033CDD">
        <w:rPr>
          <w:spacing w:val="-4"/>
          <w:lang w:val="sq-AL"/>
        </w:rPr>
        <w:t>2. Ngarkohet Ministria e Energjisë dhe Industrisë për zbatimin e këtij vendimi.</w:t>
      </w:r>
    </w:p>
    <w:p w:rsidR="00D97E89" w:rsidRPr="00033CDD" w:rsidRDefault="00D97E89" w:rsidP="00D97E89">
      <w:pPr>
        <w:pStyle w:val="Paragrafi"/>
        <w:rPr>
          <w:spacing w:val="-4"/>
          <w:lang w:val="sq-AL"/>
        </w:rPr>
      </w:pPr>
      <w:r w:rsidRPr="00033CDD">
        <w:rPr>
          <w:spacing w:val="-4"/>
          <w:lang w:val="sq-AL"/>
        </w:rPr>
        <w:t>Ky vendim hyn në fuqi pas botimit në Fletoren Zyrtare.</w:t>
      </w:r>
    </w:p>
    <w:p w:rsidR="00D97E89" w:rsidRPr="00033CDD" w:rsidRDefault="00D97E89" w:rsidP="00D97E89">
      <w:pPr>
        <w:pStyle w:val="Autoriteti"/>
        <w:keepNext w:val="0"/>
        <w:rPr>
          <w:spacing w:val="-4"/>
          <w:lang w:val="sq-AL"/>
        </w:rPr>
      </w:pPr>
      <w:r w:rsidRPr="00033CDD">
        <w:rPr>
          <w:spacing w:val="-4"/>
          <w:lang w:val="sq-AL"/>
        </w:rPr>
        <w:t>KRYEMINISTRI</w:t>
      </w:r>
    </w:p>
    <w:p w:rsidR="00BC0C89" w:rsidRPr="003D6C51" w:rsidRDefault="003D6C51" w:rsidP="003D6C51">
      <w:pPr>
        <w:pStyle w:val="AutoritetiEmer"/>
        <w:rPr>
          <w:spacing w:val="-4"/>
          <w:lang w:val="sq-AL"/>
        </w:rPr>
      </w:pPr>
      <w:r>
        <w:rPr>
          <w:spacing w:val="-4"/>
          <w:lang w:val="sq-AL"/>
        </w:rPr>
        <w:t>Edi Rama</w:t>
      </w:r>
    </w:p>
    <w:p w:rsidR="00BC0C89" w:rsidRDefault="00BC0C89" w:rsidP="00BC0C89">
      <w:pPr>
        <w:pStyle w:val="Titull-Titull"/>
        <w:rPr>
          <w:b/>
          <w:lang w:val="sq-AL"/>
        </w:rPr>
      </w:pPr>
    </w:p>
    <w:p w:rsidR="00BC0C89" w:rsidRPr="00596A76" w:rsidRDefault="00BC0C89" w:rsidP="00BC0C89">
      <w:pPr>
        <w:pStyle w:val="Titull-Titull"/>
        <w:rPr>
          <w:b/>
          <w:lang w:val="sq-AL"/>
        </w:rPr>
      </w:pPr>
      <w:r w:rsidRPr="00596A76">
        <w:rPr>
          <w:b/>
          <w:lang w:val="sq-AL"/>
        </w:rPr>
        <w:t xml:space="preserve">LICENCË KONCESIONI </w:t>
      </w:r>
    </w:p>
    <w:p w:rsidR="00BC0C89" w:rsidRPr="00596A76" w:rsidRDefault="00BC0C89" w:rsidP="00BC0C89">
      <w:pPr>
        <w:pStyle w:val="Titull-Titull"/>
        <w:rPr>
          <w:b/>
          <w:lang w:val="sq-AL"/>
        </w:rPr>
      </w:pPr>
      <w:r w:rsidRPr="00596A76">
        <w:rPr>
          <w:b/>
          <w:lang w:val="sq-AL"/>
        </w:rPr>
        <w:t>PËR RAFINERI</w:t>
      </w:r>
    </w:p>
    <w:p w:rsidR="00BC0C89" w:rsidRPr="00596A76" w:rsidRDefault="00BC0C89" w:rsidP="00BC0C89">
      <w:pPr>
        <w:pStyle w:val="Paragrafi"/>
        <w:jc w:val="center"/>
        <w:rPr>
          <w:b/>
          <w:spacing w:val="-4"/>
          <w:sz w:val="14"/>
          <w:lang w:val="sq-AL"/>
        </w:rPr>
      </w:pPr>
    </w:p>
    <w:p w:rsidR="00BC0C89" w:rsidRPr="00596A76" w:rsidRDefault="00BC0C89" w:rsidP="00BC0C89">
      <w:pPr>
        <w:pStyle w:val="Paragrafi"/>
        <w:jc w:val="center"/>
        <w:rPr>
          <w:b/>
          <w:spacing w:val="-4"/>
          <w:lang w:val="sq-AL"/>
        </w:rPr>
      </w:pPr>
      <w:r w:rsidRPr="00596A76">
        <w:rPr>
          <w:b/>
          <w:spacing w:val="-4"/>
          <w:lang w:val="sq-AL"/>
        </w:rPr>
        <w:t>Nr. 4773/7, datë 8.11.2016</w:t>
      </w:r>
    </w:p>
    <w:p w:rsidR="00BC0C89" w:rsidRPr="00033CDD" w:rsidRDefault="00BC0C89" w:rsidP="00BC0C89">
      <w:pPr>
        <w:pStyle w:val="Paragrafi"/>
        <w:rPr>
          <w:spacing w:val="-4"/>
          <w:sz w:val="14"/>
          <w:lang w:val="sq-AL"/>
        </w:rPr>
      </w:pPr>
    </w:p>
    <w:p w:rsidR="00BC0C89" w:rsidRPr="00033CDD" w:rsidRDefault="00BC0C89" w:rsidP="00BC0C89">
      <w:pPr>
        <w:pStyle w:val="Paragrafi"/>
        <w:rPr>
          <w:spacing w:val="-4"/>
          <w:lang w:val="sq-AL"/>
        </w:rPr>
      </w:pPr>
      <w:r w:rsidRPr="00033CDD">
        <w:rPr>
          <w:spacing w:val="-4"/>
          <w:lang w:val="sq-AL"/>
        </w:rPr>
        <w:t xml:space="preserve">Në mbështetje të nenit 12, pika 2, dhe nenit 18, pika 3, të ligjit nr. 8450, datë 24.2.1999, “Për përpunimin, transportimin dhe tregtimin e naftës, të gazit dhe nënprodukteve të tyre”, të ndryshuar, dhe të </w:t>
      </w:r>
      <w:r w:rsidRPr="00033CDD">
        <w:rPr>
          <w:bCs/>
          <w:spacing w:val="-4"/>
          <w:lang w:val="sq-AL"/>
        </w:rPr>
        <w:t>vendimit nr. 19, datë 14.1.2015, të Këshillit Ministrave,</w:t>
      </w:r>
      <w:r w:rsidRPr="00033CDD">
        <w:rPr>
          <w:spacing w:val="-4"/>
          <w:lang w:val="sq-AL"/>
        </w:rPr>
        <w:t xml:space="preserve"> “P</w:t>
      </w:r>
      <w:r w:rsidRPr="00033CDD">
        <w:rPr>
          <w:bCs/>
          <w:spacing w:val="-4"/>
          <w:lang w:val="sq-AL"/>
        </w:rPr>
        <w:t xml:space="preserve">ër procedurat dhe kushtet për dhënien, transferimin dhe përsëritjen e licencës së koncesionit për rafineri për kryerjen e veprimtarisë së përpunimit të naftës bruto për prodhimin e nënprodukteve të saj”, </w:t>
      </w:r>
      <w:r w:rsidRPr="00033CDD">
        <w:rPr>
          <w:spacing w:val="-4"/>
          <w:lang w:val="sq-AL"/>
        </w:rPr>
        <w:t>shoqëria aksionare “RBH Beline” është pajisur me miratim paraprak nr. 4812/2, datë 15.9.2014, nga ana e Ministrisë së Energjisë dhe Industrisë.</w:t>
      </w:r>
    </w:p>
    <w:p w:rsidR="00BC0C89" w:rsidRPr="00033CDD" w:rsidRDefault="00BC0C89" w:rsidP="00BC0C89">
      <w:pPr>
        <w:pStyle w:val="Paragrafi"/>
        <w:rPr>
          <w:spacing w:val="-4"/>
          <w:lang w:val="sq-AL"/>
        </w:rPr>
      </w:pPr>
      <w:r w:rsidRPr="00033CDD">
        <w:rPr>
          <w:spacing w:val="-4"/>
          <w:lang w:val="sq-AL"/>
        </w:rPr>
        <w:t>I jepet shoqërisë aksionare “RBH Beline”, me NIPT L22524401A dhe seli në Balldren, Elbasan, Licenca e Koncesionit për Rafineri për kryerjen e veprimtarisë së përpunimit të naftës bruto dhe për prodhimin e nënprodukteve të saj.</w:t>
      </w:r>
    </w:p>
    <w:p w:rsidR="00BC0C89" w:rsidRPr="00033CDD" w:rsidRDefault="00BC0C89" w:rsidP="00BC0C89">
      <w:pPr>
        <w:pStyle w:val="Paragrafi"/>
        <w:rPr>
          <w:spacing w:val="-4"/>
          <w:lang w:val="sq-AL"/>
        </w:rPr>
      </w:pPr>
      <w:r w:rsidRPr="00033CDD">
        <w:rPr>
          <w:spacing w:val="-4"/>
          <w:lang w:val="sq-AL"/>
        </w:rPr>
        <w:t>a) Emri dhe selia e personit juridik:</w:t>
      </w:r>
    </w:p>
    <w:p w:rsidR="00BC0C89" w:rsidRPr="00033CDD" w:rsidRDefault="00BC0C89" w:rsidP="00BC0C89">
      <w:pPr>
        <w:pStyle w:val="Paragrafi"/>
        <w:rPr>
          <w:spacing w:val="-4"/>
          <w:lang w:val="sq-AL"/>
        </w:rPr>
      </w:pPr>
      <w:r w:rsidRPr="00033CDD">
        <w:rPr>
          <w:spacing w:val="-4"/>
          <w:lang w:val="sq-AL"/>
        </w:rPr>
        <w:t>Shoqëria aksionare “RBH Beline”, me seli në Balldren, Elbasan. Regjistruar pranë Qendrës Kombëtare të Biznesit, datë 24.1.2012, me NIPT: L22524401A.</w:t>
      </w:r>
    </w:p>
    <w:p w:rsidR="00BC0C89" w:rsidRDefault="00BC0C89" w:rsidP="00BC0C89">
      <w:pPr>
        <w:pStyle w:val="Paragrafi"/>
        <w:rPr>
          <w:spacing w:val="-4"/>
          <w:lang w:val="sq-AL"/>
        </w:rPr>
      </w:pPr>
      <w:r w:rsidRPr="00033CDD">
        <w:rPr>
          <w:spacing w:val="-4"/>
          <w:lang w:val="sq-AL"/>
        </w:rPr>
        <w:t>b) Koordinatat dhe vendndodhja e rafinerisë;</w:t>
      </w:r>
    </w:p>
    <w:p w:rsidR="00BC0C89" w:rsidRPr="00033CDD" w:rsidRDefault="00BC0C89" w:rsidP="003D6C51">
      <w:pPr>
        <w:pStyle w:val="Paragrafi"/>
        <w:ind w:firstLine="0"/>
        <w:rPr>
          <w:spacing w:val="-4"/>
          <w:lang w:val="sq-AL"/>
        </w:rPr>
      </w:pPr>
    </w:p>
    <w:tbl>
      <w:tblPr>
        <w:tblW w:w="5000" w:type="pct"/>
        <w:tblLook w:val="04A0" w:firstRow="1" w:lastRow="0" w:firstColumn="1" w:lastColumn="0" w:noHBand="0" w:noVBand="1"/>
      </w:tblPr>
      <w:tblGrid>
        <w:gridCol w:w="1453"/>
        <w:gridCol w:w="4007"/>
        <w:gridCol w:w="4116"/>
      </w:tblGrid>
      <w:tr w:rsidR="00BC0C89" w:rsidRPr="00033CDD" w:rsidTr="00A17F6A">
        <w:trPr>
          <w:trHeight w:val="110"/>
        </w:trPr>
        <w:tc>
          <w:tcPr>
            <w:tcW w:w="759" w:type="pct"/>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BC0C89" w:rsidRPr="00033CDD" w:rsidRDefault="00BC0C89" w:rsidP="00A17F6A">
            <w:pPr>
              <w:widowControl w:val="0"/>
              <w:spacing w:after="0" w:line="240" w:lineRule="auto"/>
              <w:ind w:firstLine="0"/>
              <w:jc w:val="center"/>
              <w:rPr>
                <w:rFonts w:ascii="Garamond" w:hAnsi="Garamond"/>
                <w:b/>
                <w:bCs/>
                <w:color w:val="000000"/>
                <w:spacing w:val="-4"/>
                <w:sz w:val="20"/>
                <w:szCs w:val="20"/>
                <w:lang w:val="sq-AL"/>
              </w:rPr>
            </w:pPr>
            <w:r w:rsidRPr="00033CDD">
              <w:rPr>
                <w:rFonts w:ascii="Garamond" w:hAnsi="Garamond"/>
                <w:b/>
                <w:bCs/>
                <w:color w:val="000000"/>
                <w:spacing w:val="-4"/>
                <w:sz w:val="20"/>
                <w:szCs w:val="20"/>
                <w:lang w:val="sq-AL"/>
              </w:rPr>
              <w:t>Nr.</w:t>
            </w:r>
          </w:p>
        </w:tc>
        <w:tc>
          <w:tcPr>
            <w:tcW w:w="4241" w:type="pct"/>
            <w:gridSpan w:val="2"/>
            <w:tcBorders>
              <w:top w:val="single" w:sz="4" w:space="0" w:color="auto"/>
              <w:left w:val="nil"/>
              <w:bottom w:val="single" w:sz="4" w:space="0" w:color="auto"/>
              <w:right w:val="single" w:sz="4" w:space="0" w:color="000000"/>
            </w:tcBorders>
            <w:shd w:val="clear" w:color="auto" w:fill="auto"/>
            <w:vAlign w:val="bottom"/>
            <w:hideMark/>
          </w:tcPr>
          <w:p w:rsidR="00BC0C89" w:rsidRPr="00033CDD" w:rsidRDefault="00BC0C89" w:rsidP="00A17F6A">
            <w:pPr>
              <w:widowControl w:val="0"/>
              <w:spacing w:after="0" w:line="240" w:lineRule="auto"/>
              <w:ind w:firstLine="0"/>
              <w:jc w:val="center"/>
              <w:rPr>
                <w:rFonts w:ascii="Garamond" w:hAnsi="Garamond"/>
                <w:b/>
                <w:bCs/>
                <w:color w:val="000000"/>
                <w:spacing w:val="-4"/>
                <w:sz w:val="20"/>
                <w:szCs w:val="20"/>
                <w:lang w:val="sq-AL"/>
              </w:rPr>
            </w:pPr>
            <w:r w:rsidRPr="00033CDD">
              <w:rPr>
                <w:rFonts w:ascii="Garamond" w:hAnsi="Garamond"/>
                <w:b/>
                <w:bCs/>
                <w:color w:val="000000"/>
                <w:spacing w:val="-4"/>
                <w:sz w:val="20"/>
                <w:szCs w:val="20"/>
                <w:lang w:val="sq-AL"/>
              </w:rPr>
              <w:t>Koordinatat gjeodezike</w:t>
            </w:r>
          </w:p>
        </w:tc>
      </w:tr>
      <w:tr w:rsidR="00BC0C89" w:rsidRPr="00033CDD" w:rsidTr="00A17F6A">
        <w:trPr>
          <w:trHeight w:val="56"/>
        </w:trPr>
        <w:tc>
          <w:tcPr>
            <w:tcW w:w="759" w:type="pct"/>
            <w:vMerge/>
            <w:tcBorders>
              <w:top w:val="single" w:sz="4" w:space="0" w:color="auto"/>
              <w:left w:val="single" w:sz="4" w:space="0" w:color="auto"/>
              <w:bottom w:val="single" w:sz="4" w:space="0" w:color="000000"/>
              <w:right w:val="single" w:sz="4" w:space="0" w:color="auto"/>
            </w:tcBorders>
            <w:vAlign w:val="center"/>
            <w:hideMark/>
          </w:tcPr>
          <w:p w:rsidR="00BC0C89" w:rsidRPr="00033CDD" w:rsidRDefault="00BC0C89" w:rsidP="00A17F6A">
            <w:pPr>
              <w:widowControl w:val="0"/>
              <w:spacing w:after="0" w:line="240" w:lineRule="auto"/>
              <w:ind w:firstLine="0"/>
              <w:rPr>
                <w:rFonts w:ascii="Garamond" w:hAnsi="Garamond"/>
                <w:b/>
                <w:bCs/>
                <w:color w:val="000000"/>
                <w:spacing w:val="-4"/>
                <w:sz w:val="20"/>
                <w:szCs w:val="20"/>
                <w:lang w:val="sq-AL"/>
              </w:rPr>
            </w:pPr>
          </w:p>
        </w:tc>
        <w:tc>
          <w:tcPr>
            <w:tcW w:w="2092" w:type="pct"/>
            <w:tcBorders>
              <w:top w:val="nil"/>
              <w:left w:val="nil"/>
              <w:bottom w:val="single" w:sz="4" w:space="0" w:color="auto"/>
              <w:right w:val="single" w:sz="4" w:space="0" w:color="auto"/>
            </w:tcBorders>
            <w:shd w:val="clear" w:color="auto" w:fill="auto"/>
            <w:vAlign w:val="bottom"/>
            <w:hideMark/>
          </w:tcPr>
          <w:p w:rsidR="00BC0C89" w:rsidRPr="00033CDD" w:rsidRDefault="00BC0C89" w:rsidP="00A17F6A">
            <w:pPr>
              <w:widowControl w:val="0"/>
              <w:spacing w:after="0" w:line="240" w:lineRule="auto"/>
              <w:ind w:firstLine="0"/>
              <w:rPr>
                <w:rFonts w:ascii="Garamond" w:hAnsi="Garamond"/>
                <w:b/>
                <w:bCs/>
                <w:color w:val="000000"/>
                <w:spacing w:val="-4"/>
                <w:sz w:val="20"/>
                <w:szCs w:val="20"/>
                <w:lang w:val="sq-AL"/>
              </w:rPr>
            </w:pPr>
            <w:r w:rsidRPr="00033CDD">
              <w:rPr>
                <w:rFonts w:ascii="Garamond" w:hAnsi="Garamond"/>
                <w:b/>
                <w:bCs/>
                <w:color w:val="000000"/>
                <w:spacing w:val="-4"/>
                <w:sz w:val="20"/>
                <w:szCs w:val="20"/>
                <w:lang w:val="sq-AL"/>
              </w:rPr>
              <w:t xml:space="preserve">                   X</w:t>
            </w:r>
          </w:p>
        </w:tc>
        <w:tc>
          <w:tcPr>
            <w:tcW w:w="2149" w:type="pct"/>
            <w:tcBorders>
              <w:top w:val="nil"/>
              <w:left w:val="nil"/>
              <w:bottom w:val="single" w:sz="4" w:space="0" w:color="auto"/>
              <w:right w:val="single" w:sz="4" w:space="0" w:color="auto"/>
            </w:tcBorders>
            <w:shd w:val="clear" w:color="auto" w:fill="auto"/>
            <w:vAlign w:val="bottom"/>
            <w:hideMark/>
          </w:tcPr>
          <w:p w:rsidR="00BC0C89" w:rsidRPr="00033CDD" w:rsidRDefault="00BC0C89" w:rsidP="00A17F6A">
            <w:pPr>
              <w:widowControl w:val="0"/>
              <w:spacing w:after="0" w:line="240" w:lineRule="auto"/>
              <w:ind w:firstLine="0"/>
              <w:jc w:val="center"/>
              <w:rPr>
                <w:rFonts w:ascii="Garamond" w:hAnsi="Garamond"/>
                <w:b/>
                <w:bCs/>
                <w:color w:val="000000"/>
                <w:spacing w:val="-4"/>
                <w:sz w:val="20"/>
                <w:szCs w:val="20"/>
                <w:lang w:val="sq-AL"/>
              </w:rPr>
            </w:pPr>
            <w:r w:rsidRPr="00033CDD">
              <w:rPr>
                <w:rFonts w:ascii="Garamond" w:hAnsi="Garamond"/>
                <w:b/>
                <w:bCs/>
                <w:color w:val="000000"/>
                <w:spacing w:val="-4"/>
                <w:sz w:val="20"/>
                <w:szCs w:val="20"/>
                <w:lang w:val="sq-AL"/>
              </w:rPr>
              <w:t>Y</w:t>
            </w:r>
          </w:p>
        </w:tc>
      </w:tr>
      <w:tr w:rsidR="00BC0C89" w:rsidRPr="00033CDD" w:rsidTr="00A17F6A">
        <w:trPr>
          <w:trHeight w:val="202"/>
        </w:trPr>
        <w:tc>
          <w:tcPr>
            <w:tcW w:w="759" w:type="pct"/>
            <w:tcBorders>
              <w:top w:val="nil"/>
              <w:left w:val="single" w:sz="4" w:space="0" w:color="auto"/>
              <w:bottom w:val="single" w:sz="4" w:space="0" w:color="auto"/>
              <w:right w:val="single" w:sz="4" w:space="0" w:color="auto"/>
            </w:tcBorders>
            <w:shd w:val="clear" w:color="auto" w:fill="auto"/>
            <w:noWrap/>
            <w:vAlign w:val="bottom"/>
            <w:hideMark/>
          </w:tcPr>
          <w:p w:rsidR="00BC0C89" w:rsidRPr="00033CDD" w:rsidRDefault="00BC0C89" w:rsidP="00A17F6A">
            <w:pPr>
              <w:widowControl w:val="0"/>
              <w:spacing w:after="0" w:line="240" w:lineRule="auto"/>
              <w:ind w:firstLine="0"/>
              <w:jc w:val="center"/>
              <w:rPr>
                <w:rFonts w:ascii="Garamond" w:hAnsi="Garamond"/>
                <w:color w:val="000000"/>
                <w:spacing w:val="-4"/>
                <w:sz w:val="20"/>
                <w:szCs w:val="20"/>
                <w:lang w:val="sq-AL"/>
              </w:rPr>
            </w:pPr>
            <w:r w:rsidRPr="00033CDD">
              <w:rPr>
                <w:rFonts w:ascii="Garamond" w:hAnsi="Garamond"/>
                <w:color w:val="000000"/>
                <w:spacing w:val="-4"/>
                <w:sz w:val="20"/>
                <w:szCs w:val="20"/>
                <w:lang w:val="sq-AL"/>
              </w:rPr>
              <w:t>1</w:t>
            </w:r>
          </w:p>
        </w:tc>
        <w:tc>
          <w:tcPr>
            <w:tcW w:w="2092" w:type="pct"/>
            <w:tcBorders>
              <w:top w:val="nil"/>
              <w:left w:val="nil"/>
              <w:bottom w:val="single" w:sz="4" w:space="0" w:color="auto"/>
              <w:right w:val="single" w:sz="4" w:space="0" w:color="auto"/>
            </w:tcBorders>
            <w:shd w:val="clear" w:color="auto" w:fill="auto"/>
            <w:noWrap/>
            <w:vAlign w:val="bottom"/>
          </w:tcPr>
          <w:p w:rsidR="00BC0C89" w:rsidRPr="00033CDD" w:rsidRDefault="00BC0C89" w:rsidP="00A17F6A">
            <w:pPr>
              <w:widowControl w:val="0"/>
              <w:spacing w:after="0" w:line="240" w:lineRule="auto"/>
              <w:ind w:firstLine="0"/>
              <w:jc w:val="center"/>
              <w:rPr>
                <w:rFonts w:ascii="Garamond" w:hAnsi="Garamond"/>
                <w:color w:val="000000"/>
                <w:spacing w:val="-4"/>
                <w:sz w:val="20"/>
                <w:szCs w:val="20"/>
                <w:lang w:val="sq-AL"/>
              </w:rPr>
            </w:pPr>
            <w:r w:rsidRPr="00033CDD">
              <w:rPr>
                <w:rFonts w:ascii="Garamond" w:hAnsi="Garamond"/>
                <w:color w:val="000000"/>
                <w:spacing w:val="-4"/>
                <w:sz w:val="20"/>
                <w:szCs w:val="20"/>
                <w:lang w:val="sq-AL"/>
              </w:rPr>
              <w:t>X=4416533.50</w:t>
            </w:r>
          </w:p>
        </w:tc>
        <w:tc>
          <w:tcPr>
            <w:tcW w:w="2149" w:type="pct"/>
            <w:tcBorders>
              <w:top w:val="nil"/>
              <w:left w:val="nil"/>
              <w:bottom w:val="single" w:sz="4" w:space="0" w:color="auto"/>
              <w:right w:val="single" w:sz="4" w:space="0" w:color="auto"/>
            </w:tcBorders>
            <w:shd w:val="clear" w:color="auto" w:fill="auto"/>
            <w:noWrap/>
            <w:vAlign w:val="bottom"/>
          </w:tcPr>
          <w:p w:rsidR="00BC0C89" w:rsidRPr="00033CDD" w:rsidRDefault="00BC0C89" w:rsidP="00A17F6A">
            <w:pPr>
              <w:widowControl w:val="0"/>
              <w:spacing w:after="0" w:line="240" w:lineRule="auto"/>
              <w:ind w:firstLine="0"/>
              <w:jc w:val="center"/>
              <w:rPr>
                <w:rFonts w:ascii="Garamond" w:hAnsi="Garamond"/>
                <w:color w:val="000000"/>
                <w:spacing w:val="-4"/>
                <w:sz w:val="20"/>
                <w:szCs w:val="20"/>
                <w:lang w:val="sq-AL"/>
              </w:rPr>
            </w:pPr>
            <w:r w:rsidRPr="00033CDD">
              <w:rPr>
                <w:rFonts w:ascii="Garamond" w:hAnsi="Garamond"/>
                <w:color w:val="000000"/>
                <w:spacing w:val="-4"/>
                <w:sz w:val="20"/>
                <w:szCs w:val="20"/>
                <w:lang w:val="sq-AL"/>
              </w:rPr>
              <w:t>Y=4550728.315</w:t>
            </w:r>
          </w:p>
        </w:tc>
      </w:tr>
      <w:tr w:rsidR="00BC0C89" w:rsidRPr="00033CDD" w:rsidTr="00A17F6A">
        <w:trPr>
          <w:trHeight w:val="56"/>
        </w:trPr>
        <w:tc>
          <w:tcPr>
            <w:tcW w:w="759" w:type="pct"/>
            <w:tcBorders>
              <w:top w:val="nil"/>
              <w:left w:val="single" w:sz="4" w:space="0" w:color="auto"/>
              <w:bottom w:val="single" w:sz="4" w:space="0" w:color="auto"/>
              <w:right w:val="single" w:sz="4" w:space="0" w:color="auto"/>
            </w:tcBorders>
            <w:shd w:val="clear" w:color="auto" w:fill="auto"/>
            <w:noWrap/>
            <w:vAlign w:val="bottom"/>
            <w:hideMark/>
          </w:tcPr>
          <w:p w:rsidR="00BC0C89" w:rsidRPr="00033CDD" w:rsidRDefault="00BC0C89" w:rsidP="00A17F6A">
            <w:pPr>
              <w:widowControl w:val="0"/>
              <w:spacing w:after="0" w:line="240" w:lineRule="auto"/>
              <w:ind w:firstLine="0"/>
              <w:jc w:val="center"/>
              <w:rPr>
                <w:rFonts w:ascii="Garamond" w:hAnsi="Garamond"/>
                <w:color w:val="000000"/>
                <w:spacing w:val="-4"/>
                <w:sz w:val="20"/>
                <w:szCs w:val="20"/>
                <w:lang w:val="sq-AL"/>
              </w:rPr>
            </w:pPr>
            <w:r w:rsidRPr="00033CDD">
              <w:rPr>
                <w:rFonts w:ascii="Garamond" w:hAnsi="Garamond"/>
                <w:color w:val="000000"/>
                <w:spacing w:val="-4"/>
                <w:sz w:val="20"/>
                <w:szCs w:val="20"/>
                <w:lang w:val="sq-AL"/>
              </w:rPr>
              <w:t>2</w:t>
            </w:r>
          </w:p>
        </w:tc>
        <w:tc>
          <w:tcPr>
            <w:tcW w:w="2092" w:type="pct"/>
            <w:tcBorders>
              <w:top w:val="nil"/>
              <w:left w:val="nil"/>
              <w:bottom w:val="single" w:sz="4" w:space="0" w:color="auto"/>
              <w:right w:val="single" w:sz="4" w:space="0" w:color="auto"/>
            </w:tcBorders>
            <w:shd w:val="clear" w:color="auto" w:fill="auto"/>
            <w:noWrap/>
            <w:vAlign w:val="bottom"/>
          </w:tcPr>
          <w:p w:rsidR="00BC0C89" w:rsidRPr="00033CDD" w:rsidRDefault="00BC0C89" w:rsidP="00A17F6A">
            <w:pPr>
              <w:widowControl w:val="0"/>
              <w:spacing w:after="0" w:line="240" w:lineRule="auto"/>
              <w:ind w:firstLine="0"/>
              <w:jc w:val="center"/>
              <w:rPr>
                <w:rFonts w:ascii="Garamond" w:hAnsi="Garamond"/>
                <w:spacing w:val="-4"/>
                <w:sz w:val="20"/>
                <w:szCs w:val="20"/>
                <w:lang w:val="sq-AL"/>
              </w:rPr>
            </w:pPr>
            <w:r w:rsidRPr="00033CDD">
              <w:rPr>
                <w:rFonts w:ascii="Garamond" w:hAnsi="Garamond"/>
                <w:spacing w:val="-4"/>
                <w:sz w:val="20"/>
                <w:szCs w:val="20"/>
                <w:lang w:val="sq-AL"/>
              </w:rPr>
              <w:t>X=4416457.256</w:t>
            </w:r>
          </w:p>
        </w:tc>
        <w:tc>
          <w:tcPr>
            <w:tcW w:w="2149" w:type="pct"/>
            <w:tcBorders>
              <w:top w:val="nil"/>
              <w:left w:val="nil"/>
              <w:bottom w:val="single" w:sz="4" w:space="0" w:color="auto"/>
              <w:right w:val="single" w:sz="4" w:space="0" w:color="auto"/>
            </w:tcBorders>
            <w:shd w:val="clear" w:color="auto" w:fill="auto"/>
            <w:noWrap/>
            <w:vAlign w:val="bottom"/>
          </w:tcPr>
          <w:p w:rsidR="00BC0C89" w:rsidRPr="00033CDD" w:rsidRDefault="00BC0C89" w:rsidP="00A17F6A">
            <w:pPr>
              <w:widowControl w:val="0"/>
              <w:spacing w:after="0" w:line="240" w:lineRule="auto"/>
              <w:ind w:firstLine="0"/>
              <w:jc w:val="center"/>
              <w:rPr>
                <w:rFonts w:ascii="Garamond" w:hAnsi="Garamond"/>
                <w:spacing w:val="-4"/>
                <w:sz w:val="20"/>
                <w:szCs w:val="20"/>
                <w:lang w:val="sq-AL"/>
              </w:rPr>
            </w:pPr>
            <w:r w:rsidRPr="00033CDD">
              <w:rPr>
                <w:rFonts w:ascii="Garamond" w:hAnsi="Garamond"/>
                <w:spacing w:val="-4"/>
                <w:sz w:val="20"/>
                <w:szCs w:val="20"/>
                <w:lang w:val="sq-AL"/>
              </w:rPr>
              <w:t>Y=4550766.496</w:t>
            </w:r>
          </w:p>
        </w:tc>
      </w:tr>
      <w:tr w:rsidR="00BC0C89" w:rsidRPr="00033CDD" w:rsidTr="00A17F6A">
        <w:trPr>
          <w:trHeight w:val="56"/>
        </w:trPr>
        <w:tc>
          <w:tcPr>
            <w:tcW w:w="759" w:type="pct"/>
            <w:tcBorders>
              <w:top w:val="nil"/>
              <w:left w:val="single" w:sz="4" w:space="0" w:color="auto"/>
              <w:bottom w:val="single" w:sz="4" w:space="0" w:color="auto"/>
              <w:right w:val="single" w:sz="4" w:space="0" w:color="auto"/>
            </w:tcBorders>
            <w:shd w:val="clear" w:color="auto" w:fill="auto"/>
            <w:noWrap/>
            <w:vAlign w:val="bottom"/>
            <w:hideMark/>
          </w:tcPr>
          <w:p w:rsidR="00BC0C89" w:rsidRPr="00033CDD" w:rsidRDefault="00BC0C89" w:rsidP="00A17F6A">
            <w:pPr>
              <w:widowControl w:val="0"/>
              <w:spacing w:after="0" w:line="240" w:lineRule="auto"/>
              <w:ind w:firstLine="0"/>
              <w:jc w:val="center"/>
              <w:rPr>
                <w:rFonts w:ascii="Garamond" w:hAnsi="Garamond"/>
                <w:color w:val="000000"/>
                <w:spacing w:val="-4"/>
                <w:sz w:val="20"/>
                <w:szCs w:val="20"/>
                <w:lang w:val="sq-AL"/>
              </w:rPr>
            </w:pPr>
            <w:r w:rsidRPr="00033CDD">
              <w:rPr>
                <w:rFonts w:ascii="Garamond" w:hAnsi="Garamond"/>
                <w:color w:val="000000"/>
                <w:spacing w:val="-4"/>
                <w:sz w:val="20"/>
                <w:szCs w:val="20"/>
                <w:lang w:val="sq-AL"/>
              </w:rPr>
              <w:t>3</w:t>
            </w:r>
          </w:p>
        </w:tc>
        <w:tc>
          <w:tcPr>
            <w:tcW w:w="2092" w:type="pct"/>
            <w:tcBorders>
              <w:top w:val="nil"/>
              <w:left w:val="nil"/>
              <w:bottom w:val="single" w:sz="4" w:space="0" w:color="auto"/>
              <w:right w:val="single" w:sz="4" w:space="0" w:color="auto"/>
            </w:tcBorders>
            <w:shd w:val="clear" w:color="auto" w:fill="auto"/>
            <w:noWrap/>
            <w:vAlign w:val="bottom"/>
          </w:tcPr>
          <w:p w:rsidR="00BC0C89" w:rsidRPr="00033CDD" w:rsidRDefault="00BC0C89" w:rsidP="00A17F6A">
            <w:pPr>
              <w:widowControl w:val="0"/>
              <w:spacing w:after="0" w:line="240" w:lineRule="auto"/>
              <w:ind w:firstLine="0"/>
              <w:jc w:val="center"/>
              <w:rPr>
                <w:rFonts w:ascii="Garamond" w:hAnsi="Garamond"/>
                <w:spacing w:val="-4"/>
                <w:sz w:val="20"/>
                <w:szCs w:val="20"/>
                <w:lang w:val="sq-AL"/>
              </w:rPr>
            </w:pPr>
            <w:r w:rsidRPr="00033CDD">
              <w:rPr>
                <w:rFonts w:ascii="Garamond" w:hAnsi="Garamond"/>
                <w:spacing w:val="-4"/>
                <w:sz w:val="20"/>
                <w:szCs w:val="20"/>
                <w:lang w:val="sq-AL"/>
              </w:rPr>
              <w:t>X=4416663.558</w:t>
            </w:r>
          </w:p>
        </w:tc>
        <w:tc>
          <w:tcPr>
            <w:tcW w:w="2149" w:type="pct"/>
            <w:tcBorders>
              <w:top w:val="nil"/>
              <w:left w:val="nil"/>
              <w:bottom w:val="single" w:sz="4" w:space="0" w:color="auto"/>
              <w:right w:val="single" w:sz="4" w:space="0" w:color="auto"/>
            </w:tcBorders>
            <w:shd w:val="clear" w:color="auto" w:fill="auto"/>
            <w:noWrap/>
            <w:vAlign w:val="bottom"/>
          </w:tcPr>
          <w:p w:rsidR="00BC0C89" w:rsidRPr="00033CDD" w:rsidRDefault="00BC0C89" w:rsidP="00A17F6A">
            <w:pPr>
              <w:widowControl w:val="0"/>
              <w:spacing w:after="0" w:line="240" w:lineRule="auto"/>
              <w:ind w:firstLine="0"/>
              <w:jc w:val="center"/>
              <w:rPr>
                <w:rFonts w:ascii="Garamond" w:hAnsi="Garamond"/>
                <w:spacing w:val="-4"/>
                <w:sz w:val="20"/>
                <w:szCs w:val="20"/>
                <w:lang w:val="sq-AL"/>
              </w:rPr>
            </w:pPr>
            <w:r w:rsidRPr="00033CDD">
              <w:rPr>
                <w:rFonts w:ascii="Garamond" w:hAnsi="Garamond"/>
                <w:spacing w:val="-4"/>
                <w:sz w:val="20"/>
                <w:szCs w:val="20"/>
                <w:lang w:val="sq-AL"/>
              </w:rPr>
              <w:t>Y=4550669.893</w:t>
            </w:r>
          </w:p>
        </w:tc>
      </w:tr>
      <w:tr w:rsidR="00BC0C89" w:rsidRPr="00033CDD" w:rsidTr="00A17F6A">
        <w:trPr>
          <w:trHeight w:val="70"/>
        </w:trPr>
        <w:tc>
          <w:tcPr>
            <w:tcW w:w="759" w:type="pct"/>
            <w:tcBorders>
              <w:top w:val="nil"/>
              <w:left w:val="single" w:sz="4" w:space="0" w:color="auto"/>
              <w:bottom w:val="single" w:sz="4" w:space="0" w:color="auto"/>
              <w:right w:val="single" w:sz="4" w:space="0" w:color="auto"/>
            </w:tcBorders>
            <w:shd w:val="clear" w:color="auto" w:fill="auto"/>
            <w:noWrap/>
            <w:vAlign w:val="bottom"/>
            <w:hideMark/>
          </w:tcPr>
          <w:p w:rsidR="00BC0C89" w:rsidRPr="00033CDD" w:rsidRDefault="00BC0C89" w:rsidP="00A17F6A">
            <w:pPr>
              <w:widowControl w:val="0"/>
              <w:spacing w:after="0" w:line="240" w:lineRule="auto"/>
              <w:ind w:firstLine="0"/>
              <w:jc w:val="center"/>
              <w:rPr>
                <w:rFonts w:ascii="Garamond" w:hAnsi="Garamond"/>
                <w:color w:val="000000"/>
                <w:spacing w:val="-4"/>
                <w:sz w:val="20"/>
                <w:szCs w:val="20"/>
                <w:lang w:val="sq-AL"/>
              </w:rPr>
            </w:pPr>
            <w:r w:rsidRPr="00033CDD">
              <w:rPr>
                <w:rFonts w:ascii="Garamond" w:hAnsi="Garamond"/>
                <w:color w:val="000000"/>
                <w:spacing w:val="-4"/>
                <w:sz w:val="20"/>
                <w:szCs w:val="20"/>
                <w:lang w:val="sq-AL"/>
              </w:rPr>
              <w:t>4</w:t>
            </w:r>
          </w:p>
        </w:tc>
        <w:tc>
          <w:tcPr>
            <w:tcW w:w="2092" w:type="pct"/>
            <w:tcBorders>
              <w:top w:val="nil"/>
              <w:left w:val="nil"/>
              <w:bottom w:val="single" w:sz="4" w:space="0" w:color="auto"/>
              <w:right w:val="single" w:sz="4" w:space="0" w:color="auto"/>
            </w:tcBorders>
            <w:shd w:val="clear" w:color="auto" w:fill="auto"/>
            <w:noWrap/>
            <w:vAlign w:val="bottom"/>
          </w:tcPr>
          <w:p w:rsidR="00BC0C89" w:rsidRPr="00033CDD" w:rsidRDefault="00BC0C89" w:rsidP="00A17F6A">
            <w:pPr>
              <w:widowControl w:val="0"/>
              <w:spacing w:after="0" w:line="240" w:lineRule="auto"/>
              <w:ind w:firstLine="0"/>
              <w:jc w:val="center"/>
              <w:rPr>
                <w:rFonts w:ascii="Garamond" w:hAnsi="Garamond"/>
                <w:spacing w:val="-4"/>
                <w:sz w:val="20"/>
                <w:szCs w:val="20"/>
                <w:lang w:val="sq-AL"/>
              </w:rPr>
            </w:pPr>
            <w:r w:rsidRPr="00033CDD">
              <w:rPr>
                <w:rFonts w:ascii="Garamond" w:hAnsi="Garamond"/>
                <w:spacing w:val="-4"/>
                <w:sz w:val="20"/>
                <w:szCs w:val="20"/>
                <w:lang w:val="sq-AL"/>
              </w:rPr>
              <w:t>X=4416621.833</w:t>
            </w:r>
          </w:p>
        </w:tc>
        <w:tc>
          <w:tcPr>
            <w:tcW w:w="2149" w:type="pct"/>
            <w:tcBorders>
              <w:top w:val="nil"/>
              <w:left w:val="nil"/>
              <w:bottom w:val="single" w:sz="4" w:space="0" w:color="auto"/>
              <w:right w:val="single" w:sz="4" w:space="0" w:color="auto"/>
            </w:tcBorders>
            <w:shd w:val="clear" w:color="auto" w:fill="auto"/>
            <w:noWrap/>
            <w:vAlign w:val="bottom"/>
          </w:tcPr>
          <w:p w:rsidR="00BC0C89" w:rsidRPr="00033CDD" w:rsidRDefault="00BC0C89" w:rsidP="00A17F6A">
            <w:pPr>
              <w:widowControl w:val="0"/>
              <w:spacing w:after="0" w:line="240" w:lineRule="auto"/>
              <w:ind w:firstLine="0"/>
              <w:jc w:val="center"/>
              <w:rPr>
                <w:rFonts w:ascii="Garamond" w:hAnsi="Garamond"/>
                <w:spacing w:val="-4"/>
                <w:sz w:val="20"/>
                <w:szCs w:val="20"/>
                <w:lang w:val="sq-AL"/>
              </w:rPr>
            </w:pPr>
            <w:r w:rsidRPr="00033CDD">
              <w:rPr>
                <w:rFonts w:ascii="Garamond" w:hAnsi="Garamond"/>
                <w:spacing w:val="-4"/>
                <w:sz w:val="20"/>
                <w:szCs w:val="20"/>
                <w:lang w:val="sq-AL"/>
              </w:rPr>
              <w:t>Y=455.631.713</w:t>
            </w:r>
          </w:p>
        </w:tc>
      </w:tr>
    </w:tbl>
    <w:p w:rsidR="003D6C51" w:rsidRDefault="003D6C51" w:rsidP="00BC0C89">
      <w:pPr>
        <w:pStyle w:val="Paragrafi"/>
        <w:rPr>
          <w:spacing w:val="-4"/>
          <w:lang w:val="sq-AL"/>
        </w:rPr>
      </w:pPr>
    </w:p>
    <w:p w:rsidR="003D6C51" w:rsidRDefault="003D6C51" w:rsidP="00BC0C89">
      <w:pPr>
        <w:pStyle w:val="Paragrafi"/>
        <w:rPr>
          <w:spacing w:val="-4"/>
          <w:lang w:val="sq-AL"/>
        </w:rPr>
      </w:pPr>
    </w:p>
    <w:p w:rsidR="00BC0C89" w:rsidRPr="00033CDD" w:rsidRDefault="00BC0C89" w:rsidP="00BC0C89">
      <w:pPr>
        <w:pStyle w:val="Paragrafi"/>
        <w:rPr>
          <w:spacing w:val="-4"/>
          <w:lang w:val="sq-AL"/>
        </w:rPr>
      </w:pPr>
      <w:bookmarkStart w:id="0" w:name="_GoBack"/>
      <w:bookmarkEnd w:id="0"/>
      <w:r w:rsidRPr="00033CDD">
        <w:rPr>
          <w:spacing w:val="-4"/>
          <w:lang w:val="sq-AL"/>
        </w:rPr>
        <w:lastRenderedPageBreak/>
        <w:t>c) Numri dhe data e vendimit të Këshillit Kombëtar të Territorit për miratimin e lejes së ndërtimit/zhvillimit:</w:t>
      </w:r>
    </w:p>
    <w:p w:rsidR="00BC0C89" w:rsidRPr="00033CDD" w:rsidRDefault="00BC0C89" w:rsidP="00BC0C89">
      <w:pPr>
        <w:pStyle w:val="Paragrafi"/>
        <w:rPr>
          <w:spacing w:val="-4"/>
          <w:lang w:val="sq-AL"/>
        </w:rPr>
      </w:pPr>
      <w:r w:rsidRPr="00033CDD">
        <w:rPr>
          <w:spacing w:val="-4"/>
          <w:lang w:val="sq-AL"/>
        </w:rPr>
        <w:t xml:space="preserve">- “Leje zhvillimore komplekse” me vendim nr. 2, datë 29.12.2014, objekti: “Rafineri për prodhim bitumi dhe nënprodukte të naftës”, nga </w:t>
      </w:r>
      <w:r w:rsidRPr="00033CDD">
        <w:rPr>
          <w:rStyle w:val="FontStyle22"/>
          <w:spacing w:val="-4"/>
          <w:szCs w:val="24"/>
          <w:lang w:val="sq-AL"/>
        </w:rPr>
        <w:t>Këshilli Kombëtar i Territorit.</w:t>
      </w:r>
    </w:p>
    <w:p w:rsidR="00BC0C89" w:rsidRPr="00033CDD" w:rsidRDefault="00BC0C89" w:rsidP="00BC0C89">
      <w:pPr>
        <w:pStyle w:val="Paragrafi"/>
        <w:rPr>
          <w:spacing w:val="-4"/>
          <w:lang w:val="sq-AL"/>
        </w:rPr>
      </w:pPr>
      <w:r w:rsidRPr="00033CDD">
        <w:rPr>
          <w:spacing w:val="-4"/>
          <w:lang w:val="sq-AL"/>
        </w:rPr>
        <w:t>ç) Lloji i licencës së tregtimit dhe afati i saj, nëse personi juridik është pajisur me këtë licencë;</w:t>
      </w:r>
    </w:p>
    <w:p w:rsidR="00BC0C89" w:rsidRPr="00033CDD" w:rsidRDefault="00BC0C89" w:rsidP="00BC0C89">
      <w:pPr>
        <w:pStyle w:val="Paragrafi"/>
        <w:rPr>
          <w:spacing w:val="-4"/>
          <w:lang w:val="sq-AL"/>
        </w:rPr>
      </w:pPr>
      <w:r w:rsidRPr="00033CDD">
        <w:rPr>
          <w:spacing w:val="-4"/>
          <w:lang w:val="sq-AL"/>
        </w:rPr>
        <w:t xml:space="preserve">Licencë tregtimi me shumicë nr. LN- 6195-02-213, lëshuar nga Qendra Kombëtare e Licencimit. </w:t>
      </w:r>
    </w:p>
    <w:p w:rsidR="00BC0C89" w:rsidRPr="00033CDD" w:rsidRDefault="00BC0C89" w:rsidP="00BC0C89">
      <w:pPr>
        <w:pStyle w:val="Paragrafi"/>
        <w:rPr>
          <w:spacing w:val="-4"/>
          <w:lang w:val="sq-AL"/>
        </w:rPr>
      </w:pPr>
      <w:r w:rsidRPr="00033CDD">
        <w:rPr>
          <w:spacing w:val="-4"/>
          <w:lang w:val="sq-AL"/>
        </w:rPr>
        <w:t>Prodhim, depozitim, transport, përdorim dhe/ose tregtim i produkteve dhe/ose lëndëve a pajisjeve të tjera të rrezikshme.</w:t>
      </w:r>
    </w:p>
    <w:p w:rsidR="00BC0C89" w:rsidRPr="00033CDD" w:rsidRDefault="00BC0C89" w:rsidP="00BC0C89">
      <w:pPr>
        <w:pStyle w:val="Paragrafi"/>
        <w:rPr>
          <w:spacing w:val="-4"/>
          <w:lang w:val="sq-AL"/>
        </w:rPr>
      </w:pPr>
      <w:r w:rsidRPr="00033CDD">
        <w:rPr>
          <w:spacing w:val="-4"/>
          <w:lang w:val="sq-AL"/>
        </w:rPr>
        <w:t>Afati i vlefshmërisë së kësaj licence është pa afat.</w:t>
      </w:r>
    </w:p>
    <w:p w:rsidR="00BC0C89" w:rsidRPr="00033CDD" w:rsidRDefault="00BC0C89" w:rsidP="00BC0C89">
      <w:pPr>
        <w:pStyle w:val="Paragrafi"/>
        <w:rPr>
          <w:color w:val="000000"/>
          <w:spacing w:val="-4"/>
          <w:lang w:val="sq-AL"/>
        </w:rPr>
      </w:pPr>
      <w:r w:rsidRPr="00033CDD">
        <w:rPr>
          <w:spacing w:val="-4"/>
          <w:lang w:val="sq-AL"/>
        </w:rPr>
        <w:t xml:space="preserve">d) Afati i vlefshmërisë së licencës së koncesionit; </w:t>
      </w:r>
    </w:p>
    <w:p w:rsidR="00BC0C89" w:rsidRPr="00033CDD" w:rsidRDefault="00BC0C89" w:rsidP="00BC0C89">
      <w:pPr>
        <w:pStyle w:val="Paragrafi"/>
        <w:rPr>
          <w:spacing w:val="-4"/>
          <w:lang w:val="sq-AL"/>
        </w:rPr>
      </w:pPr>
      <w:r w:rsidRPr="00033CDD">
        <w:rPr>
          <w:color w:val="000000"/>
          <w:spacing w:val="-4"/>
          <w:lang w:val="sq-AL"/>
        </w:rPr>
        <w:t xml:space="preserve">30 vjet me të drejtë përsëritjeje, pas miratimit të saj nga Këshilli i Ministrave. </w:t>
      </w:r>
    </w:p>
    <w:p w:rsidR="00BC0C89" w:rsidRPr="00033CDD" w:rsidRDefault="00BC0C89" w:rsidP="00BC0C89">
      <w:pPr>
        <w:pStyle w:val="Paragrafi"/>
        <w:rPr>
          <w:spacing w:val="-4"/>
          <w:lang w:val="sq-AL"/>
        </w:rPr>
      </w:pPr>
      <w:r w:rsidRPr="00033CDD">
        <w:rPr>
          <w:spacing w:val="-4"/>
          <w:lang w:val="sq-AL"/>
        </w:rPr>
        <w:t xml:space="preserve">E drejta për rinovimin e kësaj licence bëhet sipas kushteve dhe procedurave të përcaktuara në kreun V, të VKM-së </w:t>
      </w:r>
      <w:r w:rsidRPr="00033CDD">
        <w:rPr>
          <w:bCs/>
          <w:spacing w:val="-4"/>
          <w:lang w:val="sq-AL"/>
        </w:rPr>
        <w:t xml:space="preserve">nr. 19, datë 14.1.2015, </w:t>
      </w:r>
      <w:r w:rsidRPr="00033CDD">
        <w:rPr>
          <w:spacing w:val="-4"/>
          <w:lang w:val="sq-AL"/>
        </w:rPr>
        <w:t>“Për procedurat dhe kushtet për dhënien, transferimin dhe përsëritjen e licencës së koncesionit për rafineri për kryerjen e veprimtarisë së përpunimit të naftës bruto për prodhimin e nënprodukteve të saj”.</w:t>
      </w:r>
    </w:p>
    <w:p w:rsidR="00BC0C89" w:rsidRPr="00033CDD" w:rsidRDefault="00BC0C89" w:rsidP="00BC0C89">
      <w:pPr>
        <w:pStyle w:val="Paragrafi"/>
        <w:rPr>
          <w:spacing w:val="-4"/>
          <w:lang w:val="sq-AL"/>
        </w:rPr>
      </w:pPr>
      <w:r w:rsidRPr="00033CDD">
        <w:rPr>
          <w:spacing w:val="-4"/>
          <w:lang w:val="sq-AL"/>
        </w:rPr>
        <w:t>dh)</w:t>
      </w:r>
      <w:r w:rsidRPr="00033CDD">
        <w:rPr>
          <w:spacing w:val="-4"/>
          <w:lang w:val="sq-AL"/>
        </w:rPr>
        <w:tab/>
        <w:t xml:space="preserve"> Afati i përfundimit të ndërtimit të rafinerisë, afati i vënies në përdorim, si dhe rastet kur do të lejohet shtyrja e afatit të ndërtimit apo vënies në përdorim.</w:t>
      </w:r>
    </w:p>
    <w:p w:rsidR="00BC0C89" w:rsidRPr="00033CDD" w:rsidRDefault="00BC0C89" w:rsidP="00BC0C89">
      <w:pPr>
        <w:pStyle w:val="Paragrafi"/>
        <w:rPr>
          <w:spacing w:val="-4"/>
          <w:lang w:val="sq-AL"/>
        </w:rPr>
      </w:pPr>
      <w:r w:rsidRPr="00033CDD">
        <w:rPr>
          <w:spacing w:val="-4"/>
          <w:lang w:val="sq-AL"/>
        </w:rPr>
        <w:t>Objekti ka përfunduar ndërtimin në bazë të lejes së ndërtimit dhe është pajisur me leje përdorimi nr. 1116/4 prot., datë 5.8.2016, nga Agjencia e Zhvillimit të Territorit. Afati i vënies në përdorim është 31.12.2016.</w:t>
      </w:r>
    </w:p>
    <w:p w:rsidR="00BC0C89" w:rsidRPr="00033CDD" w:rsidRDefault="00BC0C89" w:rsidP="00BC0C89">
      <w:pPr>
        <w:pStyle w:val="Paragrafi"/>
        <w:rPr>
          <w:spacing w:val="-4"/>
          <w:lang w:val="sq-AL"/>
        </w:rPr>
      </w:pPr>
      <w:r w:rsidRPr="00033CDD">
        <w:rPr>
          <w:spacing w:val="-4"/>
          <w:lang w:val="sq-AL"/>
        </w:rPr>
        <w:t>e) E drejta e organeve dhe institucioneve shtetërore, të ngarkuara me ligj, për kontrollin e zbatimit të projektit sipas kushteve dhe afatit të përcaktuar në projekt.</w:t>
      </w:r>
    </w:p>
    <w:p w:rsidR="00BC0C89" w:rsidRPr="00033CDD" w:rsidRDefault="00BC0C89" w:rsidP="00BC0C89">
      <w:pPr>
        <w:pStyle w:val="Paragrafi"/>
        <w:rPr>
          <w:spacing w:val="-4"/>
          <w:lang w:val="sq-AL"/>
        </w:rPr>
      </w:pPr>
      <w:r w:rsidRPr="00033CDD">
        <w:rPr>
          <w:spacing w:val="-4"/>
          <w:lang w:val="sq-AL"/>
        </w:rPr>
        <w:t>ë)</w:t>
      </w:r>
      <w:r w:rsidRPr="00033CDD">
        <w:rPr>
          <w:spacing w:val="-4"/>
          <w:lang w:val="sq-AL"/>
        </w:rPr>
        <w:tab/>
        <w:t xml:space="preserve"> Këshilli i Ministrave ka të drejtë revokimin e kësaj licence kur nga kontrollet e ushtruara nga organet dhe institucionet shtetërore, të ngarkuara me ligj, konstatohet dështimi i përmbushjes së kërkesave të licencës së koncesionit për rafineri, në zbatimin e parametrave  teknikë, në afatin e realizimit të projektit dhe të normave mjedisore;</w:t>
      </w:r>
    </w:p>
    <w:p w:rsidR="00BC0C89" w:rsidRPr="00033CDD" w:rsidRDefault="00BC0C89" w:rsidP="00BC0C89">
      <w:pPr>
        <w:pStyle w:val="Paragrafi"/>
        <w:rPr>
          <w:spacing w:val="-4"/>
          <w:lang w:val="sq-AL"/>
        </w:rPr>
      </w:pPr>
      <w:r w:rsidRPr="00033CDD">
        <w:rPr>
          <w:spacing w:val="-4"/>
          <w:lang w:val="sq-AL"/>
        </w:rPr>
        <w:t>f) Kapaciteti dhe kategoria e produkteve që do të prodhojë rafineria.</w:t>
      </w:r>
    </w:p>
    <w:p w:rsidR="00BC0C89" w:rsidRPr="00033CDD" w:rsidRDefault="00BC0C89" w:rsidP="00BC0C89">
      <w:pPr>
        <w:pStyle w:val="Paragrafi"/>
        <w:rPr>
          <w:spacing w:val="-4"/>
          <w:lang w:val="sq-AL"/>
        </w:rPr>
      </w:pPr>
      <w:r w:rsidRPr="00033CDD">
        <w:rPr>
          <w:spacing w:val="-4"/>
          <w:lang w:val="sq-AL"/>
        </w:rPr>
        <w:t>Kapaciteti i përpunimit të naftës bruto është 600 tonë/24 orë.</w:t>
      </w:r>
    </w:p>
    <w:p w:rsidR="00BC0C89" w:rsidRPr="00033CDD" w:rsidRDefault="00BC0C89" w:rsidP="00BC0C89">
      <w:pPr>
        <w:pStyle w:val="Paragrafi"/>
        <w:rPr>
          <w:spacing w:val="-4"/>
          <w:lang w:val="sq-AL"/>
        </w:rPr>
      </w:pPr>
      <w:r w:rsidRPr="00033CDD">
        <w:rPr>
          <w:spacing w:val="-4"/>
          <w:lang w:val="sq-AL"/>
        </w:rPr>
        <w:t>Produktet që do të prodhojë rafineria janë të përshkruara në kartën teknologjike të lëshuar nga ISHTI-ja, bashkëlidhur licencës, e cila është pjesë e integruar e saj.</w:t>
      </w:r>
    </w:p>
    <w:p w:rsidR="00BC0C89" w:rsidRPr="00033CDD" w:rsidRDefault="00BC0C89" w:rsidP="00BC0C89">
      <w:pPr>
        <w:pStyle w:val="Paragrafi"/>
        <w:rPr>
          <w:spacing w:val="-4"/>
          <w:lang w:val="sq-AL"/>
        </w:rPr>
      </w:pPr>
      <w:r w:rsidRPr="00033CDD">
        <w:rPr>
          <w:spacing w:val="-4"/>
          <w:lang w:val="sq-AL"/>
        </w:rPr>
        <w:t>g) Shoqëria aksionare “RBH Beline”, pas miratimit të kësaj licence koncesioni duhet të paguajë tarifën e licencimit sipas legjislacionit në fuqi. Licenca e koncesionit është e vlefshme vetëm pas pagesës së tarifës së licencimit.</w:t>
      </w:r>
    </w:p>
    <w:p w:rsidR="00BC0C89" w:rsidRPr="00033CDD" w:rsidRDefault="00BC0C89" w:rsidP="00BC0C89">
      <w:pPr>
        <w:pStyle w:val="Paragrafi"/>
        <w:rPr>
          <w:spacing w:val="-4"/>
          <w:lang w:val="sq-AL"/>
        </w:rPr>
      </w:pPr>
      <w:r w:rsidRPr="00033CDD">
        <w:rPr>
          <w:spacing w:val="-4"/>
          <w:lang w:val="sq-AL"/>
        </w:rPr>
        <w:t xml:space="preserve">gj) </w:t>
      </w:r>
      <w:r w:rsidRPr="00033CDD">
        <w:rPr>
          <w:spacing w:val="-4"/>
          <w:lang w:val="sq-AL"/>
        </w:rPr>
        <w:tab/>
        <w:t>Shoqëria aksionare “RBH Beline” pas miratimit të kësaj licence koncesioni, në zbatim të kërkesave të nenit 9, të ligjit nr. 8450, datë 24.2.1999, “Për përpunimin, transportimin dhe tregtimin e naftës, të gazit dhe nënprodukteve të tyre”, të ndryshuar, ka detyrim mbajtjen e rezervës së sigurisë, sipas kushteve dhe procedurave të përcaktuara këtu.</w:t>
      </w:r>
    </w:p>
    <w:p w:rsidR="00BC0C89" w:rsidRPr="00033CDD" w:rsidRDefault="00BC0C89" w:rsidP="00BC0C89">
      <w:pPr>
        <w:pStyle w:val="Paragrafi"/>
        <w:rPr>
          <w:spacing w:val="-4"/>
          <w:lang w:val="sq-AL"/>
        </w:rPr>
      </w:pPr>
      <w:r w:rsidRPr="00033CDD">
        <w:rPr>
          <w:spacing w:val="-4"/>
          <w:lang w:val="sq-AL"/>
        </w:rPr>
        <w:t>h) Shoqëria aksionare “RBH Beline” pas miratimit të kësaj licence koncesioni duhet të paraqesë në ministrinë përgjegjëse për hidrokarburet, informacionet dhe të dhënat përkatëse, brenda afateve, në zbatim të nenit 8, të ligjit nr. 8450, datë 24.2.1999, “Për përpunimin, transportimin dhe tregtimin e naftës, të gazit dhe nënprodukteve të tyre”, të ndryshuar.</w:t>
      </w:r>
    </w:p>
    <w:p w:rsidR="00BC0C89" w:rsidRPr="00033CDD" w:rsidRDefault="00BC0C89" w:rsidP="00BC0C89">
      <w:pPr>
        <w:pStyle w:val="Paragrafi"/>
        <w:rPr>
          <w:spacing w:val="-4"/>
          <w:lang w:val="sq-AL"/>
        </w:rPr>
      </w:pPr>
      <w:r w:rsidRPr="00033CDD">
        <w:rPr>
          <w:spacing w:val="-4"/>
          <w:lang w:val="sq-AL"/>
        </w:rPr>
        <w:t>i) Shoqëria aksionare “RBH Beline” në rastin e ndryshimeve në skemën dhe kartën teknologjike të funksionimit të rafinerisë, si dhe për markën e cilësinë e nënprodukteve të naftës të prodhuara nga rafineria, duhet të zbatojë përcaktimet e nenit 12, të ligjit nr. 8450, datë 24.2.1999, “Për përpunimin, transportimin dhe tregtimin e naftës, të gazit dhe nënprodukteve të tyre”, të ndryshuar.</w:t>
      </w:r>
    </w:p>
    <w:p w:rsidR="00BC0C89" w:rsidRPr="00033CDD" w:rsidRDefault="00BC0C89" w:rsidP="00BC0C89">
      <w:pPr>
        <w:pStyle w:val="Paragrafi"/>
        <w:rPr>
          <w:spacing w:val="-4"/>
          <w:lang w:val="sq-AL"/>
        </w:rPr>
      </w:pPr>
      <w:r w:rsidRPr="00033CDD">
        <w:rPr>
          <w:spacing w:val="-4"/>
          <w:lang w:val="sq-AL"/>
        </w:rPr>
        <w:t>Kjo licencë koncesioni për rafineri do të udhëhiqet dhe interpretohet në përputhje me ligjet e Republikës së Shqipërisë.</w:t>
      </w:r>
    </w:p>
    <w:p w:rsidR="003D6C51" w:rsidRDefault="003D6C51" w:rsidP="00BC0C89">
      <w:pPr>
        <w:pStyle w:val="Paragrafi"/>
        <w:rPr>
          <w:spacing w:val="-4"/>
          <w:lang w:val="sq-AL"/>
        </w:rPr>
      </w:pPr>
    </w:p>
    <w:p w:rsidR="00BC0C89" w:rsidRDefault="00BC0C89" w:rsidP="00BC0C89">
      <w:pPr>
        <w:pStyle w:val="Paragrafi"/>
        <w:rPr>
          <w:spacing w:val="-4"/>
          <w:lang w:val="sq-AL"/>
        </w:rPr>
      </w:pPr>
      <w:r w:rsidRPr="00033CDD">
        <w:rPr>
          <w:spacing w:val="-4"/>
          <w:lang w:val="sq-AL"/>
        </w:rPr>
        <w:lastRenderedPageBreak/>
        <w:t xml:space="preserve">Çdo mosmarrëveshje, kundërshtim, pretendim ose ndryshim opinioni, që lind nga/ose në lidhje me këtë licencë koncesioni, do të trajtohet nga Gjykata Administrative e Shkallës së Parë Tiranë. </w:t>
      </w:r>
    </w:p>
    <w:p w:rsidR="00BC0C89" w:rsidRPr="003E0589" w:rsidRDefault="00BC0C89" w:rsidP="00BC0C89">
      <w:pPr>
        <w:pStyle w:val="Paragrafi"/>
        <w:rPr>
          <w:spacing w:val="-4"/>
          <w:sz w:val="14"/>
          <w:lang w:val="sq-AL"/>
        </w:rPr>
      </w:pPr>
    </w:p>
    <w:p w:rsidR="00BC0C89" w:rsidRPr="005526D8" w:rsidRDefault="00BC0C89" w:rsidP="00BC0C89">
      <w:pPr>
        <w:pStyle w:val="Paragrafi"/>
        <w:jc w:val="right"/>
        <w:rPr>
          <w:spacing w:val="-4"/>
          <w:lang w:val="sq-AL"/>
        </w:rPr>
      </w:pPr>
      <w:r w:rsidRPr="005526D8">
        <w:rPr>
          <w:spacing w:val="-4"/>
          <w:lang w:val="sq-AL"/>
        </w:rPr>
        <w:t xml:space="preserve">MINISTRI I ENERGJISË </w:t>
      </w:r>
    </w:p>
    <w:p w:rsidR="00BC0C89" w:rsidRPr="005526D8" w:rsidRDefault="00BC0C89" w:rsidP="00BC0C89">
      <w:pPr>
        <w:pStyle w:val="Paragrafi"/>
        <w:jc w:val="right"/>
        <w:rPr>
          <w:spacing w:val="-4"/>
          <w:lang w:val="sq-AL"/>
        </w:rPr>
      </w:pPr>
      <w:r w:rsidRPr="005526D8">
        <w:rPr>
          <w:spacing w:val="-4"/>
          <w:lang w:val="sq-AL"/>
        </w:rPr>
        <w:t>DHE INDUSTRISË</w:t>
      </w:r>
    </w:p>
    <w:p w:rsidR="00BC0C89" w:rsidRPr="003E0589" w:rsidRDefault="00BC0C89" w:rsidP="00BC0C89">
      <w:pPr>
        <w:pStyle w:val="Paragrafi"/>
        <w:jc w:val="right"/>
        <w:rPr>
          <w:b/>
          <w:spacing w:val="-4"/>
          <w:lang w:val="sq-AL"/>
        </w:rPr>
      </w:pPr>
      <w:r w:rsidRPr="005526D8">
        <w:rPr>
          <w:b/>
          <w:spacing w:val="-4"/>
          <w:lang w:val="sq-AL"/>
        </w:rPr>
        <w:t>Damian Gjiknuri</w:t>
      </w:r>
      <w:r w:rsidRPr="003E0589">
        <w:rPr>
          <w:b/>
          <w:spacing w:val="-4"/>
          <w:lang w:val="sq-AL"/>
        </w:rPr>
        <w:t xml:space="preserve"> </w:t>
      </w:r>
    </w:p>
    <w:p w:rsidR="00BC0C89" w:rsidRPr="00033CDD" w:rsidRDefault="00BC0C89" w:rsidP="00BC0C89">
      <w:pPr>
        <w:pStyle w:val="Hapesira7"/>
        <w:rPr>
          <w:spacing w:val="-4"/>
          <w:lang w:val="sq-AL" w:eastAsia="en-GB"/>
        </w:rPr>
      </w:pPr>
    </w:p>
    <w:p w:rsidR="004F59B3" w:rsidRPr="00D97E89" w:rsidRDefault="004F59B3" w:rsidP="00D97E89"/>
    <w:sectPr w:rsidR="004F59B3" w:rsidRPr="00D97E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altName w:val="Calibri"/>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30B"/>
    <w:rsid w:val="003D6C51"/>
    <w:rsid w:val="004F59B3"/>
    <w:rsid w:val="00704078"/>
    <w:rsid w:val="00866E32"/>
    <w:rsid w:val="008C5E9E"/>
    <w:rsid w:val="00BC0C89"/>
    <w:rsid w:val="00C7730B"/>
    <w:rsid w:val="00D53227"/>
    <w:rsid w:val="00D97E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3227"/>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866E32"/>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66E32"/>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66E32"/>
    <w:rPr>
      <w:rFonts w:ascii="Garamond" w:eastAsia="MS Mincho" w:hAnsi="Garamond" w:cs="CG Times"/>
      <w:b/>
      <w:bCs/>
      <w:sz w:val="24"/>
      <w:lang w:val="en-GB"/>
    </w:rPr>
  </w:style>
  <w:style w:type="paragraph" w:customStyle="1" w:styleId="Paragrafi">
    <w:name w:val="Paragrafi"/>
    <w:link w:val="ParagrafiChar"/>
    <w:rsid w:val="00866E3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66E32"/>
    <w:rPr>
      <w:rFonts w:ascii="Garamond" w:eastAsia="MS Mincho" w:hAnsi="Garamond" w:cs="CG Times"/>
      <w:sz w:val="24"/>
    </w:rPr>
  </w:style>
  <w:style w:type="paragraph" w:customStyle="1" w:styleId="Titulli">
    <w:name w:val="Titulli"/>
    <w:next w:val="Normal"/>
    <w:link w:val="TitulliChar"/>
    <w:rsid w:val="00866E3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66E32"/>
    <w:rPr>
      <w:rFonts w:ascii="Garamond" w:eastAsia="MS Mincho" w:hAnsi="Garamond" w:cs="CG Times"/>
      <w:b/>
      <w:bCs/>
      <w:caps/>
      <w:sz w:val="24"/>
      <w:lang w:val="en-GB"/>
    </w:rPr>
  </w:style>
  <w:style w:type="character" w:customStyle="1" w:styleId="AktiChar">
    <w:name w:val="Akti Char"/>
    <w:basedOn w:val="DefaultParagraphFont"/>
    <w:link w:val="Akti"/>
    <w:rsid w:val="00866E32"/>
    <w:rPr>
      <w:rFonts w:ascii="Garamond" w:eastAsia="MS Mincho" w:hAnsi="Garamond" w:cs="CG Times"/>
      <w:b/>
      <w:bCs/>
      <w:caps/>
      <w:color w:val="000000"/>
      <w:sz w:val="24"/>
      <w:lang w:val="en-GB"/>
    </w:rPr>
  </w:style>
  <w:style w:type="paragraph" w:customStyle="1" w:styleId="Autoriteti">
    <w:name w:val="Autoriteti"/>
    <w:next w:val="Normal"/>
    <w:link w:val="AutoritetiChar"/>
    <w:rsid w:val="00866E3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66E3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66E32"/>
    <w:rPr>
      <w:rFonts w:ascii="Garamond" w:eastAsia="MS Mincho" w:hAnsi="Garamond" w:cs="CG Times"/>
      <w:caps/>
      <w:sz w:val="24"/>
      <w:lang w:val="en-GB"/>
    </w:rPr>
  </w:style>
  <w:style w:type="character" w:customStyle="1" w:styleId="AutoritetiEmerChar">
    <w:name w:val="Autoriteti_Emer Char"/>
    <w:link w:val="AutoritetiEmer"/>
    <w:locked/>
    <w:rsid w:val="00866E32"/>
    <w:rPr>
      <w:rFonts w:ascii="Garamond" w:eastAsia="MS Mincho" w:hAnsi="Garamond" w:cs="Times New Roman"/>
      <w:b/>
      <w:bCs/>
      <w:sz w:val="24"/>
      <w:lang w:val="en-GB"/>
    </w:rPr>
  </w:style>
  <w:style w:type="paragraph" w:customStyle="1" w:styleId="Hapesira7">
    <w:name w:val="Hapesira 7"/>
    <w:basedOn w:val="Paragrafi"/>
    <w:qFormat/>
    <w:rsid w:val="00866E32"/>
    <w:rPr>
      <w:sz w:val="14"/>
      <w:szCs w:val="24"/>
    </w:rPr>
  </w:style>
  <w:style w:type="paragraph" w:customStyle="1" w:styleId="Titull-Titull">
    <w:name w:val="Titull-Titull"/>
    <w:basedOn w:val="Paragrafi"/>
    <w:qFormat/>
    <w:rsid w:val="00D53227"/>
    <w:pPr>
      <w:ind w:firstLine="0"/>
      <w:jc w:val="center"/>
    </w:pPr>
    <w:rPr>
      <w:caps/>
      <w:szCs w:val="24"/>
    </w:rPr>
  </w:style>
  <w:style w:type="character" w:customStyle="1" w:styleId="FontStyle22">
    <w:name w:val="Font Style22"/>
    <w:rsid w:val="00D53227"/>
    <w:rPr>
      <w:rFonts w:ascii="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3227"/>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866E32"/>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66E32"/>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66E32"/>
    <w:rPr>
      <w:rFonts w:ascii="Garamond" w:eastAsia="MS Mincho" w:hAnsi="Garamond" w:cs="CG Times"/>
      <w:b/>
      <w:bCs/>
      <w:sz w:val="24"/>
      <w:lang w:val="en-GB"/>
    </w:rPr>
  </w:style>
  <w:style w:type="paragraph" w:customStyle="1" w:styleId="Paragrafi">
    <w:name w:val="Paragrafi"/>
    <w:link w:val="ParagrafiChar"/>
    <w:rsid w:val="00866E3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66E32"/>
    <w:rPr>
      <w:rFonts w:ascii="Garamond" w:eastAsia="MS Mincho" w:hAnsi="Garamond" w:cs="CG Times"/>
      <w:sz w:val="24"/>
    </w:rPr>
  </w:style>
  <w:style w:type="paragraph" w:customStyle="1" w:styleId="Titulli">
    <w:name w:val="Titulli"/>
    <w:next w:val="Normal"/>
    <w:link w:val="TitulliChar"/>
    <w:rsid w:val="00866E3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66E32"/>
    <w:rPr>
      <w:rFonts w:ascii="Garamond" w:eastAsia="MS Mincho" w:hAnsi="Garamond" w:cs="CG Times"/>
      <w:b/>
      <w:bCs/>
      <w:caps/>
      <w:sz w:val="24"/>
      <w:lang w:val="en-GB"/>
    </w:rPr>
  </w:style>
  <w:style w:type="character" w:customStyle="1" w:styleId="AktiChar">
    <w:name w:val="Akti Char"/>
    <w:basedOn w:val="DefaultParagraphFont"/>
    <w:link w:val="Akti"/>
    <w:rsid w:val="00866E32"/>
    <w:rPr>
      <w:rFonts w:ascii="Garamond" w:eastAsia="MS Mincho" w:hAnsi="Garamond" w:cs="CG Times"/>
      <w:b/>
      <w:bCs/>
      <w:caps/>
      <w:color w:val="000000"/>
      <w:sz w:val="24"/>
      <w:lang w:val="en-GB"/>
    </w:rPr>
  </w:style>
  <w:style w:type="paragraph" w:customStyle="1" w:styleId="Autoriteti">
    <w:name w:val="Autoriteti"/>
    <w:next w:val="Normal"/>
    <w:link w:val="AutoritetiChar"/>
    <w:rsid w:val="00866E3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66E3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66E32"/>
    <w:rPr>
      <w:rFonts w:ascii="Garamond" w:eastAsia="MS Mincho" w:hAnsi="Garamond" w:cs="CG Times"/>
      <w:caps/>
      <w:sz w:val="24"/>
      <w:lang w:val="en-GB"/>
    </w:rPr>
  </w:style>
  <w:style w:type="character" w:customStyle="1" w:styleId="AutoritetiEmerChar">
    <w:name w:val="Autoriteti_Emer Char"/>
    <w:link w:val="AutoritetiEmer"/>
    <w:locked/>
    <w:rsid w:val="00866E32"/>
    <w:rPr>
      <w:rFonts w:ascii="Garamond" w:eastAsia="MS Mincho" w:hAnsi="Garamond" w:cs="Times New Roman"/>
      <w:b/>
      <w:bCs/>
      <w:sz w:val="24"/>
      <w:lang w:val="en-GB"/>
    </w:rPr>
  </w:style>
  <w:style w:type="paragraph" w:customStyle="1" w:styleId="Hapesira7">
    <w:name w:val="Hapesira 7"/>
    <w:basedOn w:val="Paragrafi"/>
    <w:qFormat/>
    <w:rsid w:val="00866E32"/>
    <w:rPr>
      <w:sz w:val="14"/>
      <w:szCs w:val="24"/>
    </w:rPr>
  </w:style>
  <w:style w:type="paragraph" w:customStyle="1" w:styleId="Titull-Titull">
    <w:name w:val="Titull-Titull"/>
    <w:basedOn w:val="Paragrafi"/>
    <w:qFormat/>
    <w:rsid w:val="00D53227"/>
    <w:pPr>
      <w:ind w:firstLine="0"/>
      <w:jc w:val="center"/>
    </w:pPr>
    <w:rPr>
      <w:caps/>
      <w:szCs w:val="24"/>
    </w:rPr>
  </w:style>
  <w:style w:type="character" w:customStyle="1" w:styleId="FontStyle22">
    <w:name w:val="Font Style22"/>
    <w:rsid w:val="00D53227"/>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953</Words>
  <Characters>5435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8</cp:revision>
  <cp:lastPrinted>2019-02-05T12:38:00Z</cp:lastPrinted>
  <dcterms:created xsi:type="dcterms:W3CDTF">2016-11-25T10:53:00Z</dcterms:created>
  <dcterms:modified xsi:type="dcterms:W3CDTF">2019-02-05T12:38:00Z</dcterms:modified>
</cp:coreProperties>
</file>