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2B0" w:rsidRDefault="00A652B0" w:rsidP="00A652B0">
      <w:pPr>
        <w:pStyle w:val="NeniTitull"/>
        <w:rPr>
          <w:lang w:val="sq-AL"/>
        </w:rPr>
      </w:pPr>
      <w:bookmarkStart w:id="0" w:name="_GoBack"/>
      <w:bookmarkEnd w:id="0"/>
      <w:r>
        <w:rPr>
          <w:lang w:val="sq-AL"/>
        </w:rPr>
        <w:t xml:space="preserve">VENDIM </w:t>
      </w:r>
    </w:p>
    <w:p w:rsidR="00A652B0" w:rsidRDefault="00A652B0" w:rsidP="00A652B0">
      <w:pPr>
        <w:pStyle w:val="NeniTitull"/>
        <w:rPr>
          <w:lang w:val="sq-AL"/>
        </w:rPr>
      </w:pPr>
      <w:r>
        <w:rPr>
          <w:lang w:val="sq-AL"/>
        </w:rPr>
        <w:t>Nr. 880, datë 14.12.2016</w:t>
      </w:r>
    </w:p>
    <w:p w:rsidR="00A652B0" w:rsidRDefault="00A652B0" w:rsidP="00A652B0">
      <w:pPr>
        <w:pStyle w:val="Hapesira7"/>
        <w:rPr>
          <w:lang w:val="sq-AL"/>
        </w:rPr>
      </w:pPr>
    </w:p>
    <w:p w:rsidR="00A652B0" w:rsidRDefault="00A652B0" w:rsidP="00A652B0">
      <w:pPr>
        <w:pStyle w:val="NeniTitull"/>
        <w:rPr>
          <w:lang w:val="sq-AL"/>
        </w:rPr>
      </w:pPr>
      <w:r>
        <w:rPr>
          <w:lang w:val="sq-AL"/>
        </w:rPr>
        <w:t>PËR SHPRONËSIMIN, PËR INTERES PUBLIK, TË PRONARËVE TË PASURIVE TË PALUAJTSHME, PRONË PRIVATE, QË PREKEN NGA REALIZIMI I PROJEKTIT “NDËRTIMI I LINJËS 110 KV ULËZ-SHKOPET-SKURAJ”</w:t>
      </w:r>
    </w:p>
    <w:p w:rsidR="00A652B0" w:rsidRDefault="00A652B0" w:rsidP="00A652B0">
      <w:pPr>
        <w:pStyle w:val="Hapesira7"/>
        <w:rPr>
          <w:lang w:val="sq-AL"/>
        </w:rPr>
      </w:pPr>
    </w:p>
    <w:p w:rsidR="00A652B0" w:rsidRDefault="00A652B0" w:rsidP="00A652B0">
      <w:pPr>
        <w:pStyle w:val="Paragrafi"/>
        <w:rPr>
          <w:lang w:val="sq-AL"/>
        </w:rPr>
      </w:pPr>
      <w:r>
        <w:rPr>
          <w:lang w:val="sq-AL"/>
        </w:rPr>
        <w:t>Në mbështetje të nenit 100 të Kushtetutës dhe të neneve 5, pika 1, 20 dhe 21, të ligjit nr. 8561, datë 22.12.1999, “Për shpronësimet dhe marrjen në përdorim të përkohshëm të pasurisë, pronë private, për interes publik”, me propozimin e ministrit të Energjisë dhe Industrisë, Këshilli i Ministrave</w:t>
      </w:r>
    </w:p>
    <w:p w:rsidR="00A652B0" w:rsidRDefault="00A652B0" w:rsidP="00A652B0">
      <w:pPr>
        <w:pStyle w:val="Hapesira7"/>
        <w:rPr>
          <w:lang w:val="sq-AL"/>
        </w:rPr>
      </w:pPr>
    </w:p>
    <w:p w:rsidR="00A652B0" w:rsidRDefault="00A652B0" w:rsidP="00A652B0">
      <w:pPr>
        <w:pStyle w:val="NeniNr"/>
        <w:rPr>
          <w:lang w:val="sq-AL"/>
        </w:rPr>
      </w:pPr>
      <w:r>
        <w:rPr>
          <w:lang w:val="sq-AL"/>
        </w:rPr>
        <w:t>VENDOSI:</w:t>
      </w:r>
    </w:p>
    <w:p w:rsidR="00A652B0" w:rsidRDefault="00A652B0" w:rsidP="00A652B0">
      <w:pPr>
        <w:pStyle w:val="Hapesira7"/>
        <w:rPr>
          <w:lang w:val="sq-AL"/>
        </w:rPr>
      </w:pPr>
    </w:p>
    <w:p w:rsidR="00A652B0" w:rsidRDefault="00A652B0" w:rsidP="00A652B0">
      <w:pPr>
        <w:pStyle w:val="Paragrafi"/>
        <w:rPr>
          <w:lang w:val="sq-AL"/>
        </w:rPr>
      </w:pPr>
      <w:r>
        <w:rPr>
          <w:lang w:val="sq-AL"/>
        </w:rPr>
        <w:t>1. Shpronësimin, për interes publik, të pronarëve të pasurive të paluajtshme, pronë private, që preken nga realizimi i projektit “Ndërtimi i linjës 110 kV Ulëz-Shkopet-Skuraj”, sipas tabelës që i bashkëlidhet këtij vendimi.</w:t>
      </w:r>
    </w:p>
    <w:p w:rsidR="00A652B0" w:rsidRDefault="00A652B0" w:rsidP="00A652B0">
      <w:pPr>
        <w:pStyle w:val="Paragrafi"/>
        <w:rPr>
          <w:lang w:val="sq-AL"/>
        </w:rPr>
      </w:pPr>
      <w:r>
        <w:rPr>
          <w:lang w:val="sq-AL"/>
        </w:rPr>
        <w:t>2. Shpronësimi të bëhet në favor të Operatorit të Sistemit të Transmetimit (OST) sh.a.</w:t>
      </w:r>
    </w:p>
    <w:p w:rsidR="00A652B0" w:rsidRDefault="00A652B0" w:rsidP="00A652B0">
      <w:pPr>
        <w:pStyle w:val="Paragrafi"/>
        <w:rPr>
          <w:lang w:val="sq-AL"/>
        </w:rPr>
      </w:pPr>
      <w:r>
        <w:rPr>
          <w:lang w:val="sq-AL"/>
        </w:rPr>
        <w:t>3. Pronarët e pasurive të paluajtshme, që shpronësohen, të kompensohen në vlerë të plotë, sipas masës përkatëse që paraqitet në tabelën bashkëlidhur këtij vendimi, për pasuritë “tokë arë”, “pyll” dhe “kullotë”, me sipërfaqe të përgjithshme 406.5 (katërqind e gjashtë pikë pesë) m², me një vlerë totale të shpronësimit prej 73 198 (shtatëdhjetë e tre mijë e njëqind e nëntëdhjetë e tetë) lekësh.</w:t>
      </w:r>
    </w:p>
    <w:p w:rsidR="00A652B0" w:rsidRDefault="00A652B0" w:rsidP="00A652B0">
      <w:pPr>
        <w:pStyle w:val="Paragrafi"/>
        <w:rPr>
          <w:lang w:val="sq-AL"/>
        </w:rPr>
      </w:pPr>
      <w:r>
        <w:rPr>
          <w:lang w:val="sq-AL"/>
        </w:rPr>
        <w:t>4. Vlera totale e shpronësimit prej 73 198 (shtatëdhjetë e tre mijë e njëqind e nëntëdhjetë e tetë) lekësh dhe vlera e shpenzimeve procedurale, të përballohen nga Operatori i Sistemit të Transmetimit (OST) sh.a., si subjekti kërkues i këtij shpronësimi.</w:t>
      </w:r>
    </w:p>
    <w:p w:rsidR="00A652B0" w:rsidRDefault="00A652B0" w:rsidP="00A652B0">
      <w:pPr>
        <w:pStyle w:val="Paragrafi"/>
        <w:rPr>
          <w:lang w:val="sq-AL"/>
        </w:rPr>
      </w:pPr>
      <w:r>
        <w:rPr>
          <w:lang w:val="sq-AL"/>
        </w:rPr>
        <w:t>5. Shpronësimi të fillojë brenda muajit dhjetor 2016.</w:t>
      </w:r>
    </w:p>
    <w:p w:rsidR="00A652B0" w:rsidRDefault="00A652B0" w:rsidP="00A652B0">
      <w:pPr>
        <w:pStyle w:val="Paragrafi"/>
        <w:rPr>
          <w:lang w:val="sq-AL"/>
        </w:rPr>
      </w:pPr>
      <w:r>
        <w:rPr>
          <w:lang w:val="sq-AL"/>
        </w:rPr>
        <w:t>6. Pronarët e listës që i bashkëlidhen këtij vendimi të kompensohen, për efekt shpronësimi, pasi të kenë paraqitur dokumentacionin e plotë të pronësisë, vërtetimin bankar lidhur me numrin e llogarisë dhe IBAN-in, si dhe kopjen e kartës së identitetit, të shoqëruar me një kërkesë pranë Operatorit të Sistemit të Transmetimit (OST) sh.a.</w:t>
      </w:r>
    </w:p>
    <w:p w:rsidR="00A652B0" w:rsidRDefault="00A652B0" w:rsidP="00A652B0">
      <w:pPr>
        <w:pStyle w:val="Paragrafi"/>
        <w:rPr>
          <w:lang w:val="sq-AL"/>
        </w:rPr>
      </w:pPr>
      <w:r>
        <w:rPr>
          <w:lang w:val="sq-AL"/>
        </w:rPr>
        <w:t>7. Ngarkohen Ministria e Energjisë dhe Industrisë, Operatori i Sistemit të Transmetimit (OST) sh.a., zyrat përkatëse vendore të regjistrimit të pasurive të paluajtshme në Qarkun Lezhë për zbatimin e këtij vendimi.</w:t>
      </w:r>
    </w:p>
    <w:p w:rsidR="00A652B0" w:rsidRDefault="00A652B0" w:rsidP="00A652B0">
      <w:pPr>
        <w:pStyle w:val="Paragrafi"/>
        <w:rPr>
          <w:lang w:val="sq-AL"/>
        </w:rPr>
      </w:pPr>
      <w:r>
        <w:rPr>
          <w:lang w:val="sq-AL"/>
        </w:rPr>
        <w:t>Ky vendim hyn në fuqi menjëherë dhe botohet në Fletoren Zyrtare.</w:t>
      </w:r>
    </w:p>
    <w:p w:rsidR="00A652B0" w:rsidRDefault="00A652B0" w:rsidP="00A652B0">
      <w:pPr>
        <w:pStyle w:val="Hapesira7"/>
        <w:rPr>
          <w:lang w:val="sq-AL"/>
        </w:rPr>
      </w:pPr>
    </w:p>
    <w:p w:rsidR="00A652B0" w:rsidRDefault="00A652B0" w:rsidP="00A652B0">
      <w:pPr>
        <w:pStyle w:val="Paragrafi"/>
        <w:jc w:val="right"/>
        <w:rPr>
          <w:lang w:val="sq-AL"/>
        </w:rPr>
      </w:pPr>
      <w:r>
        <w:rPr>
          <w:lang w:val="sq-AL"/>
        </w:rPr>
        <w:t>KRYEMINISTRI</w:t>
      </w:r>
    </w:p>
    <w:p w:rsidR="00A652B0" w:rsidRDefault="00A652B0" w:rsidP="00A652B0">
      <w:pPr>
        <w:pStyle w:val="Paragrafi"/>
        <w:jc w:val="right"/>
        <w:rPr>
          <w:b/>
          <w:lang w:val="sq-AL"/>
        </w:rPr>
      </w:pPr>
      <w:r>
        <w:rPr>
          <w:b/>
          <w:lang w:val="sq-AL"/>
        </w:rPr>
        <w:t>Edi Rama</w:t>
      </w:r>
    </w:p>
    <w:p w:rsidR="00A652B0" w:rsidRDefault="00A652B0" w:rsidP="00A652B0">
      <w:pPr>
        <w:spacing w:after="0" w:line="240" w:lineRule="auto"/>
        <w:ind w:firstLine="0"/>
        <w:jc w:val="left"/>
        <w:rPr>
          <w:rFonts w:ascii="Garamond" w:eastAsia="Times New Roman" w:hAnsi="Garamond"/>
          <w:b/>
          <w:bCs/>
          <w:sz w:val="16"/>
          <w:szCs w:val="16"/>
          <w:lang w:val="sq-AL" w:eastAsia="sq-AL"/>
        </w:rPr>
        <w:sectPr w:rsidR="00A652B0" w:rsidSect="00A652B0">
          <w:pgSz w:w="11907" w:h="16840"/>
          <w:pgMar w:top="720" w:right="1134" w:bottom="720" w:left="1134" w:header="851" w:footer="851" w:gutter="0"/>
          <w:cols w:space="454"/>
        </w:sect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16"/>
          <w:szCs w:val="16"/>
          <w:lang w:val="sq-AL" w:eastAsia="sq-AL"/>
        </w:rPr>
      </w:pPr>
    </w:p>
    <w:p w:rsidR="00A652B0" w:rsidRDefault="00A652B0" w:rsidP="00A652B0">
      <w:pPr>
        <w:spacing w:after="0" w:line="240" w:lineRule="auto"/>
        <w:ind w:firstLine="0"/>
        <w:jc w:val="left"/>
        <w:rPr>
          <w:rFonts w:ascii="Garamond" w:eastAsia="Times New Roman" w:hAnsi="Garamond"/>
          <w:b/>
          <w:bCs/>
          <w:sz w:val="2"/>
          <w:szCs w:val="16"/>
          <w:lang w:val="sq-AL" w:eastAsia="sq-AL"/>
        </w:rPr>
      </w:pPr>
    </w:p>
    <w:p w:rsidR="00A652B0" w:rsidRDefault="00A652B0" w:rsidP="00A652B0">
      <w:pPr>
        <w:spacing w:after="0" w:line="240" w:lineRule="auto"/>
        <w:ind w:firstLine="0"/>
        <w:jc w:val="left"/>
        <w:rPr>
          <w:rFonts w:ascii="Garamond" w:eastAsia="Times New Roman" w:hAnsi="Garamond"/>
          <w:b/>
          <w:bCs/>
          <w:sz w:val="2"/>
          <w:szCs w:val="16"/>
          <w:lang w:val="sq-AL" w:eastAsia="sq-AL"/>
        </w:rPr>
        <w:sectPr w:rsidR="00A652B0" w:rsidSect="00A652B0">
          <w:type w:val="continuous"/>
          <w:pgSz w:w="11907" w:h="16840"/>
          <w:pgMar w:top="720" w:right="1134" w:bottom="720" w:left="1134" w:header="851" w:footer="851" w:gutter="0"/>
          <w:cols w:num="2" w:space="454"/>
        </w:sectPr>
      </w:pPr>
    </w:p>
    <w:tbl>
      <w:tblPr>
        <w:tblW w:w="5000" w:type="pct"/>
        <w:tblLook w:val="04A0" w:firstRow="1" w:lastRow="0" w:firstColumn="1" w:lastColumn="0" w:noHBand="0" w:noVBand="1"/>
      </w:tblPr>
      <w:tblGrid>
        <w:gridCol w:w="389"/>
        <w:gridCol w:w="593"/>
        <w:gridCol w:w="1415"/>
        <w:gridCol w:w="135"/>
        <w:gridCol w:w="449"/>
        <w:gridCol w:w="596"/>
        <w:gridCol w:w="115"/>
        <w:gridCol w:w="732"/>
        <w:gridCol w:w="594"/>
        <w:gridCol w:w="96"/>
        <w:gridCol w:w="561"/>
        <w:gridCol w:w="129"/>
        <w:gridCol w:w="557"/>
        <w:gridCol w:w="878"/>
        <w:gridCol w:w="568"/>
        <w:gridCol w:w="878"/>
        <w:gridCol w:w="891"/>
      </w:tblGrid>
      <w:tr w:rsidR="00A652B0" w:rsidTr="00A373D1">
        <w:trPr>
          <w:trHeight w:val="630"/>
        </w:trPr>
        <w:tc>
          <w:tcPr>
            <w:tcW w:w="5000" w:type="pct"/>
            <w:gridSpan w:val="17"/>
            <w:noWrap/>
            <w:vAlign w:val="bottom"/>
            <w:hideMark/>
          </w:tcPr>
          <w:p w:rsidR="00A652B0" w:rsidRDefault="00A652B0">
            <w:pPr>
              <w:spacing w:after="0" w:line="240" w:lineRule="auto"/>
              <w:ind w:firstLine="0"/>
              <w:jc w:val="left"/>
              <w:rPr>
                <w:rFonts w:ascii="Garamond" w:eastAsia="Times New Roman" w:hAnsi="Garamond"/>
                <w:b/>
                <w:bCs/>
                <w:sz w:val="16"/>
                <w:szCs w:val="16"/>
                <w:lang w:val="sq-AL" w:eastAsia="sq-AL"/>
              </w:rPr>
            </w:pPr>
            <w:r>
              <w:rPr>
                <w:rFonts w:ascii="Garamond" w:eastAsia="Times New Roman" w:hAnsi="Garamond"/>
                <w:b/>
                <w:bCs/>
                <w:sz w:val="16"/>
                <w:szCs w:val="16"/>
                <w:lang w:val="sq-AL" w:eastAsia="sq-AL"/>
              </w:rPr>
              <w:lastRenderedPageBreak/>
              <w:t xml:space="preserve">LISTA E PRONARËVE QË SHPRONËSOHEN PËR EFEKT TË NDËRTIMIT TË LINJËS 110 kV </w:t>
            </w:r>
          </w:p>
          <w:p w:rsidR="00A652B0" w:rsidRDefault="00A652B0">
            <w:pPr>
              <w:spacing w:after="0" w:line="240" w:lineRule="auto"/>
              <w:ind w:firstLine="0"/>
              <w:jc w:val="left"/>
              <w:rPr>
                <w:rFonts w:ascii="Garamond" w:eastAsia="Times New Roman" w:hAnsi="Garamond"/>
                <w:b/>
                <w:bCs/>
                <w:sz w:val="16"/>
                <w:szCs w:val="16"/>
                <w:lang w:val="sq-AL" w:eastAsia="sq-AL"/>
              </w:rPr>
            </w:pPr>
            <w:r>
              <w:rPr>
                <w:rFonts w:ascii="Garamond" w:eastAsia="Times New Roman" w:hAnsi="Garamond"/>
                <w:b/>
                <w:bCs/>
                <w:sz w:val="16"/>
                <w:szCs w:val="16"/>
                <w:lang w:val="sq-AL" w:eastAsia="sq-AL"/>
              </w:rPr>
              <w:t xml:space="preserve">RRASHBULL-GOLEM-KAVAJË </w:t>
            </w:r>
            <w:r>
              <w:rPr>
                <w:rFonts w:ascii="Garamond" w:eastAsia="Times New Roman" w:hAnsi="Garamond"/>
                <w:b/>
                <w:bCs/>
                <w:color w:val="000000"/>
                <w:sz w:val="16"/>
                <w:szCs w:val="16"/>
                <w:lang w:val="sq-AL" w:eastAsia="sq-AL"/>
              </w:rPr>
              <w:t>Ulëz, Shkopet, Skuraj</w:t>
            </w:r>
          </w:p>
          <w:p w:rsidR="00A652B0" w:rsidRDefault="00A652B0">
            <w:pPr>
              <w:spacing w:after="0" w:line="240" w:lineRule="auto"/>
              <w:ind w:firstLine="0"/>
              <w:jc w:val="left"/>
              <w:rPr>
                <w:rFonts w:ascii="Garamond" w:eastAsia="Times New Roman" w:hAnsi="Garamond"/>
                <w:b/>
                <w:bCs/>
                <w:sz w:val="16"/>
                <w:szCs w:val="16"/>
                <w:lang w:val="sq-AL" w:eastAsia="sq-AL"/>
              </w:rPr>
            </w:pPr>
            <w:r>
              <w:rPr>
                <w:rFonts w:ascii="Garamond" w:eastAsia="Times New Roman" w:hAnsi="Garamond"/>
                <w:b/>
                <w:bCs/>
                <w:sz w:val="16"/>
                <w:szCs w:val="16"/>
                <w:lang w:val="sq-AL" w:eastAsia="sq-AL"/>
              </w:rPr>
              <w:t>Lloji i pasurisë së paluajtshme që shpronësohet: Tokë Arë Tokë “arë”, “kullotë”, “pyll”</w:t>
            </w:r>
          </w:p>
        </w:tc>
      </w:tr>
      <w:tr w:rsidR="00A652B0" w:rsidTr="00A373D1">
        <w:trPr>
          <w:trHeight w:val="139"/>
        </w:trPr>
        <w:tc>
          <w:tcPr>
            <w:tcW w:w="193" w:type="pct"/>
            <w:noWrap/>
            <w:vAlign w:val="bottom"/>
            <w:hideMark/>
          </w:tcPr>
          <w:p w:rsidR="00A652B0" w:rsidRDefault="00A652B0">
            <w:pPr>
              <w:spacing w:after="0"/>
              <w:ind w:firstLine="0"/>
              <w:jc w:val="left"/>
              <w:rPr>
                <w:rFonts w:asciiTheme="minorHAnsi" w:eastAsiaTheme="minorHAnsi" w:hAnsiTheme="minorHAnsi" w:cstheme="minorBidi"/>
              </w:rPr>
            </w:pPr>
          </w:p>
        </w:tc>
        <w:tc>
          <w:tcPr>
            <w:tcW w:w="311" w:type="pct"/>
            <w:tcBorders>
              <w:top w:val="nil"/>
              <w:left w:val="nil"/>
              <w:bottom w:val="single" w:sz="4" w:space="0" w:color="auto"/>
              <w:right w:val="nil"/>
            </w:tcBorders>
            <w:noWrap/>
            <w:vAlign w:val="bottom"/>
            <w:hideMark/>
          </w:tcPr>
          <w:p w:rsidR="00A652B0" w:rsidRDefault="00A652B0">
            <w:pPr>
              <w:spacing w:after="0" w:line="240" w:lineRule="auto"/>
              <w:ind w:firstLine="0"/>
              <w:jc w:val="left"/>
              <w:rPr>
                <w:rFonts w:ascii="Garamond" w:eastAsia="Times New Roman" w:hAnsi="Garamond"/>
                <w:b/>
                <w:bCs/>
                <w:sz w:val="12"/>
                <w:szCs w:val="16"/>
                <w:lang w:val="sq-AL" w:eastAsia="sq-AL"/>
              </w:rPr>
            </w:pPr>
            <w:r>
              <w:rPr>
                <w:rFonts w:ascii="Garamond" w:eastAsia="Times New Roman" w:hAnsi="Garamond"/>
                <w:b/>
                <w:bCs/>
                <w:sz w:val="12"/>
                <w:szCs w:val="16"/>
                <w:lang w:val="sq-AL" w:eastAsia="sq-AL"/>
              </w:rPr>
              <w:t> </w:t>
            </w:r>
          </w:p>
        </w:tc>
        <w:tc>
          <w:tcPr>
            <w:tcW w:w="833" w:type="pct"/>
            <w:gridSpan w:val="2"/>
            <w:tcBorders>
              <w:top w:val="nil"/>
              <w:left w:val="nil"/>
              <w:bottom w:val="single" w:sz="4" w:space="0" w:color="auto"/>
              <w:right w:val="nil"/>
            </w:tcBorders>
            <w:noWrap/>
            <w:vAlign w:val="bottom"/>
            <w:hideMark/>
          </w:tcPr>
          <w:p w:rsidR="00A652B0" w:rsidRDefault="00A652B0">
            <w:pPr>
              <w:spacing w:after="0" w:line="240" w:lineRule="auto"/>
              <w:ind w:firstLine="0"/>
              <w:jc w:val="left"/>
              <w:rPr>
                <w:rFonts w:ascii="Garamond" w:eastAsia="Times New Roman" w:hAnsi="Garamond"/>
                <w:b/>
                <w:bCs/>
                <w:sz w:val="12"/>
                <w:szCs w:val="16"/>
                <w:lang w:val="sq-AL" w:eastAsia="sq-AL"/>
              </w:rPr>
            </w:pPr>
            <w:r>
              <w:rPr>
                <w:rFonts w:ascii="Garamond" w:eastAsia="Times New Roman" w:hAnsi="Garamond"/>
                <w:b/>
                <w:bCs/>
                <w:sz w:val="12"/>
                <w:szCs w:val="16"/>
                <w:lang w:val="sq-AL" w:eastAsia="sq-AL"/>
              </w:rPr>
              <w:t> </w:t>
            </w:r>
          </w:p>
        </w:tc>
        <w:tc>
          <w:tcPr>
            <w:tcW w:w="227" w:type="pct"/>
            <w:tcBorders>
              <w:top w:val="nil"/>
              <w:left w:val="nil"/>
              <w:bottom w:val="single" w:sz="4" w:space="0" w:color="auto"/>
              <w:right w:val="nil"/>
            </w:tcBorders>
            <w:noWrap/>
            <w:vAlign w:val="bottom"/>
            <w:hideMark/>
          </w:tcPr>
          <w:p w:rsidR="00A652B0" w:rsidRDefault="00A652B0">
            <w:pPr>
              <w:spacing w:after="0" w:line="240" w:lineRule="auto"/>
              <w:ind w:firstLine="0"/>
              <w:jc w:val="left"/>
              <w:rPr>
                <w:rFonts w:ascii="Garamond" w:eastAsia="Times New Roman" w:hAnsi="Garamond"/>
                <w:b/>
                <w:bCs/>
                <w:sz w:val="12"/>
                <w:szCs w:val="16"/>
                <w:lang w:val="sq-AL" w:eastAsia="sq-AL"/>
              </w:rPr>
            </w:pPr>
            <w:r>
              <w:rPr>
                <w:rFonts w:ascii="Garamond" w:eastAsia="Times New Roman" w:hAnsi="Garamond"/>
                <w:b/>
                <w:bCs/>
                <w:sz w:val="12"/>
                <w:szCs w:val="16"/>
                <w:lang w:val="sq-AL" w:eastAsia="sq-AL"/>
              </w:rPr>
              <w:t> </w:t>
            </w:r>
          </w:p>
        </w:tc>
        <w:tc>
          <w:tcPr>
            <w:tcW w:w="313" w:type="pct"/>
            <w:tcBorders>
              <w:top w:val="nil"/>
              <w:left w:val="nil"/>
              <w:bottom w:val="single" w:sz="4" w:space="0" w:color="auto"/>
              <w:right w:val="nil"/>
            </w:tcBorders>
            <w:noWrap/>
            <w:vAlign w:val="bottom"/>
            <w:hideMark/>
          </w:tcPr>
          <w:p w:rsidR="00A652B0" w:rsidRDefault="00A652B0">
            <w:pPr>
              <w:spacing w:after="0" w:line="240" w:lineRule="auto"/>
              <w:ind w:firstLine="0"/>
              <w:jc w:val="left"/>
              <w:rPr>
                <w:rFonts w:ascii="Garamond" w:eastAsia="Times New Roman" w:hAnsi="Garamond"/>
                <w:b/>
                <w:bCs/>
                <w:sz w:val="12"/>
                <w:szCs w:val="16"/>
                <w:lang w:val="sq-AL" w:eastAsia="sq-AL"/>
              </w:rPr>
            </w:pPr>
            <w:r>
              <w:rPr>
                <w:rFonts w:ascii="Garamond" w:eastAsia="Times New Roman" w:hAnsi="Garamond"/>
                <w:b/>
                <w:bCs/>
                <w:sz w:val="12"/>
                <w:szCs w:val="16"/>
                <w:lang w:val="sq-AL" w:eastAsia="sq-AL"/>
              </w:rPr>
              <w:t> </w:t>
            </w:r>
          </w:p>
        </w:tc>
        <w:tc>
          <w:tcPr>
            <w:tcW w:w="426" w:type="pct"/>
            <w:gridSpan w:val="2"/>
            <w:tcBorders>
              <w:top w:val="nil"/>
              <w:left w:val="nil"/>
              <w:bottom w:val="single" w:sz="4" w:space="0" w:color="auto"/>
              <w:right w:val="nil"/>
            </w:tcBorders>
            <w:noWrap/>
            <w:vAlign w:val="bottom"/>
            <w:hideMark/>
          </w:tcPr>
          <w:p w:rsidR="00A652B0" w:rsidRDefault="00A652B0">
            <w:pPr>
              <w:spacing w:after="0" w:line="240" w:lineRule="auto"/>
              <w:ind w:firstLine="0"/>
              <w:jc w:val="left"/>
              <w:rPr>
                <w:rFonts w:ascii="Garamond" w:eastAsia="Times New Roman" w:hAnsi="Garamond"/>
                <w:b/>
                <w:bCs/>
                <w:sz w:val="12"/>
                <w:szCs w:val="16"/>
                <w:lang w:val="sq-AL" w:eastAsia="sq-AL"/>
              </w:rPr>
            </w:pPr>
            <w:r>
              <w:rPr>
                <w:rFonts w:ascii="Garamond" w:eastAsia="Times New Roman" w:hAnsi="Garamond"/>
                <w:b/>
                <w:bCs/>
                <w:sz w:val="12"/>
                <w:szCs w:val="16"/>
                <w:lang w:val="sq-AL" w:eastAsia="sq-AL"/>
              </w:rPr>
              <w:t> </w:t>
            </w:r>
          </w:p>
        </w:tc>
        <w:tc>
          <w:tcPr>
            <w:tcW w:w="312" w:type="pct"/>
            <w:tcBorders>
              <w:top w:val="nil"/>
              <w:left w:val="nil"/>
              <w:bottom w:val="single" w:sz="4" w:space="0" w:color="auto"/>
              <w:right w:val="nil"/>
            </w:tcBorders>
            <w:noWrap/>
            <w:vAlign w:val="bottom"/>
            <w:hideMark/>
          </w:tcPr>
          <w:p w:rsidR="00A652B0" w:rsidRDefault="00A652B0">
            <w:pPr>
              <w:spacing w:after="0" w:line="240" w:lineRule="auto"/>
              <w:ind w:firstLine="0"/>
              <w:jc w:val="right"/>
              <w:rPr>
                <w:rFonts w:ascii="Garamond" w:eastAsia="Times New Roman" w:hAnsi="Garamond"/>
                <w:b/>
                <w:bCs/>
                <w:sz w:val="12"/>
                <w:szCs w:val="16"/>
                <w:lang w:val="sq-AL" w:eastAsia="sq-AL"/>
              </w:rPr>
            </w:pPr>
            <w:r>
              <w:rPr>
                <w:rFonts w:ascii="Garamond" w:eastAsia="Times New Roman" w:hAnsi="Garamond"/>
                <w:b/>
                <w:bCs/>
                <w:sz w:val="12"/>
                <w:szCs w:val="16"/>
                <w:lang w:val="sq-AL" w:eastAsia="sq-AL"/>
              </w:rPr>
              <w:t> </w:t>
            </w:r>
          </w:p>
        </w:tc>
        <w:tc>
          <w:tcPr>
            <w:tcW w:w="317" w:type="pct"/>
            <w:gridSpan w:val="2"/>
            <w:noWrap/>
            <w:vAlign w:val="bottom"/>
            <w:hideMark/>
          </w:tcPr>
          <w:p w:rsidR="00A652B0" w:rsidRDefault="00A652B0">
            <w:pPr>
              <w:spacing w:after="0"/>
              <w:ind w:firstLine="0"/>
              <w:jc w:val="left"/>
              <w:rPr>
                <w:rFonts w:asciiTheme="minorHAnsi" w:eastAsiaTheme="minorHAnsi" w:hAnsiTheme="minorHAnsi" w:cstheme="minorBidi"/>
              </w:rPr>
            </w:pPr>
          </w:p>
        </w:tc>
        <w:tc>
          <w:tcPr>
            <w:tcW w:w="333" w:type="pct"/>
            <w:gridSpan w:val="2"/>
            <w:noWrap/>
            <w:vAlign w:val="bottom"/>
            <w:hideMark/>
          </w:tcPr>
          <w:p w:rsidR="00A652B0" w:rsidRDefault="00A652B0">
            <w:pPr>
              <w:spacing w:after="0"/>
              <w:ind w:firstLine="0"/>
              <w:jc w:val="left"/>
              <w:rPr>
                <w:rFonts w:asciiTheme="minorHAnsi" w:eastAsiaTheme="minorHAnsi" w:hAnsiTheme="minorHAnsi" w:cstheme="minorBidi"/>
              </w:rPr>
            </w:pPr>
          </w:p>
        </w:tc>
        <w:tc>
          <w:tcPr>
            <w:tcW w:w="476" w:type="pct"/>
            <w:noWrap/>
            <w:vAlign w:val="bottom"/>
            <w:hideMark/>
          </w:tcPr>
          <w:p w:rsidR="00A652B0" w:rsidRDefault="00A652B0">
            <w:pPr>
              <w:spacing w:after="0"/>
              <w:ind w:firstLine="0"/>
              <w:jc w:val="left"/>
              <w:rPr>
                <w:rFonts w:asciiTheme="minorHAnsi" w:eastAsiaTheme="minorHAnsi" w:hAnsiTheme="minorHAnsi" w:cstheme="minorBidi"/>
              </w:rPr>
            </w:pPr>
          </w:p>
        </w:tc>
        <w:tc>
          <w:tcPr>
            <w:tcW w:w="297" w:type="pct"/>
            <w:noWrap/>
            <w:vAlign w:val="bottom"/>
            <w:hideMark/>
          </w:tcPr>
          <w:p w:rsidR="00A652B0" w:rsidRDefault="00A652B0">
            <w:pPr>
              <w:spacing w:after="0"/>
              <w:ind w:firstLine="0"/>
              <w:jc w:val="left"/>
              <w:rPr>
                <w:rFonts w:asciiTheme="minorHAnsi" w:eastAsiaTheme="minorHAnsi" w:hAnsiTheme="minorHAnsi" w:cstheme="minorBidi"/>
              </w:rPr>
            </w:pPr>
          </w:p>
        </w:tc>
        <w:tc>
          <w:tcPr>
            <w:tcW w:w="476" w:type="pct"/>
            <w:noWrap/>
            <w:vAlign w:val="bottom"/>
            <w:hideMark/>
          </w:tcPr>
          <w:p w:rsidR="00A652B0" w:rsidRDefault="00A652B0">
            <w:pPr>
              <w:spacing w:after="0"/>
              <w:ind w:firstLine="0"/>
              <w:jc w:val="left"/>
              <w:rPr>
                <w:rFonts w:asciiTheme="minorHAnsi" w:eastAsiaTheme="minorHAnsi" w:hAnsiTheme="minorHAnsi" w:cstheme="minorBidi"/>
              </w:rPr>
            </w:pPr>
          </w:p>
        </w:tc>
        <w:tc>
          <w:tcPr>
            <w:tcW w:w="484" w:type="pct"/>
            <w:noWrap/>
            <w:vAlign w:val="bottom"/>
            <w:hideMark/>
          </w:tcPr>
          <w:p w:rsidR="00A652B0" w:rsidRDefault="00A652B0">
            <w:pPr>
              <w:spacing w:after="0"/>
              <w:ind w:firstLine="0"/>
              <w:jc w:val="left"/>
              <w:rPr>
                <w:rFonts w:asciiTheme="minorHAnsi" w:eastAsiaTheme="minorHAnsi" w:hAnsiTheme="minorHAnsi" w:cstheme="minorBidi"/>
              </w:rPr>
            </w:pPr>
          </w:p>
        </w:tc>
      </w:tr>
      <w:tr w:rsidR="00A652B0" w:rsidTr="00A373D1">
        <w:trPr>
          <w:trHeight w:val="139"/>
        </w:trPr>
        <w:tc>
          <w:tcPr>
            <w:tcW w:w="193" w:type="pct"/>
            <w:vMerge w:val="restart"/>
            <w:tcBorders>
              <w:top w:val="single" w:sz="4" w:space="0" w:color="auto"/>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sz w:val="16"/>
                <w:szCs w:val="16"/>
                <w:lang w:val="sq-AL" w:eastAsia="sq-AL"/>
              </w:rPr>
              <w:t>Nr.</w:t>
            </w:r>
          </w:p>
        </w:tc>
        <w:tc>
          <w:tcPr>
            <w:tcW w:w="311" w:type="pct"/>
            <w:vMerge w:val="restart"/>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sz w:val="16"/>
                <w:szCs w:val="16"/>
                <w:lang w:val="sq-AL" w:eastAsia="sq-AL"/>
              </w:rPr>
              <w:t>Numri i shtyllës</w:t>
            </w:r>
          </w:p>
        </w:tc>
        <w:tc>
          <w:tcPr>
            <w:tcW w:w="2763" w:type="pct"/>
            <w:gridSpan w:val="11"/>
            <w:tcBorders>
              <w:top w:val="single" w:sz="4" w:space="0" w:color="auto"/>
              <w:left w:val="nil"/>
              <w:bottom w:val="single" w:sz="4" w:space="0" w:color="auto"/>
              <w:right w:val="single" w:sz="4" w:space="0" w:color="000000"/>
            </w:tcBorders>
            <w:noWrap/>
            <w:vAlign w:val="center"/>
            <w:hideMark/>
          </w:tcPr>
          <w:p w:rsidR="00A652B0" w:rsidRDefault="00A652B0">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sz w:val="16"/>
                <w:szCs w:val="16"/>
                <w:lang w:val="sq-AL" w:eastAsia="sq-AL"/>
              </w:rPr>
              <w:t>Të dhëna për pronësinë</w:t>
            </w:r>
          </w:p>
        </w:tc>
        <w:tc>
          <w:tcPr>
            <w:tcW w:w="476" w:type="pct"/>
            <w:vMerge w:val="restart"/>
            <w:tcBorders>
              <w:top w:val="single" w:sz="4" w:space="0" w:color="auto"/>
              <w:left w:val="single" w:sz="4" w:space="0" w:color="auto"/>
              <w:bottom w:val="nil"/>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Sip. e shpronësimit m</w:t>
            </w:r>
            <w:r>
              <w:rPr>
                <w:rFonts w:ascii="Garamond" w:eastAsia="Times New Roman" w:hAnsi="Garamond"/>
                <w:b/>
                <w:bCs/>
                <w:color w:val="000000"/>
                <w:sz w:val="16"/>
                <w:szCs w:val="16"/>
                <w:vertAlign w:val="superscript"/>
                <w:lang w:val="sq-AL" w:eastAsia="sq-AL"/>
              </w:rPr>
              <w:t>2</w:t>
            </w:r>
          </w:p>
        </w:tc>
        <w:tc>
          <w:tcPr>
            <w:tcW w:w="297" w:type="pct"/>
            <w:vMerge w:val="restart"/>
            <w:tcBorders>
              <w:top w:val="single" w:sz="4" w:space="0" w:color="auto"/>
              <w:left w:val="single" w:sz="4" w:space="0" w:color="auto"/>
              <w:bottom w:val="single" w:sz="4" w:space="0" w:color="000000"/>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Cmimi i tokës lek/m</w:t>
            </w:r>
            <w:r>
              <w:rPr>
                <w:rFonts w:ascii="Garamond" w:eastAsia="Times New Roman" w:hAnsi="Garamond"/>
                <w:b/>
                <w:bCs/>
                <w:color w:val="000000"/>
                <w:sz w:val="16"/>
                <w:szCs w:val="16"/>
                <w:vertAlign w:val="superscript"/>
                <w:lang w:val="sq-AL" w:eastAsia="sq-AL"/>
              </w:rPr>
              <w:t>2</w:t>
            </w:r>
          </w:p>
        </w:tc>
        <w:tc>
          <w:tcPr>
            <w:tcW w:w="476" w:type="pct"/>
            <w:vMerge w:val="restart"/>
            <w:tcBorders>
              <w:top w:val="single" w:sz="4" w:space="0" w:color="auto"/>
              <w:left w:val="single" w:sz="4" w:space="0" w:color="auto"/>
              <w:bottom w:val="single" w:sz="4" w:space="0" w:color="000000"/>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 xml:space="preserve">Vlera e shpronësimit në lekë </w:t>
            </w:r>
          </w:p>
        </w:tc>
        <w:tc>
          <w:tcPr>
            <w:tcW w:w="484" w:type="pct"/>
            <w:vMerge w:val="restart"/>
            <w:tcBorders>
              <w:top w:val="single" w:sz="4" w:space="0" w:color="auto"/>
              <w:left w:val="single" w:sz="4" w:space="0" w:color="auto"/>
              <w:bottom w:val="single" w:sz="4" w:space="0" w:color="000000"/>
              <w:right w:val="single" w:sz="4" w:space="0" w:color="auto"/>
            </w:tcBorders>
            <w:noWrap/>
            <w:vAlign w:val="center"/>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Shënime</w:t>
            </w:r>
          </w:p>
        </w:tc>
      </w:tr>
      <w:tr w:rsidR="00A652B0" w:rsidTr="00A373D1">
        <w:trPr>
          <w:trHeight w:val="210"/>
        </w:trPr>
        <w:tc>
          <w:tcPr>
            <w:tcW w:w="193" w:type="pct"/>
            <w:vMerge/>
            <w:tcBorders>
              <w:top w:val="single" w:sz="4" w:space="0" w:color="auto"/>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311" w:type="pct"/>
            <w:vMerge/>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787" w:type="pct"/>
            <w:vMerge w:val="restart"/>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sz w:val="16"/>
                <w:szCs w:val="16"/>
                <w:lang w:val="sq-AL" w:eastAsia="sq-AL"/>
              </w:rPr>
              <w:t>Emri</w:t>
            </w:r>
          </w:p>
        </w:tc>
        <w:tc>
          <w:tcPr>
            <w:tcW w:w="274" w:type="pct"/>
            <w:gridSpan w:val="2"/>
            <w:vMerge w:val="restart"/>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sz w:val="16"/>
                <w:szCs w:val="16"/>
                <w:lang w:val="sq-AL" w:eastAsia="sq-AL"/>
              </w:rPr>
              <w:t>Atësia</w:t>
            </w:r>
          </w:p>
        </w:tc>
        <w:tc>
          <w:tcPr>
            <w:tcW w:w="348" w:type="pct"/>
            <w:gridSpan w:val="2"/>
            <w:vMerge w:val="restart"/>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sz w:val="16"/>
                <w:szCs w:val="16"/>
                <w:lang w:val="sq-AL" w:eastAsia="sq-AL"/>
              </w:rPr>
              <w:t>Mbiemri</w:t>
            </w:r>
          </w:p>
        </w:tc>
        <w:tc>
          <w:tcPr>
            <w:tcW w:w="392" w:type="pct"/>
            <w:vMerge w:val="restart"/>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sz w:val="16"/>
                <w:szCs w:val="16"/>
                <w:lang w:val="sq-AL" w:eastAsia="sq-AL"/>
              </w:rPr>
              <w:t>Zona kadastrale</w:t>
            </w:r>
          </w:p>
        </w:tc>
        <w:tc>
          <w:tcPr>
            <w:tcW w:w="336" w:type="pct"/>
            <w:gridSpan w:val="2"/>
            <w:vMerge w:val="restart"/>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sz w:val="16"/>
                <w:szCs w:val="16"/>
                <w:lang w:val="sq-AL" w:eastAsia="sq-AL"/>
              </w:rPr>
              <w:t>Nr. pasurisë</w:t>
            </w:r>
          </w:p>
        </w:tc>
        <w:tc>
          <w:tcPr>
            <w:tcW w:w="336" w:type="pct"/>
            <w:gridSpan w:val="2"/>
            <w:vMerge w:val="restart"/>
            <w:tcBorders>
              <w:top w:val="nil"/>
              <w:left w:val="single" w:sz="4" w:space="0" w:color="auto"/>
              <w:bottom w:val="single" w:sz="8" w:space="0" w:color="000000"/>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sz w:val="16"/>
                <w:szCs w:val="16"/>
                <w:lang w:val="sq-AL" w:eastAsia="sq-AL"/>
              </w:rPr>
            </w:pPr>
            <w:r>
              <w:rPr>
                <w:rFonts w:ascii="Garamond" w:eastAsia="Times New Roman" w:hAnsi="Garamond"/>
                <w:b/>
                <w:bCs/>
                <w:sz w:val="16"/>
                <w:szCs w:val="16"/>
                <w:lang w:val="sq-AL" w:eastAsia="sq-AL"/>
              </w:rPr>
              <w:t>Lloji i pasurisë</w:t>
            </w:r>
          </w:p>
        </w:tc>
        <w:tc>
          <w:tcPr>
            <w:tcW w:w="290" w:type="pct"/>
            <w:vMerge w:val="restart"/>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Sasia Sip pronës m</w:t>
            </w:r>
            <w:r>
              <w:rPr>
                <w:rFonts w:ascii="Garamond" w:eastAsia="Times New Roman" w:hAnsi="Garamond"/>
                <w:b/>
                <w:bCs/>
                <w:color w:val="000000"/>
                <w:sz w:val="16"/>
                <w:szCs w:val="16"/>
                <w:vertAlign w:val="superscript"/>
                <w:lang w:val="sq-AL" w:eastAsia="sq-AL"/>
              </w:rPr>
              <w:t>2</w:t>
            </w:r>
          </w:p>
        </w:tc>
        <w:tc>
          <w:tcPr>
            <w:tcW w:w="476" w:type="pct"/>
            <w:vMerge/>
            <w:tcBorders>
              <w:top w:val="single" w:sz="4" w:space="0" w:color="auto"/>
              <w:left w:val="single" w:sz="4" w:space="0" w:color="auto"/>
              <w:bottom w:val="nil"/>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color w:val="000000"/>
                <w:sz w:val="16"/>
                <w:szCs w:val="16"/>
                <w:lang w:val="sq-AL" w:eastAsia="sq-AL"/>
              </w:rPr>
            </w:pPr>
          </w:p>
        </w:tc>
        <w:tc>
          <w:tcPr>
            <w:tcW w:w="297" w:type="pct"/>
            <w:vMerge/>
            <w:tcBorders>
              <w:top w:val="single" w:sz="4" w:space="0" w:color="auto"/>
              <w:left w:val="single" w:sz="4" w:space="0" w:color="auto"/>
              <w:bottom w:val="single" w:sz="4" w:space="0" w:color="000000"/>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color w:val="000000"/>
                <w:sz w:val="16"/>
                <w:szCs w:val="16"/>
                <w:lang w:val="sq-AL" w:eastAsia="sq-AL"/>
              </w:rPr>
            </w:pPr>
          </w:p>
        </w:tc>
        <w:tc>
          <w:tcPr>
            <w:tcW w:w="476" w:type="pct"/>
            <w:vMerge/>
            <w:tcBorders>
              <w:top w:val="single" w:sz="4" w:space="0" w:color="auto"/>
              <w:left w:val="single" w:sz="4" w:space="0" w:color="auto"/>
              <w:bottom w:val="single" w:sz="4" w:space="0" w:color="000000"/>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color w:val="000000"/>
                <w:sz w:val="16"/>
                <w:szCs w:val="16"/>
                <w:lang w:val="sq-AL" w:eastAsia="sq-AL"/>
              </w:rPr>
            </w:pPr>
          </w:p>
        </w:tc>
        <w:tc>
          <w:tcPr>
            <w:tcW w:w="484" w:type="pct"/>
            <w:vMerge/>
            <w:tcBorders>
              <w:top w:val="single" w:sz="4" w:space="0" w:color="auto"/>
              <w:left w:val="single" w:sz="4" w:space="0" w:color="auto"/>
              <w:bottom w:val="single" w:sz="4" w:space="0" w:color="000000"/>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color w:val="000000"/>
                <w:sz w:val="16"/>
                <w:szCs w:val="16"/>
                <w:lang w:val="sq-AL" w:eastAsia="sq-AL"/>
              </w:rPr>
            </w:pPr>
          </w:p>
        </w:tc>
      </w:tr>
      <w:tr w:rsidR="00A652B0" w:rsidTr="00A373D1">
        <w:trPr>
          <w:trHeight w:val="225"/>
        </w:trPr>
        <w:tc>
          <w:tcPr>
            <w:tcW w:w="193" w:type="pct"/>
            <w:vMerge/>
            <w:tcBorders>
              <w:top w:val="single" w:sz="4" w:space="0" w:color="auto"/>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311" w:type="pct"/>
            <w:vMerge/>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787" w:type="pct"/>
            <w:vMerge/>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274" w:type="pct"/>
            <w:gridSpan w:val="2"/>
            <w:vMerge/>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348" w:type="pct"/>
            <w:gridSpan w:val="2"/>
            <w:vMerge/>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392" w:type="pct"/>
            <w:vMerge/>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336" w:type="pct"/>
            <w:gridSpan w:val="2"/>
            <w:vMerge/>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336" w:type="pct"/>
            <w:gridSpan w:val="2"/>
            <w:vMerge/>
            <w:tcBorders>
              <w:top w:val="nil"/>
              <w:left w:val="single" w:sz="4" w:space="0" w:color="auto"/>
              <w:bottom w:val="single" w:sz="8" w:space="0" w:color="000000"/>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sz w:val="16"/>
                <w:szCs w:val="16"/>
                <w:lang w:val="sq-AL" w:eastAsia="sq-AL"/>
              </w:rPr>
            </w:pPr>
          </w:p>
        </w:tc>
        <w:tc>
          <w:tcPr>
            <w:tcW w:w="290" w:type="pct"/>
            <w:vMerge/>
            <w:tcBorders>
              <w:top w:val="nil"/>
              <w:left w:val="single" w:sz="4" w:space="0" w:color="auto"/>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color w:val="000000"/>
                <w:sz w:val="16"/>
                <w:szCs w:val="16"/>
                <w:lang w:val="sq-AL" w:eastAsia="sq-AL"/>
              </w:rPr>
            </w:pPr>
          </w:p>
        </w:tc>
        <w:tc>
          <w:tcPr>
            <w:tcW w:w="476" w:type="pct"/>
            <w:vMerge/>
            <w:tcBorders>
              <w:top w:val="single" w:sz="4" w:space="0" w:color="auto"/>
              <w:left w:val="single" w:sz="4" w:space="0" w:color="auto"/>
              <w:bottom w:val="nil"/>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color w:val="000000"/>
                <w:sz w:val="16"/>
                <w:szCs w:val="16"/>
                <w:lang w:val="sq-AL" w:eastAsia="sq-AL"/>
              </w:rPr>
            </w:pPr>
          </w:p>
        </w:tc>
        <w:tc>
          <w:tcPr>
            <w:tcW w:w="297" w:type="pct"/>
            <w:vMerge/>
            <w:tcBorders>
              <w:top w:val="single" w:sz="4" w:space="0" w:color="auto"/>
              <w:left w:val="single" w:sz="4" w:space="0" w:color="auto"/>
              <w:bottom w:val="single" w:sz="4" w:space="0" w:color="000000"/>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color w:val="000000"/>
                <w:sz w:val="16"/>
                <w:szCs w:val="16"/>
                <w:lang w:val="sq-AL" w:eastAsia="sq-AL"/>
              </w:rPr>
            </w:pPr>
          </w:p>
        </w:tc>
        <w:tc>
          <w:tcPr>
            <w:tcW w:w="476" w:type="pct"/>
            <w:vMerge/>
            <w:tcBorders>
              <w:top w:val="single" w:sz="4" w:space="0" w:color="auto"/>
              <w:left w:val="single" w:sz="4" w:space="0" w:color="auto"/>
              <w:bottom w:val="single" w:sz="4" w:space="0" w:color="000000"/>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color w:val="000000"/>
                <w:sz w:val="16"/>
                <w:szCs w:val="16"/>
                <w:lang w:val="sq-AL" w:eastAsia="sq-AL"/>
              </w:rPr>
            </w:pPr>
          </w:p>
        </w:tc>
        <w:tc>
          <w:tcPr>
            <w:tcW w:w="484" w:type="pct"/>
            <w:vMerge/>
            <w:tcBorders>
              <w:top w:val="single" w:sz="4" w:space="0" w:color="auto"/>
              <w:left w:val="single" w:sz="4" w:space="0" w:color="auto"/>
              <w:bottom w:val="single" w:sz="4" w:space="0" w:color="000000"/>
              <w:right w:val="single" w:sz="4" w:space="0" w:color="auto"/>
            </w:tcBorders>
            <w:vAlign w:val="center"/>
            <w:hideMark/>
          </w:tcPr>
          <w:p w:rsidR="00A652B0" w:rsidRDefault="00A652B0">
            <w:pPr>
              <w:spacing w:after="0" w:line="240" w:lineRule="auto"/>
              <w:ind w:firstLine="0"/>
              <w:jc w:val="left"/>
              <w:rPr>
                <w:rFonts w:ascii="Garamond" w:eastAsia="Times New Roman" w:hAnsi="Garamond"/>
                <w:b/>
                <w:bCs/>
                <w:color w:val="000000"/>
                <w:sz w:val="16"/>
                <w:szCs w:val="16"/>
                <w:lang w:val="sq-AL" w:eastAsia="sq-AL"/>
              </w:rPr>
            </w:pPr>
          </w:p>
        </w:tc>
      </w:tr>
      <w:tr w:rsidR="00A652B0" w:rsidTr="00A373D1">
        <w:trPr>
          <w:trHeight w:val="139"/>
        </w:trPr>
        <w:tc>
          <w:tcPr>
            <w:tcW w:w="505" w:type="pct"/>
            <w:gridSpan w:val="2"/>
            <w:tcBorders>
              <w:top w:val="single" w:sz="8" w:space="0" w:color="auto"/>
              <w:left w:val="single" w:sz="8" w:space="0" w:color="auto"/>
              <w:bottom w:val="single" w:sz="8" w:space="0" w:color="auto"/>
              <w:right w:val="single" w:sz="4" w:space="0" w:color="auto"/>
            </w:tcBorders>
            <w:shd w:val="clear" w:color="auto" w:fill="FFC000"/>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Qarku Lezhë</w:t>
            </w:r>
          </w:p>
        </w:tc>
        <w:tc>
          <w:tcPr>
            <w:tcW w:w="787" w:type="pct"/>
            <w:tcBorders>
              <w:top w:val="single" w:sz="8" w:space="0" w:color="auto"/>
              <w:left w:val="nil"/>
              <w:bottom w:val="single" w:sz="8"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274" w:type="pct"/>
            <w:gridSpan w:val="2"/>
            <w:tcBorders>
              <w:top w:val="single" w:sz="8" w:space="0" w:color="auto"/>
              <w:left w:val="nil"/>
              <w:bottom w:val="single" w:sz="8"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48" w:type="pct"/>
            <w:gridSpan w:val="2"/>
            <w:tcBorders>
              <w:top w:val="single" w:sz="8" w:space="0" w:color="auto"/>
              <w:left w:val="nil"/>
              <w:bottom w:val="single" w:sz="8"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92" w:type="pct"/>
            <w:tcBorders>
              <w:top w:val="single" w:sz="8" w:space="0" w:color="auto"/>
              <w:left w:val="nil"/>
              <w:bottom w:val="single" w:sz="8"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 </w:t>
            </w:r>
          </w:p>
        </w:tc>
        <w:tc>
          <w:tcPr>
            <w:tcW w:w="336" w:type="pct"/>
            <w:gridSpan w:val="2"/>
            <w:tcBorders>
              <w:top w:val="single" w:sz="8" w:space="0" w:color="auto"/>
              <w:left w:val="nil"/>
              <w:bottom w:val="single" w:sz="8"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336" w:type="pct"/>
            <w:gridSpan w:val="2"/>
            <w:tcBorders>
              <w:top w:val="nil"/>
              <w:left w:val="nil"/>
              <w:bottom w:val="single" w:sz="8" w:space="0" w:color="auto"/>
              <w:right w:val="single" w:sz="4" w:space="0" w:color="auto"/>
            </w:tcBorders>
            <w:noWrap/>
            <w:vAlign w:val="bottom"/>
            <w:hideMark/>
          </w:tcPr>
          <w:p w:rsidR="00A652B0" w:rsidRDefault="00A652B0">
            <w:pPr>
              <w:spacing w:after="0"/>
              <w:ind w:firstLine="0"/>
              <w:jc w:val="left"/>
              <w:rPr>
                <w:rFonts w:asciiTheme="minorHAnsi" w:eastAsiaTheme="minorHAnsi" w:hAnsiTheme="minorHAnsi" w:cstheme="minorBidi"/>
              </w:rPr>
            </w:pPr>
          </w:p>
        </w:tc>
        <w:tc>
          <w:tcPr>
            <w:tcW w:w="290" w:type="pct"/>
            <w:tcBorders>
              <w:top w:val="single" w:sz="8" w:space="0" w:color="auto"/>
              <w:left w:val="nil"/>
              <w:bottom w:val="single" w:sz="8"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476" w:type="pct"/>
            <w:tcBorders>
              <w:top w:val="single" w:sz="4" w:space="0" w:color="auto"/>
              <w:left w:val="nil"/>
              <w:bottom w:val="single" w:sz="4" w:space="0" w:color="auto"/>
              <w:right w:val="single" w:sz="4" w:space="0" w:color="auto"/>
            </w:tcBorders>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297" w:type="pct"/>
            <w:tcBorders>
              <w:top w:val="single" w:sz="8" w:space="0" w:color="auto"/>
              <w:left w:val="nil"/>
              <w:bottom w:val="single" w:sz="8"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476" w:type="pct"/>
            <w:tcBorders>
              <w:top w:val="single" w:sz="8" w:space="0" w:color="auto"/>
              <w:left w:val="nil"/>
              <w:bottom w:val="single" w:sz="8"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484" w:type="pct"/>
            <w:tcBorders>
              <w:top w:val="single" w:sz="8" w:space="0" w:color="auto"/>
              <w:left w:val="nil"/>
              <w:bottom w:val="single" w:sz="8"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r>
      <w:tr w:rsidR="00A652B0" w:rsidTr="00A373D1">
        <w:trPr>
          <w:trHeight w:val="139"/>
        </w:trPr>
        <w:tc>
          <w:tcPr>
            <w:tcW w:w="505" w:type="pct"/>
            <w:gridSpan w:val="2"/>
            <w:tcBorders>
              <w:top w:val="nil"/>
              <w:left w:val="single" w:sz="8" w:space="0" w:color="auto"/>
              <w:bottom w:val="nil"/>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 </w:t>
            </w:r>
          </w:p>
        </w:tc>
        <w:tc>
          <w:tcPr>
            <w:tcW w:w="787" w:type="pct"/>
            <w:tcBorders>
              <w:top w:val="nil"/>
              <w:left w:val="nil"/>
              <w:bottom w:val="nil"/>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274" w:type="pct"/>
            <w:gridSpan w:val="2"/>
            <w:tcBorders>
              <w:top w:val="nil"/>
              <w:left w:val="nil"/>
              <w:bottom w:val="nil"/>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48" w:type="pct"/>
            <w:gridSpan w:val="2"/>
            <w:tcBorders>
              <w:top w:val="nil"/>
              <w:left w:val="nil"/>
              <w:bottom w:val="nil"/>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92" w:type="pct"/>
            <w:tcBorders>
              <w:top w:val="nil"/>
              <w:left w:val="nil"/>
              <w:bottom w:val="nil"/>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3391</w:t>
            </w:r>
          </w:p>
        </w:tc>
        <w:tc>
          <w:tcPr>
            <w:tcW w:w="336" w:type="pct"/>
            <w:gridSpan w:val="2"/>
            <w:tcBorders>
              <w:top w:val="nil"/>
              <w:left w:val="nil"/>
              <w:bottom w:val="nil"/>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336" w:type="pct"/>
            <w:gridSpan w:val="2"/>
            <w:tcBorders>
              <w:top w:val="nil"/>
              <w:left w:val="nil"/>
              <w:bottom w:val="nil"/>
              <w:right w:val="single" w:sz="4" w:space="0" w:color="auto"/>
            </w:tcBorders>
            <w:noWrap/>
            <w:vAlign w:val="center"/>
            <w:hideMark/>
          </w:tcPr>
          <w:p w:rsidR="00A652B0" w:rsidRDefault="00A652B0">
            <w:pPr>
              <w:spacing w:after="0"/>
              <w:ind w:firstLine="0"/>
              <w:jc w:val="left"/>
              <w:rPr>
                <w:rFonts w:asciiTheme="minorHAnsi" w:eastAsiaTheme="minorHAnsi" w:hAnsiTheme="minorHAnsi" w:cstheme="minorBidi"/>
              </w:rPr>
            </w:pPr>
          </w:p>
        </w:tc>
        <w:tc>
          <w:tcPr>
            <w:tcW w:w="290" w:type="pct"/>
            <w:tcBorders>
              <w:top w:val="nil"/>
              <w:left w:val="nil"/>
              <w:bottom w:val="nil"/>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297" w:type="pct"/>
            <w:tcBorders>
              <w:top w:val="nil"/>
              <w:left w:val="nil"/>
              <w:bottom w:val="nil"/>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476" w:type="pct"/>
            <w:tcBorders>
              <w:top w:val="nil"/>
              <w:left w:val="nil"/>
              <w:bottom w:val="nil"/>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c>
          <w:tcPr>
            <w:tcW w:w="484" w:type="pct"/>
            <w:tcBorders>
              <w:top w:val="nil"/>
              <w:left w:val="nil"/>
              <w:bottom w:val="nil"/>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r>
      <w:tr w:rsidR="00A652B0" w:rsidTr="00A373D1">
        <w:trPr>
          <w:trHeight w:val="139"/>
        </w:trPr>
        <w:tc>
          <w:tcPr>
            <w:tcW w:w="193" w:type="pct"/>
            <w:tcBorders>
              <w:top w:val="single" w:sz="4" w:space="0" w:color="auto"/>
              <w:left w:val="single" w:sz="4" w:space="0" w:color="auto"/>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1</w:t>
            </w:r>
          </w:p>
        </w:tc>
        <w:tc>
          <w:tcPr>
            <w:tcW w:w="311" w:type="pct"/>
            <w:tcBorders>
              <w:top w:val="single" w:sz="4" w:space="0" w:color="auto"/>
              <w:left w:val="nil"/>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19</w:t>
            </w:r>
          </w:p>
        </w:tc>
        <w:tc>
          <w:tcPr>
            <w:tcW w:w="787" w:type="pct"/>
            <w:tcBorders>
              <w:top w:val="single" w:sz="4" w:space="0" w:color="auto"/>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Preng</w:t>
            </w:r>
          </w:p>
        </w:tc>
        <w:tc>
          <w:tcPr>
            <w:tcW w:w="274" w:type="pct"/>
            <w:gridSpan w:val="2"/>
            <w:tcBorders>
              <w:top w:val="single" w:sz="4" w:space="0" w:color="auto"/>
              <w:left w:val="nil"/>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sz w:val="16"/>
                <w:szCs w:val="16"/>
                <w:lang w:val="sq-AL" w:eastAsia="sq-AL"/>
              </w:rPr>
            </w:pPr>
            <w:r>
              <w:rPr>
                <w:rFonts w:ascii="Garamond" w:eastAsia="Times New Roman" w:hAnsi="Garamond"/>
                <w:sz w:val="16"/>
                <w:szCs w:val="16"/>
                <w:lang w:val="sq-AL" w:eastAsia="sq-AL"/>
              </w:rPr>
              <w:t>Ndue</w:t>
            </w:r>
          </w:p>
        </w:tc>
        <w:tc>
          <w:tcPr>
            <w:tcW w:w="348" w:type="pct"/>
            <w:gridSpan w:val="2"/>
            <w:tcBorders>
              <w:top w:val="single" w:sz="4" w:space="0" w:color="auto"/>
              <w:left w:val="nil"/>
              <w:bottom w:val="single" w:sz="4" w:space="0" w:color="auto"/>
              <w:right w:val="single" w:sz="4" w:space="0" w:color="auto"/>
            </w:tcBorders>
            <w:vAlign w:val="center"/>
            <w:hideMark/>
          </w:tcPr>
          <w:p w:rsidR="00A652B0" w:rsidRDefault="00A652B0">
            <w:pPr>
              <w:spacing w:after="0" w:line="240" w:lineRule="auto"/>
              <w:ind w:firstLine="0"/>
              <w:jc w:val="left"/>
              <w:rPr>
                <w:rFonts w:ascii="Garamond" w:eastAsia="Times New Roman" w:hAnsi="Garamond"/>
                <w:sz w:val="16"/>
                <w:szCs w:val="16"/>
                <w:lang w:val="sq-AL" w:eastAsia="sq-AL"/>
              </w:rPr>
            </w:pPr>
            <w:r>
              <w:rPr>
                <w:rFonts w:ascii="Garamond" w:eastAsia="Times New Roman" w:hAnsi="Garamond"/>
                <w:sz w:val="16"/>
                <w:szCs w:val="16"/>
                <w:lang w:val="sq-AL" w:eastAsia="sq-AL"/>
              </w:rPr>
              <w:t>Malci</w:t>
            </w:r>
          </w:p>
        </w:tc>
        <w:tc>
          <w:tcPr>
            <w:tcW w:w="392" w:type="pct"/>
            <w:tcBorders>
              <w:top w:val="single" w:sz="4" w:space="0" w:color="auto"/>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3391</w:t>
            </w:r>
          </w:p>
        </w:tc>
        <w:tc>
          <w:tcPr>
            <w:tcW w:w="336" w:type="pct"/>
            <w:gridSpan w:val="2"/>
            <w:tcBorders>
              <w:top w:val="single" w:sz="4" w:space="0" w:color="auto"/>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122</w:t>
            </w:r>
          </w:p>
        </w:tc>
        <w:tc>
          <w:tcPr>
            <w:tcW w:w="336" w:type="pct"/>
            <w:gridSpan w:val="2"/>
            <w:tcBorders>
              <w:top w:val="single" w:sz="4" w:space="0" w:color="auto"/>
              <w:left w:val="nil"/>
              <w:bottom w:val="single" w:sz="4" w:space="0" w:color="auto"/>
              <w:right w:val="single" w:sz="4" w:space="0" w:color="auto"/>
            </w:tcBorders>
            <w:noWrap/>
            <w:vAlign w:val="center"/>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Arë</w:t>
            </w:r>
          </w:p>
        </w:tc>
        <w:tc>
          <w:tcPr>
            <w:tcW w:w="290" w:type="pct"/>
            <w:tcBorders>
              <w:top w:val="single" w:sz="4" w:space="0" w:color="auto"/>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6100</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41.1</w:t>
            </w:r>
          </w:p>
        </w:tc>
        <w:tc>
          <w:tcPr>
            <w:tcW w:w="297" w:type="pct"/>
            <w:tcBorders>
              <w:top w:val="single" w:sz="4" w:space="0" w:color="auto"/>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278</w:t>
            </w:r>
          </w:p>
        </w:tc>
        <w:tc>
          <w:tcPr>
            <w:tcW w:w="476" w:type="pct"/>
            <w:tcBorders>
              <w:top w:val="single" w:sz="4" w:space="0" w:color="auto"/>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11425.8</w:t>
            </w:r>
          </w:p>
        </w:tc>
        <w:tc>
          <w:tcPr>
            <w:tcW w:w="484" w:type="pct"/>
            <w:tcBorders>
              <w:top w:val="single" w:sz="4" w:space="0" w:color="auto"/>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r>
      <w:tr w:rsidR="00A652B0" w:rsidTr="00A373D1">
        <w:trPr>
          <w:trHeight w:val="139"/>
        </w:trPr>
        <w:tc>
          <w:tcPr>
            <w:tcW w:w="193" w:type="pct"/>
            <w:tcBorders>
              <w:top w:val="nil"/>
              <w:left w:val="single" w:sz="4" w:space="0" w:color="auto"/>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2</w:t>
            </w:r>
          </w:p>
        </w:tc>
        <w:tc>
          <w:tcPr>
            <w:tcW w:w="311" w:type="pct"/>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20</w:t>
            </w:r>
          </w:p>
        </w:tc>
        <w:tc>
          <w:tcPr>
            <w:tcW w:w="78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Bashkëpronësi</w:t>
            </w:r>
          </w:p>
        </w:tc>
        <w:tc>
          <w:tcPr>
            <w:tcW w:w="274"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48"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92" w:type="pct"/>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3391</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95</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Pyll</w:t>
            </w:r>
          </w:p>
        </w:tc>
        <w:tc>
          <w:tcPr>
            <w:tcW w:w="290"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3900</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77</w:t>
            </w:r>
          </w:p>
        </w:tc>
        <w:tc>
          <w:tcPr>
            <w:tcW w:w="29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100</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7700.0</w:t>
            </w:r>
          </w:p>
        </w:tc>
        <w:tc>
          <w:tcPr>
            <w:tcW w:w="484"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r>
      <w:tr w:rsidR="00A652B0" w:rsidTr="00A373D1">
        <w:trPr>
          <w:trHeight w:val="139"/>
        </w:trPr>
        <w:tc>
          <w:tcPr>
            <w:tcW w:w="193" w:type="pct"/>
            <w:tcBorders>
              <w:top w:val="nil"/>
              <w:left w:val="single" w:sz="4" w:space="0" w:color="auto"/>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3</w:t>
            </w:r>
          </w:p>
        </w:tc>
        <w:tc>
          <w:tcPr>
            <w:tcW w:w="311"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21</w:t>
            </w:r>
          </w:p>
        </w:tc>
        <w:tc>
          <w:tcPr>
            <w:tcW w:w="78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Pretendues</w:t>
            </w:r>
          </w:p>
        </w:tc>
        <w:tc>
          <w:tcPr>
            <w:tcW w:w="274"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48"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92" w:type="pct"/>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3391</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167</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Arë</w:t>
            </w:r>
          </w:p>
        </w:tc>
        <w:tc>
          <w:tcPr>
            <w:tcW w:w="290"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1800</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77</w:t>
            </w:r>
          </w:p>
        </w:tc>
        <w:tc>
          <w:tcPr>
            <w:tcW w:w="29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278</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21406.0</w:t>
            </w:r>
          </w:p>
        </w:tc>
        <w:tc>
          <w:tcPr>
            <w:tcW w:w="484"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r>
      <w:tr w:rsidR="00A652B0" w:rsidTr="00A373D1">
        <w:trPr>
          <w:trHeight w:val="139"/>
        </w:trPr>
        <w:tc>
          <w:tcPr>
            <w:tcW w:w="193" w:type="pct"/>
            <w:tcBorders>
              <w:top w:val="nil"/>
              <w:left w:val="single" w:sz="4" w:space="0" w:color="auto"/>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4</w:t>
            </w:r>
          </w:p>
        </w:tc>
        <w:tc>
          <w:tcPr>
            <w:tcW w:w="311"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21A</w:t>
            </w:r>
          </w:p>
        </w:tc>
        <w:tc>
          <w:tcPr>
            <w:tcW w:w="78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Kurum International sh.a.</w:t>
            </w:r>
          </w:p>
        </w:tc>
        <w:tc>
          <w:tcPr>
            <w:tcW w:w="274"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48"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92" w:type="pct"/>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3391</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154</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Kullotë</w:t>
            </w:r>
          </w:p>
        </w:tc>
        <w:tc>
          <w:tcPr>
            <w:tcW w:w="290"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7900</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77</w:t>
            </w:r>
          </w:p>
        </w:tc>
        <w:tc>
          <w:tcPr>
            <w:tcW w:w="29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117</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9009.0</w:t>
            </w:r>
          </w:p>
        </w:tc>
        <w:tc>
          <w:tcPr>
            <w:tcW w:w="484" w:type="pct"/>
            <w:tcBorders>
              <w:top w:val="nil"/>
              <w:left w:val="nil"/>
              <w:bottom w:val="nil"/>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r>
      <w:tr w:rsidR="00A652B0" w:rsidTr="00A373D1">
        <w:trPr>
          <w:trHeight w:val="139"/>
        </w:trPr>
        <w:tc>
          <w:tcPr>
            <w:tcW w:w="193" w:type="pct"/>
            <w:tcBorders>
              <w:top w:val="nil"/>
              <w:left w:val="single" w:sz="4" w:space="0" w:color="auto"/>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5</w:t>
            </w:r>
          </w:p>
        </w:tc>
        <w:tc>
          <w:tcPr>
            <w:tcW w:w="311"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22</w:t>
            </w:r>
          </w:p>
        </w:tc>
        <w:tc>
          <w:tcPr>
            <w:tcW w:w="78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Ndue Gjon Ndoka</w:t>
            </w:r>
          </w:p>
        </w:tc>
        <w:tc>
          <w:tcPr>
            <w:tcW w:w="274"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48"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92" w:type="pct"/>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3391</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200</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Pyll</w:t>
            </w:r>
          </w:p>
        </w:tc>
        <w:tc>
          <w:tcPr>
            <w:tcW w:w="290"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5000</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77</w:t>
            </w:r>
          </w:p>
        </w:tc>
        <w:tc>
          <w:tcPr>
            <w:tcW w:w="29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100</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7700.0</w:t>
            </w:r>
          </w:p>
        </w:tc>
        <w:tc>
          <w:tcPr>
            <w:tcW w:w="484" w:type="pct"/>
            <w:tcBorders>
              <w:top w:val="single" w:sz="4" w:space="0" w:color="auto"/>
              <w:left w:val="nil"/>
              <w:bottom w:val="nil"/>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Bashkëpronësi</w:t>
            </w:r>
          </w:p>
        </w:tc>
      </w:tr>
      <w:tr w:rsidR="00A652B0" w:rsidTr="00A373D1">
        <w:trPr>
          <w:trHeight w:val="139"/>
        </w:trPr>
        <w:tc>
          <w:tcPr>
            <w:tcW w:w="193" w:type="pct"/>
            <w:tcBorders>
              <w:top w:val="nil"/>
              <w:left w:val="single" w:sz="4" w:space="0" w:color="auto"/>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6</w:t>
            </w:r>
          </w:p>
        </w:tc>
        <w:tc>
          <w:tcPr>
            <w:tcW w:w="311"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31</w:t>
            </w:r>
          </w:p>
        </w:tc>
        <w:tc>
          <w:tcPr>
            <w:tcW w:w="78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Ndue Gjok Pergjoka</w:t>
            </w:r>
          </w:p>
        </w:tc>
        <w:tc>
          <w:tcPr>
            <w:tcW w:w="274"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48" w:type="pct"/>
            <w:gridSpan w:val="2"/>
            <w:tcBorders>
              <w:top w:val="nil"/>
              <w:left w:val="nil"/>
              <w:bottom w:val="single" w:sz="4" w:space="0" w:color="auto"/>
              <w:right w:val="single" w:sz="4" w:space="0" w:color="auto"/>
            </w:tcBorders>
            <w:vAlign w:val="center"/>
            <w:hideMark/>
          </w:tcPr>
          <w:p w:rsidR="00A652B0" w:rsidRDefault="00A652B0">
            <w:pPr>
              <w:spacing w:after="0" w:line="240" w:lineRule="auto"/>
              <w:ind w:firstLine="0"/>
              <w:jc w:val="center"/>
              <w:rPr>
                <w:rFonts w:ascii="Garamond" w:eastAsia="Times New Roman" w:hAnsi="Garamond"/>
                <w:sz w:val="16"/>
                <w:szCs w:val="16"/>
                <w:lang w:val="sq-AL" w:eastAsia="sq-AL"/>
              </w:rPr>
            </w:pPr>
            <w:r>
              <w:rPr>
                <w:rFonts w:ascii="Garamond" w:eastAsia="Times New Roman" w:hAnsi="Garamond"/>
                <w:sz w:val="16"/>
                <w:szCs w:val="16"/>
                <w:lang w:val="sq-AL" w:eastAsia="sq-AL"/>
              </w:rPr>
              <w:t> </w:t>
            </w:r>
          </w:p>
        </w:tc>
        <w:tc>
          <w:tcPr>
            <w:tcW w:w="392" w:type="pct"/>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3391</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240</w:t>
            </w:r>
          </w:p>
        </w:tc>
        <w:tc>
          <w:tcPr>
            <w:tcW w:w="336" w:type="pct"/>
            <w:gridSpan w:val="2"/>
            <w:tcBorders>
              <w:top w:val="nil"/>
              <w:left w:val="nil"/>
              <w:bottom w:val="single" w:sz="4" w:space="0" w:color="auto"/>
              <w:right w:val="single" w:sz="4" w:space="0" w:color="auto"/>
            </w:tcBorders>
            <w:noWrap/>
            <w:vAlign w:val="center"/>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Arë</w:t>
            </w:r>
          </w:p>
        </w:tc>
        <w:tc>
          <w:tcPr>
            <w:tcW w:w="290"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1450</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57.4</w:t>
            </w:r>
          </w:p>
        </w:tc>
        <w:tc>
          <w:tcPr>
            <w:tcW w:w="297"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278</w:t>
            </w:r>
          </w:p>
        </w:tc>
        <w:tc>
          <w:tcPr>
            <w:tcW w:w="476"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15957.2</w:t>
            </w:r>
          </w:p>
        </w:tc>
        <w:tc>
          <w:tcPr>
            <w:tcW w:w="484" w:type="pct"/>
            <w:vMerge w:val="restart"/>
            <w:tcBorders>
              <w:top w:val="single" w:sz="4" w:space="0" w:color="auto"/>
              <w:left w:val="single" w:sz="4" w:space="0" w:color="auto"/>
              <w:bottom w:val="single" w:sz="4" w:space="0" w:color="000000"/>
              <w:right w:val="single" w:sz="4" w:space="0" w:color="auto"/>
            </w:tcBorders>
            <w:noWrap/>
            <w:vAlign w:val="bottom"/>
            <w:hideMark/>
          </w:tcPr>
          <w:p w:rsidR="00A652B0" w:rsidRDefault="00A652B0">
            <w:pPr>
              <w:spacing w:after="0" w:line="240" w:lineRule="auto"/>
              <w:ind w:firstLine="0"/>
              <w:jc w:val="center"/>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r>
      <w:tr w:rsidR="00A652B0" w:rsidTr="00A373D1">
        <w:trPr>
          <w:trHeight w:val="139"/>
        </w:trPr>
        <w:tc>
          <w:tcPr>
            <w:tcW w:w="3267" w:type="pct"/>
            <w:gridSpan w:val="13"/>
            <w:tcBorders>
              <w:top w:val="single" w:sz="4" w:space="0" w:color="auto"/>
              <w:left w:val="single" w:sz="4" w:space="0" w:color="auto"/>
              <w:bottom w:val="single" w:sz="4" w:space="0" w:color="auto"/>
              <w:right w:val="single" w:sz="4" w:space="0" w:color="000000"/>
            </w:tcBorders>
            <w:noWrap/>
            <w:vAlign w:val="bottom"/>
            <w:hideMark/>
          </w:tcPr>
          <w:p w:rsidR="00A652B0" w:rsidRDefault="00A652B0">
            <w:pPr>
              <w:spacing w:after="0" w:line="240" w:lineRule="auto"/>
              <w:ind w:firstLine="0"/>
              <w:jc w:val="right"/>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Sipërfaqe totale për shpronësim në m</w:t>
            </w:r>
            <w:r>
              <w:rPr>
                <w:rFonts w:ascii="Garamond" w:eastAsia="Times New Roman" w:hAnsi="Garamond"/>
                <w:b/>
                <w:bCs/>
                <w:color w:val="000000"/>
                <w:sz w:val="16"/>
                <w:szCs w:val="16"/>
                <w:vertAlign w:val="superscript"/>
                <w:lang w:val="sq-AL" w:eastAsia="sq-AL"/>
              </w:rPr>
              <w:t>2</w:t>
            </w:r>
            <w:r>
              <w:rPr>
                <w:rFonts w:ascii="Garamond" w:eastAsia="Times New Roman" w:hAnsi="Garamond"/>
                <w:b/>
                <w:bCs/>
                <w:color w:val="000000"/>
                <w:sz w:val="16"/>
                <w:szCs w:val="16"/>
                <w:lang w:val="sq-AL" w:eastAsia="sq-AL"/>
              </w:rPr>
              <w:t xml:space="preserve"> </w:t>
            </w:r>
          </w:p>
        </w:tc>
        <w:tc>
          <w:tcPr>
            <w:tcW w:w="476" w:type="pct"/>
            <w:tcBorders>
              <w:top w:val="nil"/>
              <w:left w:val="nil"/>
              <w:bottom w:val="nil"/>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406.5</w:t>
            </w:r>
          </w:p>
        </w:tc>
        <w:tc>
          <w:tcPr>
            <w:tcW w:w="297" w:type="pct"/>
            <w:noWrap/>
            <w:vAlign w:val="bottom"/>
            <w:hideMark/>
          </w:tcPr>
          <w:p w:rsidR="00A652B0" w:rsidRDefault="00A652B0">
            <w:pPr>
              <w:spacing w:after="0"/>
              <w:ind w:firstLine="0"/>
              <w:jc w:val="left"/>
              <w:rPr>
                <w:rFonts w:asciiTheme="minorHAnsi" w:eastAsiaTheme="minorHAnsi" w:hAnsiTheme="minorHAnsi" w:cstheme="minorBidi"/>
              </w:rPr>
            </w:pPr>
          </w:p>
        </w:tc>
        <w:tc>
          <w:tcPr>
            <w:tcW w:w="476" w:type="pct"/>
            <w:noWrap/>
            <w:vAlign w:val="bottom"/>
            <w:hideMark/>
          </w:tcPr>
          <w:p w:rsidR="00A652B0" w:rsidRDefault="00A652B0">
            <w:pPr>
              <w:spacing w:after="0"/>
              <w:ind w:firstLine="0"/>
              <w:jc w:val="left"/>
              <w:rPr>
                <w:rFonts w:asciiTheme="minorHAnsi" w:eastAsiaTheme="minorHAnsi" w:hAnsiTheme="minorHAnsi" w:cstheme="minorBidi"/>
              </w:rPr>
            </w:pPr>
          </w:p>
        </w:tc>
        <w:tc>
          <w:tcPr>
            <w:tcW w:w="484" w:type="pct"/>
            <w:vMerge/>
            <w:tcBorders>
              <w:top w:val="single" w:sz="4" w:space="0" w:color="auto"/>
              <w:left w:val="single" w:sz="4" w:space="0" w:color="auto"/>
              <w:bottom w:val="single" w:sz="4" w:space="0" w:color="000000"/>
              <w:right w:val="single" w:sz="4" w:space="0" w:color="auto"/>
            </w:tcBorders>
            <w:vAlign w:val="center"/>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p>
        </w:tc>
      </w:tr>
      <w:tr w:rsidR="00A652B0" w:rsidTr="00A373D1">
        <w:trPr>
          <w:trHeight w:val="139"/>
        </w:trPr>
        <w:tc>
          <w:tcPr>
            <w:tcW w:w="4040" w:type="pct"/>
            <w:gridSpan w:val="15"/>
            <w:tcBorders>
              <w:top w:val="single" w:sz="4" w:space="0" w:color="auto"/>
              <w:left w:val="single" w:sz="4" w:space="0" w:color="auto"/>
              <w:bottom w:val="single" w:sz="4" w:space="0" w:color="auto"/>
              <w:right w:val="single" w:sz="4" w:space="0" w:color="000000"/>
            </w:tcBorders>
            <w:noWrap/>
            <w:vAlign w:val="bottom"/>
            <w:hideMark/>
          </w:tcPr>
          <w:p w:rsidR="00A652B0" w:rsidRDefault="00A652B0">
            <w:pPr>
              <w:spacing w:after="0" w:line="240" w:lineRule="auto"/>
              <w:ind w:firstLine="0"/>
              <w:jc w:val="right"/>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Shuma totale në lekë për shpronësim</w:t>
            </w:r>
          </w:p>
        </w:tc>
        <w:tc>
          <w:tcPr>
            <w:tcW w:w="476" w:type="pct"/>
            <w:tcBorders>
              <w:top w:val="single" w:sz="4" w:space="0" w:color="auto"/>
              <w:left w:val="nil"/>
              <w:bottom w:val="single" w:sz="4" w:space="0" w:color="auto"/>
              <w:right w:val="single" w:sz="4" w:space="0" w:color="auto"/>
            </w:tcBorders>
            <w:noWrap/>
            <w:vAlign w:val="bottom"/>
            <w:hideMark/>
          </w:tcPr>
          <w:p w:rsidR="00A652B0" w:rsidRDefault="00A652B0">
            <w:pPr>
              <w:spacing w:after="0" w:line="240" w:lineRule="auto"/>
              <w:ind w:firstLine="0"/>
              <w:jc w:val="right"/>
              <w:rPr>
                <w:rFonts w:ascii="Garamond" w:eastAsia="Times New Roman" w:hAnsi="Garamond"/>
                <w:b/>
                <w:bCs/>
                <w:color w:val="000000"/>
                <w:sz w:val="16"/>
                <w:szCs w:val="16"/>
                <w:lang w:val="sq-AL" w:eastAsia="sq-AL"/>
              </w:rPr>
            </w:pPr>
            <w:r>
              <w:rPr>
                <w:rFonts w:ascii="Garamond" w:eastAsia="Times New Roman" w:hAnsi="Garamond"/>
                <w:b/>
                <w:bCs/>
                <w:color w:val="000000"/>
                <w:sz w:val="16"/>
                <w:szCs w:val="16"/>
                <w:lang w:val="sq-AL" w:eastAsia="sq-AL"/>
              </w:rPr>
              <w:t>73198</w:t>
            </w:r>
          </w:p>
        </w:tc>
        <w:tc>
          <w:tcPr>
            <w:tcW w:w="484" w:type="pct"/>
            <w:tcBorders>
              <w:top w:val="nil"/>
              <w:left w:val="nil"/>
              <w:bottom w:val="single" w:sz="4" w:space="0" w:color="auto"/>
              <w:right w:val="single" w:sz="4" w:space="0" w:color="auto"/>
            </w:tcBorders>
            <w:noWrap/>
            <w:vAlign w:val="bottom"/>
            <w:hideMark/>
          </w:tcPr>
          <w:p w:rsidR="00A652B0" w:rsidRDefault="00A652B0">
            <w:pPr>
              <w:spacing w:after="0" w:line="240" w:lineRule="auto"/>
              <w:ind w:firstLine="0"/>
              <w:jc w:val="left"/>
              <w:rPr>
                <w:rFonts w:ascii="Garamond" w:eastAsia="Times New Roman" w:hAnsi="Garamond"/>
                <w:color w:val="000000"/>
                <w:sz w:val="16"/>
                <w:szCs w:val="16"/>
                <w:lang w:val="sq-AL" w:eastAsia="sq-AL"/>
              </w:rPr>
            </w:pPr>
            <w:r>
              <w:rPr>
                <w:rFonts w:ascii="Garamond" w:eastAsia="Times New Roman" w:hAnsi="Garamond"/>
                <w:color w:val="000000"/>
                <w:sz w:val="16"/>
                <w:szCs w:val="16"/>
                <w:lang w:val="sq-AL" w:eastAsia="sq-AL"/>
              </w:rPr>
              <w:t> </w:t>
            </w:r>
          </w:p>
        </w:tc>
      </w:tr>
    </w:tbl>
    <w:p w:rsidR="00595B91" w:rsidRDefault="00595B91"/>
    <w:sectPr w:rsidR="00595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B0"/>
    <w:rsid w:val="00595B91"/>
    <w:rsid w:val="00A373D1"/>
    <w:rsid w:val="00A65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B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A652B0"/>
    <w:rPr>
      <w:rFonts w:ascii="Garamond" w:eastAsia="MS Mincho" w:hAnsi="Garamond" w:cs="CG Times"/>
      <w:sz w:val="24"/>
    </w:rPr>
  </w:style>
  <w:style w:type="paragraph" w:customStyle="1" w:styleId="Paragrafi">
    <w:name w:val="Paragrafi"/>
    <w:link w:val="ParagrafiChar"/>
    <w:rsid w:val="00A652B0"/>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A652B0"/>
    <w:rPr>
      <w:rFonts w:ascii="Garamond" w:eastAsia="MS Mincho" w:hAnsi="Garamond" w:cs="CG Times"/>
      <w:sz w:val="24"/>
      <w:lang w:val="en-GB"/>
    </w:rPr>
  </w:style>
  <w:style w:type="paragraph" w:customStyle="1" w:styleId="NeniNr">
    <w:name w:val="Neni_Nr"/>
    <w:next w:val="Normal"/>
    <w:link w:val="NeniNrChar"/>
    <w:rsid w:val="00A652B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652B0"/>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A652B0"/>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B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A652B0"/>
    <w:rPr>
      <w:rFonts w:ascii="Garamond" w:eastAsia="MS Mincho" w:hAnsi="Garamond" w:cs="CG Times"/>
      <w:sz w:val="24"/>
    </w:rPr>
  </w:style>
  <w:style w:type="paragraph" w:customStyle="1" w:styleId="Paragrafi">
    <w:name w:val="Paragrafi"/>
    <w:link w:val="ParagrafiChar"/>
    <w:rsid w:val="00A652B0"/>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A652B0"/>
    <w:rPr>
      <w:rFonts w:ascii="Garamond" w:eastAsia="MS Mincho" w:hAnsi="Garamond" w:cs="CG Times"/>
      <w:sz w:val="24"/>
      <w:lang w:val="en-GB"/>
    </w:rPr>
  </w:style>
  <w:style w:type="paragraph" w:customStyle="1" w:styleId="NeniNr">
    <w:name w:val="Neni_Nr"/>
    <w:next w:val="Normal"/>
    <w:link w:val="NeniNrChar"/>
    <w:rsid w:val="00A652B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652B0"/>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A652B0"/>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1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2019-02-05T13:39:00Z</cp:lastPrinted>
  <dcterms:created xsi:type="dcterms:W3CDTF">2017-12-21T10:11:00Z</dcterms:created>
  <dcterms:modified xsi:type="dcterms:W3CDTF">2019-02-05T13:39:00Z</dcterms:modified>
</cp:coreProperties>
</file>