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1C7" w:rsidRPr="005C4F41" w:rsidRDefault="004771C7" w:rsidP="004771C7">
      <w:pPr>
        <w:pStyle w:val="Paragrafi"/>
        <w:jc w:val="center"/>
        <w:rPr>
          <w:b/>
          <w:spacing w:val="-4"/>
          <w:lang w:val="sq-AL"/>
        </w:rPr>
      </w:pPr>
      <w:bookmarkStart w:id="0" w:name="_GoBack"/>
      <w:bookmarkEnd w:id="0"/>
      <w:r w:rsidRPr="005C4F41">
        <w:rPr>
          <w:b/>
          <w:spacing w:val="-4"/>
          <w:lang w:val="sq-AL"/>
        </w:rPr>
        <w:t>VENDIM</w:t>
      </w:r>
    </w:p>
    <w:p w:rsidR="004771C7" w:rsidRPr="005C4F41" w:rsidRDefault="004771C7" w:rsidP="004771C7">
      <w:pPr>
        <w:pStyle w:val="Paragrafi"/>
        <w:jc w:val="center"/>
        <w:rPr>
          <w:b/>
          <w:spacing w:val="-4"/>
          <w:lang w:val="sq-AL"/>
        </w:rPr>
      </w:pPr>
      <w:r w:rsidRPr="005C4F41">
        <w:rPr>
          <w:b/>
          <w:spacing w:val="-4"/>
          <w:lang w:val="sq-AL"/>
        </w:rPr>
        <w:t>Nr. 898, datë 21.12.2016</w:t>
      </w:r>
    </w:p>
    <w:p w:rsidR="004771C7" w:rsidRPr="005C4F41" w:rsidRDefault="004771C7" w:rsidP="004771C7">
      <w:pPr>
        <w:pStyle w:val="Hapesira7"/>
        <w:rPr>
          <w:lang w:val="sq-AL"/>
        </w:rPr>
      </w:pPr>
    </w:p>
    <w:p w:rsidR="004771C7" w:rsidRPr="005C4F41" w:rsidRDefault="004771C7" w:rsidP="004771C7">
      <w:pPr>
        <w:pStyle w:val="Paragrafi"/>
        <w:jc w:val="center"/>
        <w:rPr>
          <w:b/>
          <w:spacing w:val="-4"/>
          <w:lang w:val="sq-AL"/>
        </w:rPr>
      </w:pPr>
      <w:r w:rsidRPr="005C4F41">
        <w:rPr>
          <w:b/>
          <w:spacing w:val="-4"/>
          <w:lang w:val="sq-AL"/>
        </w:rPr>
        <w:t>PËR SHPRONËSIMIN, PËR INTERES PUBLIK, TË PRONARËVE TË PASURIVE TË PALUAJTSHME, PRONË PRIVATE, QË PREKEN NGA PROJEKTI “FURNIZIMI ME UJËI PLAZHEVE DURRËS-KAVAJË NGA PUSSHPIMET E ÇERMËS (LOTI I)”</w:t>
      </w:r>
    </w:p>
    <w:p w:rsidR="004771C7" w:rsidRPr="005C4F41" w:rsidRDefault="004771C7" w:rsidP="004771C7">
      <w:pPr>
        <w:pStyle w:val="Hapesira7"/>
        <w:rPr>
          <w:lang w:val="sq-AL"/>
        </w:rPr>
      </w:pPr>
    </w:p>
    <w:p w:rsidR="004771C7" w:rsidRPr="005C4F41" w:rsidRDefault="004771C7" w:rsidP="004771C7">
      <w:pPr>
        <w:pStyle w:val="Paragrafi"/>
        <w:rPr>
          <w:spacing w:val="-4"/>
          <w:lang w:val="sq-AL"/>
        </w:rPr>
      </w:pPr>
      <w:r w:rsidRPr="005C4F41">
        <w:rPr>
          <w:spacing w:val="-4"/>
          <w:lang w:val="sq-AL"/>
        </w:rPr>
        <w:t>Në mbështetje të nenit 100 të Kushtetutës, të neneve 5, pika 1, 20 dhe 21, të ligjit nr.8561, datë.22.12.1999, “Për shpronësimet dhe marrjen në përdorim të përkohshëm të pasurisë, pronë private, për interes publik”, me propozimin e ministrit të Transportit dhe Infrastrukturës, Këshilli i Ministrave</w:t>
      </w:r>
    </w:p>
    <w:p w:rsidR="004771C7" w:rsidRPr="005C4F41" w:rsidRDefault="004771C7" w:rsidP="004771C7">
      <w:pPr>
        <w:pStyle w:val="Hapesira7"/>
        <w:rPr>
          <w:lang w:val="sq-AL"/>
        </w:rPr>
      </w:pPr>
    </w:p>
    <w:p w:rsidR="004771C7" w:rsidRPr="005C4F41" w:rsidRDefault="004771C7" w:rsidP="004771C7">
      <w:pPr>
        <w:pStyle w:val="Paragrafi"/>
        <w:jc w:val="center"/>
        <w:rPr>
          <w:spacing w:val="-4"/>
          <w:lang w:val="sq-AL"/>
        </w:rPr>
      </w:pPr>
      <w:r w:rsidRPr="005C4F41">
        <w:rPr>
          <w:spacing w:val="-4"/>
          <w:lang w:val="sq-AL"/>
        </w:rPr>
        <w:t>VENDOSI:</w:t>
      </w:r>
    </w:p>
    <w:p w:rsidR="004771C7" w:rsidRPr="005C4F41" w:rsidRDefault="004771C7" w:rsidP="004771C7">
      <w:pPr>
        <w:pStyle w:val="Hapesira7"/>
        <w:rPr>
          <w:lang w:val="sq-AL"/>
        </w:rPr>
      </w:pPr>
    </w:p>
    <w:p w:rsidR="004771C7" w:rsidRPr="005C4F41" w:rsidRDefault="004771C7" w:rsidP="004771C7">
      <w:pPr>
        <w:pStyle w:val="Paragrafi"/>
        <w:rPr>
          <w:spacing w:val="-6"/>
          <w:lang w:val="sq-AL"/>
        </w:rPr>
      </w:pPr>
      <w:r w:rsidRPr="005C4F41">
        <w:rPr>
          <w:spacing w:val="-6"/>
          <w:lang w:val="sq-AL"/>
        </w:rPr>
        <w:t>1. Shpronësimin, për interes publik, të pronarëve të pasurive të paluajtshme, pronë private, që preken nga projekti “Furnizimi me ujë i plazheve Durrës-Kavajë nga pusshpimet e Çermës (loti 1)”.</w:t>
      </w:r>
    </w:p>
    <w:p w:rsidR="004771C7" w:rsidRPr="005C4F41" w:rsidRDefault="004771C7" w:rsidP="004771C7">
      <w:pPr>
        <w:pStyle w:val="Paragrafi"/>
        <w:rPr>
          <w:spacing w:val="-4"/>
          <w:lang w:val="sq-AL"/>
        </w:rPr>
      </w:pPr>
      <w:r w:rsidRPr="005C4F41">
        <w:rPr>
          <w:spacing w:val="-4"/>
          <w:lang w:val="sq-AL"/>
        </w:rPr>
        <w:t>2. Shpronësimi bëhet në favor të Drejtorisë së Përgjithshme të Ujësjellës- Kanalizimeve.</w:t>
      </w:r>
    </w:p>
    <w:p w:rsidR="004771C7" w:rsidRPr="005C4F41" w:rsidRDefault="004771C7" w:rsidP="004771C7">
      <w:pPr>
        <w:pStyle w:val="Paragrafi"/>
        <w:rPr>
          <w:spacing w:val="-4"/>
          <w:lang w:val="sq-AL"/>
        </w:rPr>
      </w:pPr>
      <w:r w:rsidRPr="005C4F41">
        <w:rPr>
          <w:spacing w:val="-4"/>
          <w:lang w:val="sq-AL"/>
        </w:rPr>
        <w:t>3. Pronarët e pasurive të paluajtshme, që shpronësohen, të kompensohen në vlerë të plotë sipas masës përkatëse, që paraqitet në tabelën bashkëlidhur këtij vendimi, për pasuritë “arë”, me vlerë të përgjithshme shpronësimi 1 752 912 (një milion e shtatëqind e pesëdhjetë e dy mijë e nëntëqind e dymbëdhjetë) lekë.</w:t>
      </w:r>
    </w:p>
    <w:p w:rsidR="004771C7" w:rsidRPr="005C4F41" w:rsidRDefault="004771C7" w:rsidP="004771C7">
      <w:pPr>
        <w:pStyle w:val="Paragrafi"/>
        <w:rPr>
          <w:spacing w:val="-4"/>
          <w:lang w:val="sq-AL"/>
        </w:rPr>
      </w:pPr>
      <w:r w:rsidRPr="005C4F41">
        <w:rPr>
          <w:spacing w:val="-4"/>
          <w:lang w:val="sq-AL"/>
        </w:rPr>
        <w:t>4. Vlera përgjithshme e shpronësimit për pasuritë “arë”, prej 1 752 912 (një milion e shtatëqind e pesëdhjetë e dy mijë e nëntëqind e dymbëdhjetë) lekësh, të përballohet nga buxheti i investimeve të vitit 2016, miratuar për Ministrinë e Transportit dhe Infrastrukturës, zëri “Shpronësime për objektet buxhetore”, për programin furnizimi me ujë dhe kanalizime, me kod projekti M063141.</w:t>
      </w:r>
    </w:p>
    <w:p w:rsidR="004771C7" w:rsidRPr="005C4F41" w:rsidRDefault="004771C7" w:rsidP="004771C7">
      <w:pPr>
        <w:pStyle w:val="Paragrafi"/>
        <w:rPr>
          <w:spacing w:val="-4"/>
          <w:lang w:val="sq-AL"/>
        </w:rPr>
      </w:pPr>
      <w:r w:rsidRPr="005C4F41">
        <w:rPr>
          <w:spacing w:val="-4"/>
          <w:lang w:val="sq-AL"/>
        </w:rPr>
        <w:t>5. Shpenzimet procedurale, në vlerën 80 000 (tetëdhjetë mijë) lekë, të përballohen nga Drejtoria e Përgjithshme e Ujësjellës-Kanalizimeve.</w:t>
      </w:r>
    </w:p>
    <w:p w:rsidR="004771C7" w:rsidRPr="005C4F41" w:rsidRDefault="004771C7" w:rsidP="004771C7">
      <w:pPr>
        <w:pStyle w:val="Paragrafi"/>
        <w:rPr>
          <w:spacing w:val="-4"/>
          <w:lang w:val="sq-AL"/>
        </w:rPr>
      </w:pPr>
      <w:r w:rsidRPr="005C4F41">
        <w:rPr>
          <w:spacing w:val="-4"/>
          <w:lang w:val="sq-AL"/>
        </w:rPr>
        <w:t>6. Likuidimi i pronarëve do të fillojë pas çeljes së fondit të përcaktuar në pikën 4, të këtij vendimi.</w:t>
      </w:r>
    </w:p>
    <w:p w:rsidR="004771C7" w:rsidRPr="005C4F41" w:rsidRDefault="004771C7" w:rsidP="004771C7">
      <w:pPr>
        <w:pStyle w:val="Paragrafi"/>
        <w:rPr>
          <w:spacing w:val="-4"/>
          <w:lang w:val="sq-AL"/>
        </w:rPr>
      </w:pPr>
      <w:r w:rsidRPr="005C4F41">
        <w:rPr>
          <w:spacing w:val="-4"/>
          <w:lang w:val="sq-AL"/>
        </w:rPr>
        <w:t>7. Pronarët e pasurive të përmendur në listën që i bashkëlidhet këtij vendimi, për të cilat është bërë shënimi “Konfirmuar nga ZVRPP-ja”, “Vërtetim hipotekor”, “Certifikatë pronësie”, të likuidohen, për efekt shpronësimi, në bazë të dokumentacionit të plotë të pronësisë, që do të dorëzojnë pranë Drejtorisë së Përgjithshme të Ujësjellës-Kanalizimeve.</w:t>
      </w:r>
    </w:p>
    <w:p w:rsidR="004771C7" w:rsidRPr="005C4F41" w:rsidRDefault="004771C7" w:rsidP="004771C7">
      <w:pPr>
        <w:pStyle w:val="Paragrafi"/>
        <w:rPr>
          <w:spacing w:val="-4"/>
          <w:lang w:val="sq-AL"/>
        </w:rPr>
      </w:pPr>
      <w:r w:rsidRPr="005C4F41">
        <w:rPr>
          <w:spacing w:val="-4"/>
          <w:lang w:val="sq-AL"/>
        </w:rPr>
        <w:t>8. Drejtoria e Përgjithshme e Ujësjellës-Kanalizimeve të kryejë likuidimet, për efekt shpronësimi, në bazë të pikave 4, 5, 6, dhe 7, të këtij vendimi.</w:t>
      </w:r>
    </w:p>
    <w:p w:rsidR="004771C7" w:rsidRPr="005C4F41" w:rsidRDefault="004771C7" w:rsidP="004771C7">
      <w:pPr>
        <w:pStyle w:val="Paragrafi"/>
        <w:rPr>
          <w:spacing w:val="-4"/>
          <w:lang w:val="sq-AL"/>
        </w:rPr>
      </w:pPr>
      <w:r w:rsidRPr="005C4F41">
        <w:rPr>
          <w:spacing w:val="-4"/>
          <w:lang w:val="sq-AL"/>
        </w:rPr>
        <w:t>9. Zyra Qendrore e Regjistrimit të Pasurive të Paluajtshme dhe Zyra Vendore e Regjistrimit të Pasurive të Paluajtshme Kavajë, brenda 30 (tridhjetë) ditëve nga data e miratimit të këtij vendimi, në bashkëpunim me Drejtorinë e Përgjithshme të Ujësjellës-Kanalizimeve, të fillojnë procedurat për hedhjen e gjurmës së trupit të rrugës mbi hartat kadastrale, sipas planimetrisë së shpronësimit, që do t’u vihet në dispozicion nga Drejtoria e Përgjithshme e Ujësjellës-Kanalizimeve dhe, me fillimin e procesit të likuidimit, të fillojë edhe procesi i kalimit të pronësisë për pasuritë e shpronësuara, në favor të shtetit.</w:t>
      </w:r>
    </w:p>
    <w:p w:rsidR="004771C7" w:rsidRPr="005C4F41" w:rsidRDefault="004771C7" w:rsidP="004771C7">
      <w:pPr>
        <w:pStyle w:val="Paragrafi"/>
        <w:rPr>
          <w:spacing w:val="-4"/>
          <w:lang w:val="sq-AL"/>
        </w:rPr>
      </w:pPr>
      <w:r w:rsidRPr="005C4F41">
        <w:rPr>
          <w:spacing w:val="-4"/>
          <w:lang w:val="sq-AL"/>
        </w:rPr>
        <w:t>10. Zyra Qendrore e Regjistrimit të Pasurive të Paluajtshme dhe Zyra Vendore e Regjistrimit të Pasurive të Paluajtshme Kavajë, të pezullojnë të gjitha transaksionet me pasuritë e shpronësuara deri në momentin që do të realizohet procesi i hedhjes së gjurmës së trupit të rrugës mbi hartat kadastrale dhe kalimi i pronësisë për pasuritë e shpronësuara.</w:t>
      </w:r>
    </w:p>
    <w:p w:rsidR="004771C7" w:rsidRPr="005C4F41" w:rsidRDefault="004771C7" w:rsidP="004771C7">
      <w:pPr>
        <w:pStyle w:val="Paragrafi"/>
        <w:rPr>
          <w:spacing w:val="-4"/>
          <w:lang w:val="sq-AL"/>
        </w:rPr>
      </w:pPr>
      <w:r w:rsidRPr="005C4F41">
        <w:rPr>
          <w:spacing w:val="-4"/>
          <w:lang w:val="sq-AL"/>
        </w:rPr>
        <w:t>11. Ngarkohen Ministria e Transportit dhe Infrastrukturës, Ministria e Financave, Drejtoria e Përgjithshme e Ujësjellës-Kanalizimeve, Zyra Qendrore e Regjistrimit të Pasurive të Paluajtshme, Zyra Vendore e Regjistrimit të Pasurive të Paluajtshme Kavajë, Drejtoria e Administrimit dhe Mbrojtjes së Tokës dhe Këshilli i Qarkut Tiranë për zbatimin e këtij vendimi.</w:t>
      </w:r>
    </w:p>
    <w:p w:rsidR="004771C7" w:rsidRPr="005C4F41" w:rsidRDefault="004771C7" w:rsidP="004771C7">
      <w:pPr>
        <w:pStyle w:val="Paragrafi"/>
        <w:rPr>
          <w:spacing w:val="-4"/>
          <w:lang w:val="sq-AL"/>
        </w:rPr>
      </w:pPr>
      <w:r w:rsidRPr="005C4F41">
        <w:rPr>
          <w:spacing w:val="-4"/>
          <w:lang w:val="sq-AL"/>
        </w:rPr>
        <w:t xml:space="preserve">Ky vendim hyn në fuqi menjëherë dhe botohet në Fletoren Zyrtare.  </w:t>
      </w:r>
    </w:p>
    <w:p w:rsidR="004771C7" w:rsidRPr="005C4F41" w:rsidRDefault="004771C7" w:rsidP="004771C7">
      <w:pPr>
        <w:pStyle w:val="Hapesira7"/>
        <w:rPr>
          <w:sz w:val="12"/>
          <w:lang w:val="sq-AL"/>
        </w:rPr>
      </w:pPr>
    </w:p>
    <w:p w:rsidR="004771C7" w:rsidRPr="005C4F41" w:rsidRDefault="004771C7" w:rsidP="004771C7">
      <w:pPr>
        <w:pStyle w:val="Autoriteti"/>
        <w:rPr>
          <w:spacing w:val="-4"/>
          <w:lang w:val="sq-AL"/>
        </w:rPr>
      </w:pPr>
      <w:r w:rsidRPr="005C4F41">
        <w:rPr>
          <w:spacing w:val="-4"/>
          <w:lang w:val="sq-AL"/>
        </w:rPr>
        <w:t>ZËVENDËSKRYEMINISTRI</w:t>
      </w:r>
    </w:p>
    <w:p w:rsidR="004771C7" w:rsidRPr="005C4F41" w:rsidRDefault="004771C7" w:rsidP="004771C7">
      <w:pPr>
        <w:pStyle w:val="AutoritetiEmer"/>
        <w:rPr>
          <w:spacing w:val="-4"/>
          <w:lang w:val="sq-AL"/>
        </w:rPr>
      </w:pPr>
      <w:r w:rsidRPr="005C4F41">
        <w:rPr>
          <w:spacing w:val="-4"/>
          <w:lang w:val="sq-AL"/>
        </w:rPr>
        <w:t>Niko Peleshi</w:t>
      </w:r>
    </w:p>
    <w:p w:rsidR="004771C7" w:rsidRPr="005C4F41" w:rsidRDefault="004771C7" w:rsidP="004771C7">
      <w:pPr>
        <w:spacing w:after="0" w:line="240" w:lineRule="auto"/>
        <w:ind w:firstLine="0"/>
        <w:rPr>
          <w:rFonts w:ascii="Garamond" w:eastAsia="Times New Roman" w:hAnsi="Garamond"/>
          <w:spacing w:val="-4"/>
          <w:sz w:val="24"/>
          <w:szCs w:val="24"/>
          <w:lang w:val="sq-AL" w:eastAsia="en-GB"/>
        </w:rPr>
        <w:sectPr w:rsidR="004771C7" w:rsidRPr="005C4F41" w:rsidSect="004771C7">
          <w:pgSz w:w="11907" w:h="16840" w:code="9"/>
          <w:pgMar w:top="720" w:right="1134" w:bottom="720" w:left="1134" w:header="851" w:footer="851" w:gutter="0"/>
          <w:cols w:space="454"/>
          <w:docGrid w:linePitch="360"/>
        </w:sectPr>
      </w:pPr>
    </w:p>
    <w:p w:rsidR="004771C7" w:rsidRPr="005C4F41" w:rsidRDefault="004771C7" w:rsidP="004771C7">
      <w:pPr>
        <w:spacing w:after="0" w:line="240" w:lineRule="auto"/>
        <w:ind w:firstLine="0"/>
        <w:rPr>
          <w:rFonts w:ascii="Garamond" w:eastAsia="Times New Roman" w:hAnsi="Garamond"/>
          <w:spacing w:val="-4"/>
          <w:sz w:val="18"/>
          <w:szCs w:val="24"/>
          <w:lang w:val="sq-AL" w:eastAsia="en-GB"/>
        </w:rPr>
      </w:pPr>
    </w:p>
    <w:p w:rsidR="004771C7" w:rsidRPr="005C4F41" w:rsidRDefault="004771C7" w:rsidP="004771C7">
      <w:pPr>
        <w:spacing w:after="0" w:line="240" w:lineRule="auto"/>
        <w:ind w:firstLine="0"/>
        <w:rPr>
          <w:rFonts w:ascii="Garamond" w:eastAsia="Times New Roman" w:hAnsi="Garamond" w:cs="Arial"/>
          <w:b/>
          <w:bCs/>
          <w:sz w:val="16"/>
          <w:szCs w:val="16"/>
          <w:lang w:val="sq-AL"/>
        </w:rPr>
      </w:pPr>
      <w:r w:rsidRPr="005C4F41">
        <w:rPr>
          <w:rFonts w:ascii="Garamond" w:eastAsia="Times New Roman" w:hAnsi="Garamond" w:cs="Arial"/>
          <w:b/>
          <w:bCs/>
          <w:sz w:val="16"/>
          <w:szCs w:val="16"/>
          <w:lang w:val="sq-AL"/>
        </w:rPr>
        <w:t>REPUBLIKA E SHQIPËRISË</w:t>
      </w:r>
    </w:p>
    <w:p w:rsidR="004771C7" w:rsidRPr="005C4F41" w:rsidRDefault="004771C7" w:rsidP="004771C7">
      <w:pPr>
        <w:spacing w:after="0" w:line="240" w:lineRule="auto"/>
        <w:ind w:firstLine="0"/>
        <w:rPr>
          <w:rFonts w:ascii="Garamond" w:eastAsia="Times New Roman" w:hAnsi="Garamond" w:cs="Arial"/>
          <w:b/>
          <w:bCs/>
          <w:sz w:val="16"/>
          <w:szCs w:val="16"/>
          <w:lang w:val="sq-AL"/>
        </w:rPr>
      </w:pPr>
      <w:r w:rsidRPr="005C4F41">
        <w:rPr>
          <w:rFonts w:ascii="Garamond" w:eastAsia="Times New Roman" w:hAnsi="Garamond" w:cs="Arial"/>
          <w:b/>
          <w:bCs/>
          <w:sz w:val="16"/>
          <w:szCs w:val="16"/>
          <w:lang w:val="sq-AL"/>
        </w:rPr>
        <w:t>MINISTRIA E TRANSPORTIT DHE INFRASTRUKTURËS</w:t>
      </w:r>
    </w:p>
    <w:p w:rsidR="004771C7" w:rsidRPr="005C4F41" w:rsidRDefault="004771C7" w:rsidP="004771C7">
      <w:pPr>
        <w:spacing w:after="0" w:line="240" w:lineRule="auto"/>
        <w:ind w:firstLine="0"/>
        <w:rPr>
          <w:rFonts w:ascii="Garamond" w:eastAsia="Times New Roman" w:hAnsi="Garamond"/>
          <w:spacing w:val="-4"/>
          <w:sz w:val="16"/>
          <w:szCs w:val="16"/>
          <w:lang w:val="sq-AL" w:eastAsia="en-GB"/>
        </w:rPr>
      </w:pPr>
      <w:r w:rsidRPr="005C4F41">
        <w:rPr>
          <w:rFonts w:ascii="Garamond" w:eastAsia="Times New Roman" w:hAnsi="Garamond" w:cs="Arial"/>
          <w:b/>
          <w:bCs/>
          <w:sz w:val="16"/>
          <w:szCs w:val="16"/>
          <w:lang w:val="sq-AL"/>
        </w:rPr>
        <w:t>DREJTORIA E PËRGJITHSHME E UJËSJELLËS-KANALIZIME</w:t>
      </w:r>
    </w:p>
    <w:p w:rsidR="004771C7" w:rsidRPr="005C4F41" w:rsidRDefault="004771C7" w:rsidP="004771C7">
      <w:pPr>
        <w:spacing w:after="0" w:line="240" w:lineRule="auto"/>
        <w:ind w:firstLine="0"/>
        <w:rPr>
          <w:rFonts w:ascii="Garamond" w:eastAsia="Times New Roman" w:hAnsi="Garamond"/>
          <w:spacing w:val="-4"/>
          <w:sz w:val="16"/>
          <w:szCs w:val="16"/>
          <w:lang w:val="sq-AL" w:eastAsia="en-GB"/>
        </w:rPr>
      </w:pPr>
      <w:r w:rsidRPr="005C4F41">
        <w:rPr>
          <w:rFonts w:ascii="Garamond" w:eastAsia="Times New Roman" w:hAnsi="Garamond" w:cs="Arial"/>
          <w:b/>
          <w:bCs/>
          <w:sz w:val="16"/>
          <w:szCs w:val="16"/>
          <w:lang w:val="sq-AL"/>
        </w:rPr>
        <w:t>SEKTORI I SHPRONËSIMEVE</w:t>
      </w:r>
    </w:p>
    <w:p w:rsidR="004771C7" w:rsidRPr="005C4F41" w:rsidRDefault="004771C7" w:rsidP="004771C7">
      <w:pPr>
        <w:spacing w:after="0" w:line="240" w:lineRule="auto"/>
        <w:ind w:firstLine="0"/>
        <w:rPr>
          <w:rFonts w:ascii="Garamond" w:eastAsia="Times New Roman" w:hAnsi="Garamond"/>
          <w:spacing w:val="-4"/>
          <w:sz w:val="14"/>
          <w:szCs w:val="24"/>
          <w:lang w:val="sq-AL" w:eastAsia="en-GB"/>
        </w:rPr>
      </w:pPr>
    </w:p>
    <w:p w:rsidR="004771C7" w:rsidRPr="005C4F41" w:rsidRDefault="004771C7" w:rsidP="004771C7">
      <w:pPr>
        <w:spacing w:after="0" w:line="240" w:lineRule="auto"/>
        <w:ind w:firstLine="0"/>
        <w:jc w:val="center"/>
        <w:rPr>
          <w:rFonts w:ascii="Garamond" w:eastAsia="Times New Roman" w:hAnsi="Garamond" w:cs="Arial"/>
          <w:bCs/>
          <w:sz w:val="18"/>
          <w:szCs w:val="18"/>
          <w:lang w:val="sq-AL"/>
        </w:rPr>
      </w:pPr>
      <w:r w:rsidRPr="005C4F41">
        <w:rPr>
          <w:rFonts w:ascii="Garamond" w:eastAsia="Times New Roman" w:hAnsi="Garamond" w:cs="Arial"/>
          <w:bCs/>
          <w:sz w:val="18"/>
          <w:szCs w:val="18"/>
          <w:lang w:val="sq-AL"/>
        </w:rPr>
        <w:t>LISTA E PRONARËVE QË PREKEN NGA PROJEKTI “FURNIZIMI ME UJË I PLAZHEVE DURRËS - KAVAJË NGA PUSSHPIMET E ÇERMËS (LOTI I)”</w:t>
      </w:r>
    </w:p>
    <w:p w:rsidR="004771C7" w:rsidRPr="005C4F41" w:rsidRDefault="004771C7" w:rsidP="004771C7">
      <w:pPr>
        <w:spacing w:after="0" w:line="240" w:lineRule="auto"/>
        <w:ind w:firstLine="0"/>
        <w:rPr>
          <w:rFonts w:ascii="Garamond" w:eastAsia="Times New Roman" w:hAnsi="Garamond"/>
          <w:spacing w:val="-4"/>
          <w:sz w:val="16"/>
          <w:szCs w:val="24"/>
          <w:lang w:val="sq-AL" w:eastAsia="en-GB"/>
        </w:rPr>
      </w:pPr>
    </w:p>
    <w:tbl>
      <w:tblPr>
        <w:tblW w:w="5059" w:type="pct"/>
        <w:tblLook w:val="04A0" w:firstRow="1" w:lastRow="0" w:firstColumn="1" w:lastColumn="0" w:noHBand="0" w:noVBand="1"/>
      </w:tblPr>
      <w:tblGrid>
        <w:gridCol w:w="492"/>
        <w:gridCol w:w="992"/>
        <w:gridCol w:w="752"/>
        <w:gridCol w:w="1162"/>
        <w:gridCol w:w="479"/>
        <w:gridCol w:w="549"/>
        <w:gridCol w:w="708"/>
        <w:gridCol w:w="992"/>
        <w:gridCol w:w="973"/>
        <w:gridCol w:w="676"/>
        <w:gridCol w:w="1692"/>
        <w:gridCol w:w="222"/>
      </w:tblGrid>
      <w:tr w:rsidR="004771C7" w:rsidRPr="005C4F41" w:rsidTr="00D85D56">
        <w:trPr>
          <w:trHeight w:val="139"/>
        </w:trPr>
        <w:tc>
          <w:tcPr>
            <w:tcW w:w="297" w:type="pct"/>
            <w:tcBorders>
              <w:top w:val="double" w:sz="6" w:space="0" w:color="auto"/>
              <w:left w:val="double" w:sz="6" w:space="0" w:color="auto"/>
              <w:bottom w:val="nil"/>
              <w:right w:val="nil"/>
            </w:tcBorders>
            <w:shd w:val="clear" w:color="auto" w:fill="auto"/>
            <w:noWrap/>
            <w:textDirection w:val="btLr"/>
            <w:vAlign w:val="bottom"/>
            <w:hideMark/>
          </w:tcPr>
          <w:p w:rsidR="004771C7" w:rsidRPr="005C4F41" w:rsidRDefault="004771C7" w:rsidP="00D85D56">
            <w:pPr>
              <w:spacing w:after="0" w:line="240" w:lineRule="auto"/>
              <w:ind w:firstLine="0"/>
              <w:jc w:val="left"/>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 </w:t>
            </w:r>
          </w:p>
        </w:tc>
        <w:tc>
          <w:tcPr>
            <w:tcW w:w="1570" w:type="pct"/>
            <w:gridSpan w:val="3"/>
            <w:tcBorders>
              <w:top w:val="double" w:sz="6" w:space="0" w:color="auto"/>
              <w:left w:val="double" w:sz="6" w:space="0" w:color="auto"/>
              <w:bottom w:val="double" w:sz="6" w:space="0" w:color="auto"/>
              <w:right w:val="double" w:sz="6" w:space="0" w:color="000000"/>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PRONARI</w:t>
            </w:r>
          </w:p>
        </w:tc>
        <w:tc>
          <w:tcPr>
            <w:tcW w:w="243" w:type="pct"/>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Z.K.</w:t>
            </w:r>
          </w:p>
        </w:tc>
        <w:tc>
          <w:tcPr>
            <w:tcW w:w="312" w:type="pct"/>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Nr. pas</w:t>
            </w:r>
          </w:p>
        </w:tc>
        <w:tc>
          <w:tcPr>
            <w:tcW w:w="360" w:type="pct"/>
            <w:tcBorders>
              <w:top w:val="double" w:sz="6" w:space="0" w:color="auto"/>
              <w:left w:val="nil"/>
              <w:bottom w:val="nil"/>
              <w:right w:val="single" w:sz="4"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 </w:t>
            </w:r>
          </w:p>
        </w:tc>
        <w:tc>
          <w:tcPr>
            <w:tcW w:w="497" w:type="pct"/>
            <w:tcBorders>
              <w:top w:val="double" w:sz="6" w:space="0" w:color="auto"/>
              <w:left w:val="double" w:sz="6" w:space="0" w:color="auto"/>
              <w:bottom w:val="nil"/>
              <w:right w:val="double" w:sz="6" w:space="0" w:color="auto"/>
            </w:tcBorders>
            <w:shd w:val="clear" w:color="auto" w:fill="auto"/>
            <w:noWrap/>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 </w:t>
            </w:r>
          </w:p>
        </w:tc>
        <w:tc>
          <w:tcPr>
            <w:tcW w:w="488" w:type="pct"/>
            <w:vMerge w:val="restart"/>
            <w:tcBorders>
              <w:top w:val="double" w:sz="6" w:space="0" w:color="auto"/>
              <w:left w:val="nil"/>
              <w:right w:val="double" w:sz="6" w:space="0" w:color="auto"/>
            </w:tcBorders>
            <w:shd w:val="clear" w:color="auto" w:fill="auto"/>
            <w:noWrap/>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 xml:space="preserve"> Çmimi   </w:t>
            </w:r>
          </w:p>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(lekë/m</w:t>
            </w:r>
            <w:r w:rsidRPr="005C4F41">
              <w:rPr>
                <w:rFonts w:ascii="Garamond" w:eastAsia="Times New Roman" w:hAnsi="Garamond" w:cs="Arial"/>
                <w:b/>
                <w:bCs/>
                <w:sz w:val="14"/>
                <w:szCs w:val="14"/>
                <w:vertAlign w:val="superscript"/>
                <w:lang w:val="sq-AL"/>
              </w:rPr>
              <w:t>2</w:t>
            </w:r>
            <w:r w:rsidRPr="005C4F41">
              <w:rPr>
                <w:rFonts w:ascii="Garamond" w:eastAsia="Times New Roman" w:hAnsi="Garamond" w:cs="Arial"/>
                <w:b/>
                <w:bCs/>
                <w:sz w:val="14"/>
                <w:szCs w:val="14"/>
                <w:lang w:val="sq-AL"/>
              </w:rPr>
              <w:t>)</w:t>
            </w:r>
          </w:p>
        </w:tc>
        <w:tc>
          <w:tcPr>
            <w:tcW w:w="339" w:type="pct"/>
            <w:tcBorders>
              <w:top w:val="double" w:sz="6" w:space="0" w:color="auto"/>
              <w:left w:val="nil"/>
              <w:bottom w:val="nil"/>
              <w:right w:val="double" w:sz="6" w:space="0" w:color="auto"/>
            </w:tcBorders>
            <w:shd w:val="clear" w:color="auto" w:fill="auto"/>
            <w:noWrap/>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 </w:t>
            </w:r>
          </w:p>
        </w:tc>
        <w:tc>
          <w:tcPr>
            <w:tcW w:w="782"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Shënime</w:t>
            </w:r>
          </w:p>
        </w:tc>
        <w:tc>
          <w:tcPr>
            <w:tcW w:w="111" w:type="pct"/>
            <w:tcBorders>
              <w:top w:val="nil"/>
              <w:left w:val="nil"/>
              <w:bottom w:val="nil"/>
              <w:right w:val="nil"/>
            </w:tcBorders>
            <w:shd w:val="clear" w:color="auto" w:fill="auto"/>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r w:rsidR="004771C7" w:rsidRPr="005C4F41" w:rsidTr="00D85D56">
        <w:trPr>
          <w:trHeight w:val="139"/>
        </w:trPr>
        <w:tc>
          <w:tcPr>
            <w:tcW w:w="297" w:type="pct"/>
            <w:tcBorders>
              <w:top w:val="nil"/>
              <w:left w:val="double" w:sz="6" w:space="0" w:color="auto"/>
              <w:bottom w:val="double" w:sz="6" w:space="0" w:color="auto"/>
              <w:right w:val="nil"/>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Nr.</w:t>
            </w:r>
          </w:p>
        </w:tc>
        <w:tc>
          <w:tcPr>
            <w:tcW w:w="497" w:type="pct"/>
            <w:tcBorders>
              <w:top w:val="nil"/>
              <w:left w:val="double" w:sz="6" w:space="0" w:color="auto"/>
              <w:bottom w:val="double" w:sz="6" w:space="0" w:color="auto"/>
              <w:right w:val="single" w:sz="4"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EMRI</w:t>
            </w:r>
          </w:p>
        </w:tc>
        <w:tc>
          <w:tcPr>
            <w:tcW w:w="431" w:type="pct"/>
            <w:tcBorders>
              <w:top w:val="nil"/>
              <w:left w:val="nil"/>
              <w:bottom w:val="double" w:sz="6" w:space="0" w:color="auto"/>
              <w:right w:val="single" w:sz="4"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ATËSIA</w:t>
            </w:r>
          </w:p>
        </w:tc>
        <w:tc>
          <w:tcPr>
            <w:tcW w:w="641" w:type="pct"/>
            <w:tcBorders>
              <w:top w:val="nil"/>
              <w:left w:val="nil"/>
              <w:bottom w:val="double" w:sz="6" w:space="0" w:color="auto"/>
              <w:right w:val="double" w:sz="6"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MBIEMRI</w:t>
            </w:r>
          </w:p>
        </w:tc>
        <w:tc>
          <w:tcPr>
            <w:tcW w:w="243" w:type="pct"/>
            <w:vMerge/>
            <w:tcBorders>
              <w:top w:val="double" w:sz="6" w:space="0" w:color="auto"/>
              <w:left w:val="double" w:sz="6" w:space="0" w:color="auto"/>
              <w:bottom w:val="double" w:sz="6" w:space="0" w:color="000000"/>
              <w:right w:val="single" w:sz="4" w:space="0" w:color="auto"/>
            </w:tcBorders>
            <w:vAlign w:val="center"/>
            <w:hideMark/>
          </w:tcPr>
          <w:p w:rsidR="004771C7" w:rsidRPr="005C4F41" w:rsidRDefault="004771C7" w:rsidP="00D85D56">
            <w:pPr>
              <w:spacing w:after="0" w:line="240" w:lineRule="auto"/>
              <w:ind w:firstLine="0"/>
              <w:jc w:val="left"/>
              <w:rPr>
                <w:rFonts w:ascii="Garamond" w:eastAsia="Times New Roman" w:hAnsi="Garamond" w:cs="Arial"/>
                <w:b/>
                <w:bCs/>
                <w:sz w:val="14"/>
                <w:szCs w:val="14"/>
                <w:lang w:val="sq-AL"/>
              </w:rPr>
            </w:pPr>
          </w:p>
        </w:tc>
        <w:tc>
          <w:tcPr>
            <w:tcW w:w="312" w:type="pct"/>
            <w:vMerge/>
            <w:tcBorders>
              <w:top w:val="double" w:sz="6" w:space="0" w:color="auto"/>
              <w:left w:val="single" w:sz="4" w:space="0" w:color="auto"/>
              <w:bottom w:val="double" w:sz="6" w:space="0" w:color="000000"/>
              <w:right w:val="single" w:sz="4" w:space="0" w:color="auto"/>
            </w:tcBorders>
            <w:vAlign w:val="center"/>
            <w:hideMark/>
          </w:tcPr>
          <w:p w:rsidR="004771C7" w:rsidRPr="005C4F41" w:rsidRDefault="004771C7" w:rsidP="00D85D56">
            <w:pPr>
              <w:spacing w:after="0" w:line="240" w:lineRule="auto"/>
              <w:ind w:firstLine="0"/>
              <w:jc w:val="left"/>
              <w:rPr>
                <w:rFonts w:ascii="Garamond" w:eastAsia="Times New Roman" w:hAnsi="Garamond" w:cs="Arial"/>
                <w:b/>
                <w:bCs/>
                <w:sz w:val="14"/>
                <w:szCs w:val="14"/>
                <w:lang w:val="sq-AL"/>
              </w:rPr>
            </w:pPr>
          </w:p>
        </w:tc>
        <w:tc>
          <w:tcPr>
            <w:tcW w:w="360" w:type="pct"/>
            <w:tcBorders>
              <w:top w:val="nil"/>
              <w:left w:val="nil"/>
              <w:bottom w:val="double" w:sz="6" w:space="0" w:color="auto"/>
              <w:right w:val="single" w:sz="4"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Lloji i pasurisë</w:t>
            </w:r>
          </w:p>
        </w:tc>
        <w:tc>
          <w:tcPr>
            <w:tcW w:w="497" w:type="pct"/>
            <w:tcBorders>
              <w:top w:val="nil"/>
              <w:left w:val="double" w:sz="6" w:space="0" w:color="auto"/>
              <w:bottom w:val="double" w:sz="6" w:space="0" w:color="auto"/>
              <w:right w:val="double" w:sz="6"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Sipërfaqja e shpronësimit  (m</w:t>
            </w:r>
            <w:r w:rsidRPr="005C4F41">
              <w:rPr>
                <w:rFonts w:ascii="Garamond" w:eastAsia="Times New Roman" w:hAnsi="Garamond" w:cs="Arial"/>
                <w:b/>
                <w:bCs/>
                <w:sz w:val="14"/>
                <w:szCs w:val="14"/>
                <w:vertAlign w:val="superscript"/>
                <w:lang w:val="sq-AL"/>
              </w:rPr>
              <w:t>2</w:t>
            </w:r>
            <w:r w:rsidRPr="005C4F41">
              <w:rPr>
                <w:rFonts w:ascii="Garamond" w:eastAsia="Times New Roman" w:hAnsi="Garamond" w:cs="Arial"/>
                <w:b/>
                <w:bCs/>
                <w:sz w:val="14"/>
                <w:szCs w:val="14"/>
                <w:lang w:val="sq-AL"/>
              </w:rPr>
              <w:t>)</w:t>
            </w:r>
          </w:p>
        </w:tc>
        <w:tc>
          <w:tcPr>
            <w:tcW w:w="488" w:type="pct"/>
            <w:vMerge/>
            <w:tcBorders>
              <w:left w:val="nil"/>
              <w:bottom w:val="double" w:sz="6" w:space="0" w:color="auto"/>
              <w:right w:val="double" w:sz="6"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p>
        </w:tc>
        <w:tc>
          <w:tcPr>
            <w:tcW w:w="339" w:type="pct"/>
            <w:tcBorders>
              <w:top w:val="nil"/>
              <w:left w:val="nil"/>
              <w:bottom w:val="double" w:sz="6" w:space="0" w:color="auto"/>
              <w:right w:val="double" w:sz="6" w:space="0" w:color="auto"/>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r w:rsidRPr="005C4F41">
              <w:rPr>
                <w:rFonts w:ascii="Garamond" w:eastAsia="Times New Roman" w:hAnsi="Garamond" w:cs="Arial"/>
                <w:b/>
                <w:bCs/>
                <w:sz w:val="14"/>
                <w:szCs w:val="14"/>
                <w:lang w:val="sq-AL"/>
              </w:rPr>
              <w:t>Vlera     (lekë)</w:t>
            </w:r>
          </w:p>
        </w:tc>
        <w:tc>
          <w:tcPr>
            <w:tcW w:w="782" w:type="pct"/>
            <w:vMerge/>
            <w:tcBorders>
              <w:top w:val="double" w:sz="6" w:space="0" w:color="auto"/>
              <w:left w:val="double" w:sz="6" w:space="0" w:color="auto"/>
              <w:bottom w:val="double" w:sz="6" w:space="0" w:color="000000"/>
              <w:right w:val="double" w:sz="6" w:space="0" w:color="auto"/>
            </w:tcBorders>
            <w:vAlign w:val="center"/>
            <w:hideMark/>
          </w:tcPr>
          <w:p w:rsidR="004771C7" w:rsidRPr="005C4F41" w:rsidRDefault="004771C7" w:rsidP="00D85D56">
            <w:pPr>
              <w:spacing w:after="0" w:line="240" w:lineRule="auto"/>
              <w:ind w:firstLine="0"/>
              <w:jc w:val="left"/>
              <w:rPr>
                <w:rFonts w:ascii="Garamond" w:eastAsia="Times New Roman" w:hAnsi="Garamond" w:cs="Arial"/>
                <w:b/>
                <w:bCs/>
                <w:sz w:val="14"/>
                <w:szCs w:val="14"/>
                <w:lang w:val="sq-AL"/>
              </w:rPr>
            </w:pPr>
          </w:p>
        </w:tc>
        <w:tc>
          <w:tcPr>
            <w:tcW w:w="111" w:type="pct"/>
            <w:tcBorders>
              <w:top w:val="nil"/>
              <w:left w:val="nil"/>
              <w:bottom w:val="nil"/>
              <w:right w:val="nil"/>
            </w:tcBorders>
            <w:shd w:val="clear" w:color="auto" w:fill="auto"/>
            <w:vAlign w:val="center"/>
            <w:hideMark/>
          </w:tcPr>
          <w:p w:rsidR="004771C7" w:rsidRPr="005C4F41" w:rsidRDefault="004771C7" w:rsidP="00D85D56">
            <w:pPr>
              <w:spacing w:after="0" w:line="240" w:lineRule="auto"/>
              <w:ind w:firstLine="0"/>
              <w:jc w:val="center"/>
              <w:rPr>
                <w:rFonts w:ascii="Garamond" w:eastAsia="Times New Roman" w:hAnsi="Garamond" w:cs="Arial"/>
                <w:b/>
                <w:bCs/>
                <w:sz w:val="14"/>
                <w:szCs w:val="14"/>
                <w:lang w:val="sq-AL"/>
              </w:rPr>
            </w:pPr>
          </w:p>
        </w:tc>
      </w:tr>
      <w:tr w:rsidR="004771C7" w:rsidRPr="005C4F41" w:rsidTr="00D85D56">
        <w:trPr>
          <w:trHeight w:val="139"/>
        </w:trPr>
        <w:tc>
          <w:tcPr>
            <w:tcW w:w="297"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1</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r w:rsidRPr="005C4F41">
              <w:rPr>
                <w:rFonts w:ascii="Garamond" w:eastAsia="Times New Roman" w:hAnsi="Garamond" w:cs="Arial"/>
                <w:sz w:val="14"/>
                <w:szCs w:val="14"/>
                <w:lang w:val="sq-AL"/>
              </w:rPr>
              <w:t>Hamid</w:t>
            </w:r>
          </w:p>
        </w:tc>
        <w:tc>
          <w:tcPr>
            <w:tcW w:w="431" w:type="pct"/>
            <w:tcBorders>
              <w:top w:val="single" w:sz="4" w:space="0" w:color="auto"/>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Ismail</w:t>
            </w:r>
          </w:p>
        </w:tc>
        <w:tc>
          <w:tcPr>
            <w:tcW w:w="641" w:type="pct"/>
            <w:tcBorders>
              <w:top w:val="single" w:sz="4" w:space="0" w:color="auto"/>
              <w:left w:val="nil"/>
              <w:bottom w:val="single" w:sz="4" w:space="0" w:color="auto"/>
              <w:right w:val="nil"/>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Karaboja</w:t>
            </w:r>
          </w:p>
        </w:tc>
        <w:tc>
          <w:tcPr>
            <w:tcW w:w="243" w:type="pct"/>
            <w:tcBorders>
              <w:top w:val="single" w:sz="4" w:space="0" w:color="auto"/>
              <w:left w:val="double" w:sz="6" w:space="0" w:color="auto"/>
              <w:bottom w:val="single" w:sz="4" w:space="0" w:color="auto"/>
              <w:right w:val="single" w:sz="4" w:space="0" w:color="auto"/>
            </w:tcBorders>
            <w:shd w:val="clear" w:color="auto" w:fill="auto"/>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2291</w:t>
            </w:r>
          </w:p>
        </w:tc>
        <w:tc>
          <w:tcPr>
            <w:tcW w:w="312" w:type="pct"/>
            <w:tcBorders>
              <w:top w:val="single" w:sz="4" w:space="0" w:color="auto"/>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8/4.</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arë</w:t>
            </w:r>
          </w:p>
        </w:tc>
        <w:tc>
          <w:tcPr>
            <w:tcW w:w="497"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3082</w:t>
            </w:r>
          </w:p>
        </w:tc>
        <w:tc>
          <w:tcPr>
            <w:tcW w:w="488"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xml:space="preserve">                329 </w:t>
            </w:r>
          </w:p>
        </w:tc>
        <w:tc>
          <w:tcPr>
            <w:tcW w:w="339" w:type="pct"/>
            <w:tcBorders>
              <w:top w:val="single" w:sz="4" w:space="0" w:color="auto"/>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1013978</w:t>
            </w:r>
          </w:p>
        </w:tc>
        <w:tc>
          <w:tcPr>
            <w:tcW w:w="782" w:type="pct"/>
            <w:tcBorders>
              <w:top w:val="single" w:sz="4" w:space="0" w:color="auto"/>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Konfirmuar nga ZVRPP-ja</w:t>
            </w:r>
          </w:p>
        </w:tc>
        <w:tc>
          <w:tcPr>
            <w:tcW w:w="111" w:type="pct"/>
            <w:tcBorders>
              <w:top w:val="nil"/>
              <w:left w:val="nil"/>
              <w:bottom w:val="nil"/>
              <w:right w:val="nil"/>
            </w:tcBorders>
            <w:shd w:val="clear" w:color="auto" w:fill="auto"/>
            <w:noWrap/>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r w:rsidR="004771C7" w:rsidRPr="005C4F41" w:rsidTr="00D85D56">
        <w:trPr>
          <w:trHeight w:val="139"/>
        </w:trPr>
        <w:tc>
          <w:tcPr>
            <w:tcW w:w="2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2</w:t>
            </w:r>
          </w:p>
        </w:tc>
        <w:tc>
          <w:tcPr>
            <w:tcW w:w="497"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r w:rsidRPr="005C4F41">
              <w:rPr>
                <w:rFonts w:ascii="Garamond" w:eastAsia="Times New Roman" w:hAnsi="Garamond" w:cs="Arial"/>
                <w:sz w:val="14"/>
                <w:szCs w:val="14"/>
                <w:lang w:val="sq-AL"/>
              </w:rPr>
              <w:t>Fatmir</w:t>
            </w:r>
          </w:p>
        </w:tc>
        <w:tc>
          <w:tcPr>
            <w:tcW w:w="431"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Shefik</w:t>
            </w:r>
          </w:p>
        </w:tc>
        <w:tc>
          <w:tcPr>
            <w:tcW w:w="641" w:type="pct"/>
            <w:tcBorders>
              <w:top w:val="nil"/>
              <w:left w:val="nil"/>
              <w:bottom w:val="single" w:sz="4" w:space="0" w:color="auto"/>
              <w:right w:val="nil"/>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Belba</w:t>
            </w:r>
          </w:p>
        </w:tc>
        <w:tc>
          <w:tcPr>
            <w:tcW w:w="243" w:type="pct"/>
            <w:tcBorders>
              <w:top w:val="nil"/>
              <w:left w:val="double" w:sz="6" w:space="0" w:color="auto"/>
              <w:bottom w:val="single" w:sz="4" w:space="0" w:color="auto"/>
              <w:right w:val="single" w:sz="4" w:space="0" w:color="auto"/>
            </w:tcBorders>
            <w:shd w:val="clear" w:color="auto" w:fill="auto"/>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2291</w:t>
            </w:r>
          </w:p>
        </w:tc>
        <w:tc>
          <w:tcPr>
            <w:tcW w:w="312"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8/6.</w:t>
            </w:r>
          </w:p>
        </w:tc>
        <w:tc>
          <w:tcPr>
            <w:tcW w:w="360"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arë</w:t>
            </w:r>
          </w:p>
        </w:tc>
        <w:tc>
          <w:tcPr>
            <w:tcW w:w="4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111</w:t>
            </w:r>
          </w:p>
        </w:tc>
        <w:tc>
          <w:tcPr>
            <w:tcW w:w="488"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xml:space="preserve">                329 </w:t>
            </w:r>
          </w:p>
        </w:tc>
        <w:tc>
          <w:tcPr>
            <w:tcW w:w="339"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36519</w:t>
            </w:r>
          </w:p>
        </w:tc>
        <w:tc>
          <w:tcPr>
            <w:tcW w:w="782"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Konfirmuar nga ZVRPP-ja</w:t>
            </w:r>
          </w:p>
        </w:tc>
        <w:tc>
          <w:tcPr>
            <w:tcW w:w="111" w:type="pct"/>
            <w:tcBorders>
              <w:top w:val="nil"/>
              <w:left w:val="nil"/>
              <w:bottom w:val="nil"/>
              <w:right w:val="nil"/>
            </w:tcBorders>
            <w:shd w:val="clear" w:color="auto" w:fill="auto"/>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r w:rsidR="004771C7" w:rsidRPr="005C4F41" w:rsidTr="00D85D56">
        <w:trPr>
          <w:trHeight w:val="139"/>
        </w:trPr>
        <w:tc>
          <w:tcPr>
            <w:tcW w:w="2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3</w:t>
            </w:r>
          </w:p>
        </w:tc>
        <w:tc>
          <w:tcPr>
            <w:tcW w:w="497"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r w:rsidRPr="005C4F41">
              <w:rPr>
                <w:rFonts w:ascii="Garamond" w:eastAsia="Times New Roman" w:hAnsi="Garamond" w:cs="Arial"/>
                <w:sz w:val="14"/>
                <w:szCs w:val="14"/>
                <w:lang w:val="sq-AL"/>
              </w:rPr>
              <w:t>Sherbet</w:t>
            </w:r>
          </w:p>
        </w:tc>
        <w:tc>
          <w:tcPr>
            <w:tcW w:w="431"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Ago</w:t>
            </w:r>
          </w:p>
        </w:tc>
        <w:tc>
          <w:tcPr>
            <w:tcW w:w="641"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Alliu</w:t>
            </w:r>
          </w:p>
        </w:tc>
        <w:tc>
          <w:tcPr>
            <w:tcW w:w="243" w:type="pct"/>
            <w:tcBorders>
              <w:top w:val="nil"/>
              <w:left w:val="nil"/>
              <w:bottom w:val="single" w:sz="4" w:space="0" w:color="auto"/>
              <w:right w:val="single" w:sz="4" w:space="0" w:color="auto"/>
            </w:tcBorders>
            <w:shd w:val="clear" w:color="auto" w:fill="auto"/>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2291</w:t>
            </w:r>
          </w:p>
        </w:tc>
        <w:tc>
          <w:tcPr>
            <w:tcW w:w="312"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8/10.</w:t>
            </w:r>
          </w:p>
        </w:tc>
        <w:tc>
          <w:tcPr>
            <w:tcW w:w="360"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arë</w:t>
            </w:r>
          </w:p>
        </w:tc>
        <w:tc>
          <w:tcPr>
            <w:tcW w:w="4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1000</w:t>
            </w:r>
          </w:p>
        </w:tc>
        <w:tc>
          <w:tcPr>
            <w:tcW w:w="488"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xml:space="preserve">                329 </w:t>
            </w:r>
          </w:p>
        </w:tc>
        <w:tc>
          <w:tcPr>
            <w:tcW w:w="339"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329000</w:t>
            </w:r>
          </w:p>
        </w:tc>
        <w:tc>
          <w:tcPr>
            <w:tcW w:w="782"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Konfirmuar nga ZVRPP-ja</w:t>
            </w:r>
          </w:p>
        </w:tc>
        <w:tc>
          <w:tcPr>
            <w:tcW w:w="111" w:type="pct"/>
            <w:tcBorders>
              <w:top w:val="nil"/>
              <w:left w:val="nil"/>
              <w:bottom w:val="nil"/>
              <w:right w:val="nil"/>
            </w:tcBorders>
            <w:shd w:val="clear" w:color="auto" w:fill="auto"/>
            <w:noWrap/>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r w:rsidR="004771C7" w:rsidRPr="005C4F41" w:rsidTr="00D85D56">
        <w:trPr>
          <w:trHeight w:val="139"/>
        </w:trPr>
        <w:tc>
          <w:tcPr>
            <w:tcW w:w="2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4</w:t>
            </w:r>
          </w:p>
        </w:tc>
        <w:tc>
          <w:tcPr>
            <w:tcW w:w="497"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r w:rsidRPr="005C4F41">
              <w:rPr>
                <w:rFonts w:ascii="Garamond" w:eastAsia="Times New Roman" w:hAnsi="Garamond" w:cs="Arial"/>
                <w:sz w:val="14"/>
                <w:szCs w:val="14"/>
                <w:lang w:val="sq-AL"/>
              </w:rPr>
              <w:t>Sherbet</w:t>
            </w:r>
          </w:p>
        </w:tc>
        <w:tc>
          <w:tcPr>
            <w:tcW w:w="431"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Ago</w:t>
            </w:r>
          </w:p>
        </w:tc>
        <w:tc>
          <w:tcPr>
            <w:tcW w:w="641"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Alliu</w:t>
            </w:r>
          </w:p>
        </w:tc>
        <w:tc>
          <w:tcPr>
            <w:tcW w:w="243" w:type="pct"/>
            <w:tcBorders>
              <w:top w:val="nil"/>
              <w:left w:val="nil"/>
              <w:bottom w:val="single" w:sz="4" w:space="0" w:color="auto"/>
              <w:right w:val="single" w:sz="4" w:space="0" w:color="auto"/>
            </w:tcBorders>
            <w:shd w:val="clear" w:color="auto" w:fill="auto"/>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2291</w:t>
            </w:r>
          </w:p>
        </w:tc>
        <w:tc>
          <w:tcPr>
            <w:tcW w:w="312"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8/11.</w:t>
            </w:r>
          </w:p>
        </w:tc>
        <w:tc>
          <w:tcPr>
            <w:tcW w:w="360"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arë</w:t>
            </w:r>
          </w:p>
        </w:tc>
        <w:tc>
          <w:tcPr>
            <w:tcW w:w="4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500</w:t>
            </w:r>
          </w:p>
        </w:tc>
        <w:tc>
          <w:tcPr>
            <w:tcW w:w="488"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xml:space="preserve">                329 </w:t>
            </w:r>
          </w:p>
        </w:tc>
        <w:tc>
          <w:tcPr>
            <w:tcW w:w="339"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164500</w:t>
            </w:r>
          </w:p>
        </w:tc>
        <w:tc>
          <w:tcPr>
            <w:tcW w:w="782"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Konfirmuar nga ZVRPP-ja</w:t>
            </w:r>
          </w:p>
        </w:tc>
        <w:tc>
          <w:tcPr>
            <w:tcW w:w="111" w:type="pct"/>
            <w:tcBorders>
              <w:top w:val="nil"/>
              <w:left w:val="nil"/>
              <w:bottom w:val="nil"/>
              <w:right w:val="nil"/>
            </w:tcBorders>
            <w:shd w:val="clear" w:color="auto" w:fill="auto"/>
            <w:noWrap/>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r w:rsidR="004771C7" w:rsidRPr="005C4F41" w:rsidTr="00D85D56">
        <w:trPr>
          <w:trHeight w:val="139"/>
        </w:trPr>
        <w:tc>
          <w:tcPr>
            <w:tcW w:w="2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5</w:t>
            </w:r>
          </w:p>
        </w:tc>
        <w:tc>
          <w:tcPr>
            <w:tcW w:w="497"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xml:space="preserve">Aishe </w:t>
            </w:r>
          </w:p>
        </w:tc>
        <w:tc>
          <w:tcPr>
            <w:tcW w:w="431" w:type="pct"/>
            <w:tcBorders>
              <w:top w:val="nil"/>
              <w:left w:val="nil"/>
              <w:bottom w:val="single" w:sz="4" w:space="0" w:color="auto"/>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Fadil</w:t>
            </w:r>
          </w:p>
        </w:tc>
        <w:tc>
          <w:tcPr>
            <w:tcW w:w="641" w:type="pct"/>
            <w:tcBorders>
              <w:top w:val="nil"/>
              <w:left w:val="nil"/>
              <w:bottom w:val="single" w:sz="4" w:space="0" w:color="auto"/>
              <w:right w:val="nil"/>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Hoxha</w:t>
            </w:r>
          </w:p>
        </w:tc>
        <w:tc>
          <w:tcPr>
            <w:tcW w:w="243" w:type="pct"/>
            <w:tcBorders>
              <w:top w:val="nil"/>
              <w:left w:val="double" w:sz="6" w:space="0" w:color="auto"/>
              <w:bottom w:val="single" w:sz="4" w:space="0" w:color="auto"/>
              <w:right w:val="single" w:sz="4" w:space="0" w:color="auto"/>
            </w:tcBorders>
            <w:shd w:val="clear" w:color="auto" w:fill="auto"/>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2291</w:t>
            </w:r>
          </w:p>
        </w:tc>
        <w:tc>
          <w:tcPr>
            <w:tcW w:w="312"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8/12.</w:t>
            </w:r>
          </w:p>
        </w:tc>
        <w:tc>
          <w:tcPr>
            <w:tcW w:w="360"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arë</w:t>
            </w:r>
          </w:p>
        </w:tc>
        <w:tc>
          <w:tcPr>
            <w:tcW w:w="4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500</w:t>
            </w:r>
          </w:p>
        </w:tc>
        <w:tc>
          <w:tcPr>
            <w:tcW w:w="488"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xml:space="preserve">                329 </w:t>
            </w:r>
          </w:p>
        </w:tc>
        <w:tc>
          <w:tcPr>
            <w:tcW w:w="339"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164500</w:t>
            </w:r>
          </w:p>
        </w:tc>
        <w:tc>
          <w:tcPr>
            <w:tcW w:w="782"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Konfirmuar nga ZVRPP-ja</w:t>
            </w:r>
          </w:p>
        </w:tc>
        <w:tc>
          <w:tcPr>
            <w:tcW w:w="111" w:type="pct"/>
            <w:tcBorders>
              <w:top w:val="nil"/>
              <w:left w:val="nil"/>
              <w:bottom w:val="nil"/>
              <w:right w:val="nil"/>
            </w:tcBorders>
            <w:shd w:val="clear" w:color="auto" w:fill="auto"/>
            <w:noWrap/>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r w:rsidR="004771C7" w:rsidRPr="005C4F41" w:rsidTr="00D85D56">
        <w:trPr>
          <w:trHeight w:val="139"/>
        </w:trPr>
        <w:tc>
          <w:tcPr>
            <w:tcW w:w="297" w:type="pct"/>
            <w:tcBorders>
              <w:top w:val="nil"/>
              <w:left w:val="double" w:sz="6" w:space="0" w:color="auto"/>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6</w:t>
            </w:r>
          </w:p>
        </w:tc>
        <w:tc>
          <w:tcPr>
            <w:tcW w:w="497" w:type="pct"/>
            <w:tcBorders>
              <w:top w:val="nil"/>
              <w:left w:val="nil"/>
              <w:bottom w:val="nil"/>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Ferdinand</w:t>
            </w:r>
          </w:p>
        </w:tc>
        <w:tc>
          <w:tcPr>
            <w:tcW w:w="431" w:type="pct"/>
            <w:tcBorders>
              <w:top w:val="nil"/>
              <w:left w:val="nil"/>
              <w:bottom w:val="nil"/>
              <w:right w:val="single" w:sz="4" w:space="0" w:color="auto"/>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Dukalt</w:t>
            </w:r>
          </w:p>
        </w:tc>
        <w:tc>
          <w:tcPr>
            <w:tcW w:w="641" w:type="pct"/>
            <w:tcBorders>
              <w:top w:val="nil"/>
              <w:left w:val="nil"/>
              <w:bottom w:val="nil"/>
              <w:right w:val="nil"/>
            </w:tcBorders>
            <w:shd w:val="clear" w:color="auto" w:fill="auto"/>
            <w:noWrap/>
            <w:vAlign w:val="center"/>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Godo</w:t>
            </w:r>
          </w:p>
        </w:tc>
        <w:tc>
          <w:tcPr>
            <w:tcW w:w="243" w:type="pct"/>
            <w:tcBorders>
              <w:top w:val="nil"/>
              <w:left w:val="double" w:sz="6" w:space="0" w:color="auto"/>
              <w:bottom w:val="single" w:sz="4" w:space="0" w:color="auto"/>
              <w:right w:val="single" w:sz="4" w:space="0" w:color="auto"/>
            </w:tcBorders>
            <w:shd w:val="clear" w:color="auto" w:fill="auto"/>
            <w:vAlign w:val="bottom"/>
            <w:hideMark/>
          </w:tcPr>
          <w:p w:rsidR="004771C7" w:rsidRPr="005C4F41" w:rsidRDefault="004771C7" w:rsidP="00D85D56">
            <w:pPr>
              <w:spacing w:after="0" w:line="240" w:lineRule="auto"/>
              <w:ind w:firstLine="0"/>
              <w:jc w:val="right"/>
              <w:rPr>
                <w:rFonts w:ascii="Garamond" w:eastAsia="Times New Roman" w:hAnsi="Garamond" w:cs="Arial"/>
                <w:sz w:val="14"/>
                <w:szCs w:val="14"/>
                <w:lang w:val="sq-AL"/>
              </w:rPr>
            </w:pPr>
            <w:r w:rsidRPr="005C4F41">
              <w:rPr>
                <w:rFonts w:ascii="Garamond" w:eastAsia="Times New Roman" w:hAnsi="Garamond" w:cs="Arial"/>
                <w:sz w:val="14"/>
                <w:szCs w:val="14"/>
                <w:lang w:val="sq-AL"/>
              </w:rPr>
              <w:t>2291</w:t>
            </w:r>
          </w:p>
        </w:tc>
        <w:tc>
          <w:tcPr>
            <w:tcW w:w="312" w:type="pct"/>
            <w:tcBorders>
              <w:top w:val="nil"/>
              <w:left w:val="nil"/>
              <w:bottom w:val="nil"/>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45/14</w:t>
            </w:r>
          </w:p>
        </w:tc>
        <w:tc>
          <w:tcPr>
            <w:tcW w:w="360" w:type="pct"/>
            <w:tcBorders>
              <w:top w:val="nil"/>
              <w:left w:val="nil"/>
              <w:bottom w:val="single" w:sz="4"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arë</w:t>
            </w:r>
          </w:p>
        </w:tc>
        <w:tc>
          <w:tcPr>
            <w:tcW w:w="497" w:type="pct"/>
            <w:tcBorders>
              <w:top w:val="nil"/>
              <w:left w:val="double" w:sz="6" w:space="0" w:color="auto"/>
              <w:bottom w:val="nil"/>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135</w:t>
            </w:r>
          </w:p>
        </w:tc>
        <w:tc>
          <w:tcPr>
            <w:tcW w:w="488" w:type="pct"/>
            <w:tcBorders>
              <w:top w:val="nil"/>
              <w:left w:val="nil"/>
              <w:bottom w:val="single" w:sz="4" w:space="0" w:color="auto"/>
              <w:right w:val="double" w:sz="6" w:space="0" w:color="auto"/>
            </w:tcBorders>
            <w:shd w:val="clear" w:color="auto" w:fill="auto"/>
            <w:noWrap/>
            <w:vAlign w:val="center"/>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xml:space="preserve">                329 </w:t>
            </w:r>
          </w:p>
        </w:tc>
        <w:tc>
          <w:tcPr>
            <w:tcW w:w="339" w:type="pct"/>
            <w:tcBorders>
              <w:top w:val="nil"/>
              <w:left w:val="nil"/>
              <w:bottom w:val="nil"/>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44415</w:t>
            </w:r>
          </w:p>
        </w:tc>
        <w:tc>
          <w:tcPr>
            <w:tcW w:w="782" w:type="pct"/>
            <w:tcBorders>
              <w:top w:val="nil"/>
              <w:left w:val="nil"/>
              <w:bottom w:val="single" w:sz="4"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Konfirmuar nga ZVRPP-ja</w:t>
            </w:r>
          </w:p>
        </w:tc>
        <w:tc>
          <w:tcPr>
            <w:tcW w:w="111" w:type="pct"/>
            <w:tcBorders>
              <w:top w:val="nil"/>
              <w:left w:val="nil"/>
              <w:bottom w:val="nil"/>
              <w:right w:val="nil"/>
            </w:tcBorders>
            <w:shd w:val="clear" w:color="auto" w:fill="auto"/>
            <w:noWrap/>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r w:rsidR="004771C7" w:rsidRPr="005C4F41" w:rsidTr="00D85D56">
        <w:trPr>
          <w:trHeight w:val="139"/>
        </w:trPr>
        <w:tc>
          <w:tcPr>
            <w:tcW w:w="297" w:type="pct"/>
            <w:tcBorders>
              <w:top w:val="nil"/>
              <w:left w:val="double" w:sz="6" w:space="0" w:color="auto"/>
              <w:bottom w:val="double" w:sz="6"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sz w:val="14"/>
                <w:szCs w:val="14"/>
                <w:lang w:val="sq-AL"/>
              </w:rPr>
            </w:pPr>
            <w:r w:rsidRPr="005C4F41">
              <w:rPr>
                <w:rFonts w:ascii="Garamond" w:eastAsia="Times New Roman" w:hAnsi="Garamond" w:cs="Arial"/>
                <w:sz w:val="14"/>
                <w:szCs w:val="14"/>
                <w:lang w:val="sq-AL"/>
              </w:rPr>
              <w:t> </w:t>
            </w:r>
          </w:p>
        </w:tc>
        <w:tc>
          <w:tcPr>
            <w:tcW w:w="497" w:type="pct"/>
            <w:tcBorders>
              <w:top w:val="single" w:sz="4" w:space="0" w:color="auto"/>
              <w:left w:val="nil"/>
              <w:bottom w:val="double" w:sz="6" w:space="0" w:color="auto"/>
              <w:right w:val="nil"/>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b/>
                <w:bCs/>
                <w:color w:val="000000"/>
                <w:sz w:val="14"/>
                <w:szCs w:val="14"/>
                <w:lang w:val="sq-AL"/>
              </w:rPr>
            </w:pPr>
            <w:r w:rsidRPr="005C4F41">
              <w:rPr>
                <w:rFonts w:ascii="Garamond" w:eastAsia="Times New Roman" w:hAnsi="Garamond" w:cs="Arial"/>
                <w:b/>
                <w:bCs/>
                <w:color w:val="000000"/>
                <w:sz w:val="14"/>
                <w:szCs w:val="14"/>
                <w:lang w:val="sq-AL"/>
              </w:rPr>
              <w:t>Shuma totale</w:t>
            </w:r>
          </w:p>
        </w:tc>
        <w:tc>
          <w:tcPr>
            <w:tcW w:w="431" w:type="pct"/>
            <w:tcBorders>
              <w:top w:val="single" w:sz="4" w:space="0" w:color="auto"/>
              <w:left w:val="nil"/>
              <w:bottom w:val="double" w:sz="6" w:space="0" w:color="auto"/>
              <w:right w:val="nil"/>
            </w:tcBorders>
            <w:shd w:val="clear" w:color="auto" w:fill="auto"/>
            <w:noWrap/>
            <w:vAlign w:val="bottom"/>
            <w:hideMark/>
          </w:tcPr>
          <w:p w:rsidR="004771C7" w:rsidRPr="005C4F41" w:rsidRDefault="004771C7" w:rsidP="00D85D56">
            <w:pPr>
              <w:spacing w:after="0" w:line="240" w:lineRule="auto"/>
              <w:ind w:firstLine="0"/>
              <w:jc w:val="lef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w:t>
            </w:r>
          </w:p>
        </w:tc>
        <w:tc>
          <w:tcPr>
            <w:tcW w:w="641" w:type="pct"/>
            <w:tcBorders>
              <w:top w:val="single" w:sz="4" w:space="0" w:color="auto"/>
              <w:left w:val="nil"/>
              <w:bottom w:val="double" w:sz="6"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w:t>
            </w:r>
          </w:p>
        </w:tc>
        <w:tc>
          <w:tcPr>
            <w:tcW w:w="243" w:type="pct"/>
            <w:tcBorders>
              <w:top w:val="nil"/>
              <w:left w:val="nil"/>
              <w:bottom w:val="double" w:sz="6" w:space="0" w:color="auto"/>
              <w:right w:val="single" w:sz="4" w:space="0" w:color="auto"/>
            </w:tcBorders>
            <w:shd w:val="clear" w:color="auto" w:fill="auto"/>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w:t>
            </w:r>
          </w:p>
        </w:tc>
        <w:tc>
          <w:tcPr>
            <w:tcW w:w="312" w:type="pct"/>
            <w:tcBorders>
              <w:top w:val="single" w:sz="4" w:space="0" w:color="auto"/>
              <w:left w:val="nil"/>
              <w:bottom w:val="double" w:sz="6"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w:t>
            </w:r>
          </w:p>
        </w:tc>
        <w:tc>
          <w:tcPr>
            <w:tcW w:w="360" w:type="pct"/>
            <w:tcBorders>
              <w:top w:val="nil"/>
              <w:left w:val="nil"/>
              <w:bottom w:val="double" w:sz="6" w:space="0" w:color="auto"/>
              <w:right w:val="single" w:sz="4"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w:t>
            </w:r>
          </w:p>
        </w:tc>
        <w:tc>
          <w:tcPr>
            <w:tcW w:w="497" w:type="pct"/>
            <w:tcBorders>
              <w:top w:val="single" w:sz="4" w:space="0" w:color="auto"/>
              <w:left w:val="double" w:sz="6" w:space="0" w:color="auto"/>
              <w:bottom w:val="double" w:sz="6"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5328</w:t>
            </w:r>
          </w:p>
        </w:tc>
        <w:tc>
          <w:tcPr>
            <w:tcW w:w="488" w:type="pct"/>
            <w:tcBorders>
              <w:top w:val="nil"/>
              <w:left w:val="nil"/>
              <w:bottom w:val="double" w:sz="6"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w:t>
            </w:r>
          </w:p>
        </w:tc>
        <w:tc>
          <w:tcPr>
            <w:tcW w:w="339" w:type="pct"/>
            <w:tcBorders>
              <w:top w:val="single" w:sz="4" w:space="0" w:color="auto"/>
              <w:left w:val="nil"/>
              <w:bottom w:val="double" w:sz="6" w:space="0" w:color="auto"/>
              <w:right w:val="double" w:sz="6" w:space="0" w:color="auto"/>
            </w:tcBorders>
            <w:shd w:val="clear" w:color="auto" w:fill="auto"/>
            <w:noWrap/>
            <w:vAlign w:val="bottom"/>
            <w:hideMark/>
          </w:tcPr>
          <w:p w:rsidR="004771C7" w:rsidRPr="005C4F41" w:rsidRDefault="004771C7" w:rsidP="00D85D56">
            <w:pPr>
              <w:spacing w:after="0" w:line="240" w:lineRule="auto"/>
              <w:ind w:firstLine="0"/>
              <w:jc w:val="right"/>
              <w:rPr>
                <w:rFonts w:ascii="Garamond" w:eastAsia="Times New Roman" w:hAnsi="Garamond" w:cs="Arial"/>
                <w:b/>
                <w:bCs/>
                <w:color w:val="000000"/>
                <w:sz w:val="14"/>
                <w:szCs w:val="14"/>
                <w:lang w:val="sq-AL"/>
              </w:rPr>
            </w:pPr>
            <w:r w:rsidRPr="005C4F41">
              <w:rPr>
                <w:rFonts w:ascii="Garamond" w:eastAsia="Times New Roman" w:hAnsi="Garamond" w:cs="Arial"/>
                <w:b/>
                <w:bCs/>
                <w:color w:val="000000"/>
                <w:sz w:val="14"/>
                <w:szCs w:val="14"/>
                <w:lang w:val="sq-AL"/>
              </w:rPr>
              <w:t>1752912</w:t>
            </w:r>
          </w:p>
        </w:tc>
        <w:tc>
          <w:tcPr>
            <w:tcW w:w="782" w:type="pct"/>
            <w:tcBorders>
              <w:top w:val="nil"/>
              <w:left w:val="nil"/>
              <w:bottom w:val="double" w:sz="6" w:space="0" w:color="auto"/>
              <w:right w:val="double" w:sz="6" w:space="0" w:color="auto"/>
            </w:tcBorders>
            <w:shd w:val="clear" w:color="auto" w:fill="auto"/>
            <w:vAlign w:val="bottom"/>
            <w:hideMark/>
          </w:tcPr>
          <w:p w:rsidR="004771C7" w:rsidRPr="005C4F41" w:rsidRDefault="004771C7" w:rsidP="00D85D56">
            <w:pPr>
              <w:spacing w:after="0" w:line="240" w:lineRule="auto"/>
              <w:ind w:firstLine="0"/>
              <w:jc w:val="center"/>
              <w:rPr>
                <w:rFonts w:ascii="Garamond" w:eastAsia="Times New Roman" w:hAnsi="Garamond" w:cs="Arial"/>
                <w:color w:val="000000"/>
                <w:sz w:val="14"/>
                <w:szCs w:val="14"/>
                <w:lang w:val="sq-AL"/>
              </w:rPr>
            </w:pPr>
            <w:r w:rsidRPr="005C4F41">
              <w:rPr>
                <w:rFonts w:ascii="Garamond" w:eastAsia="Times New Roman" w:hAnsi="Garamond" w:cs="Arial"/>
                <w:color w:val="000000"/>
                <w:sz w:val="14"/>
                <w:szCs w:val="14"/>
                <w:lang w:val="sq-AL"/>
              </w:rPr>
              <w:t> </w:t>
            </w:r>
          </w:p>
        </w:tc>
        <w:tc>
          <w:tcPr>
            <w:tcW w:w="111" w:type="pct"/>
            <w:tcBorders>
              <w:top w:val="nil"/>
              <w:left w:val="nil"/>
              <w:bottom w:val="nil"/>
              <w:right w:val="nil"/>
            </w:tcBorders>
            <w:shd w:val="clear" w:color="auto" w:fill="auto"/>
            <w:noWrap/>
            <w:vAlign w:val="bottom"/>
            <w:hideMark/>
          </w:tcPr>
          <w:p w:rsidR="004771C7" w:rsidRPr="005C4F41" w:rsidRDefault="004771C7" w:rsidP="00D85D56">
            <w:pPr>
              <w:spacing w:after="0" w:line="240" w:lineRule="auto"/>
              <w:ind w:firstLine="0"/>
              <w:jc w:val="left"/>
              <w:rPr>
                <w:rFonts w:ascii="Garamond" w:eastAsia="Times New Roman" w:hAnsi="Garamond" w:cs="Arial"/>
                <w:sz w:val="14"/>
                <w:szCs w:val="14"/>
                <w:lang w:val="sq-AL"/>
              </w:rPr>
            </w:pPr>
          </w:p>
        </w:tc>
      </w:tr>
    </w:tbl>
    <w:p w:rsidR="000D61F1" w:rsidRDefault="000D61F1"/>
    <w:sectPr w:rsidR="000D6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1C7"/>
    <w:rsid w:val="00064FC6"/>
    <w:rsid w:val="000D61F1"/>
    <w:rsid w:val="0047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1C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771C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771C7"/>
    <w:rPr>
      <w:rFonts w:ascii="Garamond" w:eastAsia="MS Mincho" w:hAnsi="Garamond" w:cs="CG Times"/>
      <w:sz w:val="24"/>
    </w:rPr>
  </w:style>
  <w:style w:type="paragraph" w:customStyle="1" w:styleId="Autoriteti">
    <w:name w:val="Autoriteti"/>
    <w:next w:val="Normal"/>
    <w:link w:val="AutoritetiChar"/>
    <w:rsid w:val="004771C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771C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771C7"/>
    <w:rPr>
      <w:rFonts w:ascii="Garamond" w:eastAsia="MS Mincho" w:hAnsi="Garamond" w:cs="CG Times"/>
      <w:caps/>
      <w:sz w:val="24"/>
      <w:lang w:val="en-GB"/>
    </w:rPr>
  </w:style>
  <w:style w:type="character" w:customStyle="1" w:styleId="AutoritetiEmerChar">
    <w:name w:val="Autoriteti_Emer Char"/>
    <w:link w:val="AutoritetiEmer"/>
    <w:locked/>
    <w:rsid w:val="004771C7"/>
    <w:rPr>
      <w:rFonts w:ascii="Garamond" w:eastAsia="MS Mincho" w:hAnsi="Garamond" w:cs="Times New Roman"/>
      <w:b/>
      <w:bCs/>
      <w:sz w:val="24"/>
      <w:lang w:val="en-GB"/>
    </w:rPr>
  </w:style>
  <w:style w:type="paragraph" w:customStyle="1" w:styleId="Hapesira7">
    <w:name w:val="Hapesira 7"/>
    <w:basedOn w:val="Paragrafi"/>
    <w:qFormat/>
    <w:rsid w:val="004771C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1C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771C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771C7"/>
    <w:rPr>
      <w:rFonts w:ascii="Garamond" w:eastAsia="MS Mincho" w:hAnsi="Garamond" w:cs="CG Times"/>
      <w:sz w:val="24"/>
    </w:rPr>
  </w:style>
  <w:style w:type="paragraph" w:customStyle="1" w:styleId="Autoriteti">
    <w:name w:val="Autoriteti"/>
    <w:next w:val="Normal"/>
    <w:link w:val="AutoritetiChar"/>
    <w:rsid w:val="004771C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771C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771C7"/>
    <w:rPr>
      <w:rFonts w:ascii="Garamond" w:eastAsia="MS Mincho" w:hAnsi="Garamond" w:cs="CG Times"/>
      <w:caps/>
      <w:sz w:val="24"/>
      <w:lang w:val="en-GB"/>
    </w:rPr>
  </w:style>
  <w:style w:type="character" w:customStyle="1" w:styleId="AutoritetiEmerChar">
    <w:name w:val="Autoriteti_Emer Char"/>
    <w:link w:val="AutoritetiEmer"/>
    <w:locked/>
    <w:rsid w:val="004771C7"/>
    <w:rPr>
      <w:rFonts w:ascii="Garamond" w:eastAsia="MS Mincho" w:hAnsi="Garamond" w:cs="Times New Roman"/>
      <w:b/>
      <w:bCs/>
      <w:sz w:val="24"/>
      <w:lang w:val="en-GB"/>
    </w:rPr>
  </w:style>
  <w:style w:type="paragraph" w:customStyle="1" w:styleId="Hapesira7">
    <w:name w:val="Hapesira 7"/>
    <w:basedOn w:val="Paragrafi"/>
    <w:qFormat/>
    <w:rsid w:val="004771C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2019-02-05T13:51:00Z</cp:lastPrinted>
  <dcterms:created xsi:type="dcterms:W3CDTF">2017-12-20T12:01:00Z</dcterms:created>
  <dcterms:modified xsi:type="dcterms:W3CDTF">2019-02-05T13:51:00Z</dcterms:modified>
</cp:coreProperties>
</file>