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ABF" w:rsidRPr="005C4F41" w:rsidRDefault="00163ABF" w:rsidP="00163ABF">
      <w:pPr>
        <w:pStyle w:val="Paragrafi"/>
        <w:jc w:val="center"/>
        <w:rPr>
          <w:b/>
          <w:spacing w:val="-4"/>
          <w:lang w:val="sq-AL"/>
        </w:rPr>
      </w:pPr>
      <w:bookmarkStart w:id="0" w:name="_GoBack"/>
      <w:bookmarkEnd w:id="0"/>
      <w:r w:rsidRPr="005C4F41">
        <w:rPr>
          <w:b/>
          <w:spacing w:val="-4"/>
          <w:lang w:val="sq-AL"/>
        </w:rPr>
        <w:t>VENDIM</w:t>
      </w:r>
    </w:p>
    <w:p w:rsidR="00163ABF" w:rsidRPr="005C4F41" w:rsidRDefault="00163ABF" w:rsidP="00163ABF">
      <w:pPr>
        <w:pStyle w:val="Paragrafi"/>
        <w:jc w:val="center"/>
        <w:rPr>
          <w:b/>
          <w:spacing w:val="-4"/>
          <w:lang w:val="sq-AL"/>
        </w:rPr>
      </w:pPr>
      <w:r w:rsidRPr="005C4F41">
        <w:rPr>
          <w:b/>
          <w:spacing w:val="-4"/>
          <w:lang w:val="sq-AL"/>
        </w:rPr>
        <w:t>Nr. 907, datë 21.12.2016</w:t>
      </w:r>
    </w:p>
    <w:p w:rsidR="00163ABF" w:rsidRPr="005C4F41" w:rsidRDefault="00163ABF" w:rsidP="00163ABF">
      <w:pPr>
        <w:pStyle w:val="Hapesira7"/>
        <w:rPr>
          <w:lang w:val="sq-AL"/>
        </w:rPr>
      </w:pPr>
    </w:p>
    <w:p w:rsidR="00163ABF" w:rsidRPr="005C4F41" w:rsidRDefault="00163ABF" w:rsidP="00163ABF">
      <w:pPr>
        <w:pStyle w:val="Paragrafi"/>
        <w:jc w:val="center"/>
        <w:rPr>
          <w:spacing w:val="-4"/>
          <w:lang w:val="sq-AL"/>
        </w:rPr>
      </w:pPr>
      <w:r w:rsidRPr="005C4F41">
        <w:rPr>
          <w:b/>
          <w:spacing w:val="-4"/>
          <w:lang w:val="sq-AL"/>
        </w:rPr>
        <w:t>PËR KUFIZIMIN E SHKARKIMEVE TË PËRBËRËSVE ORGANIKË TË AVULLUESHËM NGA PËRDORIMI I TRETËSVE ORGANIKË NË DISA BOJËRA, LLAQE DHE PRODUKTE PËR LUSTRIMIN E MJETEVE</w:t>
      </w:r>
      <w:r w:rsidRPr="005C4F41">
        <w:rPr>
          <w:spacing w:val="-4"/>
          <w:vertAlign w:val="superscript"/>
          <w:lang w:val="sq-AL"/>
        </w:rPr>
        <w:footnoteReference w:id="1"/>
      </w:r>
    </w:p>
    <w:p w:rsidR="00163ABF" w:rsidRPr="005C4F41" w:rsidRDefault="00163ABF" w:rsidP="00163ABF">
      <w:pPr>
        <w:pStyle w:val="Hapesira7"/>
        <w:rPr>
          <w:lang w:val="sq-AL"/>
        </w:rPr>
      </w:pPr>
    </w:p>
    <w:p w:rsidR="00163ABF" w:rsidRPr="005C4F41" w:rsidRDefault="00163ABF" w:rsidP="00163ABF">
      <w:pPr>
        <w:pStyle w:val="Paragrafi"/>
        <w:rPr>
          <w:spacing w:val="-4"/>
          <w:lang w:val="sq-AL"/>
        </w:rPr>
      </w:pPr>
      <w:r w:rsidRPr="005C4F41">
        <w:rPr>
          <w:spacing w:val="-4"/>
          <w:lang w:val="sq-AL"/>
        </w:rPr>
        <w:t>Në mbështetje të nenit 100 të Kushtetutës dhe të shkronjës “b”, të nenit 15, të ligjit nr.162/2014, “Për mbrojtjen e cilësisë së ajrit në mjedis”, me propozimin e ministrit të Mjedisit dhe ministrit të Energjisë dhe Industrisë, Këshilli i Ministrave</w:t>
      </w:r>
    </w:p>
    <w:p w:rsidR="00163ABF" w:rsidRPr="005C4F41" w:rsidRDefault="00163ABF" w:rsidP="00163ABF">
      <w:pPr>
        <w:pStyle w:val="Hapesira7"/>
        <w:rPr>
          <w:lang w:val="sq-AL"/>
        </w:rPr>
      </w:pPr>
    </w:p>
    <w:p w:rsidR="00163ABF" w:rsidRPr="005C4F41" w:rsidRDefault="00163ABF" w:rsidP="00163ABF">
      <w:pPr>
        <w:pStyle w:val="Paragrafi"/>
        <w:jc w:val="center"/>
        <w:rPr>
          <w:spacing w:val="-4"/>
          <w:lang w:val="sq-AL"/>
        </w:rPr>
      </w:pPr>
      <w:r w:rsidRPr="005C4F41">
        <w:rPr>
          <w:spacing w:val="-4"/>
          <w:lang w:val="sq-AL"/>
        </w:rPr>
        <w:t>VENDOSI:</w:t>
      </w:r>
    </w:p>
    <w:p w:rsidR="00163ABF" w:rsidRPr="005C4F41" w:rsidRDefault="00163ABF" w:rsidP="00163ABF">
      <w:pPr>
        <w:pStyle w:val="Hapesira7"/>
        <w:rPr>
          <w:lang w:val="sq-AL"/>
        </w:rPr>
      </w:pPr>
    </w:p>
    <w:p w:rsidR="00163ABF" w:rsidRPr="005C4F41" w:rsidRDefault="00163ABF" w:rsidP="00163ABF">
      <w:pPr>
        <w:pStyle w:val="Paragrafi"/>
        <w:jc w:val="center"/>
        <w:rPr>
          <w:spacing w:val="-4"/>
          <w:lang w:val="sq-AL"/>
        </w:rPr>
      </w:pPr>
      <w:r w:rsidRPr="005C4F41">
        <w:rPr>
          <w:spacing w:val="-4"/>
          <w:lang w:val="sq-AL"/>
        </w:rPr>
        <w:t>KREU I</w:t>
      </w:r>
    </w:p>
    <w:p w:rsidR="00163ABF" w:rsidRPr="005C4F41" w:rsidRDefault="00163ABF" w:rsidP="00163ABF">
      <w:pPr>
        <w:pStyle w:val="Paragrafi"/>
        <w:jc w:val="center"/>
        <w:rPr>
          <w:spacing w:val="-4"/>
          <w:lang w:val="sq-AL"/>
        </w:rPr>
      </w:pPr>
      <w:r w:rsidRPr="005C4F41">
        <w:rPr>
          <w:spacing w:val="-4"/>
          <w:lang w:val="sq-AL"/>
        </w:rPr>
        <w:t>DISPOZITA TË PËRGJITHSHME</w:t>
      </w:r>
    </w:p>
    <w:p w:rsidR="00163ABF" w:rsidRPr="005C4F41" w:rsidRDefault="00163ABF" w:rsidP="00163ABF">
      <w:pPr>
        <w:pStyle w:val="Hapesira7"/>
        <w:rPr>
          <w:lang w:val="sq-AL"/>
        </w:rPr>
      </w:pPr>
    </w:p>
    <w:p w:rsidR="00163ABF" w:rsidRPr="005C4F41" w:rsidRDefault="00163ABF" w:rsidP="00163ABF">
      <w:pPr>
        <w:pStyle w:val="Paragrafi"/>
        <w:rPr>
          <w:spacing w:val="-4"/>
          <w:lang w:val="sq-AL"/>
        </w:rPr>
      </w:pPr>
      <w:r w:rsidRPr="005C4F41">
        <w:rPr>
          <w:spacing w:val="-4"/>
          <w:lang w:val="sq-AL"/>
        </w:rPr>
        <w:t xml:space="preserve">1. Qëllimi i këtij vendimi është të parandalojë ose të pakësojë ndotjen e ajrit nga ozoni troposferik, që formohet nga kontributi i përbërësve organikë të avullueshëm, nëpërmjet kufizimit të përmbajtjes totale të përbërësve organikë të avullueshëm në disa bojëra, llaqe dhe produkte për lustrimin e mjeteve. </w:t>
      </w:r>
    </w:p>
    <w:p w:rsidR="00163ABF" w:rsidRPr="005C4F41" w:rsidRDefault="00163ABF" w:rsidP="00163ABF">
      <w:pPr>
        <w:pStyle w:val="Paragrafi"/>
        <w:rPr>
          <w:spacing w:val="-4"/>
          <w:lang w:val="sq-AL"/>
        </w:rPr>
      </w:pPr>
      <w:r w:rsidRPr="005C4F41">
        <w:rPr>
          <w:spacing w:val="-4"/>
          <w:lang w:val="sq-AL"/>
        </w:rPr>
        <w:t xml:space="preserve">2. Ky vendim përcakton specifikimet teknike për disa bojëra, llaqe dhe produkte për lustrimin e mjeteve, sipas shtojcës I bashkëlidhur këtij vendimi. Për produktet e sipërpërmendura janë gjithashtu të aplikueshme kërkesat dhe masat e përcaktuara në legjislacionin në fuqi për mbrojtjen e shëndetit të konsumatorëve e të punonjësve, si dhe mjedisin e tyre të punës, përfshirë kërkesat që lidhen me etiketimin e këtyre produkteve. </w:t>
      </w:r>
    </w:p>
    <w:p w:rsidR="00163ABF" w:rsidRPr="005C4F41" w:rsidRDefault="00163ABF" w:rsidP="00163ABF">
      <w:pPr>
        <w:pStyle w:val="Paragrafi"/>
        <w:rPr>
          <w:spacing w:val="-4"/>
          <w:lang w:val="sq-AL"/>
        </w:rPr>
      </w:pPr>
      <w:r w:rsidRPr="005C4F41">
        <w:rPr>
          <w:spacing w:val="-4"/>
          <w:lang w:val="sq-AL"/>
        </w:rPr>
        <w:t xml:space="preserve">3. Të gjithë termat e përdorur në këtë vendim kanë të njëjtin kuptim me termat e ligjit nr.162/2014, “Për mbrojtjen e cilësisë së ajrit të mjedisit”, dhe vendimit në fuqi të Këshillit të Ministrave për masat për kufizimin e shkarkimit të përbërësve organikë të avullueshëm nga përdorimi i tretësve organikë në disa veprimtari dhe instalime, ndërsa me termat e mëposhtëm nënkuptohen: </w:t>
      </w:r>
    </w:p>
    <w:p w:rsidR="00163ABF" w:rsidRPr="005C4F41" w:rsidRDefault="00163ABF" w:rsidP="00163ABF">
      <w:pPr>
        <w:pStyle w:val="Paragrafi"/>
        <w:rPr>
          <w:spacing w:val="-4"/>
          <w:lang w:val="sq-AL"/>
        </w:rPr>
      </w:pPr>
      <w:r w:rsidRPr="005C4F41">
        <w:rPr>
          <w:spacing w:val="-4"/>
          <w:lang w:val="sq-AL"/>
        </w:rPr>
        <w:t>a) “Bojëra dhe llaqe”, produktet e listuara në nënkategorinë 1 të shtojcës I të këtij vendimi, me përjashtim të aerosolëve. Këto janë veshje që përdoren në ndërtesat, finiturat dhe stukimet, si dhe në strukturat shoqëruese për qëllime mbrojtjeje, funksionimi dhe dekorimi;</w:t>
      </w:r>
    </w:p>
    <w:p w:rsidR="00163ABF" w:rsidRPr="005C4F41" w:rsidRDefault="00163ABF" w:rsidP="00163ABF">
      <w:pPr>
        <w:pStyle w:val="Paragrafi"/>
        <w:rPr>
          <w:spacing w:val="-4"/>
          <w:lang w:val="sq-AL"/>
        </w:rPr>
      </w:pPr>
      <w:r w:rsidRPr="005C4F41">
        <w:rPr>
          <w:spacing w:val="-4"/>
          <w:lang w:val="sq-AL"/>
        </w:rPr>
        <w:t>b) “Përmbajtje VOC”, masa e përbërësve organikë të avullueshëm, e shprehur në gramë/litër (g/l), në përbërje të produktit të gatshëm për përdorim. Masa e përbërësve organikë të avullueshëm në një produkt të dhënë, i cili reagon kimikisht gjatë tharjes për të formuar pjesë të veshjes nuk konsiderohet pjesë e përmbajtjes së VOC-së;</w:t>
      </w:r>
    </w:p>
    <w:p w:rsidR="00163ABF" w:rsidRPr="005C4F41" w:rsidRDefault="00163ABF" w:rsidP="00163ABF">
      <w:pPr>
        <w:pStyle w:val="Paragrafi"/>
        <w:rPr>
          <w:spacing w:val="-4"/>
          <w:lang w:val="sq-AL"/>
        </w:rPr>
      </w:pPr>
      <w:r w:rsidRPr="005C4F41">
        <w:rPr>
          <w:spacing w:val="-4"/>
          <w:lang w:val="sq-AL"/>
        </w:rPr>
        <w:t xml:space="preserve">c) “Produktet për lustrimin e mjeteve”, produktet e listuara në nënkategoritë 2, të shtojcës I, këtij vendimi. Ato përdoren për lyerjen e mjeteve rrugore me motor, sipas përkufizimit në nenin 47, të ligjit nr. 8378, datë 22.7.1998, “Kodi Rrugor i Republikës së Shqipërisë”, të ndryshuar; </w:t>
      </w:r>
    </w:p>
    <w:p w:rsidR="00163ABF" w:rsidRPr="005C4F41" w:rsidRDefault="00163ABF" w:rsidP="00163ABF">
      <w:pPr>
        <w:pStyle w:val="Paragrafi"/>
        <w:rPr>
          <w:spacing w:val="-4"/>
          <w:lang w:val="sq-AL"/>
        </w:rPr>
      </w:pPr>
      <w:r w:rsidRPr="005C4F41">
        <w:rPr>
          <w:spacing w:val="-4"/>
          <w:lang w:val="sq-AL"/>
        </w:rPr>
        <w:t>ç) “Shtresë”, një shtresë e pandërprerë që rezulton nga përdorimi i një ose më shumë veshjeve në një nënshtresë;</w:t>
      </w:r>
    </w:p>
    <w:p w:rsidR="00163ABF" w:rsidRPr="005C4F41" w:rsidRDefault="00163ABF" w:rsidP="00163ABF">
      <w:pPr>
        <w:pStyle w:val="Paragrafi"/>
        <w:rPr>
          <w:spacing w:val="-4"/>
          <w:lang w:val="sq-AL"/>
        </w:rPr>
      </w:pPr>
      <w:r w:rsidRPr="005C4F41">
        <w:rPr>
          <w:spacing w:val="-4"/>
          <w:lang w:val="sq-AL"/>
        </w:rPr>
        <w:t>d) “Tretës organik”, çdo VOC i cili përdoret vetëm ose në kombinim me agjentë të tjerë për të tretur ose holluar lëndët e para, produktet ose mbetjet e materialeve. Tretësi organik përdoret edhe si agjent pastrimi për të tretur lëndët ndotëse, si shpërndarës mesatar, rregullues i viskozitetit, rregullues i tensionit sipërfaqësor, plastifikues ose si lëndë konservuese;</w:t>
      </w:r>
    </w:p>
    <w:p w:rsidR="00163ABF" w:rsidRPr="005C4F41" w:rsidRDefault="00163ABF" w:rsidP="00163ABF">
      <w:pPr>
        <w:pStyle w:val="Paragrafi"/>
        <w:rPr>
          <w:spacing w:val="-4"/>
          <w:lang w:val="sq-AL"/>
        </w:rPr>
      </w:pPr>
      <w:r w:rsidRPr="005C4F41">
        <w:rPr>
          <w:spacing w:val="-4"/>
          <w:lang w:val="sq-AL"/>
        </w:rPr>
        <w:t>dh)</w:t>
      </w:r>
      <w:r w:rsidRPr="005C4F41">
        <w:rPr>
          <w:spacing w:val="-4"/>
          <w:lang w:val="sq-AL"/>
        </w:rPr>
        <w:tab/>
        <w:t>“Veshje”, çdo përzierje, përfshirë të gjithë tretësit organikë ose përzierjet që përmbajnë tretës organikë të nevojshëm për përdorimin e tyre të përshtatshëm, e cila përdoret për të siguruar një shtresë me efekte dekoruese, mbrojtëse ose funksione të tjera në një sipërfaqe;</w:t>
      </w:r>
    </w:p>
    <w:p w:rsidR="00163ABF" w:rsidRPr="005C4F41" w:rsidRDefault="00163ABF" w:rsidP="00163ABF">
      <w:pPr>
        <w:pStyle w:val="Paragrafi"/>
        <w:rPr>
          <w:spacing w:val="-4"/>
          <w:lang w:val="sq-AL"/>
        </w:rPr>
      </w:pPr>
      <w:r w:rsidRPr="005C4F41">
        <w:rPr>
          <w:spacing w:val="-4"/>
          <w:lang w:val="sq-AL"/>
        </w:rPr>
        <w:t>e) “Veshje me hollues uji (HU)”, veshjet, viskoziteti i të cilave rregullohet nga përdorimi i ujit;</w:t>
      </w:r>
    </w:p>
    <w:p w:rsidR="00163ABF" w:rsidRPr="005C4F41" w:rsidRDefault="00163ABF" w:rsidP="00163ABF">
      <w:pPr>
        <w:pStyle w:val="Paragrafi"/>
        <w:rPr>
          <w:spacing w:val="-4"/>
          <w:lang w:val="sq-AL"/>
        </w:rPr>
      </w:pPr>
      <w:r w:rsidRPr="005C4F41">
        <w:rPr>
          <w:spacing w:val="-4"/>
          <w:lang w:val="sq-AL"/>
        </w:rPr>
        <w:t>ë)</w:t>
      </w:r>
      <w:r w:rsidRPr="005C4F41">
        <w:rPr>
          <w:spacing w:val="-4"/>
          <w:lang w:val="sq-AL"/>
        </w:rPr>
        <w:tab/>
        <w:t xml:space="preserve"> “Veshje me hollues tretës (HT)”, veshjet, viskoziteti i të cilave rregullohet nga përdorimi i tretësit organik;</w:t>
      </w:r>
    </w:p>
    <w:p w:rsidR="00163ABF" w:rsidRPr="005C4F41" w:rsidRDefault="00163ABF" w:rsidP="00163ABF">
      <w:pPr>
        <w:pStyle w:val="Paragrafi"/>
        <w:rPr>
          <w:spacing w:val="-4"/>
          <w:lang w:val="sq-AL"/>
        </w:rPr>
      </w:pPr>
      <w:r w:rsidRPr="005C4F41">
        <w:rPr>
          <w:spacing w:val="-4"/>
          <w:lang w:val="sq-AL"/>
        </w:rPr>
        <w:t>f) “Vendosje në treg” ka të njëjtin kuptim me përkufizimin e dhënë në nenin 5, të ligjit nr. 27/2016, “Për menaxhimin e kimikateve”.</w:t>
      </w:r>
    </w:p>
    <w:p w:rsidR="00163ABF" w:rsidRPr="005C4F41" w:rsidRDefault="00163ABF" w:rsidP="00163ABF">
      <w:pPr>
        <w:pStyle w:val="Paragrafi"/>
        <w:rPr>
          <w:spacing w:val="-4"/>
          <w:lang w:val="sq-AL"/>
        </w:rPr>
      </w:pPr>
      <w:r w:rsidRPr="005C4F41">
        <w:rPr>
          <w:spacing w:val="-4"/>
          <w:lang w:val="sq-AL"/>
        </w:rPr>
        <w:t>4. Shtojcat e mëposhtme i bashkëlidhen këtij vendimi dhe janë pjesë përbërëse të tij:</w:t>
      </w:r>
    </w:p>
    <w:p w:rsidR="00163ABF" w:rsidRPr="005C4F41" w:rsidRDefault="00163ABF" w:rsidP="00163ABF">
      <w:pPr>
        <w:pStyle w:val="Paragrafi"/>
        <w:rPr>
          <w:spacing w:val="-4"/>
          <w:lang w:val="sq-AL"/>
        </w:rPr>
      </w:pPr>
      <w:r w:rsidRPr="005C4F41">
        <w:rPr>
          <w:spacing w:val="-4"/>
          <w:lang w:val="sq-AL"/>
        </w:rPr>
        <w:t>a) Shtojca I “Produktet e listuara sipas nënkategorisë 1 dhe nënkategorisë 2”;</w:t>
      </w:r>
    </w:p>
    <w:p w:rsidR="00163ABF" w:rsidRPr="005C4F41" w:rsidRDefault="00163ABF" w:rsidP="00163ABF">
      <w:pPr>
        <w:pStyle w:val="Paragrafi"/>
        <w:rPr>
          <w:spacing w:val="-4"/>
          <w:lang w:val="sq-AL"/>
        </w:rPr>
      </w:pPr>
      <w:r w:rsidRPr="005C4F41">
        <w:rPr>
          <w:spacing w:val="-4"/>
          <w:lang w:val="sq-AL"/>
        </w:rPr>
        <w:lastRenderedPageBreak/>
        <w:t>b) Shtojca II “Vlerat kufi të përmbajtjes maksimale të VOC-së për bojëra, llaqe dhe produktet për lustrimin e mjeteve”;</w:t>
      </w:r>
    </w:p>
    <w:p w:rsidR="00163ABF" w:rsidRPr="005C4F41" w:rsidRDefault="00163ABF" w:rsidP="00163ABF">
      <w:pPr>
        <w:pStyle w:val="Paragrafi"/>
        <w:rPr>
          <w:spacing w:val="-4"/>
          <w:lang w:val="sq-AL"/>
        </w:rPr>
      </w:pPr>
      <w:r w:rsidRPr="005C4F41">
        <w:rPr>
          <w:spacing w:val="-4"/>
          <w:lang w:val="sq-AL"/>
        </w:rPr>
        <w:t>c) Shtojca III “Metodat analitike të testimit”.</w:t>
      </w:r>
    </w:p>
    <w:p w:rsidR="00163ABF" w:rsidRPr="005C4F41" w:rsidRDefault="00163ABF" w:rsidP="00163ABF">
      <w:pPr>
        <w:pStyle w:val="Hapesira7"/>
        <w:rPr>
          <w:lang w:val="sq-AL"/>
        </w:rPr>
      </w:pPr>
    </w:p>
    <w:p w:rsidR="00163ABF" w:rsidRPr="005C4F41" w:rsidRDefault="00163ABF" w:rsidP="00163ABF">
      <w:pPr>
        <w:pStyle w:val="NeniNr"/>
        <w:rPr>
          <w:spacing w:val="-4"/>
          <w:lang w:val="sq-AL"/>
        </w:rPr>
      </w:pPr>
      <w:r w:rsidRPr="005C4F41">
        <w:rPr>
          <w:spacing w:val="-4"/>
          <w:lang w:val="sq-AL"/>
        </w:rPr>
        <w:t>KREU II</w:t>
      </w:r>
    </w:p>
    <w:p w:rsidR="00163ABF" w:rsidRPr="005C4F41" w:rsidRDefault="00163ABF" w:rsidP="00163ABF">
      <w:pPr>
        <w:pStyle w:val="NeniNr"/>
        <w:rPr>
          <w:spacing w:val="-4"/>
          <w:lang w:val="sq-AL"/>
        </w:rPr>
      </w:pPr>
      <w:r w:rsidRPr="005C4F41">
        <w:rPr>
          <w:spacing w:val="-4"/>
          <w:lang w:val="sq-AL"/>
        </w:rPr>
        <w:t>KËRKESAT PËR PRODUKTET QË VENDOSEN NË TREG</w:t>
      </w:r>
    </w:p>
    <w:p w:rsidR="00163ABF" w:rsidRPr="005C4F41" w:rsidRDefault="00163ABF" w:rsidP="00163ABF">
      <w:pPr>
        <w:pStyle w:val="Hapesira7"/>
        <w:rPr>
          <w:lang w:val="sq-AL"/>
        </w:rPr>
      </w:pPr>
    </w:p>
    <w:p w:rsidR="00163ABF" w:rsidRPr="005C4F41" w:rsidRDefault="00163ABF" w:rsidP="00163ABF">
      <w:pPr>
        <w:pStyle w:val="Paragrafi"/>
        <w:rPr>
          <w:spacing w:val="-4"/>
          <w:lang w:val="sq-AL"/>
        </w:rPr>
      </w:pPr>
      <w:r w:rsidRPr="005C4F41">
        <w:rPr>
          <w:spacing w:val="-4"/>
          <w:lang w:val="sq-AL"/>
        </w:rPr>
        <w:t>1. Ndalohen të vendosen në treg në territorin e Republikës së Shqipërisë produktet e listuara në shtojcën I, të cilat kalojnë vlerat kufi të përmbajtjes maksimale të VOC-së, pas datave të përcaktuara në shtojcën II.</w:t>
      </w:r>
    </w:p>
    <w:p w:rsidR="00163ABF" w:rsidRPr="005C4F41" w:rsidRDefault="00163ABF" w:rsidP="00163ABF">
      <w:pPr>
        <w:pStyle w:val="Paragrafi"/>
        <w:rPr>
          <w:spacing w:val="-4"/>
          <w:lang w:val="sq-AL"/>
        </w:rPr>
      </w:pPr>
      <w:r w:rsidRPr="005C4F41">
        <w:rPr>
          <w:spacing w:val="-4"/>
          <w:lang w:val="sq-AL"/>
        </w:rPr>
        <w:t xml:space="preserve">2. Për të përcaktuar përputhshmërinë e produkteve me vlerat kufi të përmbajtjes së VOC-së sipas shtojcës II, përdoren metodat analitike të testimit në përputhje me përcaktimin e shtojcës III. </w:t>
      </w:r>
    </w:p>
    <w:p w:rsidR="00163ABF" w:rsidRPr="005C4F41" w:rsidRDefault="00163ABF" w:rsidP="00163ABF">
      <w:pPr>
        <w:pStyle w:val="Paragrafi"/>
        <w:rPr>
          <w:spacing w:val="-4"/>
          <w:lang w:val="sq-AL"/>
        </w:rPr>
      </w:pPr>
      <w:r w:rsidRPr="005C4F41">
        <w:rPr>
          <w:spacing w:val="-4"/>
          <w:lang w:val="sq-AL"/>
        </w:rPr>
        <w:t xml:space="preserve">3. Për produktet e përcaktuara në shtojcën I, në të cilat shtohen tretës ose përbërës të tjerë që përmbajnë tretës për ta bërë produktin të gatshëm për përdorim, vlerat kufi të përcaktuara në shtojcën II zbatohen për përmbajtjen e VOC-së në produktin e gatshëm për përdorim. </w:t>
      </w:r>
    </w:p>
    <w:p w:rsidR="00163ABF" w:rsidRPr="005C4F41" w:rsidRDefault="00163ABF" w:rsidP="00163ABF">
      <w:pPr>
        <w:pStyle w:val="Paragrafi"/>
        <w:rPr>
          <w:spacing w:val="-4"/>
          <w:lang w:val="sq-AL"/>
        </w:rPr>
      </w:pPr>
      <w:r w:rsidRPr="005C4F41">
        <w:rPr>
          <w:spacing w:val="-4"/>
          <w:lang w:val="sq-AL"/>
        </w:rPr>
        <w:t>4. Kërkesat e pikave 1 deri në 3, të këtij kreu, nuk zbatohen për tretësit organikë që përdoren në disa veprimtari dhe instalime industriale, të cilat mbulohen nga legjislacioni në fuqi për kufizimin e shkarkimit të përbërësve organikë të avullueshëm nga përdorimi i tretësve organikë në disa veprimtari dhe instalime.</w:t>
      </w:r>
    </w:p>
    <w:p w:rsidR="00163ABF" w:rsidRPr="005C4F41" w:rsidRDefault="00163ABF" w:rsidP="00163ABF">
      <w:pPr>
        <w:pStyle w:val="Paragrafi"/>
        <w:rPr>
          <w:spacing w:val="-4"/>
          <w:lang w:val="sq-AL"/>
        </w:rPr>
      </w:pPr>
      <w:r w:rsidRPr="005C4F41">
        <w:rPr>
          <w:spacing w:val="-4"/>
          <w:lang w:val="sq-AL"/>
        </w:rPr>
        <w:t>5. Agjencia Kombëtare e Mjedisit, në raste përjashtimore, autorizon shitjen dhe blerjen në sasi të kufizuara strikte të produkteve që nuk arrijnë vlerat kufi të VOC-së, të përcaktuara në shtojcën II, vetëm për qëllime restaurimi dhe mirëmbajtjeje të ndërtesave e të mjeteve motorike me vlera muzeale kulturore dhe historike, të përcaktuara nga ministria përgjegjëse për kulturën.</w:t>
      </w:r>
    </w:p>
    <w:p w:rsidR="00163ABF" w:rsidRPr="005C4F41" w:rsidRDefault="00163ABF" w:rsidP="00163ABF">
      <w:pPr>
        <w:pStyle w:val="Paragrafi"/>
        <w:rPr>
          <w:spacing w:val="-4"/>
          <w:lang w:val="sq-AL"/>
        </w:rPr>
      </w:pPr>
      <w:bookmarkStart w:id="1" w:name="OLE_LINK3"/>
      <w:bookmarkStart w:id="2" w:name="OLE_LINK4"/>
      <w:r w:rsidRPr="005C4F41">
        <w:rPr>
          <w:spacing w:val="-4"/>
          <w:lang w:val="sq-AL"/>
        </w:rPr>
        <w:t xml:space="preserve">6. Produktet, që janë objekt i këtij vendimi, të cilat janë prodhuar përpara datave të përcaktuara në shtojcën II dhe që nuk përmbushin vlerat kufi të përmbajtjes maksimale, mund të vendosen në treg për një periudhë 12-mujore nga data kur kërkesat që zbatohen për produktin në fjalë hyjnë në fuqi sipas përcaktimit të shtojcës II.  </w:t>
      </w:r>
    </w:p>
    <w:bookmarkEnd w:id="1"/>
    <w:bookmarkEnd w:id="2"/>
    <w:p w:rsidR="00163ABF" w:rsidRPr="005C4F41" w:rsidRDefault="00163ABF" w:rsidP="00163ABF">
      <w:pPr>
        <w:pStyle w:val="Hapesira7"/>
        <w:rPr>
          <w:lang w:val="sq-AL"/>
        </w:rPr>
      </w:pPr>
    </w:p>
    <w:p w:rsidR="00163ABF" w:rsidRPr="005C4F41" w:rsidRDefault="00163ABF" w:rsidP="00163ABF">
      <w:pPr>
        <w:pStyle w:val="NeniNr"/>
        <w:rPr>
          <w:lang w:val="sq-AL"/>
        </w:rPr>
      </w:pPr>
      <w:r w:rsidRPr="005C4F41">
        <w:rPr>
          <w:lang w:val="sq-AL"/>
        </w:rPr>
        <w:t>KREU III</w:t>
      </w:r>
    </w:p>
    <w:p w:rsidR="00163ABF" w:rsidRPr="005C4F41" w:rsidRDefault="00163ABF" w:rsidP="00163ABF">
      <w:pPr>
        <w:pStyle w:val="NeniNr"/>
        <w:rPr>
          <w:lang w:val="sq-AL"/>
        </w:rPr>
      </w:pPr>
      <w:r w:rsidRPr="005C4F41">
        <w:rPr>
          <w:lang w:val="sq-AL"/>
        </w:rPr>
        <w:t>ETIKETIMI DHE LËVIZJA E LIRË E PRODUKTEVE</w:t>
      </w:r>
    </w:p>
    <w:p w:rsidR="00163ABF" w:rsidRPr="005C4F41" w:rsidRDefault="00163ABF" w:rsidP="00163ABF">
      <w:pPr>
        <w:pStyle w:val="Hapesira7"/>
        <w:rPr>
          <w:lang w:val="sq-AL"/>
        </w:rPr>
      </w:pPr>
    </w:p>
    <w:p w:rsidR="00163ABF" w:rsidRPr="005C4F41" w:rsidRDefault="00163ABF" w:rsidP="00163ABF">
      <w:pPr>
        <w:pStyle w:val="Paragrafi"/>
        <w:rPr>
          <w:spacing w:val="-4"/>
          <w:lang w:val="sq-AL"/>
        </w:rPr>
      </w:pPr>
      <w:r w:rsidRPr="005C4F41">
        <w:rPr>
          <w:spacing w:val="-4"/>
          <w:lang w:val="sq-AL"/>
        </w:rPr>
        <w:t>1. Kur produktet e përcaktuara në shtojcën I vendosen në treg, duhet të jenë të pajisura me etiketë. Etiketa tregon:</w:t>
      </w:r>
    </w:p>
    <w:p w:rsidR="00163ABF" w:rsidRPr="005C4F41" w:rsidRDefault="00163ABF" w:rsidP="00163ABF">
      <w:pPr>
        <w:pStyle w:val="Paragrafi"/>
        <w:rPr>
          <w:spacing w:val="-4"/>
          <w:lang w:val="sq-AL"/>
        </w:rPr>
      </w:pPr>
      <w:r w:rsidRPr="005C4F41">
        <w:rPr>
          <w:spacing w:val="-4"/>
          <w:lang w:val="sq-AL"/>
        </w:rPr>
        <w:t>a) nënkategorinë e produktit dhe vlerat kufi përkatëse të VOC-së në g/l, të referuara në shtojcën II;</w:t>
      </w:r>
    </w:p>
    <w:p w:rsidR="00163ABF" w:rsidRPr="005C4F41" w:rsidRDefault="00163ABF" w:rsidP="00163ABF">
      <w:pPr>
        <w:pStyle w:val="Paragrafi"/>
        <w:rPr>
          <w:spacing w:val="-4"/>
          <w:lang w:val="sq-AL"/>
        </w:rPr>
      </w:pPr>
      <w:r w:rsidRPr="005C4F41">
        <w:rPr>
          <w:spacing w:val="-4"/>
          <w:lang w:val="sq-AL"/>
        </w:rPr>
        <w:t>b) përmbajtjen maksimale të VOC-së në g/l të produktit të gatshëm për përdorim.</w:t>
      </w:r>
    </w:p>
    <w:p w:rsidR="00163ABF" w:rsidRPr="005C4F41" w:rsidRDefault="00163ABF" w:rsidP="00163ABF">
      <w:pPr>
        <w:pStyle w:val="Paragrafi"/>
        <w:rPr>
          <w:spacing w:val="-4"/>
          <w:lang w:val="sq-AL"/>
        </w:rPr>
      </w:pPr>
      <w:r w:rsidRPr="005C4F41">
        <w:rPr>
          <w:spacing w:val="-4"/>
          <w:lang w:val="sq-AL"/>
        </w:rPr>
        <w:t>2. Inspektorati Shtetëror Teknik Industrial në ministrinë përgjegjëse për industrinë ndalon vendosjen në treg të produkteve që janë objekt i këtij vendimi, të cilat, në kushtet kur janë të gatshme për përdorim, nuk përputhen me kërkesat e këtij vendimi.</w:t>
      </w:r>
    </w:p>
    <w:p w:rsidR="00163ABF" w:rsidRPr="005C4F41" w:rsidRDefault="00163ABF" w:rsidP="00163ABF">
      <w:pPr>
        <w:pStyle w:val="Hapesira7"/>
        <w:rPr>
          <w:lang w:val="sq-AL"/>
        </w:rPr>
      </w:pPr>
    </w:p>
    <w:p w:rsidR="00163ABF" w:rsidRPr="005C4F41" w:rsidRDefault="00163ABF" w:rsidP="00163ABF">
      <w:pPr>
        <w:pStyle w:val="Paragrafi"/>
        <w:jc w:val="center"/>
        <w:rPr>
          <w:spacing w:val="-4"/>
          <w:lang w:val="sq-AL"/>
        </w:rPr>
      </w:pPr>
      <w:r w:rsidRPr="005C4F41">
        <w:rPr>
          <w:spacing w:val="-4"/>
          <w:lang w:val="sq-AL"/>
        </w:rPr>
        <w:t>KREU IV</w:t>
      </w:r>
    </w:p>
    <w:p w:rsidR="00163ABF" w:rsidRPr="005C4F41" w:rsidRDefault="00163ABF" w:rsidP="00163ABF">
      <w:pPr>
        <w:pStyle w:val="Paragrafi"/>
        <w:jc w:val="center"/>
        <w:rPr>
          <w:spacing w:val="-4"/>
          <w:lang w:val="sq-AL"/>
        </w:rPr>
      </w:pPr>
      <w:r w:rsidRPr="005C4F41">
        <w:rPr>
          <w:spacing w:val="-4"/>
          <w:lang w:val="sq-AL"/>
        </w:rPr>
        <w:t>MONITORIMI DHE RAPORTIMI</w:t>
      </w:r>
    </w:p>
    <w:p w:rsidR="00163ABF" w:rsidRPr="005C4F41" w:rsidRDefault="00163ABF" w:rsidP="00163ABF">
      <w:pPr>
        <w:pStyle w:val="Hapesira7"/>
        <w:rPr>
          <w:lang w:val="sq-AL"/>
        </w:rPr>
      </w:pPr>
    </w:p>
    <w:p w:rsidR="00163ABF" w:rsidRPr="005C4F41" w:rsidRDefault="00163ABF" w:rsidP="00163ABF">
      <w:pPr>
        <w:pStyle w:val="Paragrafi"/>
        <w:rPr>
          <w:spacing w:val="-4"/>
          <w:lang w:val="sq-AL"/>
        </w:rPr>
      </w:pPr>
      <w:r w:rsidRPr="005C4F41">
        <w:rPr>
          <w:spacing w:val="-4"/>
          <w:lang w:val="sq-AL"/>
        </w:rPr>
        <w:t xml:space="preserve">1. Inspektorati Shtetëror Teknik Industrial në ministrinë përgjegjëse për industrinë harton dhe zbaton programin e inspektimit për monitorimin e produkteve të vendosura në treg për të verifikuar përputhshmërinë me kërkesat e këtij vendimi.  </w:t>
      </w:r>
    </w:p>
    <w:p w:rsidR="00163ABF" w:rsidRPr="005C4F41" w:rsidRDefault="00163ABF" w:rsidP="00163ABF">
      <w:pPr>
        <w:pStyle w:val="Paragrafi"/>
        <w:rPr>
          <w:spacing w:val="-4"/>
          <w:lang w:val="sq-AL"/>
        </w:rPr>
      </w:pPr>
      <w:r w:rsidRPr="005C4F41">
        <w:rPr>
          <w:spacing w:val="-4"/>
          <w:lang w:val="sq-AL"/>
        </w:rPr>
        <w:t>2.</w:t>
      </w:r>
      <w:r w:rsidRPr="005C4F41">
        <w:rPr>
          <w:spacing w:val="-4"/>
          <w:lang w:val="sq-AL"/>
        </w:rPr>
        <w:tab/>
        <w:t xml:space="preserve"> Inspektorati Shtetëror Teknik Industrial në ministrinë përgjegjëse për industrinë (ISHTI) dhe AKM-ja raportojnë në ministri përkatësisht, për:</w:t>
      </w:r>
    </w:p>
    <w:p w:rsidR="00163ABF" w:rsidRPr="005C4F41" w:rsidRDefault="00163ABF" w:rsidP="00163ABF">
      <w:pPr>
        <w:pStyle w:val="Paragrafi"/>
        <w:rPr>
          <w:spacing w:val="-4"/>
          <w:lang w:val="sq-AL"/>
        </w:rPr>
      </w:pPr>
      <w:r w:rsidRPr="005C4F41">
        <w:rPr>
          <w:spacing w:val="-4"/>
          <w:lang w:val="sq-AL"/>
        </w:rPr>
        <w:t>a) rezultatet e programit të monitorimit, referuar pikës 1, të këtij kreu;</w:t>
      </w:r>
    </w:p>
    <w:p w:rsidR="00163ABF" w:rsidRPr="005C4F41" w:rsidRDefault="00163ABF" w:rsidP="00163ABF">
      <w:pPr>
        <w:pStyle w:val="Paragrafi"/>
        <w:rPr>
          <w:spacing w:val="-4"/>
          <w:lang w:val="sq-AL"/>
        </w:rPr>
      </w:pPr>
      <w:r w:rsidRPr="005C4F41">
        <w:rPr>
          <w:spacing w:val="-4"/>
          <w:lang w:val="sq-AL"/>
        </w:rPr>
        <w:t xml:space="preserve">b) kategoritë dhe sasitë e produkteve të autorizuara, në përputhje me kërkesat e pikës 5, të kreut II, të këtij vendimi. </w:t>
      </w:r>
    </w:p>
    <w:p w:rsidR="00163ABF" w:rsidRPr="005C4F41" w:rsidRDefault="00163ABF" w:rsidP="00163ABF">
      <w:pPr>
        <w:pStyle w:val="Paragrafi"/>
        <w:rPr>
          <w:spacing w:val="-4"/>
          <w:lang w:val="sq-AL"/>
        </w:rPr>
      </w:pPr>
      <w:r w:rsidRPr="005C4F41">
        <w:rPr>
          <w:spacing w:val="-4"/>
          <w:lang w:val="sq-AL"/>
        </w:rPr>
        <w:t>3.</w:t>
      </w:r>
      <w:r w:rsidRPr="005C4F41">
        <w:rPr>
          <w:spacing w:val="-4"/>
          <w:lang w:val="sq-AL"/>
        </w:rPr>
        <w:tab/>
        <w:t xml:space="preserve"> Dy raportet e para paraqiten 18 muaj pas datës së parashikuar për përputhshmëri me vlerat kufi të përmbajtjes të VOC-së sipas përcaktimit të shtojcës II. Raportet vijuese paraqiten çdo 5 vjet.</w:t>
      </w:r>
    </w:p>
    <w:p w:rsidR="00163ABF" w:rsidRPr="005C4F41" w:rsidRDefault="00163ABF" w:rsidP="00163ABF">
      <w:pPr>
        <w:pStyle w:val="Paragrafi"/>
        <w:rPr>
          <w:spacing w:val="-4"/>
          <w:lang w:val="sq-AL"/>
        </w:rPr>
      </w:pPr>
      <w:r w:rsidRPr="005C4F41">
        <w:rPr>
          <w:spacing w:val="-4"/>
          <w:lang w:val="sq-AL"/>
        </w:rPr>
        <w:t>4.</w:t>
      </w:r>
      <w:r w:rsidRPr="005C4F41">
        <w:rPr>
          <w:spacing w:val="-4"/>
          <w:lang w:val="sq-AL"/>
        </w:rPr>
        <w:tab/>
        <w:t xml:space="preserve"> Formati për paraqitjen e të dhënave nga monitorimi miratohet me urdhër të përbashkët të ministrit përgjegjës për mjedisin dhe ministrit përgjegjës për industrinë.</w:t>
      </w:r>
    </w:p>
    <w:p w:rsidR="00163ABF" w:rsidRPr="005C4F41" w:rsidRDefault="00163ABF" w:rsidP="00163ABF">
      <w:pPr>
        <w:pStyle w:val="Paragrafi"/>
        <w:rPr>
          <w:spacing w:val="-4"/>
          <w:lang w:val="sq-AL"/>
        </w:rPr>
      </w:pPr>
      <w:r w:rsidRPr="005C4F41">
        <w:rPr>
          <w:spacing w:val="-4"/>
          <w:lang w:val="sq-AL"/>
        </w:rPr>
        <w:t>5. Në rastet e konstatimit të mospërputh-shmërisë, Inspektorati Shtetëror Teknik dhe Industrial zbaton sanksionet e përcaktuara në pikën 3, të nenit 35, të ligjit nr. 10489, datë 15.12.2011, “Për tregtimin dhe mbikëqyrjen e tregut të produkteve joushqimore”, të ndryshuar.</w:t>
      </w:r>
    </w:p>
    <w:p w:rsidR="00163ABF" w:rsidRPr="005C4F41" w:rsidRDefault="00163ABF" w:rsidP="00163ABF">
      <w:pPr>
        <w:pStyle w:val="Hapesira7"/>
        <w:rPr>
          <w:lang w:val="sq-AL"/>
        </w:rPr>
      </w:pPr>
    </w:p>
    <w:p w:rsidR="00163ABF" w:rsidRPr="005C4F41" w:rsidRDefault="00163ABF" w:rsidP="00163ABF">
      <w:pPr>
        <w:pStyle w:val="Paragrafi"/>
        <w:jc w:val="center"/>
        <w:rPr>
          <w:spacing w:val="-4"/>
          <w:lang w:val="sq-AL"/>
        </w:rPr>
      </w:pPr>
      <w:r w:rsidRPr="005C4F41">
        <w:rPr>
          <w:spacing w:val="-4"/>
          <w:lang w:val="sq-AL"/>
        </w:rPr>
        <w:t>KREU V</w:t>
      </w:r>
    </w:p>
    <w:p w:rsidR="00163ABF" w:rsidRPr="005C4F41" w:rsidRDefault="00163ABF" w:rsidP="00163ABF">
      <w:pPr>
        <w:pStyle w:val="Paragrafi"/>
        <w:jc w:val="center"/>
        <w:rPr>
          <w:spacing w:val="-4"/>
          <w:lang w:val="sq-AL"/>
        </w:rPr>
      </w:pPr>
      <w:r w:rsidRPr="005C4F41">
        <w:rPr>
          <w:spacing w:val="-4"/>
          <w:lang w:val="sq-AL"/>
        </w:rPr>
        <w:t>DISPOZITA PËRFUNDIMTARE</w:t>
      </w:r>
    </w:p>
    <w:p w:rsidR="00163ABF" w:rsidRPr="005C4F41" w:rsidRDefault="00163ABF" w:rsidP="00163ABF">
      <w:pPr>
        <w:pStyle w:val="Hapesira7"/>
        <w:rPr>
          <w:lang w:val="sq-AL"/>
        </w:rPr>
      </w:pPr>
    </w:p>
    <w:p w:rsidR="00163ABF" w:rsidRPr="005C4F41" w:rsidRDefault="00163ABF" w:rsidP="00163ABF">
      <w:pPr>
        <w:pStyle w:val="Paragrafi"/>
        <w:rPr>
          <w:spacing w:val="-4"/>
          <w:lang w:val="sq-AL"/>
        </w:rPr>
      </w:pPr>
      <w:r w:rsidRPr="005C4F41">
        <w:rPr>
          <w:spacing w:val="-4"/>
          <w:lang w:val="sq-AL"/>
        </w:rPr>
        <w:t xml:space="preserve">Ngarkohen Ministria e Mjedisit, ministria përgjegjëse për industrinë, Agjencia Kombëtare e Mjedisit, </w:t>
      </w:r>
      <w:r w:rsidRPr="005C4F41">
        <w:rPr>
          <w:spacing w:val="-4"/>
          <w:lang w:val="sq-AL"/>
        </w:rPr>
        <w:lastRenderedPageBreak/>
        <w:t>Inspektorati Shtetëror Teknik dhe Industrial për zbatimin e këtij vendimi.</w:t>
      </w:r>
    </w:p>
    <w:p w:rsidR="00163ABF" w:rsidRPr="005C4F41" w:rsidRDefault="00163ABF" w:rsidP="00163ABF">
      <w:pPr>
        <w:pStyle w:val="Paragrafi"/>
        <w:rPr>
          <w:spacing w:val="-4"/>
          <w:lang w:val="sq-AL"/>
        </w:rPr>
      </w:pPr>
      <w:r w:rsidRPr="005C4F41">
        <w:rPr>
          <w:spacing w:val="-4"/>
          <w:lang w:val="sq-AL"/>
        </w:rPr>
        <w:t>Ky vendim botohet në Fletoren Zyrtare dhe i fillon efektet juridike me hyrjen në fuqi të ligjit nr. 162/2014, “Për mbrojtjen e cilësisë së ajrit në mjedis”.</w:t>
      </w:r>
    </w:p>
    <w:p w:rsidR="00163ABF" w:rsidRPr="005C4F41" w:rsidRDefault="00163ABF" w:rsidP="00163ABF">
      <w:pPr>
        <w:pStyle w:val="Hapesira7"/>
        <w:rPr>
          <w:sz w:val="4"/>
          <w:lang w:val="sq-AL"/>
        </w:rPr>
      </w:pPr>
    </w:p>
    <w:p w:rsidR="00163ABF" w:rsidRPr="005C4F41" w:rsidRDefault="00163ABF" w:rsidP="00163ABF">
      <w:pPr>
        <w:pStyle w:val="Paragrafi"/>
        <w:jc w:val="right"/>
        <w:rPr>
          <w:spacing w:val="-4"/>
          <w:lang w:val="sq-AL"/>
        </w:rPr>
      </w:pPr>
      <w:r w:rsidRPr="005C4F41">
        <w:rPr>
          <w:spacing w:val="-4"/>
          <w:lang w:val="sq-AL"/>
        </w:rPr>
        <w:t>ZËVENDËSKRYEMINISTRI</w:t>
      </w:r>
    </w:p>
    <w:p w:rsidR="00163ABF" w:rsidRPr="005C4F41" w:rsidRDefault="00163ABF" w:rsidP="00163ABF">
      <w:pPr>
        <w:pStyle w:val="Paragrafi"/>
        <w:jc w:val="right"/>
        <w:rPr>
          <w:b/>
          <w:spacing w:val="-4"/>
          <w:lang w:val="sq-AL"/>
        </w:rPr>
      </w:pPr>
      <w:r w:rsidRPr="005C4F41">
        <w:rPr>
          <w:b/>
          <w:spacing w:val="-4"/>
          <w:lang w:val="sq-AL"/>
        </w:rPr>
        <w:t>Niko Peleshi</w:t>
      </w:r>
    </w:p>
    <w:p w:rsidR="00163ABF" w:rsidRPr="005C4F41" w:rsidRDefault="00163ABF" w:rsidP="00163ABF">
      <w:pPr>
        <w:pStyle w:val="Paragrafi"/>
        <w:rPr>
          <w:spacing w:val="-4"/>
          <w:lang w:val="sq-AL"/>
        </w:rPr>
      </w:pPr>
    </w:p>
    <w:p w:rsidR="00163ABF" w:rsidRPr="005C4F41" w:rsidRDefault="00163ABF" w:rsidP="00163ABF">
      <w:pPr>
        <w:pStyle w:val="Paragrafi"/>
        <w:jc w:val="center"/>
        <w:rPr>
          <w:spacing w:val="-4"/>
          <w:lang w:val="sq-AL"/>
        </w:rPr>
      </w:pPr>
      <w:r w:rsidRPr="005C4F41">
        <w:rPr>
          <w:spacing w:val="-4"/>
          <w:lang w:val="sq-AL"/>
        </w:rPr>
        <w:t>SHTOJCA I</w:t>
      </w:r>
    </w:p>
    <w:p w:rsidR="00163ABF" w:rsidRPr="005C4F41" w:rsidRDefault="00163ABF" w:rsidP="00163ABF">
      <w:pPr>
        <w:pStyle w:val="Hapesira7"/>
        <w:rPr>
          <w:sz w:val="20"/>
          <w:lang w:val="sq-AL"/>
        </w:rPr>
      </w:pPr>
    </w:p>
    <w:p w:rsidR="00163ABF" w:rsidRPr="005C4F41" w:rsidRDefault="00163ABF" w:rsidP="00163ABF">
      <w:pPr>
        <w:pStyle w:val="Paragrafi"/>
        <w:rPr>
          <w:spacing w:val="-4"/>
          <w:lang w:val="sq-AL"/>
        </w:rPr>
      </w:pPr>
      <w:r w:rsidRPr="005C4F41">
        <w:rPr>
          <w:spacing w:val="-4"/>
          <w:lang w:val="sq-AL"/>
        </w:rPr>
        <w:t>Nënkategoritë 1:</w:t>
      </w:r>
    </w:p>
    <w:p w:rsidR="00163ABF" w:rsidRPr="005C4F41" w:rsidRDefault="00163ABF" w:rsidP="00163ABF">
      <w:pPr>
        <w:pStyle w:val="Paragrafi"/>
        <w:rPr>
          <w:spacing w:val="-4"/>
          <w:lang w:val="sq-AL"/>
        </w:rPr>
      </w:pPr>
      <w:r w:rsidRPr="005C4F41">
        <w:rPr>
          <w:spacing w:val="-4"/>
          <w:lang w:val="sq-AL"/>
        </w:rPr>
        <w:t>a) “Veshje mat për mure të brendshme dhe tavane” janë veshjet e projektuara për përdorim në mure të brendshme dhe tavane, me një shkallë shkëlqimi ≤ 25@60°.</w:t>
      </w:r>
    </w:p>
    <w:p w:rsidR="00163ABF" w:rsidRPr="005C4F41" w:rsidRDefault="00163ABF" w:rsidP="00163ABF">
      <w:pPr>
        <w:pStyle w:val="Paragrafi"/>
        <w:rPr>
          <w:spacing w:val="-4"/>
          <w:lang w:val="sq-AL"/>
        </w:rPr>
      </w:pPr>
      <w:r w:rsidRPr="005C4F41">
        <w:rPr>
          <w:spacing w:val="-4"/>
          <w:lang w:val="sq-AL"/>
        </w:rPr>
        <w:t>b) “Veshje me shkëlqim për mure të brendshme dhe tavane” janë veshjet e projektuara për përdorim në mure të brendshme dhe tavane, me një shkallë shkëlqimi &gt;25@60°.</w:t>
      </w:r>
    </w:p>
    <w:p w:rsidR="00163ABF" w:rsidRPr="005C4F41" w:rsidRDefault="00163ABF" w:rsidP="00163ABF">
      <w:pPr>
        <w:pStyle w:val="Paragrafi"/>
        <w:rPr>
          <w:spacing w:val="-4"/>
          <w:lang w:val="sq-AL"/>
        </w:rPr>
      </w:pPr>
      <w:r w:rsidRPr="005C4F41">
        <w:rPr>
          <w:spacing w:val="-4"/>
          <w:lang w:val="sq-AL"/>
        </w:rPr>
        <w:t>c) “Veshje për mure të jashtme me përbërje minerale” janë veshjet e projektuara për përdorim në mure të jashtme betoni, tulle ose stukoje;</w:t>
      </w:r>
    </w:p>
    <w:p w:rsidR="00163ABF" w:rsidRPr="005C4F41" w:rsidRDefault="00163ABF" w:rsidP="00163ABF">
      <w:pPr>
        <w:pStyle w:val="Paragrafi"/>
        <w:rPr>
          <w:spacing w:val="-4"/>
          <w:lang w:val="sq-AL"/>
        </w:rPr>
      </w:pPr>
      <w:r w:rsidRPr="005C4F41">
        <w:rPr>
          <w:spacing w:val="-4"/>
          <w:lang w:val="sq-AL"/>
        </w:rPr>
        <w:t>ç) “Bojëra për lëmim dhe bllokim brenda/jashtë për dru, metal ose plastik” janë veshjet e projektuara për përdorim në pjesët e prera dhe veshjet që prodhojnë një shtresë të errët. Këto shtresa projektohen për dru, metal ose sipërfaqe plastike. Kjo nënkategori përfshin nënveshjet dhe veshjet e ndërmjetme;</w:t>
      </w:r>
    </w:p>
    <w:p w:rsidR="00163ABF" w:rsidRPr="005C4F41" w:rsidRDefault="00163ABF" w:rsidP="00163ABF">
      <w:pPr>
        <w:pStyle w:val="Paragrafi"/>
        <w:rPr>
          <w:spacing w:val="-4"/>
          <w:lang w:val="sq-AL"/>
        </w:rPr>
      </w:pPr>
      <w:r w:rsidRPr="005C4F41">
        <w:rPr>
          <w:spacing w:val="-4"/>
          <w:lang w:val="sq-AL"/>
        </w:rPr>
        <w:t>d) “Bojëra lëmuese dhe ujëbllokuese për dru brenda/jashtë” janë veshjet e projektuara për përdorim në pjesët e prera, që prodhojnë një shtresë transparente ose gjysmëtransparente për dekorim dhe mbrojtje të drurit, metalit dhe plastikës. Kjo nënkategori përfshin veshje ujëbllokuese me ngjyrë të errët. Veshjet ujëbllokuese me ngjyrë të errët janë veshjet që prodhojnë një shtresë me ngjyrë të errët për dekorimin dhe mbrojtjen e drurit ndaj kushteve atmosferike, sipas përcaktimit në standardin EN 927-1, brenda kategorisë gjysmë të qëndrueshme;</w:t>
      </w:r>
    </w:p>
    <w:p w:rsidR="00163ABF" w:rsidRPr="005C4F41" w:rsidRDefault="00163ABF" w:rsidP="00163ABF">
      <w:pPr>
        <w:pStyle w:val="Paragrafi"/>
        <w:rPr>
          <w:spacing w:val="-4"/>
          <w:lang w:val="sq-AL"/>
        </w:rPr>
      </w:pPr>
      <w:r w:rsidRPr="005C4F41">
        <w:rPr>
          <w:spacing w:val="-4"/>
          <w:lang w:val="sq-AL"/>
        </w:rPr>
        <w:t>dh) “Veshje ujëbllokuese për dru” është veshja ujëbllokuese, e cila, në përputhje me standardin EN 927-1:1996, ka një trashësi mesatare më pak se 5µm kur testohet në përputhje me standardin ISO 2808: 1997, metodën 5A;</w:t>
      </w:r>
    </w:p>
    <w:p w:rsidR="00163ABF" w:rsidRPr="005C4F41" w:rsidRDefault="00163ABF" w:rsidP="00163ABF">
      <w:pPr>
        <w:pStyle w:val="Paragrafi"/>
        <w:rPr>
          <w:spacing w:val="-4"/>
          <w:lang w:val="sq-AL"/>
        </w:rPr>
      </w:pPr>
      <w:r w:rsidRPr="005C4F41">
        <w:rPr>
          <w:spacing w:val="-4"/>
          <w:lang w:val="sq-AL"/>
        </w:rPr>
        <w:t>e) “Astar” janë shtresa me veti mbylljeje dhe/ose bllokuese, të projektuara për përdorim në dru ose mure dhe tavane;</w:t>
      </w:r>
    </w:p>
    <w:p w:rsidR="00163ABF" w:rsidRPr="005C4F41" w:rsidRDefault="00163ABF" w:rsidP="00163ABF">
      <w:pPr>
        <w:pStyle w:val="Paragrafi"/>
        <w:rPr>
          <w:spacing w:val="-4"/>
          <w:lang w:val="sq-AL"/>
        </w:rPr>
      </w:pPr>
      <w:r w:rsidRPr="005C4F41">
        <w:rPr>
          <w:spacing w:val="-4"/>
          <w:lang w:val="sq-AL"/>
        </w:rPr>
        <w:t>ë) “Astar lidhës” janë veshje të projektuara për të stabilizuar humbjen e grimcave të lëndëve ose transmetimin e vetive hidrofobike dhe/ose për mbrojtjen e drurit nga njollat blu;</w:t>
      </w:r>
    </w:p>
    <w:p w:rsidR="00163ABF" w:rsidRPr="005C4F41" w:rsidRDefault="00163ABF" w:rsidP="00163ABF">
      <w:pPr>
        <w:pStyle w:val="Paragrafi"/>
        <w:rPr>
          <w:spacing w:val="-4"/>
          <w:lang w:val="sq-AL"/>
        </w:rPr>
      </w:pPr>
      <w:r w:rsidRPr="005C4F41">
        <w:rPr>
          <w:spacing w:val="-4"/>
          <w:lang w:val="sq-AL"/>
        </w:rPr>
        <w:t>f) “Veshje me një komponent me performancë të lartë” janë veshjet me performancë të lartë mbështetur në material shtresëformues. Ato janë projektuar për përdorim i cili kërkon një performancë të veçantë, të tillë si astar dhe veshje të sipërme për plastiket, veshje astar për sipërfaqe hekuri, veshje astar për metale reaktive, të tillë si zinku dhe alumini, veshje antikorrozive, veshje për dysheme, përfshirë dyshemetë e drurit dhe çimentos, kundër grafiteve (vizatime/ mbishkrime), zjarrvonues dhe standardet higjienike në industrinë ushqimore ose të pijeve ose shërbimin shëndetësor;</w:t>
      </w:r>
    </w:p>
    <w:p w:rsidR="00163ABF" w:rsidRPr="005C4F41" w:rsidRDefault="00163ABF" w:rsidP="00163ABF">
      <w:pPr>
        <w:pStyle w:val="Paragrafi"/>
        <w:rPr>
          <w:lang w:val="sq-AL"/>
        </w:rPr>
      </w:pPr>
      <w:r w:rsidRPr="005C4F41">
        <w:rPr>
          <w:lang w:val="sq-AL"/>
        </w:rPr>
        <w:t>g) “Veshje bikomponente me performancë të lartë” janë veshjet me të njëjtin përdorim si veshjet me një komponent me performancë të lartë, por me një përbërës të dytë (p.sh. aminat terciare), të shtuar përpara përdorimit;</w:t>
      </w:r>
    </w:p>
    <w:p w:rsidR="00163ABF" w:rsidRPr="005C4F41" w:rsidRDefault="00163ABF" w:rsidP="00163ABF">
      <w:pPr>
        <w:pStyle w:val="Paragrafi"/>
        <w:rPr>
          <w:spacing w:val="-4"/>
          <w:lang w:val="sq-AL"/>
        </w:rPr>
      </w:pPr>
      <w:r w:rsidRPr="005C4F41">
        <w:rPr>
          <w:spacing w:val="-4"/>
          <w:lang w:val="sq-AL"/>
        </w:rPr>
        <w:t>gj) “Veshjet shumëngjyrëshe” janë veshjet e projektuara për të dhënë efektin e dy toneve ose të efekteve shumëngjyrëshe drejtpërdrejt nga përdorimi fillestar;</w:t>
      </w:r>
    </w:p>
    <w:p w:rsidR="00163ABF" w:rsidRPr="005C4F41" w:rsidRDefault="00163ABF" w:rsidP="00163ABF">
      <w:pPr>
        <w:pStyle w:val="Paragrafi"/>
        <w:rPr>
          <w:spacing w:val="-4"/>
          <w:lang w:val="sq-AL"/>
        </w:rPr>
      </w:pPr>
      <w:r w:rsidRPr="005C4F41">
        <w:rPr>
          <w:spacing w:val="-4"/>
          <w:lang w:val="sq-AL"/>
        </w:rPr>
        <w:t>h) “Veshjet për efekt dekorues” janë veshjet e projektuara të japin efekte estetike të veçanta mbi lëndë të lyera paraprakisht, të përgatitura posaçërisht ose veshjet bazë dhe të trajtuara më pas me mjete të ndryshme gjatë periudhës së tharjes.</w:t>
      </w:r>
    </w:p>
    <w:p w:rsidR="00163ABF" w:rsidRPr="005C4F41" w:rsidRDefault="00163ABF" w:rsidP="00163ABF">
      <w:pPr>
        <w:pStyle w:val="Paragrafi"/>
        <w:rPr>
          <w:spacing w:val="-4"/>
          <w:lang w:val="sq-AL"/>
        </w:rPr>
      </w:pPr>
      <w:r w:rsidRPr="005C4F41">
        <w:rPr>
          <w:spacing w:val="-4"/>
          <w:lang w:val="sq-AL"/>
        </w:rPr>
        <w:t>Nënkategoritë 2:</w:t>
      </w:r>
    </w:p>
    <w:p w:rsidR="00163ABF" w:rsidRPr="005C4F41" w:rsidRDefault="00163ABF" w:rsidP="00163ABF">
      <w:pPr>
        <w:pStyle w:val="Paragrafi"/>
        <w:rPr>
          <w:spacing w:val="-4"/>
          <w:lang w:val="sq-AL"/>
        </w:rPr>
      </w:pPr>
      <w:r w:rsidRPr="005C4F41">
        <w:rPr>
          <w:spacing w:val="-4"/>
          <w:lang w:val="sq-AL"/>
        </w:rPr>
        <w:t>a) “Përgatitës dhe pastrues” janë produktet e projektuara për të hequr veshjet e vjetra dhe ndryshkun, mekanike ose kimike, ose për të siguruar një çelës për veshje të reja, ku përfshihen:</w:t>
      </w:r>
    </w:p>
    <w:p w:rsidR="00163ABF" w:rsidRPr="005C4F41" w:rsidRDefault="00163ABF" w:rsidP="00163ABF">
      <w:pPr>
        <w:pStyle w:val="Paragrafi"/>
        <w:rPr>
          <w:spacing w:val="-4"/>
          <w:lang w:val="sq-AL"/>
        </w:rPr>
      </w:pPr>
      <w:r w:rsidRPr="005C4F41">
        <w:rPr>
          <w:spacing w:val="-4"/>
          <w:lang w:val="sq-AL"/>
        </w:rPr>
        <w:t>i) “produktet përgatitore” që përfshijnë dhe ato për pastrimin e pistoletave sprucuese (produkt i projektuar për pastrimin e pistoletave sprucuese dhe pajisje të tjera), pastrues boje, pastrues yndyre (përfshirë llojet antistatike për plastikë) dhe heqësit e silikonit;</w:t>
      </w:r>
    </w:p>
    <w:p w:rsidR="00163ABF" w:rsidRPr="005C4F41" w:rsidRDefault="00163ABF" w:rsidP="00163ABF">
      <w:pPr>
        <w:pStyle w:val="Paragrafi"/>
        <w:rPr>
          <w:spacing w:val="-4"/>
          <w:lang w:val="sq-AL"/>
        </w:rPr>
      </w:pPr>
      <w:r w:rsidRPr="005C4F41">
        <w:rPr>
          <w:spacing w:val="-4"/>
          <w:lang w:val="sq-AL"/>
        </w:rPr>
        <w:t>ii) “parapastruesit” që janë produktet e pastrimit, të projektuara për heqjen e ndotjes sipërfaqësore gjatë parapërgatitjes për dhe përpara përdorimit të materialeve të veshjeve;</w:t>
      </w:r>
    </w:p>
    <w:p w:rsidR="00163ABF" w:rsidRPr="005C4F41" w:rsidRDefault="00163ABF" w:rsidP="00163ABF">
      <w:pPr>
        <w:pStyle w:val="Paragrafi"/>
        <w:rPr>
          <w:spacing w:val="-4"/>
          <w:lang w:val="sq-AL"/>
        </w:rPr>
      </w:pPr>
      <w:r w:rsidRPr="005C4F41">
        <w:rPr>
          <w:spacing w:val="-4"/>
          <w:lang w:val="sq-AL"/>
        </w:rPr>
        <w:t>b) “Stukim/mastic” janë përbërësit e rëndë strukturorë, të projektuar për përdorim për mbushjen e papërsosmërive të thella të sipërfaqes përpara përdorimit të bazës/mbushësit;</w:t>
      </w:r>
    </w:p>
    <w:p w:rsidR="00163ABF" w:rsidRPr="005C4F41" w:rsidRDefault="00163ABF" w:rsidP="00163ABF">
      <w:pPr>
        <w:pStyle w:val="Paragrafi"/>
        <w:rPr>
          <w:spacing w:val="-4"/>
          <w:lang w:val="sq-AL"/>
        </w:rPr>
      </w:pPr>
      <w:r w:rsidRPr="005C4F41">
        <w:rPr>
          <w:spacing w:val="-4"/>
          <w:lang w:val="sq-AL"/>
        </w:rPr>
        <w:t>c) “Astar” është çdo veshje që është e projektuar për përdorim në metale të zhveshura ose veshjet ekzistuese për të siguruar mbrojtje nga korrozioni përpara përdorimit të astarit sipërfaqësor, si:</w:t>
      </w:r>
    </w:p>
    <w:p w:rsidR="00163ABF" w:rsidRPr="005C4F41" w:rsidRDefault="00163ABF" w:rsidP="00163ABF">
      <w:pPr>
        <w:pStyle w:val="Paragrafi"/>
        <w:rPr>
          <w:spacing w:val="-4"/>
          <w:lang w:val="sq-AL"/>
        </w:rPr>
      </w:pPr>
      <w:r w:rsidRPr="005C4F41">
        <w:rPr>
          <w:spacing w:val="-4"/>
          <w:lang w:val="sq-AL"/>
        </w:rPr>
        <w:lastRenderedPageBreak/>
        <w:t>i) “bazë/mbushës”, që është veshja e projektuar për përdorim menjëherë përpara përdorimit të veshjes së sipërme për qëllime rezistence ndaj korrozionit, për të siguruar ngjitjen e veshjes së sipërme dhe për të promovuar formimin e një veshjeje sipërfaqësore uniforme duke mbushur papërsosmëritë e vogla sipërfaqësore;</w:t>
      </w:r>
    </w:p>
    <w:p w:rsidR="00163ABF" w:rsidRPr="005C4F41" w:rsidRDefault="00163ABF" w:rsidP="00163ABF">
      <w:pPr>
        <w:pStyle w:val="Paragrafi"/>
        <w:rPr>
          <w:spacing w:val="-4"/>
          <w:lang w:val="sq-AL"/>
        </w:rPr>
      </w:pPr>
      <w:r w:rsidRPr="005C4F41">
        <w:rPr>
          <w:spacing w:val="-4"/>
          <w:lang w:val="sq-AL"/>
        </w:rPr>
        <w:t>ii) “astar i përgjithshëm për metale” që janë veshje të projektuara për përdorim si astar, të tillë si promovuesit e ngjitësit, izolues-hermetizues, sipërfaqësor, nënveshjet, astarët plastikë, veshjet mbushëse “të njome mbi të njomë” jolëmuese dhe veshjet mbushëse me sprucim;</w:t>
      </w:r>
    </w:p>
    <w:p w:rsidR="00163ABF" w:rsidRPr="005C4F41" w:rsidRDefault="00163ABF" w:rsidP="00163ABF">
      <w:pPr>
        <w:pStyle w:val="Paragrafi"/>
        <w:rPr>
          <w:spacing w:val="-4"/>
          <w:lang w:val="sq-AL"/>
        </w:rPr>
      </w:pPr>
      <w:r w:rsidRPr="005C4F41">
        <w:rPr>
          <w:spacing w:val="-4"/>
          <w:lang w:val="sq-AL"/>
        </w:rPr>
        <w:t>iii) “astar fosforik” që janë veshjet që përmbajnë të paktën 0,5 % të peshës së acidit fosforik të projektuar për përdorim të drejtpërdrejtë në sipërfaqe metalike të zhveshura për të siguruar rezistencë ndaj korrozionit dhe ngjitjes; veshjet e përdorura si astar saldues; dhe solucion zbutës për sipërfaqe të galvanizuara dhe zinku;</w:t>
      </w:r>
    </w:p>
    <w:p w:rsidR="00163ABF" w:rsidRPr="005C4F41" w:rsidRDefault="00163ABF" w:rsidP="00163ABF">
      <w:pPr>
        <w:pStyle w:val="Paragrafi"/>
        <w:rPr>
          <w:spacing w:val="-4"/>
          <w:lang w:val="sq-AL"/>
        </w:rPr>
      </w:pPr>
      <w:r w:rsidRPr="005C4F41">
        <w:rPr>
          <w:spacing w:val="-4"/>
          <w:lang w:val="sq-AL"/>
        </w:rPr>
        <w:t>ç) “veshja e sipërme” është çdo veshje e pigmentuar e projektuar për t’u përdorur si një shtresë e vetme ose si bazë e një shtrese të shumëfishtë për të siguruar shkëlqim dhe qëndrueshmëri. Ajo përfshin të gjitha produktet e përfshira si veshje bazë dhe veshje transparente:</w:t>
      </w:r>
    </w:p>
    <w:p w:rsidR="00163ABF" w:rsidRPr="005C4F41" w:rsidRDefault="00163ABF" w:rsidP="00163ABF">
      <w:pPr>
        <w:pStyle w:val="Paragrafi"/>
        <w:rPr>
          <w:spacing w:val="-4"/>
          <w:lang w:val="sq-AL"/>
        </w:rPr>
      </w:pPr>
      <w:r w:rsidRPr="005C4F41">
        <w:rPr>
          <w:spacing w:val="-4"/>
          <w:lang w:val="sq-AL"/>
        </w:rPr>
        <w:t>i) “veshje bazë” janë veshjet e pigmentuara të projektuara për të siguruar ngjyrën dhe çdo efekt optik të dëshiruar, por jo shkëlqim ose rezistencë sipërfaqësore të sistemit veshës;</w:t>
      </w:r>
    </w:p>
    <w:p w:rsidR="00163ABF" w:rsidRPr="005C4F41" w:rsidRDefault="00163ABF" w:rsidP="00163ABF">
      <w:pPr>
        <w:pStyle w:val="Paragrafi"/>
        <w:rPr>
          <w:spacing w:val="-4"/>
          <w:lang w:val="sq-AL"/>
        </w:rPr>
      </w:pPr>
      <w:r w:rsidRPr="005C4F41">
        <w:rPr>
          <w:spacing w:val="-4"/>
          <w:lang w:val="sq-AL"/>
        </w:rPr>
        <w:t>ii) “veshje transparente” është një shtresë transparente e projektuar për të siguruar shkëlqimin përfundimtar dhe vetitë rezistente të sistemit veshës;</w:t>
      </w:r>
    </w:p>
    <w:p w:rsidR="00163ABF" w:rsidRPr="005C4F41" w:rsidRDefault="00163ABF" w:rsidP="00163ABF">
      <w:pPr>
        <w:pStyle w:val="Paragrafi"/>
        <w:rPr>
          <w:spacing w:val="-4"/>
          <w:lang w:val="sq-AL"/>
        </w:rPr>
      </w:pPr>
      <w:r w:rsidRPr="005C4F41">
        <w:rPr>
          <w:spacing w:val="-4"/>
          <w:lang w:val="sq-AL"/>
        </w:rPr>
        <w:t>d) “veshje speciale” janë veshjet e projektuara për përdorim si veshje të sipërme që kërkojnë cilësi të veçanta, të tilla si efekte metalike ose perlë në një shtrese të vetme, ngjyrë të fortë me performance të lartë dhe veshjet transparente (p.sh. kundër gërvishtjes dhe veshje transparente me fluor), veshje bazë reflektuese, efekte me reliev (p.sh. çekiç), antirrëshqitëse, veshje izoluese për karroceri, veshje kundër gureve, veshje për finitura të brendshme dhe aerosol.</w:t>
      </w:r>
    </w:p>
    <w:p w:rsidR="00163ABF" w:rsidRPr="005C4F41" w:rsidRDefault="00163ABF" w:rsidP="00163ABF">
      <w:pPr>
        <w:pStyle w:val="Paragrafi"/>
        <w:rPr>
          <w:lang w:val="sq-AL"/>
        </w:rPr>
        <w:sectPr w:rsidR="00163ABF" w:rsidRPr="005C4F41" w:rsidSect="00163ABF">
          <w:pgSz w:w="11907" w:h="16840" w:code="9"/>
          <w:pgMar w:top="720" w:right="1134" w:bottom="720" w:left="1134" w:header="851" w:footer="851" w:gutter="0"/>
          <w:cols w:space="454"/>
          <w:docGrid w:linePitch="360"/>
        </w:sectPr>
      </w:pPr>
    </w:p>
    <w:p w:rsidR="00163ABF" w:rsidRDefault="00163ABF" w:rsidP="00163ABF">
      <w:pPr>
        <w:pStyle w:val="Paragrafi"/>
        <w:rPr>
          <w:lang w:val="sq-AL"/>
        </w:rPr>
        <w:sectPr w:rsidR="00163ABF" w:rsidSect="007D5CA2">
          <w:type w:val="continuous"/>
          <w:pgSz w:w="11907" w:h="16840" w:code="9"/>
          <w:pgMar w:top="720" w:right="1134" w:bottom="720" w:left="1134" w:header="851" w:footer="851" w:gutter="0"/>
          <w:cols w:space="454"/>
          <w:docGrid w:linePitch="360"/>
        </w:sectPr>
      </w:pPr>
    </w:p>
    <w:p w:rsidR="00163ABF" w:rsidRPr="005C4F41" w:rsidRDefault="00163ABF" w:rsidP="00163ABF">
      <w:pPr>
        <w:pStyle w:val="Paragrafi"/>
        <w:rPr>
          <w:lang w:val="sq-AL"/>
        </w:rPr>
      </w:pPr>
    </w:p>
    <w:p w:rsidR="00163ABF" w:rsidRPr="005C4F41" w:rsidRDefault="00163ABF" w:rsidP="00163ABF">
      <w:pPr>
        <w:pStyle w:val="Paragrafi"/>
        <w:jc w:val="center"/>
        <w:rPr>
          <w:lang w:val="sq-AL"/>
        </w:rPr>
      </w:pPr>
    </w:p>
    <w:p w:rsidR="00163ABF" w:rsidRPr="005C4F41" w:rsidRDefault="00163ABF" w:rsidP="00163ABF">
      <w:pPr>
        <w:pStyle w:val="Paragrafi"/>
        <w:jc w:val="center"/>
        <w:rPr>
          <w:lang w:val="sq-AL"/>
        </w:rPr>
      </w:pPr>
    </w:p>
    <w:p w:rsidR="00163ABF" w:rsidRPr="005C4F41" w:rsidRDefault="00163ABF" w:rsidP="00163ABF">
      <w:pPr>
        <w:pStyle w:val="Paragrafi"/>
        <w:jc w:val="center"/>
        <w:rPr>
          <w:lang w:val="sq-AL"/>
        </w:rPr>
      </w:pPr>
    </w:p>
    <w:p w:rsidR="00163ABF" w:rsidRPr="005C4F41" w:rsidRDefault="00163ABF" w:rsidP="00163ABF">
      <w:pPr>
        <w:pStyle w:val="Paragrafi"/>
        <w:jc w:val="center"/>
        <w:rPr>
          <w:lang w:val="sq-AL"/>
        </w:rPr>
      </w:pPr>
    </w:p>
    <w:p w:rsidR="00163ABF" w:rsidRPr="005C4F41" w:rsidRDefault="00163ABF" w:rsidP="00163ABF">
      <w:pPr>
        <w:pStyle w:val="Paragrafi"/>
        <w:jc w:val="center"/>
        <w:rPr>
          <w:lang w:val="sq-AL"/>
        </w:rPr>
      </w:pPr>
    </w:p>
    <w:p w:rsidR="00163ABF" w:rsidRPr="005C4F41" w:rsidRDefault="00163ABF" w:rsidP="00163ABF">
      <w:pPr>
        <w:pStyle w:val="Paragrafi"/>
        <w:jc w:val="center"/>
        <w:rPr>
          <w:lang w:val="sq-AL"/>
        </w:rPr>
      </w:pPr>
    </w:p>
    <w:p w:rsidR="00163ABF" w:rsidRPr="005C4F41" w:rsidRDefault="00163ABF" w:rsidP="00163ABF">
      <w:pPr>
        <w:pStyle w:val="Paragrafi"/>
        <w:jc w:val="center"/>
        <w:rPr>
          <w:lang w:val="sq-AL"/>
        </w:rPr>
      </w:pPr>
    </w:p>
    <w:p w:rsidR="00163ABF" w:rsidRPr="005C4F41" w:rsidRDefault="00163ABF" w:rsidP="00163ABF">
      <w:pPr>
        <w:pStyle w:val="Paragrafi"/>
        <w:jc w:val="center"/>
        <w:rPr>
          <w:lang w:val="sq-AL"/>
        </w:rPr>
      </w:pPr>
    </w:p>
    <w:p w:rsidR="00163ABF" w:rsidRPr="005C4F41" w:rsidRDefault="00163ABF" w:rsidP="00163ABF">
      <w:pPr>
        <w:pStyle w:val="Paragrafi"/>
        <w:jc w:val="center"/>
        <w:rPr>
          <w:lang w:val="sq-AL"/>
        </w:rPr>
      </w:pPr>
    </w:p>
    <w:p w:rsidR="00163ABF" w:rsidRDefault="00163ABF" w:rsidP="00163ABF">
      <w:pPr>
        <w:pStyle w:val="Paragrafi"/>
        <w:jc w:val="center"/>
        <w:rPr>
          <w:lang w:val="sq-AL"/>
        </w:rPr>
      </w:pPr>
    </w:p>
    <w:p w:rsidR="00163ABF" w:rsidRPr="005C4F41"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Default="00163ABF" w:rsidP="00163ABF">
      <w:pPr>
        <w:pStyle w:val="Paragrafi"/>
        <w:jc w:val="center"/>
        <w:rPr>
          <w:lang w:val="sq-AL"/>
        </w:rPr>
      </w:pPr>
    </w:p>
    <w:p w:rsidR="00163ABF" w:rsidRPr="005C4F41" w:rsidRDefault="00163ABF" w:rsidP="00163ABF">
      <w:pPr>
        <w:pStyle w:val="Paragrafi"/>
        <w:jc w:val="center"/>
        <w:rPr>
          <w:lang w:val="sq-AL"/>
        </w:rPr>
      </w:pPr>
      <w:r w:rsidRPr="005C4F41">
        <w:rPr>
          <w:lang w:val="sq-AL"/>
        </w:rPr>
        <w:lastRenderedPageBreak/>
        <w:t>SHTOJCA II</w:t>
      </w:r>
    </w:p>
    <w:p w:rsidR="00163ABF" w:rsidRPr="005C4F41" w:rsidRDefault="00163ABF" w:rsidP="00163ABF">
      <w:pPr>
        <w:pStyle w:val="Paragrafi"/>
        <w:jc w:val="center"/>
        <w:rPr>
          <w:sz w:val="14"/>
          <w:lang w:val="sq-AL"/>
        </w:rPr>
      </w:pPr>
    </w:p>
    <w:p w:rsidR="00163ABF" w:rsidRPr="005C4F41" w:rsidRDefault="00163ABF" w:rsidP="00163ABF">
      <w:pPr>
        <w:pStyle w:val="Paragrafi"/>
        <w:rPr>
          <w:b/>
          <w:lang w:val="sq-AL"/>
        </w:rPr>
      </w:pPr>
      <w:r w:rsidRPr="005C4F41">
        <w:rPr>
          <w:b/>
          <w:lang w:val="sq-AL"/>
        </w:rPr>
        <w:t>A. Vlerat kufi të përmbajtjes maksimale të VOC-së për bojëra dhe llaqe</w:t>
      </w:r>
    </w:p>
    <w:p w:rsidR="00163ABF" w:rsidRPr="005C4F41" w:rsidRDefault="00163ABF" w:rsidP="00163ABF">
      <w:pPr>
        <w:pStyle w:val="Paragrafi"/>
        <w:rPr>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11"/>
        <w:gridCol w:w="4356"/>
        <w:gridCol w:w="768"/>
        <w:gridCol w:w="2306"/>
        <w:gridCol w:w="1708"/>
      </w:tblGrid>
      <w:tr w:rsidR="00163ABF" w:rsidRPr="005C4F41" w:rsidTr="00D85D56">
        <w:trPr>
          <w:trHeight w:hRule="exact" w:val="845"/>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b/>
                <w:sz w:val="20"/>
                <w:szCs w:val="20"/>
                <w:lang w:val="sq-AL"/>
              </w:rPr>
            </w:pPr>
          </w:p>
        </w:tc>
        <w:tc>
          <w:tcPr>
            <w:tcW w:w="2257"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b/>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Nënkategoritë e produktit</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b/>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b/>
                <w:sz w:val="20"/>
                <w:szCs w:val="20"/>
                <w:lang w:val="sq-AL"/>
              </w:rPr>
            </w:pPr>
            <w:r w:rsidRPr="005C4F41">
              <w:rPr>
                <w:rFonts w:ascii="Garamond" w:hAnsi="Garamond"/>
                <w:b/>
                <w:spacing w:val="-9"/>
                <w:sz w:val="20"/>
                <w:szCs w:val="20"/>
                <w:lang w:val="sq-AL"/>
              </w:rPr>
              <w:t>Lloji</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b/>
                <w:w w:val="83"/>
                <w:sz w:val="20"/>
                <w:szCs w:val="20"/>
                <w:lang w:val="sq-AL"/>
              </w:rPr>
            </w:pPr>
            <w:r w:rsidRPr="005C4F41">
              <w:rPr>
                <w:rFonts w:ascii="Garamond" w:hAnsi="Garamond"/>
                <w:b/>
                <w:sz w:val="20"/>
                <w:szCs w:val="20"/>
                <w:lang w:val="sq-AL"/>
              </w:rPr>
              <w:t>Faza</w:t>
            </w:r>
            <w:r w:rsidRPr="005C4F41">
              <w:rPr>
                <w:rFonts w:ascii="Garamond" w:hAnsi="Garamond"/>
                <w:b/>
                <w:spacing w:val="-13"/>
                <w:sz w:val="20"/>
                <w:szCs w:val="20"/>
                <w:lang w:val="sq-AL"/>
              </w:rPr>
              <w:t xml:space="preserve"> </w:t>
            </w:r>
            <w:r w:rsidRPr="005C4F41">
              <w:rPr>
                <w:rFonts w:ascii="Garamond" w:hAnsi="Garamond"/>
                <w:b/>
                <w:w w:val="83"/>
                <w:sz w:val="20"/>
                <w:szCs w:val="20"/>
                <w:lang w:val="sq-AL"/>
              </w:rPr>
              <w:t>I</w:t>
            </w:r>
            <w:r w:rsidRPr="005C4F41">
              <w:rPr>
                <w:rFonts w:ascii="Garamond" w:hAnsi="Garamond"/>
                <w:b/>
                <w:spacing w:val="15"/>
                <w:w w:val="83"/>
                <w:sz w:val="20"/>
                <w:szCs w:val="20"/>
                <w:lang w:val="sq-AL"/>
              </w:rPr>
              <w:t xml:space="preserve"> </w:t>
            </w:r>
            <w:r w:rsidRPr="005C4F41">
              <w:rPr>
                <w:rFonts w:ascii="Garamond" w:hAnsi="Garamond"/>
                <w:b/>
                <w:w w:val="83"/>
                <w:sz w:val="20"/>
                <w:szCs w:val="20"/>
                <w:lang w:val="sq-AL"/>
              </w:rPr>
              <w:t>(</w:t>
            </w:r>
            <w:r w:rsidRPr="005C4F41">
              <w:rPr>
                <w:rFonts w:ascii="Garamond" w:hAnsi="Garamond"/>
                <w:b/>
                <w:spacing w:val="2"/>
                <w:w w:val="83"/>
                <w:sz w:val="20"/>
                <w:szCs w:val="20"/>
                <w:lang w:val="sq-AL"/>
              </w:rPr>
              <w:t>g</w:t>
            </w:r>
            <w:r w:rsidRPr="005C4F41">
              <w:rPr>
                <w:rFonts w:ascii="Garamond" w:hAnsi="Garamond"/>
                <w:b/>
                <w:w w:val="83"/>
                <w:sz w:val="20"/>
                <w:szCs w:val="20"/>
                <w:lang w:val="sq-AL"/>
              </w:rPr>
              <w:t>/l</w:t>
            </w:r>
            <w:r w:rsidRPr="005C4F41">
              <w:rPr>
                <w:rFonts w:ascii="Garamond" w:hAnsi="Garamond"/>
                <w:b/>
                <w:spacing w:val="20"/>
                <w:w w:val="83"/>
                <w:sz w:val="20"/>
                <w:szCs w:val="20"/>
                <w:lang w:val="sq-AL"/>
              </w:rPr>
              <w:t xml:space="preserve"> </w:t>
            </w:r>
            <w:r w:rsidRPr="005C4F41">
              <w:rPr>
                <w:rFonts w:ascii="Garamond" w:hAnsi="Garamond"/>
                <w:b/>
                <w:w w:val="83"/>
                <w:sz w:val="20"/>
                <w:szCs w:val="20"/>
                <w:lang w:val="sq-AL"/>
              </w:rPr>
              <w:t>(*))</w:t>
            </w:r>
          </w:p>
          <w:p w:rsidR="00163ABF" w:rsidRPr="005C4F41" w:rsidRDefault="00163ABF" w:rsidP="00D85D56">
            <w:pPr>
              <w:widowControl w:val="0"/>
              <w:autoSpaceDE w:val="0"/>
              <w:autoSpaceDN w:val="0"/>
              <w:adjustRightInd w:val="0"/>
              <w:spacing w:after="0" w:line="240" w:lineRule="auto"/>
              <w:ind w:firstLine="0"/>
              <w:jc w:val="center"/>
              <w:rPr>
                <w:rFonts w:ascii="Garamond" w:hAnsi="Garamond"/>
                <w:b/>
                <w:w w:val="83"/>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(nga</w:t>
            </w:r>
            <w:r w:rsidRPr="005C4F41">
              <w:rPr>
                <w:rFonts w:ascii="Garamond" w:hAnsi="Garamond"/>
                <w:b/>
                <w:spacing w:val="-5"/>
                <w:sz w:val="20"/>
                <w:szCs w:val="20"/>
                <w:lang w:val="sq-AL"/>
              </w:rPr>
              <w:t xml:space="preserve"> </w:t>
            </w:r>
            <w:r w:rsidRPr="005C4F41">
              <w:rPr>
                <w:rFonts w:ascii="Garamond" w:hAnsi="Garamond"/>
                <w:b/>
                <w:spacing w:val="-5"/>
                <w:w w:val="106"/>
                <w:sz w:val="20"/>
                <w:szCs w:val="20"/>
                <w:lang w:val="sq-AL"/>
              </w:rPr>
              <w:t>1</w:t>
            </w:r>
            <w:r w:rsidRPr="005C4F41">
              <w:rPr>
                <w:rFonts w:ascii="Garamond" w:hAnsi="Garamond"/>
                <w:b/>
                <w:spacing w:val="-5"/>
                <w:w w:val="86"/>
                <w:sz w:val="20"/>
                <w:szCs w:val="20"/>
                <w:lang w:val="sq-AL"/>
              </w:rPr>
              <w:t>.</w:t>
            </w:r>
            <w:r w:rsidRPr="005C4F41">
              <w:rPr>
                <w:rFonts w:ascii="Garamond" w:hAnsi="Garamond"/>
                <w:b/>
                <w:spacing w:val="-5"/>
                <w:w w:val="106"/>
                <w:sz w:val="20"/>
                <w:szCs w:val="20"/>
                <w:lang w:val="sq-AL"/>
              </w:rPr>
              <w:t>1</w:t>
            </w:r>
            <w:r w:rsidRPr="005C4F41">
              <w:rPr>
                <w:rFonts w:ascii="Garamond" w:hAnsi="Garamond"/>
                <w:b/>
                <w:w w:val="103"/>
                <w:sz w:val="20"/>
                <w:szCs w:val="20"/>
                <w:lang w:val="sq-AL"/>
              </w:rPr>
              <w:t>.20</w:t>
            </w:r>
            <w:r w:rsidRPr="005C4F41">
              <w:rPr>
                <w:rFonts w:ascii="Garamond" w:hAnsi="Garamond"/>
                <w:b/>
                <w:spacing w:val="-8"/>
                <w:w w:val="103"/>
                <w:sz w:val="20"/>
                <w:szCs w:val="20"/>
                <w:lang w:val="sq-AL"/>
              </w:rPr>
              <w:t>20)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b/>
                <w:w w:val="82"/>
                <w:sz w:val="20"/>
                <w:szCs w:val="20"/>
                <w:lang w:val="sq-AL"/>
              </w:rPr>
            </w:pPr>
            <w:r w:rsidRPr="005C4F41">
              <w:rPr>
                <w:rFonts w:ascii="Garamond" w:hAnsi="Garamond"/>
                <w:b/>
                <w:sz w:val="20"/>
                <w:szCs w:val="20"/>
                <w:lang w:val="sq-AL"/>
              </w:rPr>
              <w:t>Faza</w:t>
            </w:r>
            <w:r w:rsidRPr="005C4F41">
              <w:rPr>
                <w:rFonts w:ascii="Garamond" w:hAnsi="Garamond"/>
                <w:b/>
                <w:spacing w:val="-14"/>
                <w:sz w:val="20"/>
                <w:szCs w:val="20"/>
                <w:lang w:val="sq-AL"/>
              </w:rPr>
              <w:t xml:space="preserve"> </w:t>
            </w:r>
            <w:r w:rsidRPr="005C4F41">
              <w:rPr>
                <w:rFonts w:ascii="Garamond" w:hAnsi="Garamond"/>
                <w:b/>
                <w:w w:val="82"/>
                <w:sz w:val="20"/>
                <w:szCs w:val="20"/>
                <w:lang w:val="sq-AL"/>
              </w:rPr>
              <w:t>II</w:t>
            </w:r>
            <w:r w:rsidRPr="005C4F41">
              <w:rPr>
                <w:rFonts w:ascii="Garamond" w:hAnsi="Garamond"/>
                <w:b/>
                <w:spacing w:val="17"/>
                <w:w w:val="82"/>
                <w:sz w:val="20"/>
                <w:szCs w:val="20"/>
                <w:lang w:val="sq-AL"/>
              </w:rPr>
              <w:t xml:space="preserve"> </w:t>
            </w:r>
            <w:r w:rsidRPr="005C4F41">
              <w:rPr>
                <w:rFonts w:ascii="Garamond" w:hAnsi="Garamond"/>
                <w:b/>
                <w:w w:val="82"/>
                <w:sz w:val="20"/>
                <w:szCs w:val="20"/>
                <w:lang w:val="sq-AL"/>
              </w:rPr>
              <w:t>(g/l</w:t>
            </w:r>
            <w:r w:rsidRPr="005C4F41">
              <w:rPr>
                <w:rFonts w:ascii="Garamond" w:hAnsi="Garamond"/>
                <w:b/>
                <w:spacing w:val="22"/>
                <w:w w:val="82"/>
                <w:sz w:val="20"/>
                <w:szCs w:val="20"/>
                <w:lang w:val="sq-AL"/>
              </w:rPr>
              <w:t xml:space="preserve"> </w:t>
            </w:r>
            <w:r w:rsidRPr="005C4F41">
              <w:rPr>
                <w:rFonts w:ascii="Garamond" w:hAnsi="Garamond"/>
                <w:b/>
                <w:w w:val="82"/>
                <w:sz w:val="20"/>
                <w:szCs w:val="20"/>
                <w:lang w:val="sq-AL"/>
              </w:rPr>
              <w:t>(*))</w:t>
            </w:r>
          </w:p>
          <w:p w:rsidR="00163ABF" w:rsidRPr="005C4F41" w:rsidRDefault="00163ABF" w:rsidP="00D85D56">
            <w:pPr>
              <w:widowControl w:val="0"/>
              <w:autoSpaceDE w:val="0"/>
              <w:autoSpaceDN w:val="0"/>
              <w:adjustRightInd w:val="0"/>
              <w:spacing w:after="0" w:line="240" w:lineRule="auto"/>
              <w:ind w:firstLine="0"/>
              <w:jc w:val="center"/>
              <w:rPr>
                <w:rFonts w:ascii="Garamond" w:hAnsi="Garamond"/>
                <w:b/>
                <w:w w:val="82"/>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(nga</w:t>
            </w:r>
            <w:r w:rsidRPr="005C4F41">
              <w:rPr>
                <w:rFonts w:ascii="Garamond" w:hAnsi="Garamond"/>
                <w:b/>
                <w:spacing w:val="-5"/>
                <w:sz w:val="20"/>
                <w:szCs w:val="20"/>
                <w:lang w:val="sq-AL"/>
              </w:rPr>
              <w:t xml:space="preserve"> </w:t>
            </w:r>
            <w:r w:rsidRPr="005C4F41">
              <w:rPr>
                <w:rFonts w:ascii="Garamond" w:hAnsi="Garamond"/>
                <w:b/>
                <w:spacing w:val="-5"/>
                <w:w w:val="106"/>
                <w:sz w:val="20"/>
                <w:szCs w:val="20"/>
                <w:lang w:val="sq-AL"/>
              </w:rPr>
              <w:t>1</w:t>
            </w:r>
            <w:r w:rsidRPr="005C4F41">
              <w:rPr>
                <w:rFonts w:ascii="Garamond" w:hAnsi="Garamond"/>
                <w:b/>
                <w:spacing w:val="-5"/>
                <w:w w:val="86"/>
                <w:sz w:val="20"/>
                <w:szCs w:val="20"/>
                <w:lang w:val="sq-AL"/>
              </w:rPr>
              <w:t>.</w:t>
            </w:r>
            <w:r w:rsidRPr="005C4F41">
              <w:rPr>
                <w:rFonts w:ascii="Garamond" w:hAnsi="Garamond"/>
                <w:b/>
                <w:spacing w:val="-5"/>
                <w:w w:val="106"/>
                <w:sz w:val="20"/>
                <w:szCs w:val="20"/>
                <w:lang w:val="sq-AL"/>
              </w:rPr>
              <w:t>1</w:t>
            </w:r>
            <w:r w:rsidRPr="005C4F41">
              <w:rPr>
                <w:rFonts w:ascii="Garamond" w:hAnsi="Garamond"/>
                <w:b/>
                <w:w w:val="102"/>
                <w:sz w:val="20"/>
                <w:szCs w:val="20"/>
                <w:lang w:val="sq-AL"/>
              </w:rPr>
              <w:t>.2</w:t>
            </w:r>
            <w:r w:rsidRPr="005C4F41">
              <w:rPr>
                <w:rFonts w:ascii="Garamond" w:hAnsi="Garamond"/>
                <w:b/>
                <w:spacing w:val="-8"/>
                <w:w w:val="102"/>
                <w:sz w:val="20"/>
                <w:szCs w:val="20"/>
                <w:lang w:val="sq-AL"/>
              </w:rPr>
              <w:t>0</w:t>
            </w:r>
            <w:r w:rsidRPr="005C4F41">
              <w:rPr>
                <w:rFonts w:ascii="Garamond" w:hAnsi="Garamond"/>
                <w:b/>
                <w:spacing w:val="-9"/>
                <w:w w:val="106"/>
                <w:sz w:val="20"/>
                <w:szCs w:val="20"/>
                <w:lang w:val="sq-AL"/>
              </w:rPr>
              <w:t>23)</w:t>
            </w:r>
          </w:p>
        </w:tc>
      </w:tr>
      <w:tr w:rsidR="00163ABF" w:rsidRPr="005C4F41" w:rsidTr="00D85D56">
        <w:trPr>
          <w:trHeight w:hRule="exact" w:val="844"/>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A</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Mure të brendshme dhe tavane mat</w:t>
            </w:r>
            <w:r w:rsidRPr="005C4F41">
              <w:rPr>
                <w:rFonts w:ascii="Garamond" w:hAnsi="Garamond"/>
                <w:spacing w:val="23"/>
                <w:w w:val="92"/>
                <w:sz w:val="20"/>
                <w:szCs w:val="20"/>
              </w:rPr>
              <w:t xml:space="preserve"> </w:t>
            </w:r>
            <w:r w:rsidRPr="005C4F41">
              <w:rPr>
                <w:rFonts w:ascii="Garamond" w:hAnsi="Garamond"/>
                <w:w w:val="92"/>
                <w:sz w:val="20"/>
                <w:szCs w:val="20"/>
              </w:rPr>
              <w:t>(shkëlqimi</w:t>
            </w:r>
            <w:r w:rsidRPr="005C4F41">
              <w:rPr>
                <w:rFonts w:ascii="Garamond" w:hAnsi="Garamond"/>
                <w:spacing w:val="11"/>
                <w:w w:val="92"/>
                <w:sz w:val="20"/>
                <w:szCs w:val="20"/>
              </w:rPr>
              <w:t xml:space="preserve"> </w:t>
            </w:r>
            <w:r w:rsidRPr="005C4F41">
              <w:rPr>
                <w:rFonts w:ascii="Garamond" w:hAnsi="Garamond"/>
                <w:sz w:val="20"/>
                <w:szCs w:val="20"/>
              </w:rPr>
              <w:t>&lt;25@60°)</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2"/>
                <w:w w:val="106"/>
                <w:sz w:val="20"/>
                <w:szCs w:val="20"/>
                <w:lang w:val="sq-AL"/>
              </w:rPr>
              <w:t>7</w:t>
            </w:r>
            <w:r w:rsidRPr="005C4F41">
              <w:rPr>
                <w:rFonts w:ascii="Garamond" w:hAnsi="Garamond"/>
                <w:w w:val="106"/>
                <w:sz w:val="20"/>
                <w:szCs w:val="20"/>
                <w:lang w:val="sq-AL"/>
              </w:rPr>
              <w:t>5</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400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30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30</w:t>
            </w:r>
          </w:p>
        </w:tc>
      </w:tr>
      <w:tr w:rsidR="00163ABF" w:rsidRPr="005C4F41" w:rsidTr="00D85D56">
        <w:trPr>
          <w:trHeight w:hRule="exact" w:val="855"/>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B</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Mure të brendshme dhe tavane të shkëlqyeshme</w:t>
            </w:r>
            <w:r w:rsidRPr="005C4F41">
              <w:rPr>
                <w:rFonts w:ascii="Garamond" w:hAnsi="Garamond"/>
                <w:spacing w:val="23"/>
                <w:w w:val="92"/>
                <w:sz w:val="20"/>
                <w:szCs w:val="20"/>
              </w:rPr>
              <w:t xml:space="preserve"> </w:t>
            </w:r>
            <w:r w:rsidRPr="005C4F41">
              <w:rPr>
                <w:rFonts w:ascii="Garamond" w:hAnsi="Garamond"/>
                <w:w w:val="92"/>
                <w:sz w:val="20"/>
                <w:szCs w:val="20"/>
              </w:rPr>
              <w:t>(Shkëlqimi</w:t>
            </w:r>
            <w:r w:rsidRPr="005C4F41">
              <w:rPr>
                <w:rFonts w:ascii="Garamond" w:hAnsi="Garamond"/>
                <w:spacing w:val="12"/>
                <w:w w:val="92"/>
                <w:sz w:val="20"/>
                <w:szCs w:val="20"/>
              </w:rPr>
              <w:t xml:space="preserve"> </w:t>
            </w:r>
            <w:r w:rsidRPr="005C4F41">
              <w:rPr>
                <w:rFonts w:ascii="Garamond" w:hAnsi="Garamond"/>
                <w:sz w:val="20"/>
                <w:szCs w:val="20"/>
              </w:rPr>
              <w:t>&gt;25@60°)</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2"/>
                <w:w w:val="106"/>
                <w:sz w:val="20"/>
                <w:szCs w:val="20"/>
                <w:lang w:val="sq-AL"/>
              </w:rPr>
              <w:t>1</w:t>
            </w:r>
            <w:r w:rsidRPr="005C4F41">
              <w:rPr>
                <w:rFonts w:ascii="Garamond" w:hAnsi="Garamond"/>
                <w:w w:val="106"/>
                <w:sz w:val="20"/>
                <w:szCs w:val="20"/>
                <w:lang w:val="sq-AL"/>
              </w:rPr>
              <w:t>50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400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0"/>
                <w:w w:val="106"/>
                <w:sz w:val="20"/>
                <w:szCs w:val="20"/>
                <w:lang w:val="sq-AL"/>
              </w:rPr>
              <w:t>1</w:t>
            </w:r>
            <w:r w:rsidRPr="005C4F41">
              <w:rPr>
                <w:rFonts w:ascii="Garamond" w:hAnsi="Garamond"/>
                <w:w w:val="106"/>
                <w:sz w:val="20"/>
                <w:szCs w:val="20"/>
                <w:lang w:val="sq-AL"/>
              </w:rPr>
              <w:t>00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0"/>
                <w:w w:val="106"/>
                <w:sz w:val="20"/>
                <w:szCs w:val="20"/>
                <w:lang w:val="sq-AL"/>
              </w:rPr>
              <w:t>1</w:t>
            </w:r>
            <w:r w:rsidRPr="005C4F41">
              <w:rPr>
                <w:rFonts w:ascii="Garamond" w:hAnsi="Garamond"/>
                <w:w w:val="106"/>
                <w:sz w:val="20"/>
                <w:szCs w:val="20"/>
                <w:lang w:val="sq-AL"/>
              </w:rPr>
              <w:t>00</w:t>
            </w:r>
          </w:p>
        </w:tc>
      </w:tr>
      <w:tr w:rsidR="00163ABF" w:rsidRPr="005C4F41" w:rsidTr="00D85D56">
        <w:trPr>
          <w:trHeight w:hRule="exact" w:val="898"/>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C</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Muret e jashtme me përbërje minerale</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2"/>
                <w:w w:val="106"/>
                <w:sz w:val="20"/>
                <w:szCs w:val="20"/>
                <w:lang w:val="sq-AL"/>
              </w:rPr>
              <w:t>7</w:t>
            </w:r>
            <w:r w:rsidRPr="005C4F41">
              <w:rPr>
                <w:rFonts w:ascii="Garamond" w:hAnsi="Garamond"/>
                <w:w w:val="106"/>
                <w:sz w:val="20"/>
                <w:szCs w:val="20"/>
                <w:lang w:val="sq-AL"/>
              </w:rPr>
              <w:t>5</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450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40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430</w:t>
            </w:r>
          </w:p>
        </w:tc>
      </w:tr>
      <w:tr w:rsidR="00163ABF" w:rsidRPr="005C4F41" w:rsidTr="00D85D56">
        <w:trPr>
          <w:trHeight w:hRule="exact" w:val="888"/>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Ç</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Bojëra për lëmim dhe bllokim brenda/jashtë për dru dhe metal</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2"/>
                <w:w w:val="106"/>
                <w:sz w:val="20"/>
                <w:szCs w:val="20"/>
                <w:lang w:val="sq-AL"/>
              </w:rPr>
              <w:t>1</w:t>
            </w:r>
            <w:r w:rsidRPr="005C4F41">
              <w:rPr>
                <w:rFonts w:ascii="Garamond" w:hAnsi="Garamond"/>
                <w:w w:val="106"/>
                <w:sz w:val="20"/>
                <w:szCs w:val="20"/>
                <w:lang w:val="sq-AL"/>
              </w:rPr>
              <w:t>50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400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0"/>
                <w:w w:val="106"/>
                <w:sz w:val="20"/>
                <w:szCs w:val="20"/>
                <w:lang w:val="sq-AL"/>
              </w:rPr>
              <w:t>1</w:t>
            </w:r>
            <w:r w:rsidRPr="005C4F41">
              <w:rPr>
                <w:rFonts w:ascii="Garamond" w:hAnsi="Garamond"/>
                <w:w w:val="106"/>
                <w:sz w:val="20"/>
                <w:szCs w:val="20"/>
                <w:lang w:val="sq-AL"/>
              </w:rPr>
              <w:t>30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300</w:t>
            </w:r>
          </w:p>
        </w:tc>
      </w:tr>
      <w:tr w:rsidR="00163ABF" w:rsidRPr="005C4F41" w:rsidTr="00D85D56">
        <w:trPr>
          <w:trHeight w:hRule="exact" w:val="843"/>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D</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Bojëra lëmuese dhe ujëbllokuese për dru brenda/jashtë, përfshirë veshje ujëbllokuese me ngjyrë të errët</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2"/>
                <w:w w:val="106"/>
                <w:sz w:val="20"/>
                <w:szCs w:val="20"/>
                <w:lang w:val="sq-AL"/>
              </w:rPr>
              <w:t>1</w:t>
            </w:r>
            <w:r w:rsidRPr="005C4F41">
              <w:rPr>
                <w:rFonts w:ascii="Garamond" w:hAnsi="Garamond"/>
                <w:w w:val="106"/>
                <w:sz w:val="20"/>
                <w:szCs w:val="20"/>
                <w:lang w:val="sq-AL"/>
              </w:rPr>
              <w:t>50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500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0"/>
                <w:w w:val="106"/>
                <w:sz w:val="20"/>
                <w:szCs w:val="20"/>
                <w:lang w:val="sq-AL"/>
              </w:rPr>
              <w:t>1</w:t>
            </w:r>
            <w:r w:rsidRPr="005C4F41">
              <w:rPr>
                <w:rFonts w:ascii="Garamond" w:hAnsi="Garamond"/>
                <w:w w:val="106"/>
                <w:sz w:val="20"/>
                <w:szCs w:val="20"/>
                <w:lang w:val="sq-AL"/>
              </w:rPr>
              <w:t>30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400</w:t>
            </w:r>
          </w:p>
        </w:tc>
      </w:tr>
      <w:tr w:rsidR="00163ABF" w:rsidRPr="005C4F41" w:rsidTr="00D85D56">
        <w:trPr>
          <w:trHeight w:hRule="exact" w:val="856"/>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DH</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Veshje ujëbllokuese për dru brenda/jashtë</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2"/>
                <w:w w:val="106"/>
                <w:sz w:val="20"/>
                <w:szCs w:val="20"/>
                <w:lang w:val="sq-AL"/>
              </w:rPr>
              <w:t>1</w:t>
            </w:r>
            <w:r w:rsidRPr="005C4F41">
              <w:rPr>
                <w:rFonts w:ascii="Garamond" w:hAnsi="Garamond"/>
                <w:w w:val="106"/>
                <w:sz w:val="20"/>
                <w:szCs w:val="20"/>
                <w:lang w:val="sq-AL"/>
              </w:rPr>
              <w:t>50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700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0"/>
                <w:w w:val="106"/>
                <w:sz w:val="20"/>
                <w:szCs w:val="20"/>
                <w:lang w:val="sq-AL"/>
              </w:rPr>
              <w:t>1</w:t>
            </w:r>
            <w:r w:rsidRPr="005C4F41">
              <w:rPr>
                <w:rFonts w:ascii="Garamond" w:hAnsi="Garamond"/>
                <w:w w:val="106"/>
                <w:sz w:val="20"/>
                <w:szCs w:val="20"/>
                <w:lang w:val="sq-AL"/>
              </w:rPr>
              <w:t>30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700</w:t>
            </w:r>
          </w:p>
        </w:tc>
      </w:tr>
      <w:tr w:rsidR="00163ABF" w:rsidRPr="005C4F41" w:rsidTr="00D85D56">
        <w:trPr>
          <w:trHeight w:hRule="exact" w:val="907"/>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E</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Astarë</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50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450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30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350</w:t>
            </w:r>
          </w:p>
        </w:tc>
      </w:tr>
      <w:tr w:rsidR="00163ABF" w:rsidRPr="005C4F41" w:rsidTr="00D85D56">
        <w:trPr>
          <w:trHeight w:hRule="exact" w:val="907"/>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4"/>
                <w:sz w:val="20"/>
                <w:szCs w:val="20"/>
                <w:lang w:val="sq-AL"/>
              </w:rPr>
              <w:t>Ë</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Astarë lidhëse</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50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2"/>
                <w:w w:val="106"/>
                <w:sz w:val="20"/>
                <w:szCs w:val="20"/>
                <w:lang w:val="sq-AL"/>
              </w:rPr>
              <w:t>7</w:t>
            </w:r>
            <w:r w:rsidRPr="005C4F41">
              <w:rPr>
                <w:rFonts w:ascii="Garamond" w:hAnsi="Garamond"/>
                <w:w w:val="106"/>
                <w:sz w:val="20"/>
                <w:szCs w:val="20"/>
                <w:lang w:val="sq-AL"/>
              </w:rPr>
              <w:t>50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30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0"/>
                <w:w w:val="106"/>
                <w:sz w:val="20"/>
                <w:szCs w:val="20"/>
                <w:lang w:val="sq-AL"/>
              </w:rPr>
              <w:t>7</w:t>
            </w:r>
            <w:r w:rsidRPr="005C4F41">
              <w:rPr>
                <w:rFonts w:ascii="Garamond" w:hAnsi="Garamond"/>
                <w:w w:val="106"/>
                <w:sz w:val="20"/>
                <w:szCs w:val="20"/>
                <w:lang w:val="sq-AL"/>
              </w:rPr>
              <w:t>50</w:t>
            </w:r>
          </w:p>
        </w:tc>
      </w:tr>
      <w:tr w:rsidR="00163ABF" w:rsidRPr="005C4F41" w:rsidTr="00D85D56">
        <w:trPr>
          <w:trHeight w:hRule="exact" w:val="925"/>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F</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Veshje me një komponent me performancë të lartë</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3"/>
                <w:w w:val="106"/>
                <w:sz w:val="20"/>
                <w:szCs w:val="20"/>
                <w:lang w:val="sq-AL"/>
              </w:rPr>
              <w:t>1</w:t>
            </w:r>
            <w:r w:rsidRPr="005C4F41">
              <w:rPr>
                <w:rFonts w:ascii="Garamond" w:hAnsi="Garamond"/>
                <w:w w:val="106"/>
                <w:sz w:val="20"/>
                <w:szCs w:val="20"/>
                <w:lang w:val="sq-AL"/>
              </w:rPr>
              <w:t>40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600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3"/>
                <w:w w:val="106"/>
                <w:sz w:val="20"/>
                <w:szCs w:val="20"/>
                <w:lang w:val="sq-AL"/>
              </w:rPr>
              <w:t>1</w:t>
            </w:r>
            <w:r w:rsidRPr="005C4F41">
              <w:rPr>
                <w:rFonts w:ascii="Garamond" w:hAnsi="Garamond"/>
                <w:w w:val="106"/>
                <w:sz w:val="20"/>
                <w:szCs w:val="20"/>
                <w:lang w:val="sq-AL"/>
              </w:rPr>
              <w:t>40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500</w:t>
            </w:r>
          </w:p>
        </w:tc>
      </w:tr>
      <w:tr w:rsidR="00163ABF" w:rsidRPr="005C4F41" w:rsidTr="00D85D56">
        <w:trPr>
          <w:trHeight w:hRule="exact" w:val="807"/>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G</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 xml:space="preserve">Veshje bikomponente me performancë të larte për përdorim specifik të tillë si dysheme </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3"/>
                <w:w w:val="106"/>
                <w:sz w:val="20"/>
                <w:szCs w:val="20"/>
                <w:lang w:val="sq-AL"/>
              </w:rPr>
              <w:t>1</w:t>
            </w:r>
            <w:r w:rsidRPr="005C4F41">
              <w:rPr>
                <w:rFonts w:ascii="Garamond" w:hAnsi="Garamond"/>
                <w:w w:val="106"/>
                <w:sz w:val="20"/>
                <w:szCs w:val="20"/>
                <w:lang w:val="sq-AL"/>
              </w:rPr>
              <w:t>40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550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3"/>
                <w:w w:val="106"/>
                <w:sz w:val="20"/>
                <w:szCs w:val="20"/>
                <w:lang w:val="sq-AL"/>
              </w:rPr>
              <w:t>1</w:t>
            </w:r>
            <w:r w:rsidRPr="005C4F41">
              <w:rPr>
                <w:rFonts w:ascii="Garamond" w:hAnsi="Garamond"/>
                <w:w w:val="106"/>
                <w:sz w:val="20"/>
                <w:szCs w:val="20"/>
                <w:lang w:val="sq-AL"/>
              </w:rPr>
              <w:t>40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500</w:t>
            </w:r>
          </w:p>
        </w:tc>
      </w:tr>
      <w:tr w:rsidR="00163ABF" w:rsidRPr="005C4F41" w:rsidTr="00D85D56">
        <w:trPr>
          <w:trHeight w:hRule="exact" w:val="862"/>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GJ</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Veshje shumëngjyrëshe</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2"/>
                <w:w w:val="106"/>
                <w:sz w:val="20"/>
                <w:szCs w:val="20"/>
                <w:lang w:val="sq-AL"/>
              </w:rPr>
              <w:t>1</w:t>
            </w:r>
            <w:r w:rsidRPr="005C4F41">
              <w:rPr>
                <w:rFonts w:ascii="Garamond" w:hAnsi="Garamond"/>
                <w:w w:val="106"/>
                <w:sz w:val="20"/>
                <w:szCs w:val="20"/>
                <w:lang w:val="sq-AL"/>
              </w:rPr>
              <w:t>50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400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0"/>
                <w:w w:val="106"/>
                <w:sz w:val="20"/>
                <w:szCs w:val="20"/>
                <w:lang w:val="sq-AL"/>
              </w:rPr>
              <w:t>1</w:t>
            </w:r>
            <w:r w:rsidRPr="005C4F41">
              <w:rPr>
                <w:rFonts w:ascii="Garamond" w:hAnsi="Garamond"/>
                <w:w w:val="106"/>
                <w:sz w:val="20"/>
                <w:szCs w:val="20"/>
                <w:lang w:val="sq-AL"/>
              </w:rPr>
              <w:t>00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pacing w:val="-10"/>
                <w:w w:val="106"/>
                <w:sz w:val="20"/>
                <w:szCs w:val="20"/>
                <w:lang w:val="sq-AL"/>
              </w:rPr>
              <w:t>1</w:t>
            </w:r>
            <w:r w:rsidRPr="005C4F41">
              <w:rPr>
                <w:rFonts w:ascii="Garamond" w:hAnsi="Garamond"/>
                <w:w w:val="106"/>
                <w:sz w:val="20"/>
                <w:szCs w:val="20"/>
                <w:lang w:val="sq-AL"/>
              </w:rPr>
              <w:t>00</w:t>
            </w:r>
          </w:p>
        </w:tc>
      </w:tr>
      <w:tr w:rsidR="00163ABF" w:rsidRPr="005C4F41" w:rsidTr="00D85D56">
        <w:trPr>
          <w:trHeight w:hRule="exact" w:val="889"/>
        </w:trPr>
        <w:tc>
          <w:tcPr>
            <w:tcW w:w="26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sz w:val="20"/>
                <w:szCs w:val="20"/>
                <w:lang w:val="sq-AL"/>
              </w:rPr>
              <w:t>H</w:t>
            </w:r>
          </w:p>
        </w:tc>
        <w:tc>
          <w:tcPr>
            <w:tcW w:w="2257" w:type="pct"/>
          </w:tcPr>
          <w:p w:rsidR="00163ABF" w:rsidRPr="005C4F41" w:rsidRDefault="00163ABF" w:rsidP="00D85D56">
            <w:pPr>
              <w:pStyle w:val="NoSpacing"/>
              <w:rPr>
                <w:rFonts w:ascii="Garamond" w:hAnsi="Garamond"/>
                <w:sz w:val="20"/>
                <w:szCs w:val="20"/>
              </w:rPr>
            </w:pPr>
            <w:r w:rsidRPr="005C4F41">
              <w:rPr>
                <w:rFonts w:ascii="Garamond" w:hAnsi="Garamond"/>
                <w:sz w:val="20"/>
                <w:szCs w:val="20"/>
              </w:rPr>
              <w:t>Veshje me efekt dekoruese</w:t>
            </w:r>
          </w:p>
        </w:tc>
        <w:tc>
          <w:tcPr>
            <w:tcW w:w="398"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90"/>
                <w:sz w:val="20"/>
                <w:szCs w:val="20"/>
                <w:lang w:val="sq-AL"/>
              </w:rPr>
              <w:t>HU</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82"/>
                <w:sz w:val="20"/>
                <w:szCs w:val="20"/>
                <w:lang w:val="sq-AL"/>
              </w:rPr>
              <w:t>HT</w:t>
            </w:r>
          </w:p>
        </w:tc>
        <w:tc>
          <w:tcPr>
            <w:tcW w:w="119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300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500</w:t>
            </w:r>
          </w:p>
        </w:tc>
        <w:tc>
          <w:tcPr>
            <w:tcW w:w="885" w:type="pct"/>
          </w:tcPr>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200</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ind w:firstLine="0"/>
              <w:jc w:val="center"/>
              <w:rPr>
                <w:rFonts w:ascii="Garamond" w:hAnsi="Garamond"/>
                <w:sz w:val="20"/>
                <w:szCs w:val="20"/>
                <w:lang w:val="sq-AL"/>
              </w:rPr>
            </w:pPr>
            <w:r w:rsidRPr="005C4F41">
              <w:rPr>
                <w:rFonts w:ascii="Garamond" w:hAnsi="Garamond"/>
                <w:w w:val="106"/>
                <w:sz w:val="20"/>
                <w:szCs w:val="20"/>
                <w:lang w:val="sq-AL"/>
              </w:rPr>
              <w:t>200</w:t>
            </w:r>
          </w:p>
        </w:tc>
      </w:tr>
    </w:tbl>
    <w:p w:rsidR="00163ABF" w:rsidRPr="005C4F41" w:rsidRDefault="00163ABF" w:rsidP="00163ABF">
      <w:pPr>
        <w:spacing w:after="0" w:line="240" w:lineRule="auto"/>
        <w:ind w:firstLine="0"/>
        <w:rPr>
          <w:rFonts w:ascii="Garamond" w:eastAsia="Times New Roman" w:hAnsi="Garamond"/>
          <w:spacing w:val="-4"/>
          <w:sz w:val="14"/>
          <w:szCs w:val="24"/>
          <w:lang w:val="sq-AL" w:eastAsia="en-GB"/>
        </w:rPr>
      </w:pPr>
    </w:p>
    <w:p w:rsidR="00163ABF" w:rsidRPr="005C4F41" w:rsidRDefault="00163ABF" w:rsidP="00163ABF">
      <w:pPr>
        <w:spacing w:after="0" w:line="240" w:lineRule="auto"/>
        <w:ind w:firstLine="0"/>
        <w:rPr>
          <w:rFonts w:ascii="Garamond" w:eastAsia="Times New Roman" w:hAnsi="Garamond"/>
          <w:spacing w:val="-4"/>
          <w:sz w:val="24"/>
          <w:szCs w:val="24"/>
          <w:lang w:val="sq-AL" w:eastAsia="en-GB"/>
        </w:rPr>
      </w:pPr>
      <w:r w:rsidRPr="005C4F41">
        <w:rPr>
          <w:rFonts w:ascii="Garamond" w:hAnsi="Garamond"/>
          <w:w w:val="76"/>
          <w:sz w:val="24"/>
          <w:szCs w:val="24"/>
          <w:lang w:val="sq-AL"/>
        </w:rPr>
        <w:t xml:space="preserve">(*) </w:t>
      </w:r>
      <w:r w:rsidRPr="005C4F41">
        <w:rPr>
          <w:rFonts w:ascii="Garamond" w:hAnsi="Garamond"/>
          <w:sz w:val="24"/>
          <w:szCs w:val="24"/>
          <w:lang w:val="sq-AL"/>
        </w:rPr>
        <w:t>g/l gati për përdorim</w:t>
      </w:r>
    </w:p>
    <w:p w:rsidR="00163ABF" w:rsidRPr="005C4F41" w:rsidRDefault="00163ABF" w:rsidP="00163ABF">
      <w:pPr>
        <w:spacing w:after="0" w:line="240" w:lineRule="auto"/>
        <w:ind w:firstLine="0"/>
        <w:rPr>
          <w:rFonts w:ascii="Garamond" w:eastAsia="Times New Roman" w:hAnsi="Garamond"/>
          <w:spacing w:val="-4"/>
          <w:sz w:val="24"/>
          <w:szCs w:val="24"/>
          <w:lang w:val="sq-AL" w:eastAsia="en-GB"/>
        </w:rPr>
      </w:pPr>
    </w:p>
    <w:p w:rsidR="00163ABF" w:rsidRPr="005C4F41" w:rsidRDefault="00163ABF" w:rsidP="00163ABF">
      <w:pPr>
        <w:spacing w:after="0" w:line="240" w:lineRule="auto"/>
        <w:ind w:firstLine="0"/>
        <w:rPr>
          <w:rFonts w:ascii="Garamond" w:eastAsia="Times New Roman" w:hAnsi="Garamond"/>
          <w:spacing w:val="-4"/>
          <w:sz w:val="24"/>
          <w:szCs w:val="24"/>
          <w:lang w:val="sq-AL" w:eastAsia="en-GB"/>
        </w:rPr>
      </w:pPr>
    </w:p>
    <w:p w:rsidR="00163ABF" w:rsidRPr="005C4F41" w:rsidRDefault="00163ABF" w:rsidP="00163ABF">
      <w:pPr>
        <w:spacing w:after="0" w:line="240" w:lineRule="auto"/>
        <w:ind w:firstLine="0"/>
        <w:rPr>
          <w:rFonts w:ascii="Garamond" w:eastAsia="Times New Roman" w:hAnsi="Garamond"/>
          <w:spacing w:val="-4"/>
          <w:sz w:val="24"/>
          <w:szCs w:val="24"/>
          <w:lang w:val="sq-AL" w:eastAsia="en-GB"/>
        </w:rPr>
      </w:pPr>
    </w:p>
    <w:p w:rsidR="00163ABF" w:rsidRDefault="00163ABF" w:rsidP="00163ABF">
      <w:pPr>
        <w:spacing w:after="0" w:line="240" w:lineRule="auto"/>
        <w:rPr>
          <w:rFonts w:ascii="Garamond" w:eastAsia="Times New Roman" w:hAnsi="Garamond"/>
          <w:b/>
          <w:sz w:val="24"/>
          <w:szCs w:val="24"/>
          <w:lang w:val="sq-AL"/>
        </w:rPr>
      </w:pPr>
    </w:p>
    <w:p w:rsidR="00163ABF" w:rsidRDefault="00163ABF" w:rsidP="00163ABF">
      <w:pPr>
        <w:spacing w:after="0" w:line="240" w:lineRule="auto"/>
        <w:rPr>
          <w:rFonts w:ascii="Garamond" w:eastAsia="Times New Roman" w:hAnsi="Garamond"/>
          <w:b/>
          <w:sz w:val="24"/>
          <w:szCs w:val="24"/>
          <w:lang w:val="sq-AL"/>
        </w:rPr>
      </w:pPr>
    </w:p>
    <w:p w:rsidR="00163ABF" w:rsidRDefault="00163ABF" w:rsidP="00163ABF">
      <w:pPr>
        <w:spacing w:after="0" w:line="240" w:lineRule="auto"/>
        <w:rPr>
          <w:rFonts w:ascii="Garamond" w:eastAsia="Times New Roman" w:hAnsi="Garamond"/>
          <w:b/>
          <w:sz w:val="24"/>
          <w:szCs w:val="24"/>
          <w:lang w:val="sq-AL"/>
        </w:rPr>
      </w:pPr>
    </w:p>
    <w:p w:rsidR="00163ABF" w:rsidRDefault="00163ABF" w:rsidP="00163ABF">
      <w:pPr>
        <w:spacing w:after="0" w:line="240" w:lineRule="auto"/>
        <w:rPr>
          <w:rFonts w:ascii="Garamond" w:eastAsia="Times New Roman" w:hAnsi="Garamond"/>
          <w:b/>
          <w:sz w:val="24"/>
          <w:szCs w:val="24"/>
          <w:lang w:val="sq-AL"/>
        </w:rPr>
      </w:pPr>
    </w:p>
    <w:p w:rsidR="00163ABF" w:rsidRDefault="00163ABF" w:rsidP="00163ABF">
      <w:pPr>
        <w:spacing w:after="0" w:line="240" w:lineRule="auto"/>
        <w:rPr>
          <w:rFonts w:ascii="Garamond" w:eastAsia="Times New Roman" w:hAnsi="Garamond"/>
          <w:b/>
          <w:sz w:val="24"/>
          <w:szCs w:val="24"/>
          <w:lang w:val="sq-AL"/>
        </w:rPr>
      </w:pPr>
    </w:p>
    <w:p w:rsidR="00163ABF" w:rsidRDefault="00163ABF" w:rsidP="00163ABF">
      <w:pPr>
        <w:spacing w:after="0" w:line="240" w:lineRule="auto"/>
        <w:rPr>
          <w:rFonts w:ascii="Garamond" w:eastAsia="Times New Roman" w:hAnsi="Garamond"/>
          <w:b/>
          <w:sz w:val="24"/>
          <w:szCs w:val="24"/>
          <w:lang w:val="sq-AL"/>
        </w:rPr>
      </w:pPr>
    </w:p>
    <w:p w:rsidR="00163ABF" w:rsidRDefault="00163ABF" w:rsidP="00163ABF">
      <w:pPr>
        <w:spacing w:after="0" w:line="240" w:lineRule="auto"/>
        <w:rPr>
          <w:rFonts w:ascii="Garamond" w:eastAsia="Times New Roman" w:hAnsi="Garamond"/>
          <w:b/>
          <w:sz w:val="24"/>
          <w:szCs w:val="24"/>
          <w:lang w:val="sq-AL"/>
        </w:rPr>
      </w:pPr>
    </w:p>
    <w:p w:rsidR="00163ABF" w:rsidRPr="005C4F41" w:rsidRDefault="00163ABF" w:rsidP="00163ABF">
      <w:pPr>
        <w:spacing w:after="0" w:line="240" w:lineRule="auto"/>
        <w:rPr>
          <w:rFonts w:ascii="Garamond" w:eastAsia="Times New Roman" w:hAnsi="Garamond"/>
          <w:b/>
          <w:sz w:val="24"/>
          <w:szCs w:val="24"/>
          <w:lang w:val="sq-AL"/>
        </w:rPr>
      </w:pPr>
      <w:r w:rsidRPr="005C4F41">
        <w:rPr>
          <w:rFonts w:ascii="Garamond" w:eastAsia="Times New Roman" w:hAnsi="Garamond"/>
          <w:b/>
          <w:sz w:val="24"/>
          <w:szCs w:val="24"/>
          <w:lang w:val="sq-AL"/>
        </w:rPr>
        <w:lastRenderedPageBreak/>
        <w:t>B. Vlerat kufi të përmbajtjes maksimale të VOC-së për produktet për lustrimin e mjeteve</w:t>
      </w:r>
    </w:p>
    <w:p w:rsidR="00163ABF" w:rsidRPr="005C4F41" w:rsidRDefault="00163ABF" w:rsidP="00163ABF">
      <w:pPr>
        <w:spacing w:after="0" w:line="240" w:lineRule="auto"/>
        <w:ind w:firstLine="0"/>
        <w:rPr>
          <w:rFonts w:ascii="Garamond" w:eastAsia="Times New Roman" w:hAnsi="Garamond"/>
          <w:spacing w:val="-4"/>
          <w:sz w:val="14"/>
          <w:szCs w:val="24"/>
          <w:lang w:val="sq-AL" w:eastAsia="en-GB"/>
        </w:rPr>
      </w:pPr>
    </w:p>
    <w:tbl>
      <w:tblPr>
        <w:tblW w:w="5000" w:type="pct"/>
        <w:jc w:val="center"/>
        <w:tblBorders>
          <w:top w:val="single" w:sz="4" w:space="0" w:color="000000"/>
          <w:left w:val="single" w:sz="4" w:space="0" w:color="auto"/>
          <w:bottom w:val="single" w:sz="4" w:space="0" w:color="000000"/>
          <w:right w:val="single" w:sz="4" w:space="0" w:color="auto"/>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583"/>
        <w:gridCol w:w="3298"/>
        <w:gridCol w:w="2939"/>
        <w:gridCol w:w="2829"/>
      </w:tblGrid>
      <w:tr w:rsidR="00163ABF" w:rsidRPr="005C4F41" w:rsidTr="00D85D56">
        <w:trPr>
          <w:trHeight w:hRule="exact" w:val="719"/>
          <w:jc w:val="center"/>
        </w:trPr>
        <w:tc>
          <w:tcPr>
            <w:tcW w:w="302" w:type="pct"/>
          </w:tcPr>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p>
        </w:tc>
        <w:tc>
          <w:tcPr>
            <w:tcW w:w="1709" w:type="pct"/>
          </w:tcPr>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p>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r w:rsidRPr="005C4F41">
              <w:rPr>
                <w:rFonts w:ascii="Garamond" w:hAnsi="Garamond"/>
                <w:b/>
                <w:sz w:val="20"/>
                <w:szCs w:val="20"/>
                <w:lang w:val="sq-AL"/>
              </w:rPr>
              <w:t>Nënkategoria e produktit</w:t>
            </w:r>
          </w:p>
        </w:tc>
        <w:tc>
          <w:tcPr>
            <w:tcW w:w="1523" w:type="pct"/>
          </w:tcPr>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p>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r w:rsidRPr="005C4F41">
              <w:rPr>
                <w:rFonts w:ascii="Garamond" w:hAnsi="Garamond"/>
                <w:b/>
                <w:w w:val="87"/>
                <w:sz w:val="20"/>
                <w:szCs w:val="20"/>
                <w:lang w:val="sq-AL"/>
              </w:rPr>
              <w:t>Veshje</w:t>
            </w:r>
          </w:p>
        </w:tc>
        <w:tc>
          <w:tcPr>
            <w:tcW w:w="1466" w:type="pct"/>
          </w:tcPr>
          <w:p w:rsidR="00163ABF" w:rsidRPr="005C4F41" w:rsidRDefault="00163ABF" w:rsidP="00D85D56">
            <w:pPr>
              <w:widowControl w:val="0"/>
              <w:autoSpaceDE w:val="0"/>
              <w:autoSpaceDN w:val="0"/>
              <w:adjustRightInd w:val="0"/>
              <w:spacing w:after="0" w:line="240" w:lineRule="auto"/>
              <w:jc w:val="center"/>
              <w:rPr>
                <w:rFonts w:ascii="Garamond" w:hAnsi="Garamond"/>
                <w:b/>
                <w:w w:val="76"/>
                <w:sz w:val="20"/>
                <w:szCs w:val="20"/>
                <w:lang w:val="sq-AL"/>
              </w:rPr>
            </w:pPr>
            <w:r w:rsidRPr="005C4F41">
              <w:rPr>
                <w:rFonts w:ascii="Garamond" w:hAnsi="Garamond"/>
                <w:b/>
                <w:spacing w:val="-4"/>
                <w:w w:val="89"/>
                <w:sz w:val="20"/>
                <w:szCs w:val="20"/>
                <w:lang w:val="sq-AL"/>
              </w:rPr>
              <w:t>POA</w:t>
            </w:r>
            <w:r w:rsidRPr="005C4F41">
              <w:rPr>
                <w:rFonts w:ascii="Garamond" w:hAnsi="Garamond"/>
                <w:b/>
                <w:spacing w:val="18"/>
                <w:w w:val="89"/>
                <w:sz w:val="20"/>
                <w:szCs w:val="20"/>
                <w:lang w:val="sq-AL"/>
              </w:rPr>
              <w:t xml:space="preserve"> </w:t>
            </w:r>
            <w:r w:rsidRPr="005C4F41">
              <w:rPr>
                <w:rFonts w:ascii="Garamond" w:hAnsi="Garamond"/>
                <w:b/>
                <w:sz w:val="20"/>
                <w:szCs w:val="20"/>
                <w:lang w:val="sq-AL"/>
              </w:rPr>
              <w:t>g/l</w:t>
            </w:r>
            <w:r w:rsidRPr="005C4F41">
              <w:rPr>
                <w:rFonts w:ascii="Garamond" w:hAnsi="Garamond"/>
                <w:b/>
                <w:spacing w:val="-11"/>
                <w:sz w:val="20"/>
                <w:szCs w:val="20"/>
                <w:lang w:val="sq-AL"/>
              </w:rPr>
              <w:t xml:space="preserve"> </w:t>
            </w:r>
            <w:r w:rsidRPr="005C4F41">
              <w:rPr>
                <w:rFonts w:ascii="Garamond" w:hAnsi="Garamond"/>
                <w:b/>
                <w:w w:val="76"/>
                <w:sz w:val="20"/>
                <w:szCs w:val="20"/>
                <w:lang w:val="sq-AL"/>
              </w:rPr>
              <w:t>(*)</w:t>
            </w:r>
          </w:p>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r w:rsidRPr="005C4F41">
              <w:rPr>
                <w:rFonts w:ascii="Garamond" w:hAnsi="Garamond"/>
                <w:b/>
                <w:w w:val="94"/>
                <w:sz w:val="20"/>
                <w:szCs w:val="20"/>
                <w:lang w:val="sq-AL"/>
              </w:rPr>
              <w:t>(</w:t>
            </w:r>
            <w:r w:rsidRPr="005C4F41">
              <w:rPr>
                <w:rFonts w:ascii="Garamond" w:hAnsi="Garamond"/>
                <w:b/>
                <w:spacing w:val="-4"/>
                <w:w w:val="94"/>
                <w:sz w:val="20"/>
                <w:szCs w:val="20"/>
                <w:lang w:val="sq-AL"/>
              </w:rPr>
              <w:t>1</w:t>
            </w:r>
            <w:r w:rsidRPr="005C4F41">
              <w:rPr>
                <w:rFonts w:ascii="Garamond" w:hAnsi="Garamond"/>
                <w:b/>
                <w:spacing w:val="-6"/>
                <w:w w:val="86"/>
                <w:sz w:val="20"/>
                <w:szCs w:val="20"/>
                <w:lang w:val="sq-AL"/>
              </w:rPr>
              <w:t>.</w:t>
            </w:r>
            <w:r w:rsidRPr="005C4F41">
              <w:rPr>
                <w:rFonts w:ascii="Garamond" w:hAnsi="Garamond"/>
                <w:b/>
                <w:spacing w:val="-5"/>
                <w:w w:val="106"/>
                <w:sz w:val="20"/>
                <w:szCs w:val="20"/>
                <w:lang w:val="sq-AL"/>
              </w:rPr>
              <w:t>1</w:t>
            </w:r>
            <w:r w:rsidRPr="005C4F41">
              <w:rPr>
                <w:rFonts w:ascii="Garamond" w:hAnsi="Garamond"/>
                <w:b/>
                <w:w w:val="103"/>
                <w:sz w:val="20"/>
                <w:szCs w:val="20"/>
                <w:lang w:val="sq-AL"/>
              </w:rPr>
              <w:t>.20</w:t>
            </w:r>
            <w:r w:rsidRPr="005C4F41">
              <w:rPr>
                <w:rFonts w:ascii="Garamond" w:hAnsi="Garamond"/>
                <w:b/>
                <w:spacing w:val="-8"/>
                <w:w w:val="103"/>
                <w:sz w:val="20"/>
                <w:szCs w:val="20"/>
                <w:lang w:val="sq-AL"/>
              </w:rPr>
              <w:t>20</w:t>
            </w:r>
            <w:r w:rsidRPr="005C4F41">
              <w:rPr>
                <w:rFonts w:ascii="Garamond" w:hAnsi="Garamond"/>
                <w:b/>
                <w:w w:val="94"/>
                <w:sz w:val="20"/>
                <w:szCs w:val="20"/>
                <w:lang w:val="sq-AL"/>
              </w:rPr>
              <w:t>)</w:t>
            </w:r>
          </w:p>
        </w:tc>
      </w:tr>
      <w:tr w:rsidR="00163ABF" w:rsidRPr="005C4F41" w:rsidTr="00D85D56">
        <w:trPr>
          <w:trHeight w:hRule="exact" w:val="577"/>
          <w:jc w:val="center"/>
        </w:trPr>
        <w:tc>
          <w:tcPr>
            <w:tcW w:w="302"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sz w:val="20"/>
                <w:szCs w:val="20"/>
                <w:lang w:val="sq-AL"/>
              </w:rPr>
              <w:t>A</w:t>
            </w:r>
          </w:p>
        </w:tc>
        <w:tc>
          <w:tcPr>
            <w:tcW w:w="1709" w:type="pct"/>
          </w:tcPr>
          <w:p w:rsidR="00163ABF" w:rsidRPr="005C4F41" w:rsidRDefault="00163ABF" w:rsidP="00D85D56">
            <w:pPr>
              <w:widowControl w:val="0"/>
              <w:autoSpaceDE w:val="0"/>
              <w:autoSpaceDN w:val="0"/>
              <w:adjustRightInd w:val="0"/>
              <w:spacing w:after="0" w:line="240" w:lineRule="auto"/>
              <w:rPr>
                <w:rFonts w:ascii="Garamond" w:hAnsi="Garamond"/>
                <w:sz w:val="20"/>
                <w:szCs w:val="20"/>
                <w:lang w:val="sq-AL"/>
              </w:rPr>
            </w:pPr>
            <w:r w:rsidRPr="005C4F41">
              <w:rPr>
                <w:rFonts w:ascii="Garamond" w:hAnsi="Garamond"/>
                <w:sz w:val="20"/>
                <w:szCs w:val="20"/>
                <w:lang w:val="sq-AL"/>
              </w:rPr>
              <w:t>Përgatitës dhe pastruese</w:t>
            </w:r>
            <w:r w:rsidRPr="005C4F41">
              <w:rPr>
                <w:rFonts w:ascii="Garamond" w:hAnsi="Garamond"/>
                <w:spacing w:val="11"/>
                <w:sz w:val="20"/>
                <w:szCs w:val="20"/>
                <w:lang w:val="sq-AL"/>
              </w:rPr>
              <w:t xml:space="preserve"> </w:t>
            </w:r>
          </w:p>
        </w:tc>
        <w:tc>
          <w:tcPr>
            <w:tcW w:w="1523" w:type="pct"/>
          </w:tcPr>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Përgatitës</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Parapastrues</w:t>
            </w:r>
          </w:p>
        </w:tc>
        <w:tc>
          <w:tcPr>
            <w:tcW w:w="1466"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w w:val="106"/>
                <w:sz w:val="20"/>
                <w:szCs w:val="20"/>
                <w:lang w:val="sq-AL"/>
              </w:rPr>
              <w:t>850</w:t>
            </w:r>
          </w:p>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w w:val="106"/>
                <w:sz w:val="20"/>
                <w:szCs w:val="20"/>
                <w:lang w:val="sq-AL"/>
              </w:rPr>
              <w:t>200</w:t>
            </w:r>
          </w:p>
        </w:tc>
      </w:tr>
      <w:tr w:rsidR="00163ABF" w:rsidRPr="005C4F41" w:rsidTr="00D85D56">
        <w:trPr>
          <w:trHeight w:hRule="exact" w:val="371"/>
          <w:jc w:val="center"/>
        </w:trPr>
        <w:tc>
          <w:tcPr>
            <w:tcW w:w="302"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sz w:val="20"/>
                <w:szCs w:val="20"/>
                <w:lang w:val="sq-AL"/>
              </w:rPr>
              <w:t>b</w:t>
            </w:r>
          </w:p>
        </w:tc>
        <w:tc>
          <w:tcPr>
            <w:tcW w:w="1709" w:type="pct"/>
          </w:tcPr>
          <w:p w:rsidR="00163ABF" w:rsidRPr="005C4F41" w:rsidRDefault="00163ABF" w:rsidP="00D85D56">
            <w:pPr>
              <w:widowControl w:val="0"/>
              <w:autoSpaceDE w:val="0"/>
              <w:autoSpaceDN w:val="0"/>
              <w:adjustRightInd w:val="0"/>
              <w:spacing w:after="0" w:line="240" w:lineRule="auto"/>
              <w:rPr>
                <w:rFonts w:ascii="Garamond" w:hAnsi="Garamond"/>
                <w:sz w:val="20"/>
                <w:szCs w:val="20"/>
                <w:lang w:val="sq-AL"/>
              </w:rPr>
            </w:pPr>
            <w:r w:rsidRPr="005C4F41">
              <w:rPr>
                <w:rFonts w:ascii="Garamond" w:eastAsia="Times New Roman" w:hAnsi="Garamond"/>
                <w:sz w:val="20"/>
                <w:szCs w:val="20"/>
                <w:lang w:val="sq-AL"/>
              </w:rPr>
              <w:t>stukim/mastic</w:t>
            </w:r>
          </w:p>
        </w:tc>
        <w:tc>
          <w:tcPr>
            <w:tcW w:w="1523" w:type="pct"/>
          </w:tcPr>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Të gjitha llojet</w:t>
            </w:r>
          </w:p>
        </w:tc>
        <w:tc>
          <w:tcPr>
            <w:tcW w:w="1466"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w w:val="106"/>
                <w:sz w:val="20"/>
                <w:szCs w:val="20"/>
                <w:lang w:val="sq-AL"/>
              </w:rPr>
              <w:t>250</w:t>
            </w:r>
          </w:p>
        </w:tc>
      </w:tr>
      <w:tr w:rsidR="00163ABF" w:rsidRPr="005C4F41" w:rsidTr="00D85D56">
        <w:trPr>
          <w:trHeight w:hRule="exact" w:val="909"/>
          <w:jc w:val="center"/>
        </w:trPr>
        <w:tc>
          <w:tcPr>
            <w:tcW w:w="302"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sz w:val="20"/>
                <w:szCs w:val="20"/>
                <w:lang w:val="sq-AL"/>
              </w:rPr>
              <w:t>c</w:t>
            </w:r>
          </w:p>
        </w:tc>
        <w:tc>
          <w:tcPr>
            <w:tcW w:w="1709" w:type="pct"/>
            <w:vAlign w:val="center"/>
          </w:tcPr>
          <w:p w:rsidR="00163ABF" w:rsidRPr="005C4F41" w:rsidRDefault="00163ABF" w:rsidP="00D85D56">
            <w:pPr>
              <w:widowControl w:val="0"/>
              <w:autoSpaceDE w:val="0"/>
              <w:autoSpaceDN w:val="0"/>
              <w:adjustRightInd w:val="0"/>
              <w:spacing w:after="0" w:line="240" w:lineRule="auto"/>
              <w:rPr>
                <w:rFonts w:ascii="Garamond" w:hAnsi="Garamond"/>
                <w:sz w:val="20"/>
                <w:szCs w:val="20"/>
                <w:lang w:val="sq-AL"/>
              </w:rPr>
            </w:pPr>
            <w:r w:rsidRPr="005C4F41">
              <w:rPr>
                <w:rFonts w:ascii="Garamond" w:hAnsi="Garamond"/>
                <w:sz w:val="20"/>
                <w:szCs w:val="20"/>
                <w:lang w:val="sq-AL"/>
              </w:rPr>
              <w:t>Astar</w:t>
            </w:r>
          </w:p>
        </w:tc>
        <w:tc>
          <w:tcPr>
            <w:tcW w:w="1523" w:type="pct"/>
          </w:tcPr>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r w:rsidRPr="005C4F41">
              <w:rPr>
                <w:rFonts w:ascii="Garamond" w:eastAsia="Times New Roman" w:hAnsi="Garamond"/>
                <w:sz w:val="20"/>
                <w:szCs w:val="20"/>
                <w:lang w:val="sq-AL"/>
              </w:rPr>
              <w:t xml:space="preserve">bazë/mbushës </w:t>
            </w:r>
            <w:r w:rsidRPr="005C4F41">
              <w:rPr>
                <w:rFonts w:ascii="Garamond" w:hAnsi="Garamond"/>
                <w:sz w:val="20"/>
                <w:szCs w:val="20"/>
                <w:lang w:val="sq-AL"/>
              </w:rPr>
              <w:t>dhe</w:t>
            </w:r>
            <w:r w:rsidRPr="005C4F41">
              <w:rPr>
                <w:rFonts w:ascii="Garamond" w:hAnsi="Garamond"/>
                <w:spacing w:val="11"/>
                <w:sz w:val="20"/>
                <w:szCs w:val="20"/>
                <w:lang w:val="sq-AL"/>
              </w:rPr>
              <w:t xml:space="preserve"> </w:t>
            </w:r>
            <w:r w:rsidRPr="005C4F41">
              <w:rPr>
                <w:rFonts w:ascii="Garamond" w:eastAsia="Times New Roman" w:hAnsi="Garamond"/>
                <w:sz w:val="20"/>
                <w:szCs w:val="20"/>
                <w:lang w:val="sq-AL"/>
              </w:rPr>
              <w:t>astar i përgjithshëm për metale</w:t>
            </w:r>
          </w:p>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r w:rsidRPr="005C4F41">
              <w:rPr>
                <w:rFonts w:ascii="Garamond" w:eastAsia="Times New Roman" w:hAnsi="Garamond"/>
                <w:sz w:val="20"/>
                <w:szCs w:val="20"/>
                <w:lang w:val="sq-AL"/>
              </w:rPr>
              <w:t>astar fosforik</w:t>
            </w:r>
          </w:p>
        </w:tc>
        <w:tc>
          <w:tcPr>
            <w:tcW w:w="1466"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w w:val="106"/>
                <w:sz w:val="20"/>
                <w:szCs w:val="20"/>
                <w:lang w:val="sq-AL"/>
              </w:rPr>
              <w:t>540</w:t>
            </w:r>
          </w:p>
          <w:p w:rsidR="00163ABF" w:rsidRPr="005C4F41" w:rsidRDefault="00163ABF" w:rsidP="00D85D56">
            <w:pPr>
              <w:widowControl w:val="0"/>
              <w:autoSpaceDE w:val="0"/>
              <w:autoSpaceDN w:val="0"/>
              <w:adjustRightInd w:val="0"/>
              <w:spacing w:after="0" w:line="240" w:lineRule="auto"/>
              <w:rPr>
                <w:rFonts w:ascii="Garamond" w:hAnsi="Garamond"/>
                <w:sz w:val="20"/>
                <w:szCs w:val="20"/>
                <w:lang w:val="sq-AL"/>
              </w:rPr>
            </w:pPr>
          </w:p>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spacing w:val="-8"/>
                <w:w w:val="106"/>
                <w:sz w:val="20"/>
                <w:szCs w:val="20"/>
                <w:lang w:val="sq-AL"/>
              </w:rPr>
              <w:t>7</w:t>
            </w:r>
            <w:r w:rsidRPr="005C4F41">
              <w:rPr>
                <w:rFonts w:ascii="Garamond" w:hAnsi="Garamond"/>
                <w:w w:val="106"/>
                <w:sz w:val="20"/>
                <w:szCs w:val="20"/>
                <w:lang w:val="sq-AL"/>
              </w:rPr>
              <w:t>80</w:t>
            </w:r>
          </w:p>
        </w:tc>
      </w:tr>
      <w:tr w:rsidR="00163ABF" w:rsidRPr="005C4F41" w:rsidTr="00D85D56">
        <w:trPr>
          <w:trHeight w:hRule="exact" w:val="371"/>
          <w:jc w:val="center"/>
        </w:trPr>
        <w:tc>
          <w:tcPr>
            <w:tcW w:w="302"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sz w:val="20"/>
                <w:szCs w:val="20"/>
                <w:lang w:val="sq-AL"/>
              </w:rPr>
              <w:t>ç</w:t>
            </w:r>
          </w:p>
        </w:tc>
        <w:tc>
          <w:tcPr>
            <w:tcW w:w="1709" w:type="pct"/>
          </w:tcPr>
          <w:p w:rsidR="00163ABF" w:rsidRPr="005C4F41" w:rsidRDefault="00163ABF" w:rsidP="00D85D56">
            <w:pPr>
              <w:widowControl w:val="0"/>
              <w:autoSpaceDE w:val="0"/>
              <w:autoSpaceDN w:val="0"/>
              <w:adjustRightInd w:val="0"/>
              <w:spacing w:after="0" w:line="240" w:lineRule="auto"/>
              <w:rPr>
                <w:rFonts w:ascii="Garamond" w:hAnsi="Garamond"/>
                <w:sz w:val="20"/>
                <w:szCs w:val="20"/>
                <w:lang w:val="sq-AL"/>
              </w:rPr>
            </w:pPr>
            <w:r w:rsidRPr="005C4F41">
              <w:rPr>
                <w:rFonts w:ascii="Garamond" w:eastAsia="Times New Roman" w:hAnsi="Garamond"/>
                <w:sz w:val="20"/>
                <w:szCs w:val="20"/>
                <w:lang w:val="sq-AL"/>
              </w:rPr>
              <w:t>veshja e sipërme</w:t>
            </w:r>
          </w:p>
        </w:tc>
        <w:tc>
          <w:tcPr>
            <w:tcW w:w="1523" w:type="pct"/>
          </w:tcPr>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Të gjitha llojet</w:t>
            </w:r>
          </w:p>
        </w:tc>
        <w:tc>
          <w:tcPr>
            <w:tcW w:w="1466"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w w:val="106"/>
                <w:sz w:val="20"/>
                <w:szCs w:val="20"/>
                <w:lang w:val="sq-AL"/>
              </w:rPr>
              <w:t>420</w:t>
            </w:r>
          </w:p>
        </w:tc>
      </w:tr>
      <w:tr w:rsidR="00163ABF" w:rsidRPr="005C4F41" w:rsidTr="00D85D56">
        <w:trPr>
          <w:trHeight w:hRule="exact" w:val="371"/>
          <w:jc w:val="center"/>
        </w:trPr>
        <w:tc>
          <w:tcPr>
            <w:tcW w:w="302"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sz w:val="20"/>
                <w:szCs w:val="20"/>
                <w:lang w:val="sq-AL"/>
              </w:rPr>
              <w:t>d</w:t>
            </w:r>
          </w:p>
        </w:tc>
        <w:tc>
          <w:tcPr>
            <w:tcW w:w="1709" w:type="pct"/>
          </w:tcPr>
          <w:p w:rsidR="00163ABF" w:rsidRPr="005C4F41" w:rsidRDefault="00163ABF" w:rsidP="00D85D56">
            <w:pPr>
              <w:widowControl w:val="0"/>
              <w:autoSpaceDE w:val="0"/>
              <w:autoSpaceDN w:val="0"/>
              <w:adjustRightInd w:val="0"/>
              <w:spacing w:after="0" w:line="240" w:lineRule="auto"/>
              <w:rPr>
                <w:rFonts w:ascii="Garamond" w:hAnsi="Garamond"/>
                <w:sz w:val="20"/>
                <w:szCs w:val="20"/>
                <w:lang w:val="sq-AL"/>
              </w:rPr>
            </w:pPr>
            <w:r w:rsidRPr="005C4F41">
              <w:rPr>
                <w:rFonts w:ascii="Garamond" w:eastAsia="Times New Roman" w:hAnsi="Garamond"/>
                <w:sz w:val="20"/>
                <w:szCs w:val="20"/>
                <w:lang w:val="sq-AL"/>
              </w:rPr>
              <w:t>veshje speciale</w:t>
            </w:r>
          </w:p>
        </w:tc>
        <w:tc>
          <w:tcPr>
            <w:tcW w:w="1523" w:type="pct"/>
          </w:tcPr>
          <w:p w:rsidR="00163ABF" w:rsidRPr="005C4F41" w:rsidRDefault="00163ABF" w:rsidP="00D85D56">
            <w:pPr>
              <w:widowControl w:val="0"/>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Të gjitha llojet</w:t>
            </w:r>
          </w:p>
        </w:tc>
        <w:tc>
          <w:tcPr>
            <w:tcW w:w="1466"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w w:val="106"/>
                <w:sz w:val="20"/>
                <w:szCs w:val="20"/>
                <w:lang w:val="sq-AL"/>
              </w:rPr>
              <w:t>840</w:t>
            </w:r>
          </w:p>
        </w:tc>
      </w:tr>
    </w:tbl>
    <w:p w:rsidR="00163ABF" w:rsidRPr="005C4F41" w:rsidRDefault="00163ABF" w:rsidP="00163ABF">
      <w:pPr>
        <w:spacing w:after="0" w:line="240" w:lineRule="auto"/>
        <w:ind w:firstLine="0"/>
        <w:rPr>
          <w:rFonts w:ascii="Garamond" w:eastAsia="Times New Roman" w:hAnsi="Garamond"/>
          <w:spacing w:val="-4"/>
          <w:sz w:val="14"/>
          <w:szCs w:val="24"/>
          <w:lang w:val="sq-AL" w:eastAsia="en-GB"/>
        </w:rPr>
      </w:pPr>
    </w:p>
    <w:p w:rsidR="00163ABF" w:rsidRPr="005C4F41" w:rsidRDefault="00163ABF" w:rsidP="00163ABF">
      <w:pPr>
        <w:widowControl w:val="0"/>
        <w:autoSpaceDE w:val="0"/>
        <w:autoSpaceDN w:val="0"/>
        <w:adjustRightInd w:val="0"/>
        <w:spacing w:after="0" w:line="240" w:lineRule="auto"/>
        <w:rPr>
          <w:rFonts w:ascii="Garamond" w:hAnsi="Garamond"/>
          <w:sz w:val="24"/>
          <w:szCs w:val="24"/>
          <w:lang w:val="sq-AL"/>
        </w:rPr>
      </w:pPr>
      <w:r w:rsidRPr="005C4F41">
        <w:rPr>
          <w:rFonts w:ascii="Garamond" w:hAnsi="Garamond"/>
          <w:w w:val="76"/>
          <w:sz w:val="24"/>
          <w:szCs w:val="24"/>
          <w:lang w:val="sq-AL"/>
        </w:rPr>
        <w:t xml:space="preserve">(*) </w:t>
      </w:r>
      <w:r w:rsidRPr="005C4F41">
        <w:rPr>
          <w:rFonts w:ascii="Garamond" w:hAnsi="Garamond"/>
          <w:sz w:val="24"/>
          <w:szCs w:val="24"/>
          <w:lang w:val="sq-AL"/>
        </w:rPr>
        <w:t>g/l të produktit të gatshëm për përdorim.</w:t>
      </w:r>
      <w:r w:rsidRPr="005C4F41">
        <w:rPr>
          <w:rFonts w:ascii="Garamond" w:hAnsi="Garamond"/>
          <w:spacing w:val="5"/>
          <w:sz w:val="24"/>
          <w:szCs w:val="24"/>
          <w:lang w:val="sq-AL"/>
        </w:rPr>
        <w:t xml:space="preserve"> Me përjashtim të nënkategorisë</w:t>
      </w:r>
      <w:r w:rsidRPr="005C4F41">
        <w:rPr>
          <w:rFonts w:ascii="Garamond" w:hAnsi="Garamond"/>
          <w:spacing w:val="18"/>
          <w:w w:val="91"/>
          <w:sz w:val="24"/>
          <w:szCs w:val="24"/>
          <w:lang w:val="sq-AL"/>
        </w:rPr>
        <w:t xml:space="preserve"> </w:t>
      </w:r>
      <w:r w:rsidRPr="005C4F41">
        <w:rPr>
          <w:rFonts w:ascii="Garamond" w:hAnsi="Garamond"/>
          <w:spacing w:val="5"/>
          <w:sz w:val="24"/>
          <w:szCs w:val="24"/>
          <w:lang w:val="sq-AL"/>
        </w:rPr>
        <w:t>“a”</w:t>
      </w:r>
      <w:r w:rsidRPr="005C4F41">
        <w:rPr>
          <w:rFonts w:ascii="Garamond" w:hAnsi="Garamond"/>
          <w:spacing w:val="3"/>
          <w:w w:val="91"/>
          <w:sz w:val="24"/>
          <w:szCs w:val="24"/>
          <w:lang w:val="sq-AL"/>
        </w:rPr>
        <w:t xml:space="preserve"> çdo </w:t>
      </w:r>
      <w:r w:rsidRPr="005C4F41">
        <w:rPr>
          <w:rFonts w:ascii="Garamond" w:hAnsi="Garamond"/>
          <w:sz w:val="24"/>
          <w:szCs w:val="24"/>
          <w:lang w:val="sq-AL"/>
        </w:rPr>
        <w:t>përmbajtje uji e produktit të gatshëm për përdorim duhet zbritur.</w:t>
      </w:r>
    </w:p>
    <w:p w:rsidR="00163ABF" w:rsidRPr="005C4F41" w:rsidRDefault="00163ABF" w:rsidP="00163ABF">
      <w:pPr>
        <w:spacing w:after="0" w:line="240" w:lineRule="auto"/>
        <w:ind w:firstLine="0"/>
        <w:rPr>
          <w:rFonts w:ascii="Garamond" w:eastAsia="Times New Roman" w:hAnsi="Garamond"/>
          <w:spacing w:val="-4"/>
          <w:sz w:val="24"/>
          <w:szCs w:val="24"/>
          <w:lang w:val="sq-AL" w:eastAsia="en-GB"/>
        </w:rPr>
      </w:pPr>
    </w:p>
    <w:p w:rsidR="00163ABF" w:rsidRDefault="00163ABF" w:rsidP="00163ABF">
      <w:pPr>
        <w:spacing w:after="0" w:line="240" w:lineRule="auto"/>
        <w:jc w:val="center"/>
        <w:rPr>
          <w:rFonts w:ascii="Garamond" w:eastAsia="Times New Roman" w:hAnsi="Garamond"/>
          <w:sz w:val="24"/>
          <w:szCs w:val="24"/>
          <w:lang w:val="sq-AL"/>
        </w:rPr>
      </w:pPr>
    </w:p>
    <w:p w:rsidR="00163ABF" w:rsidRDefault="00163ABF" w:rsidP="00163ABF">
      <w:pPr>
        <w:spacing w:after="0" w:line="240" w:lineRule="auto"/>
        <w:jc w:val="center"/>
        <w:rPr>
          <w:rFonts w:ascii="Garamond" w:eastAsia="Times New Roman" w:hAnsi="Garamond"/>
          <w:sz w:val="24"/>
          <w:szCs w:val="24"/>
          <w:lang w:val="sq-AL"/>
        </w:rPr>
      </w:pPr>
    </w:p>
    <w:p w:rsidR="00163ABF" w:rsidRDefault="00163ABF" w:rsidP="00163ABF">
      <w:pPr>
        <w:spacing w:after="0" w:line="240" w:lineRule="auto"/>
        <w:jc w:val="center"/>
        <w:rPr>
          <w:rFonts w:ascii="Garamond" w:eastAsia="Times New Roman" w:hAnsi="Garamond"/>
          <w:sz w:val="24"/>
          <w:szCs w:val="24"/>
          <w:lang w:val="sq-AL"/>
        </w:rPr>
      </w:pPr>
    </w:p>
    <w:p w:rsidR="00163ABF" w:rsidRDefault="00163ABF" w:rsidP="00163ABF">
      <w:pPr>
        <w:spacing w:after="0" w:line="240" w:lineRule="auto"/>
        <w:jc w:val="center"/>
        <w:rPr>
          <w:rFonts w:ascii="Garamond" w:eastAsia="Times New Roman" w:hAnsi="Garamond"/>
          <w:sz w:val="24"/>
          <w:szCs w:val="24"/>
          <w:lang w:val="sq-AL"/>
        </w:rPr>
      </w:pPr>
    </w:p>
    <w:p w:rsidR="00163ABF" w:rsidRDefault="00163ABF" w:rsidP="00163ABF">
      <w:pPr>
        <w:spacing w:after="0" w:line="240" w:lineRule="auto"/>
        <w:jc w:val="center"/>
        <w:rPr>
          <w:rFonts w:ascii="Garamond" w:eastAsia="Times New Roman" w:hAnsi="Garamond"/>
          <w:sz w:val="24"/>
          <w:szCs w:val="24"/>
          <w:lang w:val="sq-AL"/>
        </w:rPr>
      </w:pPr>
    </w:p>
    <w:p w:rsidR="00163ABF" w:rsidRDefault="00163ABF" w:rsidP="00163ABF">
      <w:pPr>
        <w:spacing w:after="0" w:line="240" w:lineRule="auto"/>
        <w:jc w:val="center"/>
        <w:rPr>
          <w:rFonts w:ascii="Garamond" w:eastAsia="Times New Roman" w:hAnsi="Garamond"/>
          <w:sz w:val="24"/>
          <w:szCs w:val="24"/>
          <w:lang w:val="sq-AL"/>
        </w:rPr>
      </w:pPr>
    </w:p>
    <w:p w:rsidR="00163ABF" w:rsidRDefault="00163ABF" w:rsidP="00163ABF">
      <w:pPr>
        <w:spacing w:after="0" w:line="240" w:lineRule="auto"/>
        <w:jc w:val="center"/>
        <w:rPr>
          <w:rFonts w:ascii="Garamond" w:eastAsia="Times New Roman" w:hAnsi="Garamond"/>
          <w:sz w:val="24"/>
          <w:szCs w:val="24"/>
          <w:lang w:val="sq-AL"/>
        </w:rPr>
      </w:pPr>
    </w:p>
    <w:p w:rsidR="00163ABF" w:rsidRDefault="00163ABF" w:rsidP="00163ABF">
      <w:pPr>
        <w:spacing w:after="0" w:line="240" w:lineRule="auto"/>
        <w:jc w:val="center"/>
        <w:rPr>
          <w:rFonts w:ascii="Garamond" w:eastAsia="Times New Roman" w:hAnsi="Garamond"/>
          <w:sz w:val="24"/>
          <w:szCs w:val="24"/>
          <w:lang w:val="sq-AL"/>
        </w:rPr>
      </w:pPr>
    </w:p>
    <w:p w:rsidR="00163ABF" w:rsidRDefault="00163ABF" w:rsidP="00163ABF">
      <w:pPr>
        <w:spacing w:after="0" w:line="240" w:lineRule="auto"/>
        <w:jc w:val="center"/>
        <w:rPr>
          <w:rFonts w:ascii="Garamond" w:eastAsia="Times New Roman" w:hAnsi="Garamond"/>
          <w:sz w:val="24"/>
          <w:szCs w:val="24"/>
          <w:lang w:val="sq-AL"/>
        </w:rPr>
      </w:pPr>
    </w:p>
    <w:p w:rsidR="00163ABF" w:rsidRPr="005C4F41" w:rsidRDefault="00163ABF" w:rsidP="00163ABF">
      <w:pPr>
        <w:spacing w:after="0" w:line="240" w:lineRule="auto"/>
        <w:jc w:val="center"/>
        <w:rPr>
          <w:rFonts w:ascii="Garamond" w:eastAsia="Times New Roman" w:hAnsi="Garamond"/>
          <w:sz w:val="24"/>
          <w:szCs w:val="24"/>
          <w:lang w:val="sq-AL"/>
        </w:rPr>
      </w:pPr>
      <w:r w:rsidRPr="005C4F41">
        <w:rPr>
          <w:rFonts w:ascii="Garamond" w:eastAsia="Times New Roman" w:hAnsi="Garamond"/>
          <w:sz w:val="24"/>
          <w:szCs w:val="24"/>
          <w:lang w:val="sq-AL"/>
        </w:rPr>
        <w:t>SHTOJCA III</w:t>
      </w:r>
    </w:p>
    <w:p w:rsidR="00163ABF" w:rsidRPr="005C4F41" w:rsidRDefault="00163ABF" w:rsidP="00163ABF">
      <w:pPr>
        <w:spacing w:after="0" w:line="240" w:lineRule="auto"/>
        <w:ind w:firstLine="0"/>
        <w:rPr>
          <w:rFonts w:ascii="Garamond" w:eastAsia="Times New Roman" w:hAnsi="Garamond"/>
          <w:spacing w:val="-4"/>
          <w:sz w:val="14"/>
          <w:szCs w:val="24"/>
          <w:lang w:val="sq-AL" w:eastAsia="en-GB"/>
        </w:rPr>
      </w:pPr>
    </w:p>
    <w:p w:rsidR="00163ABF" w:rsidRPr="005C4F41" w:rsidRDefault="00163ABF" w:rsidP="00163ABF">
      <w:pPr>
        <w:spacing w:after="0" w:line="240" w:lineRule="auto"/>
        <w:rPr>
          <w:rFonts w:ascii="Garamond" w:eastAsia="Times New Roman" w:hAnsi="Garamond"/>
          <w:b/>
          <w:sz w:val="24"/>
          <w:szCs w:val="24"/>
          <w:lang w:val="sq-AL"/>
        </w:rPr>
      </w:pPr>
      <w:r w:rsidRPr="005C4F41">
        <w:rPr>
          <w:rFonts w:ascii="Garamond" w:eastAsia="Times New Roman" w:hAnsi="Garamond"/>
          <w:b/>
          <w:sz w:val="24"/>
          <w:szCs w:val="24"/>
          <w:lang w:val="sq-AL"/>
        </w:rPr>
        <w:t xml:space="preserve">Metodat analitike të testimit, referuar në kreun II, pika 2   </w:t>
      </w:r>
    </w:p>
    <w:p w:rsidR="00163ABF" w:rsidRPr="005C4F41" w:rsidRDefault="00163ABF" w:rsidP="00163ABF">
      <w:pPr>
        <w:spacing w:after="0" w:line="240" w:lineRule="auto"/>
        <w:ind w:firstLine="0"/>
        <w:rPr>
          <w:rFonts w:ascii="Garamond" w:eastAsia="Times New Roman" w:hAnsi="Garamond"/>
          <w:spacing w:val="-4"/>
          <w:sz w:val="14"/>
          <w:szCs w:val="24"/>
          <w:lang w:val="sq-AL" w:eastAsia="en-GB"/>
        </w:rPr>
      </w:pPr>
    </w:p>
    <w:tbl>
      <w:tblPr>
        <w:tblW w:w="5000" w:type="pct"/>
        <w:jc w:val="center"/>
        <w:tblBorders>
          <w:top w:val="single" w:sz="4" w:space="0" w:color="000000"/>
          <w:left w:val="single" w:sz="4" w:space="0" w:color="auto"/>
          <w:bottom w:val="single" w:sz="4" w:space="0" w:color="000000"/>
          <w:right w:val="single" w:sz="4" w:space="0" w:color="auto"/>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3291"/>
        <w:gridCol w:w="1499"/>
        <w:gridCol w:w="2333"/>
        <w:gridCol w:w="2526"/>
      </w:tblGrid>
      <w:tr w:rsidR="00163ABF" w:rsidRPr="005C4F41" w:rsidTr="00D85D56">
        <w:trPr>
          <w:trHeight w:hRule="exact" w:val="349"/>
          <w:jc w:val="center"/>
        </w:trPr>
        <w:tc>
          <w:tcPr>
            <w:tcW w:w="1705" w:type="pct"/>
            <w:vMerge w:val="restart"/>
          </w:tcPr>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p>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r w:rsidRPr="005C4F41">
              <w:rPr>
                <w:rFonts w:ascii="Garamond" w:hAnsi="Garamond"/>
                <w:b/>
                <w:sz w:val="20"/>
                <w:szCs w:val="20"/>
                <w:lang w:val="sq-AL"/>
              </w:rPr>
              <w:t>Parametri</w:t>
            </w:r>
          </w:p>
        </w:tc>
        <w:tc>
          <w:tcPr>
            <w:tcW w:w="777" w:type="pct"/>
            <w:vMerge w:val="restart"/>
          </w:tcPr>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p>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r w:rsidRPr="005C4F41">
              <w:rPr>
                <w:rFonts w:ascii="Garamond" w:hAnsi="Garamond"/>
                <w:b/>
                <w:sz w:val="20"/>
                <w:szCs w:val="20"/>
                <w:lang w:val="sq-AL"/>
              </w:rPr>
              <w:t>Njësi</w:t>
            </w:r>
          </w:p>
        </w:tc>
        <w:tc>
          <w:tcPr>
            <w:tcW w:w="2518" w:type="pct"/>
            <w:gridSpan w:val="2"/>
          </w:tcPr>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r w:rsidRPr="005C4F41">
              <w:rPr>
                <w:rFonts w:ascii="Garamond" w:hAnsi="Garamond"/>
                <w:b/>
                <w:sz w:val="20"/>
                <w:szCs w:val="20"/>
                <w:lang w:val="sq-AL"/>
              </w:rPr>
              <w:t>Test</w:t>
            </w:r>
          </w:p>
        </w:tc>
      </w:tr>
      <w:tr w:rsidR="00163ABF" w:rsidRPr="005C4F41" w:rsidTr="00D85D56">
        <w:trPr>
          <w:trHeight w:hRule="exact" w:val="262"/>
          <w:jc w:val="center"/>
        </w:trPr>
        <w:tc>
          <w:tcPr>
            <w:tcW w:w="1705" w:type="pct"/>
            <w:vMerge/>
          </w:tcPr>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p>
        </w:tc>
        <w:tc>
          <w:tcPr>
            <w:tcW w:w="777" w:type="pct"/>
            <w:vMerge/>
          </w:tcPr>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p>
        </w:tc>
        <w:tc>
          <w:tcPr>
            <w:tcW w:w="1209" w:type="pct"/>
          </w:tcPr>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r w:rsidRPr="005C4F41">
              <w:rPr>
                <w:rFonts w:ascii="Garamond" w:hAnsi="Garamond"/>
                <w:b/>
                <w:sz w:val="20"/>
                <w:szCs w:val="20"/>
                <w:lang w:val="sq-AL"/>
              </w:rPr>
              <w:t>Metoda</w:t>
            </w:r>
          </w:p>
        </w:tc>
        <w:tc>
          <w:tcPr>
            <w:tcW w:w="1308" w:type="pct"/>
          </w:tcPr>
          <w:p w:rsidR="00163ABF" w:rsidRPr="005C4F41" w:rsidRDefault="00163ABF" w:rsidP="00D85D56">
            <w:pPr>
              <w:widowControl w:val="0"/>
              <w:autoSpaceDE w:val="0"/>
              <w:autoSpaceDN w:val="0"/>
              <w:adjustRightInd w:val="0"/>
              <w:spacing w:after="0" w:line="240" w:lineRule="auto"/>
              <w:jc w:val="center"/>
              <w:rPr>
                <w:rFonts w:ascii="Garamond" w:hAnsi="Garamond"/>
                <w:b/>
                <w:sz w:val="20"/>
                <w:szCs w:val="20"/>
                <w:lang w:val="sq-AL"/>
              </w:rPr>
            </w:pPr>
            <w:r w:rsidRPr="005C4F41">
              <w:rPr>
                <w:rFonts w:ascii="Garamond" w:hAnsi="Garamond"/>
                <w:b/>
                <w:sz w:val="20"/>
                <w:szCs w:val="20"/>
                <w:lang w:val="sq-AL"/>
              </w:rPr>
              <w:t>Data</w:t>
            </w:r>
            <w:r w:rsidRPr="005C4F41">
              <w:rPr>
                <w:rFonts w:ascii="Garamond" w:hAnsi="Garamond"/>
                <w:b/>
                <w:spacing w:val="-4"/>
                <w:sz w:val="20"/>
                <w:szCs w:val="20"/>
                <w:lang w:val="sq-AL"/>
              </w:rPr>
              <w:t xml:space="preserve"> e</w:t>
            </w:r>
            <w:r w:rsidRPr="005C4F41">
              <w:rPr>
                <w:rFonts w:ascii="Garamond" w:hAnsi="Garamond"/>
                <w:b/>
                <w:spacing w:val="4"/>
                <w:sz w:val="20"/>
                <w:szCs w:val="20"/>
                <w:lang w:val="sq-AL"/>
              </w:rPr>
              <w:t xml:space="preserve"> </w:t>
            </w:r>
            <w:r w:rsidRPr="005C4F41">
              <w:rPr>
                <w:rFonts w:ascii="Garamond" w:hAnsi="Garamond"/>
                <w:b/>
                <w:sz w:val="20"/>
                <w:szCs w:val="20"/>
                <w:lang w:val="sq-AL"/>
              </w:rPr>
              <w:t>publikimit</w:t>
            </w:r>
          </w:p>
        </w:tc>
      </w:tr>
      <w:tr w:rsidR="00163ABF" w:rsidRPr="005C4F41" w:rsidTr="00D85D56">
        <w:trPr>
          <w:trHeight w:hRule="exact" w:val="334"/>
          <w:jc w:val="center"/>
        </w:trPr>
        <w:tc>
          <w:tcPr>
            <w:tcW w:w="1705" w:type="pct"/>
          </w:tcPr>
          <w:p w:rsidR="00163ABF" w:rsidRPr="005C4F41" w:rsidRDefault="00163ABF" w:rsidP="00D85D56">
            <w:pPr>
              <w:widowControl w:val="0"/>
              <w:autoSpaceDE w:val="0"/>
              <w:autoSpaceDN w:val="0"/>
              <w:adjustRightInd w:val="0"/>
              <w:spacing w:after="0" w:line="240" w:lineRule="auto"/>
              <w:rPr>
                <w:rFonts w:ascii="Garamond" w:hAnsi="Garamond"/>
                <w:sz w:val="20"/>
                <w:szCs w:val="20"/>
                <w:lang w:val="sq-AL"/>
              </w:rPr>
            </w:pPr>
            <w:r w:rsidRPr="005C4F41">
              <w:rPr>
                <w:rFonts w:ascii="Garamond" w:hAnsi="Garamond"/>
                <w:sz w:val="20"/>
                <w:szCs w:val="20"/>
                <w:lang w:val="sq-AL"/>
              </w:rPr>
              <w:t>Përmbajtja e VOC-së</w:t>
            </w:r>
          </w:p>
        </w:tc>
        <w:tc>
          <w:tcPr>
            <w:tcW w:w="777"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sz w:val="20"/>
                <w:szCs w:val="20"/>
                <w:lang w:val="sq-AL"/>
              </w:rPr>
              <w:t>g/l</w:t>
            </w:r>
          </w:p>
        </w:tc>
        <w:tc>
          <w:tcPr>
            <w:tcW w:w="1209" w:type="pct"/>
          </w:tcPr>
          <w:p w:rsidR="00163ABF" w:rsidRPr="005C4F41" w:rsidRDefault="00163ABF" w:rsidP="00D85D56">
            <w:pPr>
              <w:widowControl w:val="0"/>
              <w:autoSpaceDE w:val="0"/>
              <w:autoSpaceDN w:val="0"/>
              <w:adjustRightInd w:val="0"/>
              <w:spacing w:after="0" w:line="240" w:lineRule="auto"/>
              <w:rPr>
                <w:rFonts w:ascii="Garamond" w:hAnsi="Garamond"/>
                <w:sz w:val="20"/>
                <w:szCs w:val="20"/>
                <w:lang w:val="sq-AL"/>
              </w:rPr>
            </w:pPr>
            <w:r w:rsidRPr="005C4F41">
              <w:rPr>
                <w:rFonts w:ascii="Garamond" w:hAnsi="Garamond"/>
                <w:sz w:val="20"/>
                <w:szCs w:val="20"/>
                <w:lang w:val="sq-AL"/>
              </w:rPr>
              <w:t>ISO</w:t>
            </w:r>
            <w:r w:rsidRPr="005C4F41">
              <w:rPr>
                <w:rFonts w:ascii="Garamond" w:hAnsi="Garamond"/>
                <w:spacing w:val="-14"/>
                <w:sz w:val="20"/>
                <w:szCs w:val="20"/>
                <w:lang w:val="sq-AL"/>
              </w:rPr>
              <w:t xml:space="preserve"> </w:t>
            </w:r>
            <w:r w:rsidRPr="005C4F41">
              <w:rPr>
                <w:rFonts w:ascii="Garamond" w:hAnsi="Garamond"/>
                <w:spacing w:val="-14"/>
                <w:w w:val="106"/>
                <w:sz w:val="20"/>
                <w:szCs w:val="20"/>
                <w:lang w:val="sq-AL"/>
              </w:rPr>
              <w:t>1</w:t>
            </w:r>
            <w:r w:rsidRPr="005C4F41">
              <w:rPr>
                <w:rFonts w:ascii="Garamond" w:hAnsi="Garamond"/>
                <w:spacing w:val="-13"/>
                <w:w w:val="106"/>
                <w:sz w:val="20"/>
                <w:szCs w:val="20"/>
                <w:lang w:val="sq-AL"/>
              </w:rPr>
              <w:t>1</w:t>
            </w:r>
            <w:r w:rsidRPr="005C4F41">
              <w:rPr>
                <w:rFonts w:ascii="Garamond" w:hAnsi="Garamond"/>
                <w:w w:val="104"/>
                <w:sz w:val="20"/>
                <w:szCs w:val="20"/>
                <w:lang w:val="sq-AL"/>
              </w:rPr>
              <w:t>890-2</w:t>
            </w:r>
          </w:p>
        </w:tc>
        <w:tc>
          <w:tcPr>
            <w:tcW w:w="1308"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w w:val="106"/>
                <w:sz w:val="20"/>
                <w:szCs w:val="20"/>
                <w:lang w:val="sq-AL"/>
              </w:rPr>
              <w:t>2002</w:t>
            </w:r>
          </w:p>
        </w:tc>
      </w:tr>
      <w:tr w:rsidR="00163ABF" w:rsidRPr="005C4F41" w:rsidTr="00D85D56">
        <w:trPr>
          <w:trHeight w:hRule="exact" w:val="469"/>
          <w:jc w:val="center"/>
        </w:trPr>
        <w:tc>
          <w:tcPr>
            <w:tcW w:w="1705" w:type="pct"/>
          </w:tcPr>
          <w:p w:rsidR="00163ABF" w:rsidRPr="005C4F41" w:rsidRDefault="00163ABF" w:rsidP="00D85D56">
            <w:pPr>
              <w:widowControl w:val="0"/>
              <w:autoSpaceDE w:val="0"/>
              <w:autoSpaceDN w:val="0"/>
              <w:adjustRightInd w:val="0"/>
              <w:spacing w:after="0" w:line="240" w:lineRule="auto"/>
              <w:rPr>
                <w:rFonts w:ascii="Garamond" w:hAnsi="Garamond"/>
                <w:sz w:val="20"/>
                <w:szCs w:val="20"/>
                <w:lang w:val="sq-AL"/>
              </w:rPr>
            </w:pPr>
            <w:r w:rsidRPr="005C4F41">
              <w:rPr>
                <w:rFonts w:ascii="Garamond" w:hAnsi="Garamond"/>
                <w:sz w:val="20"/>
                <w:szCs w:val="20"/>
                <w:lang w:val="sq-AL"/>
              </w:rPr>
              <w:t xml:space="preserve">Përmbajtja e VOC-së kur janë të pranishëm holluesit reagues </w:t>
            </w:r>
          </w:p>
        </w:tc>
        <w:tc>
          <w:tcPr>
            <w:tcW w:w="777"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sz w:val="20"/>
                <w:szCs w:val="20"/>
                <w:lang w:val="sq-AL"/>
              </w:rPr>
              <w:t>g/l</w:t>
            </w:r>
          </w:p>
        </w:tc>
        <w:tc>
          <w:tcPr>
            <w:tcW w:w="1209" w:type="pct"/>
          </w:tcPr>
          <w:p w:rsidR="00163ABF" w:rsidRPr="005C4F41" w:rsidRDefault="00163ABF" w:rsidP="00D85D56">
            <w:pPr>
              <w:widowControl w:val="0"/>
              <w:autoSpaceDE w:val="0"/>
              <w:autoSpaceDN w:val="0"/>
              <w:adjustRightInd w:val="0"/>
              <w:spacing w:after="0" w:line="240" w:lineRule="auto"/>
              <w:rPr>
                <w:rFonts w:ascii="Garamond" w:hAnsi="Garamond"/>
                <w:sz w:val="20"/>
                <w:szCs w:val="20"/>
                <w:lang w:val="sq-AL"/>
              </w:rPr>
            </w:pPr>
            <w:r w:rsidRPr="005C4F41">
              <w:rPr>
                <w:rFonts w:ascii="Garamond" w:hAnsi="Garamond"/>
                <w:sz w:val="20"/>
                <w:szCs w:val="20"/>
                <w:lang w:val="sq-AL"/>
              </w:rPr>
              <w:t>ASTMD 2369</w:t>
            </w:r>
          </w:p>
        </w:tc>
        <w:tc>
          <w:tcPr>
            <w:tcW w:w="1308" w:type="pct"/>
          </w:tcPr>
          <w:p w:rsidR="00163ABF" w:rsidRPr="005C4F41" w:rsidRDefault="00163ABF" w:rsidP="00D85D56">
            <w:pPr>
              <w:widowControl w:val="0"/>
              <w:autoSpaceDE w:val="0"/>
              <w:autoSpaceDN w:val="0"/>
              <w:adjustRightInd w:val="0"/>
              <w:spacing w:after="0" w:line="240" w:lineRule="auto"/>
              <w:jc w:val="center"/>
              <w:rPr>
                <w:rFonts w:ascii="Garamond" w:hAnsi="Garamond"/>
                <w:sz w:val="20"/>
                <w:szCs w:val="20"/>
                <w:lang w:val="sq-AL"/>
              </w:rPr>
            </w:pPr>
            <w:r w:rsidRPr="005C4F41">
              <w:rPr>
                <w:rFonts w:ascii="Garamond" w:hAnsi="Garamond"/>
                <w:w w:val="106"/>
                <w:sz w:val="20"/>
                <w:szCs w:val="20"/>
                <w:lang w:val="sq-AL"/>
              </w:rPr>
              <w:t>2003</w:t>
            </w:r>
          </w:p>
        </w:tc>
      </w:tr>
    </w:tbl>
    <w:p w:rsidR="00163ABF" w:rsidRPr="005C4F41" w:rsidRDefault="00163ABF" w:rsidP="00163ABF">
      <w:pPr>
        <w:spacing w:after="0" w:line="240" w:lineRule="auto"/>
        <w:ind w:firstLine="0"/>
        <w:rPr>
          <w:rFonts w:ascii="Garamond" w:eastAsia="Times New Roman" w:hAnsi="Garamond"/>
          <w:spacing w:val="-4"/>
          <w:sz w:val="24"/>
          <w:szCs w:val="24"/>
          <w:lang w:val="sq-AL" w:eastAsia="en-GB"/>
        </w:rPr>
      </w:pPr>
    </w:p>
    <w:p w:rsidR="00163ABF" w:rsidRPr="005C4F41" w:rsidRDefault="00163ABF" w:rsidP="00163ABF">
      <w:pPr>
        <w:pStyle w:val="Paragrafi"/>
        <w:jc w:val="center"/>
        <w:rPr>
          <w:b/>
          <w:lang w:val="sq-AL"/>
        </w:rPr>
        <w:sectPr w:rsidR="00163ABF" w:rsidRPr="005C4F41" w:rsidSect="007D5CA2">
          <w:type w:val="continuous"/>
          <w:pgSz w:w="11907" w:h="16840" w:code="9"/>
          <w:pgMar w:top="720" w:right="1134" w:bottom="720" w:left="1134" w:header="851" w:footer="851" w:gutter="0"/>
          <w:cols w:space="454"/>
          <w:docGrid w:linePitch="360"/>
        </w:sectPr>
      </w:pPr>
    </w:p>
    <w:p w:rsidR="000D61F1" w:rsidRDefault="000D61F1"/>
    <w:sectPr w:rsidR="000D61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C6D" w:rsidRDefault="00B01C6D" w:rsidP="00163ABF">
      <w:pPr>
        <w:spacing w:after="0" w:line="240" w:lineRule="auto"/>
      </w:pPr>
      <w:r>
        <w:separator/>
      </w:r>
    </w:p>
  </w:endnote>
  <w:endnote w:type="continuationSeparator" w:id="0">
    <w:p w:rsidR="00B01C6D" w:rsidRDefault="00B01C6D" w:rsidP="00163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C6D" w:rsidRDefault="00B01C6D" w:rsidP="00163ABF">
      <w:pPr>
        <w:spacing w:after="0" w:line="240" w:lineRule="auto"/>
      </w:pPr>
      <w:r>
        <w:separator/>
      </w:r>
    </w:p>
  </w:footnote>
  <w:footnote w:type="continuationSeparator" w:id="0">
    <w:p w:rsidR="00B01C6D" w:rsidRDefault="00B01C6D" w:rsidP="00163ABF">
      <w:pPr>
        <w:spacing w:after="0" w:line="240" w:lineRule="auto"/>
      </w:pPr>
      <w:r>
        <w:continuationSeparator/>
      </w:r>
    </w:p>
  </w:footnote>
  <w:footnote w:id="1">
    <w:p w:rsidR="00163ABF" w:rsidRPr="006C4F44" w:rsidRDefault="00163ABF" w:rsidP="00163ABF">
      <w:pPr>
        <w:spacing w:after="0" w:line="240" w:lineRule="auto"/>
        <w:ind w:firstLine="0"/>
        <w:outlineLvl w:val="0"/>
        <w:rPr>
          <w:rFonts w:ascii="Garamond" w:eastAsia="Times New Roman" w:hAnsi="Garamond" w:cs="Tahoma"/>
          <w:color w:val="000000"/>
          <w:sz w:val="20"/>
          <w:szCs w:val="20"/>
          <w:lang w:val="sq-AL"/>
        </w:rPr>
      </w:pPr>
      <w:r w:rsidRPr="006C4F44">
        <w:rPr>
          <w:rStyle w:val="FootnoteReference"/>
          <w:rFonts w:ascii="Garamond" w:hAnsi="Garamond"/>
          <w:sz w:val="20"/>
          <w:szCs w:val="20"/>
          <w:lang w:val="sq-AL"/>
        </w:rPr>
        <w:footnoteRef/>
      </w:r>
      <w:r w:rsidRPr="006C4F44">
        <w:rPr>
          <w:rFonts w:ascii="Garamond" w:hAnsi="Garamond"/>
          <w:sz w:val="20"/>
          <w:szCs w:val="20"/>
          <w:lang w:val="sq-AL"/>
        </w:rPr>
        <w:t xml:space="preserve"> Ky vendim përafron direktivën </w:t>
      </w:r>
      <w:r w:rsidRPr="006C4F44">
        <w:rPr>
          <w:rFonts w:ascii="Garamond" w:eastAsia="Times New Roman" w:hAnsi="Garamond"/>
          <w:bCs/>
          <w:color w:val="000000"/>
          <w:sz w:val="20"/>
          <w:szCs w:val="20"/>
          <w:lang w:val="sq-AL"/>
        </w:rPr>
        <w:t>2004/42/CE për kufizimin e shkarkimeve të përbërësve organikë të avullueshëm për shkak të përdorimit të tretësve organikë në disa bojëra, llaqe dhe produkte për lustrimin e mjeteve që amendon direktivën 1999/13/EC. </w:t>
      </w:r>
      <w:r w:rsidRPr="006C4F44">
        <w:rPr>
          <w:rFonts w:ascii="Garamond" w:eastAsia="Times New Roman" w:hAnsi="Garamond"/>
          <w:color w:val="000000"/>
          <w:sz w:val="20"/>
          <w:szCs w:val="20"/>
          <w:lang w:val="sq-AL"/>
        </w:rPr>
        <w:br/>
      </w:r>
      <w:r w:rsidRPr="006C4F44">
        <w:rPr>
          <w:rFonts w:ascii="Garamond" w:eastAsia="Times New Roman" w:hAnsi="Garamond"/>
          <w:iCs/>
          <w:color w:val="000000"/>
          <w:sz w:val="20"/>
          <w:szCs w:val="20"/>
          <w:lang w:val="sq-AL"/>
        </w:rPr>
        <w:t>FZ L 143, 30/04/2004 f. 0087 – 0096;</w:t>
      </w:r>
      <w:r w:rsidRPr="006C4F44">
        <w:rPr>
          <w:rFonts w:ascii="Garamond" w:eastAsia="Times New Roman" w:hAnsi="Garamond"/>
          <w:color w:val="000000"/>
          <w:spacing w:val="1"/>
          <w:sz w:val="20"/>
          <w:szCs w:val="20"/>
          <w:lang w:val="sq-AL"/>
        </w:rPr>
        <w:t xml:space="preserve"> të ndryshuar nga direktiva 2008/112/EC dhe 2010/79/EC dhe rregullorja 1137/2008 (Fletorja Zyrtare L 085, 29/03/1999 f. 0001–0022).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ABF"/>
    <w:rsid w:val="000D61F1"/>
    <w:rsid w:val="00163ABF"/>
    <w:rsid w:val="005D473B"/>
    <w:rsid w:val="00B01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AB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63AB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63ABF"/>
    <w:rPr>
      <w:rFonts w:ascii="Times New Roman" w:eastAsia="Times New Roman" w:hAnsi="Times New Roman" w:cs="Times New Roman"/>
      <w:sz w:val="24"/>
      <w:szCs w:val="24"/>
      <w:lang w:val="sq-AL"/>
    </w:rPr>
  </w:style>
  <w:style w:type="paragraph" w:customStyle="1" w:styleId="Paragrafi">
    <w:name w:val="Paragrafi"/>
    <w:link w:val="ParagrafiChar"/>
    <w:rsid w:val="00163AB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63ABF"/>
    <w:rPr>
      <w:rFonts w:ascii="Garamond" w:eastAsia="MS Mincho" w:hAnsi="Garamond" w:cs="CG Times"/>
      <w:sz w:val="24"/>
    </w:rPr>
  </w:style>
  <w:style w:type="paragraph" w:customStyle="1" w:styleId="NeniNr">
    <w:name w:val="Neni_Nr"/>
    <w:next w:val="Normal"/>
    <w:link w:val="NeniNrChar"/>
    <w:rsid w:val="00163AB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63ABF"/>
    <w:rPr>
      <w:rFonts w:ascii="Garamond" w:eastAsia="MS Mincho" w:hAnsi="Garamond" w:cs="CG Times"/>
      <w:sz w:val="24"/>
      <w:lang w:val="en-GB"/>
    </w:rPr>
  </w:style>
  <w:style w:type="paragraph" w:customStyle="1" w:styleId="Hapesira7">
    <w:name w:val="Hapesira 7"/>
    <w:basedOn w:val="Paragrafi"/>
    <w:qFormat/>
    <w:rsid w:val="00163ABF"/>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163ABF"/>
    <w:rPr>
      <w:vertAlign w:val="superscript"/>
    </w:rPr>
  </w:style>
  <w:style w:type="paragraph" w:customStyle="1" w:styleId="Char2">
    <w:name w:val="Char2"/>
    <w:basedOn w:val="Normal"/>
    <w:link w:val="FootnoteReference"/>
    <w:uiPriority w:val="99"/>
    <w:rsid w:val="00163ABF"/>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AB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63AB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63ABF"/>
    <w:rPr>
      <w:rFonts w:ascii="Times New Roman" w:eastAsia="Times New Roman" w:hAnsi="Times New Roman" w:cs="Times New Roman"/>
      <w:sz w:val="24"/>
      <w:szCs w:val="24"/>
      <w:lang w:val="sq-AL"/>
    </w:rPr>
  </w:style>
  <w:style w:type="paragraph" w:customStyle="1" w:styleId="Paragrafi">
    <w:name w:val="Paragrafi"/>
    <w:link w:val="ParagrafiChar"/>
    <w:rsid w:val="00163AB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63ABF"/>
    <w:rPr>
      <w:rFonts w:ascii="Garamond" w:eastAsia="MS Mincho" w:hAnsi="Garamond" w:cs="CG Times"/>
      <w:sz w:val="24"/>
    </w:rPr>
  </w:style>
  <w:style w:type="paragraph" w:customStyle="1" w:styleId="NeniNr">
    <w:name w:val="Neni_Nr"/>
    <w:next w:val="Normal"/>
    <w:link w:val="NeniNrChar"/>
    <w:rsid w:val="00163AB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63ABF"/>
    <w:rPr>
      <w:rFonts w:ascii="Garamond" w:eastAsia="MS Mincho" w:hAnsi="Garamond" w:cs="CG Times"/>
      <w:sz w:val="24"/>
      <w:lang w:val="en-GB"/>
    </w:rPr>
  </w:style>
  <w:style w:type="paragraph" w:customStyle="1" w:styleId="Hapesira7">
    <w:name w:val="Hapesira 7"/>
    <w:basedOn w:val="Paragrafi"/>
    <w:qFormat/>
    <w:rsid w:val="00163ABF"/>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163ABF"/>
    <w:rPr>
      <w:vertAlign w:val="superscript"/>
    </w:rPr>
  </w:style>
  <w:style w:type="paragraph" w:customStyle="1" w:styleId="Char2">
    <w:name w:val="Char2"/>
    <w:basedOn w:val="Normal"/>
    <w:link w:val="FootnoteReference"/>
    <w:uiPriority w:val="99"/>
    <w:rsid w:val="00163ABF"/>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2400</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2019-02-05T13:57:00Z</cp:lastPrinted>
  <dcterms:created xsi:type="dcterms:W3CDTF">2017-12-20T12:10:00Z</dcterms:created>
  <dcterms:modified xsi:type="dcterms:W3CDTF">2019-02-05T13:58:00Z</dcterms:modified>
</cp:coreProperties>
</file>