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C13" w:rsidRPr="00CD15CD" w:rsidRDefault="00602C13" w:rsidP="00602C13">
      <w:pPr>
        <w:pStyle w:val="NeniTitull"/>
        <w:rPr>
          <w:spacing w:val="-4"/>
          <w:lang w:val="sq-AL"/>
        </w:rPr>
      </w:pPr>
      <w:bookmarkStart w:id="0" w:name="_GoBack"/>
      <w:r w:rsidRPr="00CD15CD">
        <w:rPr>
          <w:spacing w:val="-4"/>
          <w:lang w:val="sq-AL"/>
        </w:rPr>
        <w:t>VENDIM</w:t>
      </w:r>
    </w:p>
    <w:p w:rsidR="00602C13" w:rsidRPr="00CD15CD" w:rsidRDefault="00602C13" w:rsidP="00602C13">
      <w:pPr>
        <w:pStyle w:val="NeniTitull"/>
        <w:rPr>
          <w:spacing w:val="-4"/>
          <w:lang w:val="sq-AL"/>
        </w:rPr>
      </w:pPr>
      <w:r w:rsidRPr="00CD15CD">
        <w:rPr>
          <w:spacing w:val="-4"/>
          <w:lang w:val="sq-AL"/>
        </w:rPr>
        <w:t>Nr. 8, datë 11.1.2017</w:t>
      </w:r>
    </w:p>
    <w:p w:rsidR="00602C13" w:rsidRPr="00CD15CD" w:rsidRDefault="00602C13" w:rsidP="00602C13">
      <w:pPr>
        <w:pStyle w:val="Hapesira7"/>
        <w:rPr>
          <w:lang w:val="sq-AL"/>
        </w:rPr>
      </w:pPr>
    </w:p>
    <w:p w:rsidR="00602C13" w:rsidRPr="00CD15CD" w:rsidRDefault="00602C13" w:rsidP="00602C13">
      <w:pPr>
        <w:pStyle w:val="NeniTitull"/>
        <w:rPr>
          <w:spacing w:val="-4"/>
          <w:lang w:val="sq-AL"/>
        </w:rPr>
      </w:pPr>
      <w:r w:rsidRPr="00CD15CD">
        <w:rPr>
          <w:spacing w:val="-4"/>
          <w:lang w:val="sq-AL"/>
        </w:rPr>
        <w:t>PËR  DISA SHTESA DHE NDRYSHIME NË VENDIMIN NR.953,  DATË 29.12.2014, TË KËSHILLIT TË MINISTRAVE, “PËR DISPOZITAT ZBATUESE TË LIGJIT NR.92/2014, ‘PËR TATIMIN MBI VLERËN  E SHTUAR NË REPUBLIKËN E SHQIPËRISË’, TË NDRYSHUAR”</w:t>
      </w:r>
    </w:p>
    <w:p w:rsidR="00602C13" w:rsidRPr="00CD15CD" w:rsidRDefault="00602C13" w:rsidP="00602C13">
      <w:pPr>
        <w:pStyle w:val="Hapesira7"/>
        <w:rPr>
          <w:lang w:val="sq-AL"/>
        </w:rPr>
      </w:pPr>
    </w:p>
    <w:p w:rsidR="00602C13" w:rsidRPr="00CD15CD" w:rsidRDefault="00602C13" w:rsidP="00602C13">
      <w:pPr>
        <w:pStyle w:val="Paragrafi"/>
        <w:rPr>
          <w:spacing w:val="-4"/>
          <w:lang w:val="sq-AL"/>
        </w:rPr>
      </w:pPr>
      <w:r w:rsidRPr="00CD15CD">
        <w:rPr>
          <w:spacing w:val="-4"/>
          <w:lang w:val="sq-AL"/>
        </w:rPr>
        <w:t>Në mbështetje të nenit 100 të Kushtetutës dhe të neneve 55, pika 2, 56, pika 38, e  159, të ligjit nr.92/2014, “Për tatimin mbi vlerën e shtuar në Republikën e Shqipërisë”, me propozimin e ministrit të Financave, Këshilli i Ministrave</w:t>
      </w:r>
    </w:p>
    <w:p w:rsidR="00602C13" w:rsidRPr="00CD15CD" w:rsidRDefault="00602C13" w:rsidP="00602C13">
      <w:pPr>
        <w:pStyle w:val="Hapesira7"/>
        <w:rPr>
          <w:lang w:val="sq-AL"/>
        </w:rPr>
      </w:pPr>
      <w:r w:rsidRPr="00CD15CD">
        <w:rPr>
          <w:lang w:val="sq-AL"/>
        </w:rPr>
        <w:tab/>
      </w:r>
      <w:r w:rsidRPr="00CD15CD">
        <w:rPr>
          <w:lang w:val="sq-AL"/>
        </w:rPr>
        <w:tab/>
      </w:r>
    </w:p>
    <w:p w:rsidR="00602C13" w:rsidRPr="00CD15CD" w:rsidRDefault="00602C13" w:rsidP="00602C13">
      <w:pPr>
        <w:pStyle w:val="NeniNr"/>
        <w:rPr>
          <w:spacing w:val="-4"/>
          <w:lang w:val="sq-AL"/>
        </w:rPr>
      </w:pPr>
      <w:r w:rsidRPr="00CD15CD">
        <w:rPr>
          <w:spacing w:val="-4"/>
          <w:lang w:val="sq-AL"/>
        </w:rPr>
        <w:t>VENDOSI:</w:t>
      </w:r>
    </w:p>
    <w:p w:rsidR="00602C13" w:rsidRPr="00CD15CD" w:rsidRDefault="00602C13" w:rsidP="00602C13">
      <w:pPr>
        <w:pStyle w:val="Hapesira7"/>
        <w:rPr>
          <w:lang w:val="sq-AL"/>
        </w:rPr>
      </w:pPr>
    </w:p>
    <w:p w:rsidR="00602C13" w:rsidRPr="00CD15CD" w:rsidRDefault="00602C13" w:rsidP="00602C13">
      <w:pPr>
        <w:pStyle w:val="Paragrafi"/>
        <w:rPr>
          <w:spacing w:val="-4"/>
          <w:lang w:val="sq-AL"/>
        </w:rPr>
      </w:pPr>
      <w:r w:rsidRPr="00CD15CD">
        <w:rPr>
          <w:spacing w:val="-4"/>
          <w:lang w:val="sq-AL"/>
        </w:rPr>
        <w:t>Në vendimin nr.953, datë 29.12.2014, të Këshillit të Ministrave, të ndryshuar, bëhen shtesat dhe ndryshimet e mëposhtme:</w:t>
      </w:r>
    </w:p>
    <w:p w:rsidR="00602C13" w:rsidRPr="00CD15CD" w:rsidRDefault="00602C13" w:rsidP="00602C13">
      <w:pPr>
        <w:pStyle w:val="Paragrafi"/>
        <w:rPr>
          <w:spacing w:val="-4"/>
          <w:lang w:val="sq-AL"/>
        </w:rPr>
      </w:pPr>
      <w:r w:rsidRPr="00CD15CD">
        <w:rPr>
          <w:spacing w:val="-4"/>
          <w:lang w:val="sq-AL"/>
        </w:rPr>
        <w:t xml:space="preserve">1. Pas nenit 5 shtohet neni 5/1, me këtë përmbajtje: </w:t>
      </w:r>
    </w:p>
    <w:p w:rsidR="00602C13" w:rsidRPr="00CD15CD" w:rsidRDefault="00602C13" w:rsidP="00602C13">
      <w:pPr>
        <w:pStyle w:val="Hapesira7"/>
        <w:rPr>
          <w:lang w:val="sq-AL"/>
        </w:rPr>
      </w:pPr>
    </w:p>
    <w:p w:rsidR="00602C13" w:rsidRPr="00CD15CD" w:rsidRDefault="00602C13" w:rsidP="00602C13">
      <w:pPr>
        <w:pStyle w:val="NeniNr"/>
        <w:rPr>
          <w:spacing w:val="-4"/>
          <w:lang w:val="sq-AL"/>
        </w:rPr>
      </w:pPr>
      <w:r w:rsidRPr="00CD15CD">
        <w:rPr>
          <w:spacing w:val="-4"/>
          <w:lang w:val="sq-AL"/>
        </w:rPr>
        <w:t>“Neni 5/1</w:t>
      </w:r>
    </w:p>
    <w:p w:rsidR="00602C13" w:rsidRPr="00CD15CD" w:rsidRDefault="00602C13" w:rsidP="00602C13">
      <w:pPr>
        <w:pStyle w:val="NeniTitull"/>
        <w:rPr>
          <w:spacing w:val="-4"/>
          <w:lang w:val="sq-AL"/>
        </w:rPr>
      </w:pPr>
      <w:r w:rsidRPr="00CD15CD">
        <w:rPr>
          <w:spacing w:val="-4"/>
          <w:lang w:val="sq-AL"/>
        </w:rPr>
        <w:t xml:space="preserve">E drejta për të zgjedhur aplikimin e TVSH-së për furnizimin e ndërtesës ose i pjesëve </w:t>
      </w:r>
    </w:p>
    <w:p w:rsidR="00602C13" w:rsidRPr="00CD15CD" w:rsidRDefault="00602C13" w:rsidP="00602C13">
      <w:pPr>
        <w:pStyle w:val="NeniTitull"/>
        <w:rPr>
          <w:spacing w:val="-4"/>
          <w:lang w:val="sq-AL"/>
        </w:rPr>
      </w:pPr>
      <w:r w:rsidRPr="00CD15CD">
        <w:rPr>
          <w:spacing w:val="-4"/>
          <w:lang w:val="sq-AL"/>
        </w:rPr>
        <w:t>të një ndërtese</w:t>
      </w:r>
    </w:p>
    <w:p w:rsidR="00602C13" w:rsidRPr="00CD15CD" w:rsidRDefault="00602C13" w:rsidP="00602C13">
      <w:pPr>
        <w:pStyle w:val="Hapesira7"/>
        <w:rPr>
          <w:lang w:val="sq-AL"/>
        </w:rPr>
      </w:pPr>
    </w:p>
    <w:p w:rsidR="00602C13" w:rsidRPr="00CD15CD" w:rsidRDefault="00602C13" w:rsidP="00602C13">
      <w:pPr>
        <w:pStyle w:val="Paragrafi"/>
        <w:rPr>
          <w:spacing w:val="-4"/>
          <w:lang w:val="sq-AL"/>
        </w:rPr>
      </w:pPr>
      <w:r w:rsidRPr="00CD15CD">
        <w:rPr>
          <w:spacing w:val="-4"/>
          <w:lang w:val="sq-AL"/>
        </w:rPr>
        <w:t>1. Në zbatim të pikës 2, të nenit 55, të ligjit, personat e tatueshëm mund të ushtrojnë të drejtën të zgjedhin të aplikojnë dhe të paguajnë TVSH-në për furnizimin e ndërtesës ose pjesëve të një ndërtese, duke e trajtuar furnizimin jo si të përjashtuar, por si furnizim të tatueshëm me shkallën standarde të TVSH-së prej 20%.</w:t>
      </w:r>
    </w:p>
    <w:p w:rsidR="00602C13" w:rsidRPr="00CD15CD" w:rsidRDefault="00602C13" w:rsidP="00602C13">
      <w:pPr>
        <w:pStyle w:val="Paragrafi"/>
        <w:rPr>
          <w:spacing w:val="-4"/>
          <w:lang w:val="sq-AL"/>
        </w:rPr>
      </w:pPr>
      <w:r w:rsidRPr="00CD15CD">
        <w:rPr>
          <w:spacing w:val="-4"/>
          <w:lang w:val="sq-AL"/>
        </w:rPr>
        <w:t>2.</w:t>
      </w:r>
      <w:r w:rsidRPr="00CD15CD">
        <w:rPr>
          <w:spacing w:val="-4"/>
          <w:lang w:val="sq-AL"/>
        </w:rPr>
        <w:tab/>
        <w:t>Kjo e drejtë është e kufizuar dhe nuk mund të ushtrohet prej personave të tatueshëm që furnizojnë apartamente, ndërtesa apo ambiente për banim ose kur blerësi është një individ.</w:t>
      </w:r>
    </w:p>
    <w:p w:rsidR="00602C13" w:rsidRPr="00CD15CD" w:rsidRDefault="00602C13" w:rsidP="00602C13">
      <w:pPr>
        <w:pStyle w:val="Paragrafi"/>
        <w:rPr>
          <w:spacing w:val="-4"/>
          <w:lang w:val="sq-AL"/>
        </w:rPr>
      </w:pPr>
      <w:r w:rsidRPr="00CD15CD">
        <w:rPr>
          <w:spacing w:val="-4"/>
          <w:lang w:val="sq-AL"/>
        </w:rPr>
        <w:t xml:space="preserve">Për qëllime të zbatimit të kësaj dispozite, me “apartamente, ndërtesa ose pjesë të saj apo ambiente për banim” kuptohen ato objekte të cilat furnizohen për qëllime banimi dhe blerësi është një person i tatueshëm, individ. </w:t>
      </w:r>
    </w:p>
    <w:p w:rsidR="00602C13" w:rsidRPr="00CD15CD" w:rsidRDefault="00602C13" w:rsidP="00602C13">
      <w:pPr>
        <w:pStyle w:val="Paragrafi"/>
        <w:rPr>
          <w:spacing w:val="-4"/>
          <w:lang w:val="sq-AL"/>
        </w:rPr>
      </w:pPr>
      <w:r w:rsidRPr="00CD15CD">
        <w:rPr>
          <w:spacing w:val="-4"/>
          <w:lang w:val="sq-AL"/>
        </w:rPr>
        <w:t xml:space="preserve">E drejta e zgjedhjes ushtrohet për ndërtesat ose pjesë të ndërtesës, të cilat furnizohen (shiten) për qëllim përdorimi për veprimtarinë ekonomike të blerësit, subjekt i regjistruar, ose për qëllime rishitjeje prej tij, por jo për banim. </w:t>
      </w:r>
    </w:p>
    <w:p w:rsidR="00602C13" w:rsidRPr="00CD15CD" w:rsidRDefault="00602C13" w:rsidP="00602C13">
      <w:pPr>
        <w:pStyle w:val="Paragrafi"/>
        <w:rPr>
          <w:spacing w:val="-4"/>
          <w:lang w:val="sq-AL"/>
        </w:rPr>
      </w:pPr>
      <w:r w:rsidRPr="00CD15CD">
        <w:rPr>
          <w:spacing w:val="-4"/>
          <w:lang w:val="sq-AL"/>
        </w:rPr>
        <w:t>3. Kur personi i tatueshëm ushtron të drejtën e zgjedhjes sipas pikës 1, të këtij neni, ai duhet të aplikojë zgjedhjen për çdo rast, përveç nëse blerësi është një person juridik i patatueshem ose një person i tatueshëm që kryen veprimtari të përjashtuar nga TVSH-ja sipas ligjit. Në këtë rast, është kusht që në kontratën e furnizimit të ndërtesës të shkruhet e shprehur qartë zgjedhja e dëshiruar nga furnizuesi dhe pranimi i saj nga blerësi.</w:t>
      </w:r>
    </w:p>
    <w:p w:rsidR="00602C13" w:rsidRPr="00CD15CD" w:rsidRDefault="00602C13" w:rsidP="00602C13">
      <w:pPr>
        <w:pStyle w:val="Paragrafi"/>
        <w:rPr>
          <w:spacing w:val="-4"/>
          <w:lang w:val="sq-AL"/>
        </w:rPr>
      </w:pPr>
      <w:r w:rsidRPr="00CD15CD">
        <w:rPr>
          <w:spacing w:val="-4"/>
          <w:lang w:val="sq-AL"/>
        </w:rPr>
        <w:t>4.</w:t>
      </w:r>
      <w:r w:rsidRPr="00CD15CD">
        <w:rPr>
          <w:spacing w:val="-4"/>
          <w:lang w:val="sq-AL"/>
        </w:rPr>
        <w:tab/>
        <w:t>Në rastin kur e drejta e zgjedhjes ushtrohet që në fazën e ndërtimit të një ndërtese, duke plotësuar kriteret e përcaktuara në këtë vendim, ushtrimi paraprak i së drejtës së zgjedhjes detyron furnizuesin e ndërtesës që në deklaratën për zgjedhjen të përcaktojë, të identifikojë qartë ndërtesën (ambientet) /ndërtesat me destinacion përdorimi ose shitjeje për qëllime biznesi dhe ndërtesat për t’u përdorur për qëllime banimi.</w:t>
      </w:r>
    </w:p>
    <w:p w:rsidR="00602C13" w:rsidRPr="00CD15CD" w:rsidRDefault="00602C13" w:rsidP="00602C13">
      <w:pPr>
        <w:pStyle w:val="Paragrafi"/>
        <w:rPr>
          <w:spacing w:val="-4"/>
          <w:lang w:val="sq-AL"/>
        </w:rPr>
      </w:pPr>
      <w:r w:rsidRPr="00CD15CD">
        <w:rPr>
          <w:spacing w:val="-4"/>
          <w:lang w:val="sq-AL"/>
        </w:rPr>
        <w:t>5. Në rastin kur blerësi, një person juridik i patatueshëm ose i përjashtuar nuk e pranon zgjedhjen, atëherë e drejta e zgjedhjes për të aplikuar TVSH-në e humb fuqinë e saj dhe nuk mund të ushtrohet për ambientet përkatëse.</w:t>
      </w:r>
    </w:p>
    <w:p w:rsidR="00602C13" w:rsidRPr="00CD15CD" w:rsidRDefault="00602C13" w:rsidP="00602C13">
      <w:pPr>
        <w:pStyle w:val="Paragrafi"/>
        <w:rPr>
          <w:spacing w:val="-4"/>
          <w:lang w:val="sq-AL"/>
        </w:rPr>
      </w:pPr>
      <w:r w:rsidRPr="00CD15CD">
        <w:rPr>
          <w:spacing w:val="-4"/>
          <w:lang w:val="sq-AL"/>
        </w:rPr>
        <w:t>6. Në rastin kur autoriteti tatimor konstaton një situatë abuzimi ose mashtrimi, atëherë kjo përbën arsye për të rrëzuar zgjedhjen e aplikuar prej furnizuesit të ndërtesës.</w:t>
      </w:r>
    </w:p>
    <w:p w:rsidR="00602C13" w:rsidRPr="00CD15CD" w:rsidRDefault="00602C13" w:rsidP="00602C13">
      <w:pPr>
        <w:pStyle w:val="Paragrafi"/>
        <w:rPr>
          <w:spacing w:val="-4"/>
          <w:lang w:val="sq-AL"/>
        </w:rPr>
      </w:pPr>
      <w:r w:rsidRPr="00CD15CD">
        <w:rPr>
          <w:spacing w:val="-4"/>
          <w:lang w:val="sq-AL"/>
        </w:rPr>
        <w:t>7.</w:t>
      </w:r>
      <w:r w:rsidRPr="00CD15CD">
        <w:rPr>
          <w:spacing w:val="-4"/>
          <w:lang w:val="sq-AL"/>
        </w:rPr>
        <w:tab/>
        <w:t>Personat e tatueshëm, që ushtrojnë të drejtën e zgjedhjes për furnizimin e ndërtesës sipas këtij neni, duhet ta ushtrojnë atë në përputhje me këto kritere, si dhe modalitetet e rregullat e përcaktuara në nenet 6/1 dhe 7/1, të këtij vendimi.</w:t>
      </w:r>
    </w:p>
    <w:p w:rsidR="00602C13" w:rsidRPr="00CD15CD" w:rsidRDefault="00602C13" w:rsidP="00602C13">
      <w:pPr>
        <w:pStyle w:val="Paragrafi"/>
        <w:rPr>
          <w:spacing w:val="-4"/>
          <w:highlight w:val="yellow"/>
          <w:lang w:val="sq-AL"/>
        </w:rPr>
      </w:pPr>
      <w:r w:rsidRPr="00CD15CD">
        <w:rPr>
          <w:spacing w:val="-4"/>
          <w:lang w:val="sq-AL"/>
        </w:rPr>
        <w:t>8. Për qëllime të zbatimit të së drejtës së zgjedhjes sipas neneve 5/1, 6/1 e 7/1, kjo e drejtë ushtrohet për furnizimin e ndërtesës ose pjesë të ndërtesës, momenti i furnizimit të së cilës është pas hyrjes në fuqi të këtij vendimi.”.</w:t>
      </w:r>
    </w:p>
    <w:p w:rsidR="00602C13" w:rsidRPr="00CD15CD" w:rsidRDefault="00602C13" w:rsidP="00602C13">
      <w:pPr>
        <w:pStyle w:val="Paragrafi"/>
        <w:rPr>
          <w:spacing w:val="-4"/>
          <w:lang w:val="sq-AL"/>
        </w:rPr>
      </w:pPr>
      <w:r w:rsidRPr="00CD15CD">
        <w:rPr>
          <w:spacing w:val="-4"/>
          <w:lang w:val="sq-AL"/>
        </w:rPr>
        <w:t>2. Pas nenit 6 shtohet neni 6/1, me këtë përmbajtje:</w:t>
      </w:r>
    </w:p>
    <w:p w:rsidR="00602C13" w:rsidRPr="00CD15CD" w:rsidRDefault="00602C13" w:rsidP="00602C13">
      <w:pPr>
        <w:pStyle w:val="Hapesira7"/>
        <w:rPr>
          <w:lang w:val="sq-AL"/>
        </w:rPr>
      </w:pPr>
    </w:p>
    <w:p w:rsidR="00602C13" w:rsidRPr="00CD15CD" w:rsidRDefault="00602C13" w:rsidP="00602C13">
      <w:pPr>
        <w:pStyle w:val="NeniNr"/>
        <w:rPr>
          <w:spacing w:val="-4"/>
          <w:lang w:val="sq-AL"/>
        </w:rPr>
      </w:pPr>
      <w:r w:rsidRPr="00CD15CD">
        <w:rPr>
          <w:spacing w:val="-4"/>
          <w:lang w:val="sq-AL"/>
        </w:rPr>
        <w:t>“Neni 6/1</w:t>
      </w:r>
    </w:p>
    <w:p w:rsidR="00602C13" w:rsidRPr="00CD15CD" w:rsidRDefault="00602C13" w:rsidP="00602C13">
      <w:pPr>
        <w:pStyle w:val="NeniTitull"/>
        <w:rPr>
          <w:spacing w:val="-4"/>
          <w:lang w:val="sq-AL"/>
        </w:rPr>
      </w:pPr>
      <w:r w:rsidRPr="00CD15CD">
        <w:rPr>
          <w:spacing w:val="-4"/>
          <w:lang w:val="sq-AL"/>
        </w:rPr>
        <w:t>Modalitetet dhe rregullat e ushtrimit të së drejtës për të zgjedhur aplikimin e TVSH-së për furnizimin e ndërtesës</w:t>
      </w:r>
    </w:p>
    <w:p w:rsidR="00602C13" w:rsidRPr="00CD15CD" w:rsidRDefault="00602C13" w:rsidP="00602C13">
      <w:pPr>
        <w:pStyle w:val="Hapesira7"/>
        <w:rPr>
          <w:lang w:val="sq-AL"/>
        </w:rPr>
      </w:pPr>
    </w:p>
    <w:p w:rsidR="00602C13" w:rsidRPr="00CD15CD" w:rsidRDefault="00602C13" w:rsidP="00602C13">
      <w:pPr>
        <w:pStyle w:val="Paragrafi"/>
        <w:rPr>
          <w:spacing w:val="-4"/>
          <w:lang w:val="sq-AL"/>
        </w:rPr>
      </w:pPr>
      <w:r w:rsidRPr="00CD15CD">
        <w:rPr>
          <w:spacing w:val="-4"/>
          <w:lang w:val="sq-AL"/>
        </w:rPr>
        <w:lastRenderedPageBreak/>
        <w:t>1.</w:t>
      </w:r>
      <w:r w:rsidRPr="00CD15CD">
        <w:rPr>
          <w:spacing w:val="-4"/>
          <w:lang w:val="sq-AL"/>
        </w:rPr>
        <w:tab/>
        <w:t>Personi i tatueshëm ushtron këtë të drejtë duke paraqitur pranë Drejtorisë Rajonale Tatimore një deklaratë me shkrim, ku deklaron se furnizimi i ndërtesës do të trajtohet si furnizim i tatueshëm me TVSH 20%. Kjo deklaratë, e cila formalizon qëllimin e personit të tatueshëm për të aplikuar regjimin normal të TVSH-së për furnizimin e ndërtesës, përmban të dhënat për çdo ndërtesë/ambient, të dhënat identifikuese të personit të tatueshëm blerës (emri, NIPT-i adresa etj.) si dhe të dhënat mbi lejen e ndërtimit dhe qëllimin e përdorimit të ndërtesës.</w:t>
      </w:r>
    </w:p>
    <w:p w:rsidR="00602C13" w:rsidRPr="00CD15CD" w:rsidRDefault="00602C13" w:rsidP="00602C13">
      <w:pPr>
        <w:pStyle w:val="Paragrafi"/>
        <w:rPr>
          <w:spacing w:val="-4"/>
          <w:lang w:val="sq-AL"/>
        </w:rPr>
      </w:pPr>
      <w:r w:rsidRPr="00CD15CD">
        <w:rPr>
          <w:spacing w:val="-4"/>
          <w:lang w:val="sq-AL"/>
        </w:rPr>
        <w:t>2. Për qëllime të së drejtës së zgjedhjes është kriter domosdoshmëria e një kontrate noteriale midis furnizuesit dhe blerësit, në të cilën duhet të jetë shprehur qartë se palët bien dakord se furnizimin e ndërtesës do ta trajtojnë si furnizim të tatueshëm me TVSH. Furnizuesi duhet të disponojë në çdo rast kontratën përkatëse të furnizimit, të cilën e vë në dispozicion të autoriteteve tatimore, kur i kërkohet. Mungesa e kontratës së furnizimit nuk i jep të drejtën e trajtimit të shitjes së ndërtesës si furnizim i tatueshëm. Gjithashtu, në këtë kontratë midis palëve duhet të jenë shprehur qartë lloji, natyra, qëllimi i përdorimit si dhe të dhënat identifikuese të blerësit (emri, NIPT-i, adresa etj.).</w:t>
      </w:r>
    </w:p>
    <w:p w:rsidR="00602C13" w:rsidRPr="00CD15CD" w:rsidRDefault="00602C13" w:rsidP="00602C13">
      <w:pPr>
        <w:pStyle w:val="Paragrafi"/>
        <w:rPr>
          <w:spacing w:val="-4"/>
          <w:lang w:val="sq-AL"/>
        </w:rPr>
      </w:pPr>
      <w:r w:rsidRPr="00CD15CD">
        <w:rPr>
          <w:spacing w:val="-4"/>
          <w:lang w:val="sq-AL"/>
        </w:rPr>
        <w:t>Në rastin kur ndërtesa përdoret për qëllime të veprimtarisë ekonomike nga vetë personi i tatueshëm ndërtues ose nga investitori, në mungesë të kontratës së furnizimit, përveç kontratës së ndërtimit midis ndërtuesit dhe investitorit dhe lejes përkatëse të ndërtimit, personi i tatuesh</w:t>
      </w:r>
      <w:r>
        <w:rPr>
          <w:spacing w:val="-4"/>
          <w:lang w:val="sq-AL"/>
        </w:rPr>
        <w:t>ë</w:t>
      </w:r>
      <w:r w:rsidRPr="00CD15CD">
        <w:rPr>
          <w:spacing w:val="-4"/>
          <w:lang w:val="sq-AL"/>
        </w:rPr>
        <w:t xml:space="preserve">m që aplikon të drejtën e zgjedhjes, paraqet një deklaratë noteriale për qëllimin e përdorimit të ndërtesës.    </w:t>
      </w:r>
    </w:p>
    <w:p w:rsidR="00602C13" w:rsidRPr="00CD15CD" w:rsidRDefault="00602C13" w:rsidP="00602C13">
      <w:pPr>
        <w:pStyle w:val="Paragrafi"/>
        <w:rPr>
          <w:spacing w:val="-4"/>
          <w:lang w:val="sq-AL"/>
        </w:rPr>
      </w:pPr>
      <w:r w:rsidRPr="00CD15CD">
        <w:rPr>
          <w:spacing w:val="-4"/>
          <w:lang w:val="sq-AL"/>
        </w:rPr>
        <w:t>3.</w:t>
      </w:r>
      <w:r w:rsidRPr="00CD15CD">
        <w:rPr>
          <w:spacing w:val="-4"/>
          <w:lang w:val="sq-AL"/>
        </w:rPr>
        <w:tab/>
        <w:t xml:space="preserve">Në rast se personi i tatueshëm ia furnizon (shet) ndërtesën personave të tatueshëm, të cilët ushtrojnë veprimtari të përjashtuar nga TVSH-ja, furnizimi i ndërtesës trajtohet me TVSH, vetëm në rast se në kontratën e furnizimit, personi i tatueshëm blerës është njohur me këtë fakt dhe ka pranuar të paguajë TVSH-në. Në këtë rast, furnizuesi disponon dhe paraqet edhe kontratën përkatëse. Mungesa e kontratës nuk i jep të drejtën e trajtimit të furnizimit si të tatueshëm. </w:t>
      </w:r>
    </w:p>
    <w:p w:rsidR="00602C13" w:rsidRPr="00CD15CD" w:rsidRDefault="00602C13" w:rsidP="00602C13">
      <w:pPr>
        <w:pStyle w:val="Paragrafi"/>
        <w:rPr>
          <w:spacing w:val="-4"/>
          <w:lang w:val="sq-AL"/>
        </w:rPr>
      </w:pPr>
      <w:r w:rsidRPr="00CD15CD">
        <w:rPr>
          <w:spacing w:val="-4"/>
          <w:lang w:val="sq-AL"/>
        </w:rPr>
        <w:t xml:space="preserve">4. Në ndërtesat ose grupet e ndërtesave, ku përfshihen ndërtesa (ambiente) për të cilat furnizuesi  zgjedh opsionin për t’i trajtuar si të tatueshme, por edhe ndërtesa (ambiente) të tjera për banim, e drejta e zgjedhjes nuk shtrihet te ndërtesat për banim, por zbatohet për të gjitha ndërtesat e tjera sipas kushteve të përcaktuara në këtë nen. Lloji i ndërtesës, natyra e saj dhe qëllimi i përdorimit përcaktohen gjithashtu në lejen e ndërtimit apo miratimet e mëvonshme të marra për zbatimin e lejes. Në rastet kur nuk është e mundur të identifikohet nëse ndërtesa është shitur për qëllime banimi ose jo, atëherë leja e ndërtimit shërben si dokument justifikues dhe vërtetues për të gjykuar mbi aplikimin e opsionit. </w:t>
      </w:r>
    </w:p>
    <w:p w:rsidR="00602C13" w:rsidRPr="00CD15CD" w:rsidRDefault="00602C13" w:rsidP="00602C13">
      <w:pPr>
        <w:pStyle w:val="Paragrafi"/>
        <w:rPr>
          <w:spacing w:val="-4"/>
          <w:lang w:val="sq-AL"/>
        </w:rPr>
      </w:pPr>
      <w:r w:rsidRPr="00CD15CD">
        <w:rPr>
          <w:spacing w:val="-4"/>
          <w:lang w:val="sq-AL"/>
        </w:rPr>
        <w:t>5. Zgjedhja nis ditën e parë të muajit në të cilin ajo formalizohet. Pas fillimit të ushtrimit, zgjedhja zbatohet për aq kohë sa nuk ka qenë objekt ndërprerjeje.”.</w:t>
      </w:r>
    </w:p>
    <w:p w:rsidR="00602C13" w:rsidRPr="00CD15CD" w:rsidRDefault="00602C13" w:rsidP="00602C13">
      <w:pPr>
        <w:pStyle w:val="Paragrafi"/>
        <w:rPr>
          <w:spacing w:val="-4"/>
          <w:lang w:val="sq-AL"/>
        </w:rPr>
      </w:pPr>
      <w:r>
        <w:rPr>
          <w:spacing w:val="-4"/>
          <w:lang w:val="sq-AL"/>
        </w:rPr>
        <w:t>3.</w:t>
      </w:r>
      <w:r w:rsidRPr="00CD15CD">
        <w:rPr>
          <w:spacing w:val="-4"/>
          <w:lang w:val="sq-AL"/>
        </w:rPr>
        <w:t xml:space="preserve">Pas nenit  7 shtohet neni 7/1, me këtë përmbajtje: </w:t>
      </w:r>
    </w:p>
    <w:p w:rsidR="00602C13" w:rsidRPr="00CD15CD" w:rsidRDefault="00602C13" w:rsidP="00602C13">
      <w:pPr>
        <w:pStyle w:val="Paragrafi"/>
        <w:rPr>
          <w:spacing w:val="-4"/>
          <w:lang w:val="sq-AL"/>
        </w:rPr>
      </w:pPr>
    </w:p>
    <w:p w:rsidR="00602C13" w:rsidRPr="00CD15CD" w:rsidRDefault="00602C13" w:rsidP="00602C13">
      <w:pPr>
        <w:pStyle w:val="NeniNr"/>
        <w:rPr>
          <w:spacing w:val="-4"/>
          <w:lang w:val="sq-AL"/>
        </w:rPr>
      </w:pPr>
      <w:r w:rsidRPr="00CD15CD">
        <w:rPr>
          <w:spacing w:val="-4"/>
          <w:lang w:val="sq-AL"/>
        </w:rPr>
        <w:t>“Neni 7/1</w:t>
      </w:r>
    </w:p>
    <w:p w:rsidR="00602C13" w:rsidRPr="00CD15CD" w:rsidRDefault="00602C13" w:rsidP="00602C13">
      <w:pPr>
        <w:pStyle w:val="NeniTitull"/>
        <w:rPr>
          <w:spacing w:val="-4"/>
          <w:lang w:val="sq-AL"/>
        </w:rPr>
      </w:pPr>
      <w:r w:rsidRPr="00CD15CD">
        <w:rPr>
          <w:spacing w:val="-4"/>
          <w:lang w:val="sq-AL"/>
        </w:rPr>
        <w:t>E drejta e zbritjes kur ushtrohet zgjedhja për furnizimin e ndërtesave</w:t>
      </w:r>
    </w:p>
    <w:p w:rsidR="00602C13" w:rsidRPr="00CD15CD" w:rsidRDefault="00602C13" w:rsidP="00602C13">
      <w:pPr>
        <w:pStyle w:val="Hapesira7"/>
        <w:rPr>
          <w:lang w:val="sq-AL"/>
        </w:rPr>
      </w:pPr>
    </w:p>
    <w:p w:rsidR="00602C13" w:rsidRPr="00CD15CD" w:rsidRDefault="00602C13" w:rsidP="00602C13">
      <w:pPr>
        <w:pStyle w:val="Paragrafi"/>
        <w:rPr>
          <w:spacing w:val="-4"/>
          <w:lang w:val="sq-AL"/>
        </w:rPr>
      </w:pPr>
      <w:r w:rsidRPr="00CD15CD">
        <w:rPr>
          <w:spacing w:val="-4"/>
          <w:lang w:val="sq-AL"/>
        </w:rPr>
        <w:t>1. E drejta e zbritjes ushtrohet në përputhje me dispozitat dhe përcaktimet në ligjin “Për tatimin mbi vlerën e shtuar”.</w:t>
      </w:r>
    </w:p>
    <w:p w:rsidR="00602C13" w:rsidRPr="00CD15CD" w:rsidRDefault="00602C13" w:rsidP="00602C13">
      <w:pPr>
        <w:pStyle w:val="Paragrafi"/>
        <w:rPr>
          <w:spacing w:val="-4"/>
          <w:lang w:val="sq-AL"/>
        </w:rPr>
      </w:pPr>
      <w:r w:rsidRPr="00CD15CD">
        <w:rPr>
          <w:spacing w:val="-4"/>
          <w:lang w:val="sq-AL"/>
        </w:rPr>
        <w:t>2. Në lidhje me të drejtën e zbritjes së TVSH-së, për çdo ndërtesë ose grup ndërtesash që janë përfshirë për t’u trajtuar si të tatueshme ose për çdo ndërtesë ose grup - ndërtesash të cilat i furnizon si të përjashtuara nga TVSH-ja, furnizuesi duhet të evidentojë veçmas zbritjet e TVSH-së për secilën nga ndërtesat ose grup - ndërtesat.</w:t>
      </w:r>
    </w:p>
    <w:p w:rsidR="00602C13" w:rsidRPr="00CD15CD" w:rsidRDefault="00602C13" w:rsidP="00602C13">
      <w:pPr>
        <w:pStyle w:val="Paragrafi"/>
        <w:rPr>
          <w:spacing w:val="-4"/>
          <w:lang w:val="sq-AL"/>
        </w:rPr>
      </w:pPr>
      <w:r w:rsidRPr="00CD15CD">
        <w:rPr>
          <w:spacing w:val="-4"/>
          <w:lang w:val="sq-AL"/>
        </w:rPr>
        <w:t>3. Gjithashtu, personi i tatueshëm i cili, përveç veprimtarisë së shitjes së ndërtesave ushtron edhe veprimtari të tjera të tatueshme me TVSH ose jo, në lidhje me të drejtën e zbritjes së TVSH-së duhet të evidentojë veçmas blerjet për secilën kategori të veprimtarisë.</w:t>
      </w:r>
    </w:p>
    <w:p w:rsidR="00602C13" w:rsidRPr="00CD15CD" w:rsidRDefault="00602C13" w:rsidP="00602C13">
      <w:pPr>
        <w:pStyle w:val="Paragrafi"/>
        <w:rPr>
          <w:spacing w:val="-4"/>
          <w:lang w:val="sq-AL"/>
        </w:rPr>
      </w:pPr>
      <w:r w:rsidRPr="00CD15CD">
        <w:rPr>
          <w:spacing w:val="-4"/>
          <w:lang w:val="sq-AL"/>
        </w:rPr>
        <w:t>4. Në rastin kur ndërtesa ose grupi i ndërtesave, për të cilën është kërkuar zgjedhja, përfshin ndërtesa (ambiente) për të cilat është ushtruar e drejta e zgjedhjes për t’i trajtuar të tatueshme me TVSH, si dhe ndërtesa (ambiente) për të cilat nuk ushtrohet ose nuk është e lejuar të ushtrohet e drejta e zgjedhjes si ambientet për banim ose ambiente për nevojat e veprimtarisë së blerësve të patatueshëm ose të përjashtuar nga TVSH-ja, të cilët në kontratën e qirasë nuk kanë formuluar shprehimisht të drejtën e zgjedhjes, TVSH-ja zbritet vetëm për tërësinë e ambienteve të përfshira realisht nga e drejta e zgjedhjes së TVSH-së.</w:t>
      </w:r>
    </w:p>
    <w:p w:rsidR="00602C13" w:rsidRPr="00CD15CD" w:rsidRDefault="00602C13" w:rsidP="00602C13">
      <w:pPr>
        <w:pStyle w:val="Paragrafi"/>
        <w:rPr>
          <w:spacing w:val="-4"/>
          <w:lang w:val="sq-AL"/>
        </w:rPr>
      </w:pPr>
      <w:r w:rsidRPr="00CD15CD">
        <w:rPr>
          <w:spacing w:val="-4"/>
          <w:lang w:val="sq-AL"/>
        </w:rPr>
        <w:t xml:space="preserve">5. Nëse furnizuesi i ndërtesës ndodhet në një situatë sipas së cilës e drejta e zgjedhjes, pavarësisht nga vullneti i tij, nuk mund të ushtrohet, ose nëse veprimtaria e tij ndërpritet, ose për shkak të pushimit të efekteve të zgjedhjes ose heqjes dorë prej saj, apo çdo arsye tjetër,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w:t>
      </w:r>
      <w:r w:rsidRPr="00CD15CD">
        <w:rPr>
          <w:spacing w:val="-4"/>
          <w:lang w:val="sq-AL"/>
        </w:rPr>
        <w:lastRenderedPageBreak/>
        <w:t>ka përfunduar ndërtesa.</w:t>
      </w:r>
    </w:p>
    <w:p w:rsidR="00602C13" w:rsidRPr="00CD15CD" w:rsidRDefault="00602C13" w:rsidP="00602C13">
      <w:pPr>
        <w:pStyle w:val="Paragrafi"/>
        <w:rPr>
          <w:spacing w:val="-4"/>
          <w:lang w:val="sq-AL"/>
        </w:rPr>
      </w:pPr>
      <w:r w:rsidRPr="00CD15CD">
        <w:rPr>
          <w:spacing w:val="-4"/>
          <w:lang w:val="sq-AL"/>
        </w:rPr>
        <w:t>6.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w:t>
      </w:r>
    </w:p>
    <w:p w:rsidR="00602C13" w:rsidRPr="00CD15CD" w:rsidRDefault="00602C13" w:rsidP="00602C13">
      <w:pPr>
        <w:pStyle w:val="Paragrafi"/>
        <w:rPr>
          <w:spacing w:val="-4"/>
          <w:lang w:val="sq-AL"/>
        </w:rPr>
      </w:pPr>
      <w:r w:rsidRPr="00CD15CD">
        <w:rPr>
          <w:spacing w:val="-4"/>
          <w:lang w:val="sq-AL"/>
        </w:rPr>
        <w:t xml:space="preserve">4. Në nenin 8 bëhen ndryshimet e mëposhtme: </w:t>
      </w:r>
    </w:p>
    <w:p w:rsidR="00602C13" w:rsidRPr="00CD15CD" w:rsidRDefault="00602C13" w:rsidP="00602C13">
      <w:pPr>
        <w:pStyle w:val="Paragrafi"/>
        <w:rPr>
          <w:spacing w:val="-4"/>
          <w:lang w:val="sq-AL"/>
        </w:rPr>
      </w:pPr>
      <w:r w:rsidRPr="00CD15CD">
        <w:rPr>
          <w:spacing w:val="-4"/>
          <w:lang w:val="sq-AL"/>
        </w:rPr>
        <w:t>a) Në fund të pikës 2, referenca “… sipas shkronjës “e”…” zëvendësohet me “…sipas shkronjës “d”…”.</w:t>
      </w:r>
    </w:p>
    <w:p w:rsidR="00602C13" w:rsidRPr="00CD15CD" w:rsidRDefault="00602C13" w:rsidP="00602C13">
      <w:pPr>
        <w:pStyle w:val="Paragrafi"/>
        <w:rPr>
          <w:spacing w:val="-4"/>
          <w:lang w:val="sq-AL"/>
        </w:rPr>
      </w:pPr>
      <w:r w:rsidRPr="00CD15CD">
        <w:rPr>
          <w:spacing w:val="-4"/>
          <w:lang w:val="sq-AL"/>
        </w:rPr>
        <w:t>b) Në fjalinë e parë të nënpikës 4.4, referenca “… në shkronjën “d” …” zëvendësohet me “… në shkronjën “ç” …”.</w:t>
      </w:r>
    </w:p>
    <w:p w:rsidR="00602C13" w:rsidRPr="00CD15CD" w:rsidRDefault="00602C13" w:rsidP="00602C13">
      <w:pPr>
        <w:pStyle w:val="Paragrafi"/>
        <w:rPr>
          <w:spacing w:val="-4"/>
          <w:lang w:val="sq-AL"/>
        </w:rPr>
      </w:pPr>
      <w:r w:rsidRPr="00CD15CD">
        <w:rPr>
          <w:spacing w:val="-4"/>
          <w:lang w:val="sq-AL"/>
        </w:rPr>
        <w:t>c) Në fjalinë e parë, të nënpikës 4.5, referenca “… në shkronjën “e” …” zëvendësohet me: “… në shkronjën “d” …”.</w:t>
      </w:r>
    </w:p>
    <w:p w:rsidR="00602C13" w:rsidRPr="00CD15CD" w:rsidRDefault="00602C13" w:rsidP="00602C13">
      <w:pPr>
        <w:pStyle w:val="Paragrafi"/>
        <w:rPr>
          <w:spacing w:val="-4"/>
          <w:lang w:val="sq-AL"/>
        </w:rPr>
      </w:pPr>
      <w:r w:rsidRPr="00CD15CD">
        <w:rPr>
          <w:spacing w:val="-4"/>
          <w:lang w:val="sq-AL"/>
        </w:rPr>
        <w:t xml:space="preserve">ç) </w:t>
      </w:r>
      <w:r w:rsidRPr="00CD15CD">
        <w:rPr>
          <w:spacing w:val="-4"/>
          <w:lang w:val="sq-AL"/>
        </w:rPr>
        <w:tab/>
        <w:t>Në paragrafin e dytë të nënpikës 4.5, shkronja “a”, fjala “asnjë” zëvendësohet me “një”.</w:t>
      </w:r>
    </w:p>
    <w:p w:rsidR="00602C13" w:rsidRPr="00CD15CD" w:rsidRDefault="00602C13" w:rsidP="00602C13">
      <w:pPr>
        <w:pStyle w:val="Paragrafi"/>
        <w:rPr>
          <w:spacing w:val="-4"/>
          <w:lang w:val="sq-AL"/>
        </w:rPr>
      </w:pPr>
      <w:r>
        <w:rPr>
          <w:spacing w:val="-4"/>
          <w:lang w:val="sq-AL"/>
        </w:rPr>
        <w:t>5.</w:t>
      </w:r>
      <w:r w:rsidRPr="00CD15CD">
        <w:rPr>
          <w:spacing w:val="-4"/>
          <w:lang w:val="sq-AL"/>
        </w:rPr>
        <w:t>Në aneksin 1, bashkëlidhur vendimit, shtohet aneksi 1.1, që i bashkëlidhet këtij vendimi.</w:t>
      </w:r>
    </w:p>
    <w:p w:rsidR="00602C13" w:rsidRPr="00CD15CD" w:rsidRDefault="00602C13" w:rsidP="00602C13">
      <w:pPr>
        <w:pStyle w:val="Paragrafi"/>
        <w:rPr>
          <w:spacing w:val="-4"/>
          <w:lang w:val="sq-AL"/>
        </w:rPr>
      </w:pPr>
      <w:r w:rsidRPr="00CD15CD">
        <w:rPr>
          <w:spacing w:val="-4"/>
          <w:lang w:val="sq-AL"/>
        </w:rPr>
        <w:t>Ky vendim hyn në fuqi pas botimit në Fletoren Zyrtare.</w:t>
      </w:r>
    </w:p>
    <w:p w:rsidR="00602C13" w:rsidRPr="00CD15CD" w:rsidRDefault="00602C13" w:rsidP="00602C13">
      <w:pPr>
        <w:pStyle w:val="Paragrafi"/>
        <w:jc w:val="right"/>
        <w:rPr>
          <w:spacing w:val="-4"/>
          <w:lang w:val="sq-AL"/>
        </w:rPr>
      </w:pPr>
      <w:r w:rsidRPr="00CD15CD">
        <w:rPr>
          <w:spacing w:val="-4"/>
          <w:lang w:val="sq-AL"/>
        </w:rPr>
        <w:t xml:space="preserve">      KRYEMINISTRI</w:t>
      </w:r>
    </w:p>
    <w:p w:rsidR="00602C13" w:rsidRPr="00CD15CD" w:rsidRDefault="00602C13" w:rsidP="00602C13">
      <w:pPr>
        <w:pStyle w:val="Paragrafi"/>
        <w:jc w:val="right"/>
        <w:rPr>
          <w:b/>
          <w:spacing w:val="-4"/>
          <w:lang w:val="sq-AL"/>
        </w:rPr>
      </w:pPr>
      <w:r w:rsidRPr="00CD15CD">
        <w:rPr>
          <w:b/>
          <w:spacing w:val="-4"/>
          <w:lang w:val="sq-AL"/>
        </w:rPr>
        <w:t>Edi Rama</w:t>
      </w:r>
    </w:p>
    <w:p w:rsidR="00602C13" w:rsidRPr="00CD15CD" w:rsidRDefault="00602C13" w:rsidP="00602C13">
      <w:pPr>
        <w:ind w:firstLine="0"/>
        <w:rPr>
          <w:lang w:val="sq-AL"/>
        </w:rPr>
        <w:sectPr w:rsidR="00602C13" w:rsidRPr="00CD15CD" w:rsidSect="00D27586">
          <w:pgSz w:w="11907" w:h="16840" w:code="9"/>
          <w:pgMar w:top="720" w:right="1134" w:bottom="720" w:left="1134" w:header="851" w:footer="851" w:gutter="0"/>
          <w:cols w:space="454"/>
          <w:docGrid w:linePitch="360"/>
        </w:sectPr>
      </w:pPr>
    </w:p>
    <w:bookmarkEnd w:id="0"/>
    <w:p w:rsidR="00D27586" w:rsidRDefault="00D27586" w:rsidP="00602C13">
      <w:pPr>
        <w:ind w:firstLine="0"/>
        <w:rPr>
          <w:lang w:val="sq-AL"/>
        </w:rPr>
        <w:sectPr w:rsidR="00D27586">
          <w:pgSz w:w="12240" w:h="15840"/>
          <w:pgMar w:top="1440" w:right="1440" w:bottom="1440" w:left="1440" w:header="720" w:footer="720" w:gutter="0"/>
          <w:cols w:space="720"/>
          <w:docGrid w:linePitch="360"/>
        </w:sect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ind w:firstLine="0"/>
        <w:rPr>
          <w:lang w:val="sq-AL"/>
        </w:rPr>
      </w:pPr>
    </w:p>
    <w:p w:rsidR="00602C13" w:rsidRPr="00CD15CD" w:rsidRDefault="00602C13" w:rsidP="00602C13">
      <w:pPr>
        <w:spacing w:after="0" w:line="240" w:lineRule="auto"/>
        <w:rPr>
          <w:rFonts w:ascii="Garamond" w:hAnsi="Garamond"/>
          <w:sz w:val="24"/>
          <w:szCs w:val="24"/>
          <w:lang w:val="sq-AL"/>
        </w:rPr>
      </w:pPr>
      <w:r w:rsidRPr="00CD15CD">
        <w:rPr>
          <w:rFonts w:ascii="Garamond" w:hAnsi="Garamond"/>
          <w:sz w:val="24"/>
          <w:szCs w:val="24"/>
          <w:lang w:val="sq-AL"/>
        </w:rPr>
        <w:t>ANEKSI 1.1.</w:t>
      </w:r>
    </w:p>
    <w:p w:rsidR="00602C13" w:rsidRPr="00CD15CD" w:rsidRDefault="00602C13" w:rsidP="00602C13">
      <w:pPr>
        <w:pStyle w:val="Hapesira7"/>
        <w:rPr>
          <w:lang w:val="sq-AL"/>
        </w:rPr>
      </w:pPr>
    </w:p>
    <w:p w:rsidR="00602C13" w:rsidRPr="00CD15CD" w:rsidRDefault="00602C13" w:rsidP="00602C13">
      <w:pPr>
        <w:spacing w:after="0" w:line="240" w:lineRule="auto"/>
        <w:rPr>
          <w:rFonts w:ascii="Garamond" w:hAnsi="Garamond"/>
          <w:sz w:val="24"/>
          <w:szCs w:val="24"/>
          <w:lang w:val="sq-AL"/>
        </w:rPr>
      </w:pPr>
      <w:r w:rsidRPr="00CD15CD">
        <w:rPr>
          <w:rFonts w:ascii="Garamond" w:hAnsi="Garamond"/>
          <w:sz w:val="24"/>
          <w:szCs w:val="24"/>
          <w:lang w:val="sq-AL"/>
        </w:rPr>
        <w:t xml:space="preserve">Përjashtimi nga TVSH-ja në import për kodet e listuara në aneksin 1.1 jepet vetëm në funksion të realizimit të kontratave të investimit me vlerë të barabartë ose më të madhe se 50 milionë (pesëdhjetë milionë) lekë,  të kryera në zbatim të shkronjës “a”, të pikës 1, të nenit 8, të këtij vendimi.” </w:t>
      </w:r>
    </w:p>
    <w:p w:rsidR="00602C13" w:rsidRPr="00CD15CD" w:rsidRDefault="00602C13" w:rsidP="00602C13">
      <w:pPr>
        <w:spacing w:after="0" w:line="240" w:lineRule="auto"/>
        <w:rPr>
          <w:rFonts w:ascii="Garamond" w:hAnsi="Garamond"/>
          <w:sz w:val="12"/>
          <w:szCs w:val="24"/>
          <w:lang w:val="sq-AL"/>
        </w:rPr>
      </w:pPr>
    </w:p>
    <w:tbl>
      <w:tblPr>
        <w:tblW w:w="9599" w:type="dxa"/>
        <w:jc w:val="center"/>
        <w:tblCellMar>
          <w:left w:w="0" w:type="dxa"/>
          <w:right w:w="0" w:type="dxa"/>
        </w:tblCellMar>
        <w:tblLook w:val="04A0" w:firstRow="1" w:lastRow="0" w:firstColumn="1" w:lastColumn="0" w:noHBand="0" w:noVBand="1"/>
      </w:tblPr>
      <w:tblGrid>
        <w:gridCol w:w="1481"/>
        <w:gridCol w:w="8118"/>
      </w:tblGrid>
      <w:tr w:rsidR="00602C13" w:rsidRPr="00CD15CD" w:rsidTr="00D62EAC">
        <w:trPr>
          <w:trHeight w:val="182"/>
          <w:jc w:val="center"/>
        </w:trPr>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85255000</w:t>
            </w:r>
          </w:p>
        </w:tc>
        <w:tc>
          <w:tcPr>
            <w:tcW w:w="8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Aparatet e transmetimit</w:t>
            </w:r>
          </w:p>
        </w:tc>
      </w:tr>
      <w:tr w:rsidR="00602C13" w:rsidRPr="00CD15CD" w:rsidTr="00D62EAC">
        <w:trPr>
          <w:trHeight w:val="229"/>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85291069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26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85291039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26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85439000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 Pjesët </w:t>
            </w:r>
            <w:r w:rsidRPr="00CD15CD">
              <w:rPr>
                <w:rFonts w:ascii="Garamond" w:hAnsi="Garamond"/>
                <w:sz w:val="20"/>
                <w:szCs w:val="20"/>
                <w:lang w:val="sq-AL"/>
              </w:rPr>
              <w:t> </w:t>
            </w:r>
          </w:p>
        </w:tc>
      </w:tr>
      <w:tr w:rsidR="00602C13" w:rsidRPr="00CD15CD" w:rsidTr="00D62EAC">
        <w:trPr>
          <w:trHeight w:val="11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85437090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85285920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Monokrom </w:t>
            </w:r>
          </w:p>
        </w:tc>
      </w:tr>
      <w:tr w:rsidR="00602C13" w:rsidRPr="00CD15CD" w:rsidTr="00D62EAC">
        <w:trPr>
          <w:trHeight w:val="20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85285931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Me ekran të lëngshëm kristal ( Teknologjia LCD )    </w:t>
            </w:r>
          </w:p>
        </w:tc>
      </w:tr>
      <w:tr w:rsidR="00602C13" w:rsidRPr="00CD15CD" w:rsidTr="00D62EAC">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85258019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1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85258099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85299092</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Për kamerat televizive të nënkreut 8525 80 11 dhe 8525 80 19 dhe aparaturat e kreut 8527 dhe 8528  </w:t>
            </w:r>
          </w:p>
        </w:tc>
      </w:tr>
      <w:tr w:rsidR="00602C13" w:rsidRPr="00CD15CD" w:rsidTr="00D62EAC">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90021100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Për kamera, projektorë, ose zmadhues apo zvogëlues fotografikë</w:t>
            </w:r>
          </w:p>
        </w:tc>
      </w:tr>
      <w:tr w:rsidR="00602C13" w:rsidRPr="00CD15CD" w:rsidTr="00D62EAC">
        <w:trPr>
          <w:trHeight w:val="2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90069100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 Për kamerat </w:t>
            </w:r>
            <w:r w:rsidRPr="00CD15CD">
              <w:rPr>
                <w:rFonts w:ascii="Garamond" w:hAnsi="Garamond"/>
                <w:sz w:val="20"/>
                <w:szCs w:val="20"/>
                <w:lang w:val="sq-AL"/>
              </w:rPr>
              <w:t> </w:t>
            </w:r>
          </w:p>
        </w:tc>
      </w:tr>
      <w:tr w:rsidR="00602C13" w:rsidRPr="00CD15CD" w:rsidTr="00D62EAC">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85181095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12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85183095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84714900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Të tjera, të paraqitura në formë të sistemeve </w:t>
            </w:r>
            <w:r w:rsidRPr="00CD15CD">
              <w:rPr>
                <w:rFonts w:ascii="Garamond" w:hAnsi="Garamond"/>
                <w:sz w:val="20"/>
                <w:szCs w:val="20"/>
                <w:lang w:val="sq-AL"/>
              </w:rPr>
              <w:t> </w:t>
            </w:r>
          </w:p>
        </w:tc>
      </w:tr>
      <w:tr w:rsidR="00602C13" w:rsidRPr="00CD15CD" w:rsidTr="00D62EAC">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84715000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 Njësitë e procesimit ndryshe nga ato të nënkrerëve 8471 41 apo 8471 49, nëse përmbajnë apo jo në të njëjtën karkasë një apo dy prej tipave te mëposhtme të njësive : njësitë e ruajtjes, njësitë e hyrjes, njësitë e daljes </w:t>
            </w:r>
            <w:r w:rsidRPr="00CD15CD">
              <w:rPr>
                <w:rFonts w:ascii="Garamond" w:hAnsi="Garamond"/>
                <w:sz w:val="20"/>
                <w:szCs w:val="20"/>
                <w:lang w:val="sq-AL"/>
              </w:rPr>
              <w:t> </w:t>
            </w:r>
          </w:p>
        </w:tc>
      </w:tr>
      <w:tr w:rsidR="00602C13" w:rsidRPr="00CD15CD" w:rsidTr="00D62EAC">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85176200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Makinat për marrjen, shndërrimin dhe transmetimin ose përsëritjen e zërit, imazhit ose të dhënave të tjera, përfshi aparatet e komutacionit dhe </w:t>
            </w:r>
            <w:r w:rsidRPr="00CD15CD">
              <w:rPr>
                <w:rFonts w:ascii="Garamond" w:hAnsi="Garamond"/>
                <w:bCs/>
                <w:i/>
                <w:sz w:val="20"/>
                <w:szCs w:val="20"/>
                <w:lang w:val="sq-AL"/>
              </w:rPr>
              <w:t xml:space="preserve">routing </w:t>
            </w:r>
            <w:r w:rsidRPr="00CD15CD">
              <w:rPr>
                <w:rFonts w:ascii="Garamond" w:hAnsi="Garamond"/>
                <w:i/>
                <w:sz w:val="20"/>
                <w:szCs w:val="20"/>
                <w:lang w:val="sq-AL"/>
              </w:rPr>
              <w:t> </w:t>
            </w:r>
          </w:p>
        </w:tc>
      </w:tr>
      <w:tr w:rsidR="00602C13" w:rsidRPr="00CD15CD" w:rsidTr="00D62EAC">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85312020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Që kanë të trupëzuar dioda drite emetuese (LED)    </w:t>
            </w:r>
          </w:p>
        </w:tc>
      </w:tr>
      <w:tr w:rsidR="00602C13" w:rsidRPr="00CD15CD" w:rsidTr="00D62EAC">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85312040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Që kanë të trupëzuar pajisje matrica aktive me kristal të lëngët (LCD)   </w:t>
            </w:r>
          </w:p>
        </w:tc>
      </w:tr>
      <w:tr w:rsidR="00602C13" w:rsidRPr="00CD15CD" w:rsidTr="00D62EAC">
        <w:trPr>
          <w:trHeight w:val="236"/>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94054010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Prozhektorët dhe ndriçuesit prozhektor  </w:t>
            </w:r>
          </w:p>
        </w:tc>
      </w:tr>
      <w:tr w:rsidR="00602C13" w:rsidRPr="00CD15CD" w:rsidTr="00D62EAC">
        <w:trPr>
          <w:trHeight w:val="127"/>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94054031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një lloji të përdorur me llambat inkandeshente  </w:t>
            </w:r>
          </w:p>
        </w:tc>
      </w:tr>
      <w:tr w:rsidR="00602C13" w:rsidRPr="00CD15CD" w:rsidTr="00D62EAC">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94054035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një lloji të përdorur me llambat fluoreshente në formë tubi  </w:t>
            </w:r>
          </w:p>
        </w:tc>
      </w:tr>
      <w:tr w:rsidR="00602C13" w:rsidRPr="00CD15CD" w:rsidTr="00D62EAC">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94054039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9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94054099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140"/>
          <w:jc w:val="center"/>
        </w:trPr>
        <w:tc>
          <w:tcPr>
            <w:tcW w:w="14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lastRenderedPageBreak/>
              <w:t>85423190</w:t>
            </w:r>
          </w:p>
        </w:tc>
        <w:tc>
          <w:tcPr>
            <w:tcW w:w="8118" w:type="dxa"/>
            <w:tcBorders>
              <w:top w:val="nil"/>
              <w:left w:val="nil"/>
              <w:bottom w:val="single" w:sz="4" w:space="0" w:color="auto"/>
              <w:right w:val="single" w:sz="8"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197"/>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bCs/>
                <w:sz w:val="20"/>
                <w:szCs w:val="20"/>
                <w:lang w:val="sq-AL"/>
              </w:rPr>
              <w:t>85238099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Të tjera </w:t>
            </w:r>
          </w:p>
        </w:tc>
      </w:tr>
      <w:tr w:rsidR="00602C13" w:rsidRPr="00CD15CD" w:rsidTr="00D62EAC">
        <w:trPr>
          <w:trHeight w:val="22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85044088</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 – Që kanë një kapacitet të mbajtjes së energjisë më tep</w:t>
            </w:r>
            <w:r w:rsidRPr="00CD15CD">
              <w:rPr>
                <w:rFonts w:ascii="Garamond" w:hAnsi="Garamond"/>
                <w:bCs/>
                <w:sz w:val="20"/>
                <w:szCs w:val="20"/>
                <w:lang w:val="sq-AL"/>
              </w:rPr>
              <w:t>ë</w:t>
            </w:r>
            <w:r w:rsidRPr="00CD15CD">
              <w:rPr>
                <w:rFonts w:ascii="Garamond" w:hAnsi="Garamond"/>
                <w:sz w:val="20"/>
                <w:szCs w:val="20"/>
                <w:lang w:val="sq-AL"/>
              </w:rPr>
              <w:t xml:space="preserve">r se 7,5 kVA  </w:t>
            </w:r>
          </w:p>
        </w:tc>
      </w:tr>
      <w:tr w:rsidR="00602C13" w:rsidRPr="00CD15CD" w:rsidTr="00D62EAC">
        <w:trPr>
          <w:trHeight w:val="219"/>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84158300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E papërfshirë me një njësi ftohjeje </w:t>
            </w:r>
            <w:r w:rsidRPr="00CD15CD">
              <w:rPr>
                <w:rFonts w:ascii="Garamond" w:hAnsi="Garamond"/>
                <w:sz w:val="20"/>
                <w:szCs w:val="20"/>
                <w:lang w:val="sq-AL"/>
              </w:rPr>
              <w:t> </w:t>
            </w:r>
          </w:p>
        </w:tc>
      </w:tr>
      <w:tr w:rsidR="00602C13" w:rsidRPr="00CD15CD" w:rsidTr="00D62EAC">
        <w:trPr>
          <w:trHeight w:val="192"/>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84159000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 Pjesët  </w:t>
            </w:r>
            <w:r w:rsidRPr="00CD15CD">
              <w:rPr>
                <w:rFonts w:ascii="Garamond" w:hAnsi="Garamond"/>
                <w:sz w:val="20"/>
                <w:szCs w:val="20"/>
                <w:lang w:val="sq-AL"/>
              </w:rPr>
              <w:t> </w:t>
            </w:r>
          </w:p>
        </w:tc>
      </w:tr>
      <w:tr w:rsidR="00602C13" w:rsidRPr="00CD15CD" w:rsidTr="00D62EAC">
        <w:trPr>
          <w:trHeight w:val="15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847989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Të tjera:</w:t>
            </w:r>
          </w:p>
        </w:tc>
      </w:tr>
      <w:tr w:rsidR="00602C13" w:rsidRPr="00CD15CD" w:rsidTr="00D62EAC">
        <w:trPr>
          <w:trHeight w:val="30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84144010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sz w:val="20"/>
                <w:szCs w:val="20"/>
                <w:lang w:val="sq-AL"/>
              </w:rPr>
              <w:t>– – – Që japin një rrjedhje për minute jo më tepër se 2 cm</w:t>
            </w:r>
            <w:r w:rsidRPr="00CD15CD">
              <w:rPr>
                <w:rFonts w:ascii="Garamond" w:hAnsi="Garamond"/>
                <w:sz w:val="20"/>
                <w:szCs w:val="20"/>
                <w:vertAlign w:val="superscript"/>
                <w:lang w:val="sq-AL"/>
              </w:rPr>
              <w:t>3</w:t>
            </w:r>
            <w:r w:rsidRPr="00CD15CD">
              <w:rPr>
                <w:rFonts w:ascii="Garamond" w:hAnsi="Garamond"/>
                <w:sz w:val="20"/>
                <w:szCs w:val="20"/>
                <w:lang w:val="sq-AL"/>
              </w:rPr>
              <w:t> </w:t>
            </w:r>
          </w:p>
        </w:tc>
      </w:tr>
      <w:tr w:rsidR="00602C13" w:rsidRPr="00CD15CD" w:rsidTr="00D62EAC">
        <w:trPr>
          <w:trHeight w:val="11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84212100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Për filtrimin ose pastrimin e ujit </w:t>
            </w:r>
            <w:r w:rsidRPr="00CD15CD">
              <w:rPr>
                <w:rFonts w:ascii="Garamond" w:hAnsi="Garamond"/>
                <w:sz w:val="20"/>
                <w:szCs w:val="20"/>
                <w:lang w:val="sq-AL"/>
              </w:rPr>
              <w:t> </w:t>
            </w:r>
          </w:p>
        </w:tc>
      </w:tr>
      <w:tr w:rsidR="00602C13" w:rsidRPr="00CD15CD" w:rsidTr="00D62EAC">
        <w:trPr>
          <w:trHeight w:val="16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84137075</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sz w:val="20"/>
                <w:szCs w:val="20"/>
                <w:lang w:val="sq-AL"/>
              </w:rPr>
              <w:t>– – – Shumëstadesh </w:t>
            </w:r>
          </w:p>
        </w:tc>
      </w:tr>
      <w:tr w:rsidR="00602C13" w:rsidRPr="00CD15CD" w:rsidTr="00D62EAC">
        <w:trPr>
          <w:trHeight w:val="21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84137059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sz w:val="20"/>
                <w:szCs w:val="20"/>
                <w:lang w:val="sq-AL"/>
              </w:rPr>
              <w:t>– – – Të tjera </w:t>
            </w:r>
          </w:p>
        </w:tc>
      </w:tr>
      <w:tr w:rsidR="00602C13" w:rsidRPr="00CD15CD" w:rsidTr="00D62EAC">
        <w:trPr>
          <w:trHeight w:val="11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84041000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Impiantet ndihmës për tu përdorur me kaldajat e kreut 8402 apo 8403 </w:t>
            </w:r>
            <w:r w:rsidRPr="00CD15CD">
              <w:rPr>
                <w:rFonts w:ascii="Garamond" w:hAnsi="Garamond"/>
                <w:sz w:val="20"/>
                <w:szCs w:val="20"/>
                <w:lang w:val="sq-AL"/>
              </w:rPr>
              <w:t> </w:t>
            </w:r>
          </w:p>
        </w:tc>
      </w:tr>
      <w:tr w:rsidR="00602C13" w:rsidRPr="00CD15CD" w:rsidTr="00D62EAC">
        <w:trPr>
          <w:trHeight w:val="174"/>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84158200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 xml:space="preserve">Të tjera, e përfshirë me një njësi ftohjeje </w:t>
            </w:r>
            <w:r w:rsidRPr="00CD15CD">
              <w:rPr>
                <w:rFonts w:ascii="Garamond" w:hAnsi="Garamond"/>
                <w:sz w:val="20"/>
                <w:szCs w:val="20"/>
                <w:lang w:val="sq-AL"/>
              </w:rPr>
              <w:t> </w:t>
            </w:r>
          </w:p>
        </w:tc>
      </w:tr>
      <w:tr w:rsidR="00602C13" w:rsidRPr="00CD15CD" w:rsidTr="00D62EAC">
        <w:trPr>
          <w:trHeight w:val="221"/>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bCs/>
                <w:sz w:val="20"/>
                <w:szCs w:val="20"/>
                <w:lang w:val="sq-AL"/>
              </w:rPr>
            </w:pPr>
            <w:r w:rsidRPr="00CD15CD">
              <w:rPr>
                <w:rFonts w:ascii="Garamond" w:hAnsi="Garamond"/>
                <w:bCs/>
                <w:sz w:val="20"/>
                <w:szCs w:val="20"/>
                <w:lang w:val="sq-AL"/>
              </w:rPr>
              <w:t>84158100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rsidR="00602C13" w:rsidRPr="00CD15CD" w:rsidRDefault="00602C13" w:rsidP="00D62EAC">
            <w:pPr>
              <w:spacing w:after="0" w:line="240" w:lineRule="auto"/>
              <w:ind w:firstLine="0"/>
              <w:rPr>
                <w:rFonts w:ascii="Garamond" w:hAnsi="Garamond"/>
                <w:sz w:val="20"/>
                <w:szCs w:val="20"/>
                <w:lang w:val="sq-AL"/>
              </w:rPr>
            </w:pPr>
            <w:r w:rsidRPr="00CD15CD">
              <w:rPr>
                <w:rFonts w:ascii="Garamond" w:hAnsi="Garamond"/>
                <w:sz w:val="20"/>
                <w:szCs w:val="20"/>
                <w:lang w:val="sq-AL"/>
              </w:rPr>
              <w:t xml:space="preserve">– – – </w:t>
            </w:r>
            <w:r w:rsidRPr="00CD15CD">
              <w:rPr>
                <w:rFonts w:ascii="Garamond" w:hAnsi="Garamond"/>
                <w:bCs/>
                <w:sz w:val="20"/>
                <w:szCs w:val="20"/>
                <w:lang w:val="sq-AL"/>
              </w:rPr>
              <w:t>Të trupëzuar me një njësi ftohjeje dhe nj</w:t>
            </w:r>
            <w:r>
              <w:rPr>
                <w:rFonts w:ascii="Garamond" w:hAnsi="Garamond"/>
                <w:bCs/>
                <w:sz w:val="20"/>
                <w:szCs w:val="20"/>
                <w:lang w:val="sq-AL"/>
              </w:rPr>
              <w:t>ë</w:t>
            </w:r>
            <w:r w:rsidRPr="00CD15CD">
              <w:rPr>
                <w:rFonts w:ascii="Garamond" w:hAnsi="Garamond"/>
                <w:bCs/>
                <w:sz w:val="20"/>
                <w:szCs w:val="20"/>
                <w:lang w:val="sq-AL"/>
              </w:rPr>
              <w:t xml:space="preserve"> valvol për alternimin e ciklit të ftohje/ngrohjes </w:t>
            </w:r>
            <w:r w:rsidRPr="00CD15CD">
              <w:rPr>
                <w:rFonts w:ascii="Garamond" w:hAnsi="Garamond"/>
                <w:sz w:val="20"/>
                <w:szCs w:val="20"/>
                <w:lang w:val="sq-AL"/>
              </w:rPr>
              <w:t> </w:t>
            </w:r>
          </w:p>
        </w:tc>
      </w:tr>
    </w:tbl>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602C13" w:rsidRPr="00CD15CD" w:rsidRDefault="00602C13" w:rsidP="00602C13">
      <w:pPr>
        <w:pStyle w:val="Paragrafi"/>
        <w:rPr>
          <w:b/>
          <w:lang w:val="sq-AL"/>
        </w:rPr>
      </w:pPr>
    </w:p>
    <w:p w:rsidR="004F59B3" w:rsidRDefault="004F59B3"/>
    <w:sectPr w:rsidR="004F59B3" w:rsidSect="00D2758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B31"/>
    <w:rsid w:val="004F59B3"/>
    <w:rsid w:val="00602C13"/>
    <w:rsid w:val="00A24B31"/>
    <w:rsid w:val="00D27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C1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02C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2C13"/>
    <w:rPr>
      <w:rFonts w:ascii="Garamond" w:eastAsia="MS Mincho" w:hAnsi="Garamond" w:cs="CG Times"/>
      <w:sz w:val="24"/>
    </w:rPr>
  </w:style>
  <w:style w:type="paragraph" w:customStyle="1" w:styleId="NeniNr">
    <w:name w:val="Neni_Nr"/>
    <w:next w:val="Normal"/>
    <w:link w:val="NeniNrChar"/>
    <w:rsid w:val="00602C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2C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2C13"/>
    <w:rPr>
      <w:rFonts w:ascii="Garamond" w:eastAsia="MS Mincho" w:hAnsi="Garamond" w:cs="CG Times"/>
      <w:sz w:val="24"/>
      <w:lang w:val="en-GB"/>
    </w:rPr>
  </w:style>
  <w:style w:type="paragraph" w:customStyle="1" w:styleId="Hapesira7">
    <w:name w:val="Hapesira 7"/>
    <w:basedOn w:val="Paragrafi"/>
    <w:qFormat/>
    <w:rsid w:val="00602C1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C1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02C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2C13"/>
    <w:rPr>
      <w:rFonts w:ascii="Garamond" w:eastAsia="MS Mincho" w:hAnsi="Garamond" w:cs="CG Times"/>
      <w:sz w:val="24"/>
    </w:rPr>
  </w:style>
  <w:style w:type="paragraph" w:customStyle="1" w:styleId="NeniNr">
    <w:name w:val="Neni_Nr"/>
    <w:next w:val="Normal"/>
    <w:link w:val="NeniNrChar"/>
    <w:rsid w:val="00602C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2C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2C13"/>
    <w:rPr>
      <w:rFonts w:ascii="Garamond" w:eastAsia="MS Mincho" w:hAnsi="Garamond" w:cs="CG Times"/>
      <w:sz w:val="24"/>
      <w:lang w:val="en-GB"/>
    </w:rPr>
  </w:style>
  <w:style w:type="paragraph" w:customStyle="1" w:styleId="Hapesira7">
    <w:name w:val="Hapesira 7"/>
    <w:basedOn w:val="Paragrafi"/>
    <w:qFormat/>
    <w:rsid w:val="00602C1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1843</Words>
  <Characters>10507</Characters>
  <Application>Microsoft Office Word</Application>
  <DocSecurity>0</DocSecurity>
  <Lines>87</Lines>
  <Paragraphs>24</Paragraphs>
  <ScaleCrop>false</ScaleCrop>
  <Company/>
  <LinksUpToDate>false</LinksUpToDate>
  <CharactersWithSpaces>12326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2017-01-17T14:32:00Z</dcterms:created>
  <dcterms:modified xsi:type="dcterms:W3CDTF">2018-01-24T14:40:00Z</dcterms:modified>
</cp:coreProperties>
</file>