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DC" w:rsidRPr="00FD79AC" w:rsidRDefault="007E38DC" w:rsidP="007E38DC">
      <w:pPr>
        <w:pStyle w:val="Akti"/>
        <w:rPr>
          <w:spacing w:val="-4"/>
        </w:rPr>
      </w:pPr>
      <w:r w:rsidRPr="00FD79AC">
        <w:rPr>
          <w:spacing w:val="-4"/>
        </w:rPr>
        <w:t>VENDIM</w:t>
      </w:r>
    </w:p>
    <w:p w:rsidR="007E38DC" w:rsidRPr="00FD79AC" w:rsidRDefault="007E38DC" w:rsidP="007E38DC">
      <w:pPr>
        <w:pStyle w:val="NumriData"/>
        <w:rPr>
          <w:spacing w:val="-4"/>
        </w:rPr>
      </w:pPr>
      <w:r w:rsidRPr="00FD79AC">
        <w:rPr>
          <w:spacing w:val="-4"/>
        </w:rPr>
        <w:t>Nr. 28, datë 18.1.2017</w:t>
      </w:r>
    </w:p>
    <w:p w:rsidR="007E38DC" w:rsidRPr="00FD79AC" w:rsidRDefault="007E38DC" w:rsidP="007E38DC">
      <w:pPr>
        <w:pStyle w:val="Paragrafi"/>
        <w:rPr>
          <w:spacing w:val="-4"/>
          <w:sz w:val="14"/>
        </w:rPr>
      </w:pPr>
    </w:p>
    <w:p w:rsidR="007E38DC" w:rsidRPr="00FD79AC" w:rsidRDefault="007E38DC" w:rsidP="007E38DC">
      <w:pPr>
        <w:pStyle w:val="Titulli"/>
        <w:rPr>
          <w:spacing w:val="-4"/>
        </w:rPr>
      </w:pPr>
      <w:r w:rsidRPr="00FD79AC">
        <w:rPr>
          <w:spacing w:val="-4"/>
        </w:rPr>
        <w:t>PËR</w:t>
      </w:r>
      <w:r>
        <w:rPr>
          <w:spacing w:val="-4"/>
        </w:rPr>
        <w:t xml:space="preserve"> </w:t>
      </w:r>
      <w:r w:rsidRPr="00FD79AC">
        <w:rPr>
          <w:spacing w:val="-4"/>
        </w:rPr>
        <w:t>DISA NDRYSHIME DHE SHTESA NË VENDIMIN NR.612, DATË 5.9.2012, TË KËSHILLIT TË MINISTRAVE, “PËR DISPOZITAT ZBATUESE TË LIGJIT “PËR AKCIZAT””,  TË NDRYSHUAR</w:t>
      </w:r>
    </w:p>
    <w:p w:rsidR="007E38DC" w:rsidRPr="00CF2041" w:rsidRDefault="007E38DC" w:rsidP="007E38DC">
      <w:pPr>
        <w:pStyle w:val="Paragrafi"/>
        <w:rPr>
          <w:spacing w:val="-4"/>
          <w:sz w:val="14"/>
        </w:rPr>
      </w:pP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Në mbështetje të nenit 100 të Kushtetutës dhe të neneve 108 e 109, të ligjit nr.61/2012, “Për akcizat në Republikën e Shqipërisë”, me propozimin e ministrit të Financave, Këshilli i Ministrave</w:t>
      </w:r>
    </w:p>
    <w:p w:rsidR="007E38DC" w:rsidRPr="00FD79AC" w:rsidRDefault="007E38DC" w:rsidP="007E38DC">
      <w:pPr>
        <w:pStyle w:val="Paragrafi"/>
        <w:rPr>
          <w:spacing w:val="-4"/>
          <w:sz w:val="14"/>
        </w:rPr>
      </w:pPr>
    </w:p>
    <w:p w:rsidR="007E38DC" w:rsidRPr="00FD79AC" w:rsidRDefault="007E38DC" w:rsidP="007E38DC">
      <w:pPr>
        <w:pStyle w:val="Titull-Titull"/>
        <w:rPr>
          <w:spacing w:val="-4"/>
        </w:rPr>
      </w:pPr>
      <w:r w:rsidRPr="00FD79AC">
        <w:rPr>
          <w:spacing w:val="-4"/>
        </w:rPr>
        <w:t>VENDOSI:</w:t>
      </w:r>
    </w:p>
    <w:p w:rsidR="007E38DC" w:rsidRPr="00FD79AC" w:rsidRDefault="007E38DC" w:rsidP="007E38DC">
      <w:pPr>
        <w:pStyle w:val="Paragrafi"/>
        <w:rPr>
          <w:spacing w:val="-4"/>
          <w:sz w:val="14"/>
        </w:rPr>
      </w:pP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Në vendimin nr.612, datë 5.9.2012, të Këshillit të Ministrave, të ndryshuar, bëhen këto ndryshime dhe shtesa: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1. Në nenin 43 bëhen ndryshimet e mëposhtme: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a) Paragrafi i dytë, i nënndarjes “iii”, të shkronjës “ç”, të pikës 2, ndryshohet, si më poshtë vijon:</w:t>
      </w:r>
    </w:p>
    <w:p w:rsidR="007E38DC" w:rsidRPr="00FD79AC" w:rsidRDefault="007E38DC" w:rsidP="0089007B">
      <w:pPr>
        <w:pStyle w:val="Paragrafi"/>
        <w:rPr>
          <w:spacing w:val="-4"/>
        </w:rPr>
      </w:pPr>
      <w:r w:rsidRPr="00FD79AC">
        <w:rPr>
          <w:spacing w:val="-4"/>
        </w:rPr>
        <w:t>“iii. Karta teknologjike sipas teknologjisë përkatëse dhe e verifikuar nga autoriteti kompetent doganor.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>
        <w:rPr>
          <w:spacing w:val="-4"/>
        </w:rPr>
        <w:t xml:space="preserve">b) </w:t>
      </w:r>
      <w:r w:rsidRPr="00FD79AC">
        <w:rPr>
          <w:spacing w:val="-4"/>
        </w:rPr>
        <w:t>Në pikën 3, shkronjat “a” dhe “b”, ndryshohen, si më poshtë: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“a) Sasia e lëndëve djegëse të konsumuara për produktet e prodhuara dhe të shitura me fatura tatimore me TVSH, llogaritet </w:t>
      </w:r>
      <w:proofErr w:type="gramStart"/>
      <w:r w:rsidRPr="00FD79AC">
        <w:rPr>
          <w:spacing w:val="-4"/>
        </w:rPr>
        <w:t>jo</w:t>
      </w:r>
      <w:proofErr w:type="gramEnd"/>
      <w:r w:rsidRPr="00FD79AC">
        <w:rPr>
          <w:spacing w:val="-4"/>
        </w:rPr>
        <w:t xml:space="preserve"> më shumë se normativat bazuar në kartën teknologjike sipas industrisë si dhe normativave bazuar në aneksin 10, “Tabela referuese e normativave të harxhimit të lëndës djegëse”. Vlera e akcizës së rimbursueshme nuk do të jetë më shumë se 50% e akcizës së paguar për blerjet e kryera të lëndës djegëse të përdorur për nevoja teknologjike sipas përcaktimeve në ligj dhe në këtë dispozitë.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b) Sasia e lëndëve djegëse produkte të akcizës solar dhe mazut, të prodhuara nga vetë rafineria dhe të konsumuara brenda rafinerisë për përpunimin e produkteve ose të nënprodukteve të akcizës, rimbursohet për akcizën e paguar në masën 100%</w:t>
      </w:r>
      <w:proofErr w:type="gramStart"/>
      <w:r w:rsidRPr="00FD79AC">
        <w:rPr>
          <w:spacing w:val="-4"/>
        </w:rPr>
        <w:t>,  me</w:t>
      </w:r>
      <w:proofErr w:type="gramEnd"/>
      <w:r w:rsidRPr="00FD79AC">
        <w:rPr>
          <w:spacing w:val="-4"/>
        </w:rPr>
        <w:t xml:space="preserve"> kusht që konsumi i këtyre lëndëve djegëse të jetë sipas sasive faktike të konsumuara, por jo përtej kartës teknologjike.”. 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c) Në pikën 5, të nenit 43, pas fjalëve “...brenda datës 10 të muajit pasardhës...” shtohen fjalët “...ose të muajit pasardhës të tremujorit të cilit i përkasin blerjet...</w:t>
      </w:r>
      <w:proofErr w:type="gramStart"/>
      <w:r w:rsidRPr="00FD79AC">
        <w:rPr>
          <w:spacing w:val="-4"/>
        </w:rPr>
        <w:t>”.</w:t>
      </w:r>
      <w:proofErr w:type="gramEnd"/>
      <w:r w:rsidRPr="00FD79AC">
        <w:rPr>
          <w:spacing w:val="-4"/>
        </w:rPr>
        <w:t xml:space="preserve">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ç) </w:t>
      </w:r>
      <w:r w:rsidRPr="00FD79AC">
        <w:rPr>
          <w:spacing w:val="-4"/>
        </w:rPr>
        <w:tab/>
        <w:t>Pika 7 e nenit 43 ndryshon me këtë përmbajtje: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“7. Autoriteti doganor nëse pas verifikimit të dokumentacionit të paraqitur, si dhe bazuar në kriteret e analizës së riskut, gjykon të nevojshme të verifikojë situatën në vend dhe/ose të ushtrojë kontroll, atëherë kjo procedurë kryhet përpara miratimit të rimbursimit. Në këtë rast kjo procedurë nuk mund të zgjasë më shumë se 30 (tridhjetë) ditë nga momenti i paraqitjes së kërkesës për rimbursim. Drejtoria e Përgjithshme e Doganave harton një udhëzim të përbashkët mbi elementët e riskut për këto raste.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Në rast të kundërt, brenda 10 (dhjetë) ditësh, miraton ose refuzon rimbursimin e kërkuar, bazuar në kriteret e përcaktuara më sipër dhe kontrolli në vend kryhet sipas planifikimit ose procedurave të autoritetit doganor edhe pas kryerjes së rimbursimit të akcizës.</w:t>
      </w:r>
      <w:proofErr w:type="gramStart"/>
      <w:r w:rsidRPr="00FD79AC">
        <w:rPr>
          <w:spacing w:val="-4"/>
        </w:rPr>
        <w:t>”.</w:t>
      </w:r>
      <w:proofErr w:type="gramEnd"/>
      <w:r w:rsidRPr="00FD79AC">
        <w:rPr>
          <w:spacing w:val="-4"/>
        </w:rPr>
        <w:t xml:space="preserve">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2. Në nenin 44 bëhen këto ndryshime:</w:t>
      </w:r>
    </w:p>
    <w:p w:rsidR="007E38DC" w:rsidRPr="00FD79AC" w:rsidRDefault="007E38DC" w:rsidP="007E38DC">
      <w:pPr>
        <w:pStyle w:val="Paragrafi"/>
        <w:rPr>
          <w:spacing w:val="-4"/>
        </w:rPr>
      </w:pPr>
      <w:r>
        <w:rPr>
          <w:spacing w:val="-4"/>
        </w:rPr>
        <w:t xml:space="preserve">a) </w:t>
      </w:r>
      <w:r w:rsidRPr="00FD79AC">
        <w:rPr>
          <w:spacing w:val="-4"/>
        </w:rPr>
        <w:t>Në pikën 1, hiqet përcaktimi “Nr.9876, datë 14.2.2008”.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b) Pika 3 ndryshohet, si më poshtë: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 “3. Për efekte fiskale përqindja e pranuar e mishelimit nuk mund të jetë mbi 5% përmbajtje BIO për çdo lloj nënprodukti nafte.</w:t>
      </w:r>
      <w:proofErr w:type="gramStart"/>
      <w:r w:rsidRPr="00FD79AC">
        <w:rPr>
          <w:spacing w:val="-4"/>
        </w:rPr>
        <w:t>”.</w:t>
      </w:r>
      <w:proofErr w:type="gramEnd"/>
      <w:r w:rsidRPr="00FD79AC">
        <w:rPr>
          <w:spacing w:val="-4"/>
        </w:rPr>
        <w:t xml:space="preserve">  </w:t>
      </w:r>
    </w:p>
    <w:p w:rsidR="007E38DC" w:rsidRPr="00FD79AC" w:rsidRDefault="007E38DC" w:rsidP="007E38DC">
      <w:pPr>
        <w:pStyle w:val="Paragrafi"/>
        <w:rPr>
          <w:spacing w:val="-4"/>
        </w:rPr>
      </w:pPr>
      <w:r>
        <w:rPr>
          <w:spacing w:val="-4"/>
        </w:rPr>
        <w:t xml:space="preserve">c) </w:t>
      </w:r>
      <w:r w:rsidRPr="00FD79AC">
        <w:rPr>
          <w:spacing w:val="-4"/>
        </w:rPr>
        <w:t>Pas pikës 3 shtohen pikat 4 dhe 5, me këtë përmbajtje: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“4. Përqindja maksimale e lejuar për efekt të rimbursimit të akcizës për praninë e përbërësve BIO në karburant sipas standardeve EN: 590 për gazoilin ose EN: 228 për benzinën, përkatësisht është </w:t>
      </w:r>
      <w:proofErr w:type="gramStart"/>
      <w:r w:rsidRPr="00FD79AC">
        <w:rPr>
          <w:spacing w:val="-4"/>
        </w:rPr>
        <w:t>jo</w:t>
      </w:r>
      <w:proofErr w:type="gramEnd"/>
      <w:r w:rsidRPr="00FD79AC">
        <w:rPr>
          <w:spacing w:val="-4"/>
        </w:rPr>
        <w:t xml:space="preserve"> më shumë se 5 (pesë) për qind. Rimbursimi aplikohet vetëm për produket e biokarburantit që mishelohen në territorin shqiptar.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5. Kushtet që duhet të plotësohen për qëllime të zbatimit të këtij neni, përpara se të miratohet rimbursimi janë, si më poshtë: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a) Biokarburanti për të cilin është kërkuar rimbursimi duhet të përdoret si lëndë djegëse në sektorin e transportit.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b) Rimbursimi i akcizës përfitohet në masën e përmbajtjes faktike, por jo më shumë se 5 </w:t>
      </w:r>
      <w:proofErr w:type="gramStart"/>
      <w:r w:rsidRPr="00FD79AC">
        <w:rPr>
          <w:spacing w:val="-4"/>
        </w:rPr>
        <w:t>%  të</w:t>
      </w:r>
      <w:proofErr w:type="gramEnd"/>
      <w:r w:rsidRPr="00FD79AC">
        <w:rPr>
          <w:spacing w:val="-4"/>
        </w:rPr>
        <w:t xml:space="preserve"> produktit BIO në përmbajtjen e biokarburantit të deklaruar për konsum, pasi ky fakt të jetë konfirmuar nga laboratori </w:t>
      </w:r>
      <w:r w:rsidRPr="00FD79AC">
        <w:rPr>
          <w:spacing w:val="-4"/>
        </w:rPr>
        <w:lastRenderedPageBreak/>
        <w:t>kimik doganor dhe pas verifikimit nga autoriteti doganor.”.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3. Në nenin 46 bëhen këto ndryshime: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a) Në pikën 9, shprehja “...një herë në muaj...” zëvendësohet me “...çdo muaj ose çdo tremujor...” 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b) Pika 10 ndryshon, si më poshtë: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“10. Autoritetet doganore kompetente, gjatë shqyrtimit të kërkesës për rimbursim të akcizës, kur e gjykojnë të nevojshme kryejnë, gjithashtu</w:t>
      </w:r>
      <w:proofErr w:type="gramStart"/>
      <w:r w:rsidRPr="00FD79AC">
        <w:rPr>
          <w:spacing w:val="-4"/>
        </w:rPr>
        <w:t>,veprimet</w:t>
      </w:r>
      <w:proofErr w:type="gramEnd"/>
      <w:r w:rsidRPr="00FD79AC">
        <w:rPr>
          <w:spacing w:val="-4"/>
        </w:rPr>
        <w:t xml:space="preserve"> e  mëposhtme: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a) Krahasohen të dhënat e deklaruara me rezultatet e laboratorit doganor;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b) Kryhet kontroll në vend dhe verifikohen lëndet e para, sasitë e prodhuara dhe sasitë e shitura sipas faturave të shitjes së produktit biokarburant, inventarin, pasqyrat financiare si dhe cdo dokumentacion tjetër të nevojshëm.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Kur vlerësohet nga autoriteti doganor, referuar qëllimit të përdorimit të biokarburantit për përdorim në transport kryhen, gjithashtu, edhe verifikimet në zinxhirin e transaksioneve të shitjes deri tek shitja për konsum;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c) Nëse është e nevojshme, procedura e verifikimit ose e kontrollit në vend kryhet në bashkëpunim me autoritetin tatimor të juridiksionit përkatës.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Kur kryhen verifikimet e mësipërme, procedura nuk mund të zgjasë më shumë se 30 (tridhjetë) ditë nga momenti i paraqitjes së kërkesës për rimbursim.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Në rast të kundërt, brenda 10 (dhjetë) ditësh, autoriteti doganor miraton ose refuzon rimbursimin e kërkuar, bazuar në kriteret e përcaktuara më sipër dhe kontrolli në vend kryhet sipas planifikimit ose të procedurave të autoritetit doganor edhe pas kryerjes së rimbursimit të akcizës.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4. Në nenin 48/1 bëhen ndryshimet e mëposhtme: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a) Pas fjalëve “...magazinë fiskale stokimi...” shtohen “.../magazinë doganore...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b) Pas fjalëve “...magazinë fiskale...” shtohet “... /doganore...</w:t>
      </w:r>
      <w:proofErr w:type="gramStart"/>
      <w:r w:rsidRPr="00FD79AC">
        <w:rPr>
          <w:spacing w:val="-4"/>
        </w:rPr>
        <w:t>”.</w:t>
      </w:r>
      <w:proofErr w:type="gramEnd"/>
      <w:r w:rsidRPr="00FD79AC">
        <w:rPr>
          <w:spacing w:val="-4"/>
        </w:rPr>
        <w:t xml:space="preserve">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c) Pas fjalëve “...</w:t>
      </w:r>
      <w:proofErr w:type="gramStart"/>
      <w:r w:rsidRPr="00FD79AC">
        <w:rPr>
          <w:spacing w:val="-4"/>
        </w:rPr>
        <w:t>depozituesi  i</w:t>
      </w:r>
      <w:proofErr w:type="gramEnd"/>
      <w:r w:rsidRPr="00FD79AC">
        <w:rPr>
          <w:spacing w:val="-4"/>
        </w:rPr>
        <w:t xml:space="preserve"> miratuar...” shtohet “.../ importuesi...”.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ç) Pika 2 ndryshohet, si më poshtë: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“2. Vendosja e pullave të akcizës në ambientet e magazinave fiskale të stokimit/ magazinave doganore kryhet sipas kërkesës së operatorëve dhe në prezencë të autoriteteve doganore mbikëqyrëse. Depozituesi i miratuar/administratori i magazinës doganore duhet të depozitojë një kërkesë, me shkrim, pranë zyrës doganore mbikëqyrëse, të paktën 48 orë përpara fillimit të vendosjes së pullave të akcizës, për sigurimin e pranisë së autoriteteve doganore gjatë procesit të vendosjes së pullave. Procesi i vendosjes së pullave të akcizës, në çdo rast, fillon pas sigurimit të prezencës së autoriteteve doganore.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d) Pas pikës 6 shtohet pika 7, me këtë përmbajtje: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“7. Në rastet e funksionimit të sistemeve on-line të monitorimit me kamera pranë magazinave fiskale të stokimit/doganore, mbikëqyrja e procesit të vendosjes së pullave të mundësohet edhe në distancë duke bërë regjistrimin përkatës të procesit.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5. </w:t>
      </w:r>
      <w:proofErr w:type="gramStart"/>
      <w:r w:rsidRPr="00FD79AC">
        <w:rPr>
          <w:spacing w:val="-4"/>
        </w:rPr>
        <w:t>Në  nenin</w:t>
      </w:r>
      <w:proofErr w:type="gramEnd"/>
      <w:r w:rsidRPr="00FD79AC">
        <w:rPr>
          <w:spacing w:val="-4"/>
        </w:rPr>
        <w:t xml:space="preserve"> 96/1 bëhen ndryshimet e mëposhtme: 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a) Pika 1 ndryshohet, si më poshtë: </w:t>
      </w:r>
    </w:p>
    <w:p w:rsidR="007E38D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“1. Produktet energjetike sipas aneksit 24, që i bashkëlidhet këtij vendimi, të cilat importohen (hidhen për qarkullim të lirë) ose blihen pranë magazinave fiskale të prodhimit brenda vendit dhe që kanë destinacion mbajtjen (magazinimin) e tyre nën pezullim të detyrimeve të akcizës me qëllim lëvizjen e mëvonshme drejt pikave të shitjes me shumicë/pakicë, futen në një magazinë fiskale stokimi.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b) Në pikën 3 shtohet shkronja “e”, me përmbajtjen e mëposhtme: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“e) Për lëvizjen nga importi të produkteve me detyrime akcize të paguara drejt pikave të shitjes me shumicë/pakicë - DAV importi për hedhje në qarkullim të lirë me akcizë të paguar.</w:t>
      </w:r>
      <w:proofErr w:type="gramStart"/>
      <w:r w:rsidRPr="00FD79AC">
        <w:rPr>
          <w:spacing w:val="-4"/>
        </w:rPr>
        <w:t>”.</w:t>
      </w:r>
      <w:proofErr w:type="gramEnd"/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c) Në pikën 5 përcaktimi “...në pikën 2 të këtij neni...” zëvendësohet me “...në pikën 3 të këtij neni...</w:t>
      </w:r>
      <w:proofErr w:type="gramStart"/>
      <w:r w:rsidRPr="00FD79AC">
        <w:rPr>
          <w:spacing w:val="-4"/>
        </w:rPr>
        <w:t>”.</w:t>
      </w:r>
      <w:proofErr w:type="gramEnd"/>
      <w:r w:rsidRPr="00FD79AC">
        <w:rPr>
          <w:spacing w:val="-4"/>
        </w:rPr>
        <w:t xml:space="preserve">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ç) </w:t>
      </w:r>
      <w:r w:rsidRPr="00FD79AC">
        <w:rPr>
          <w:spacing w:val="-4"/>
        </w:rPr>
        <w:tab/>
        <w:t xml:space="preserve">Pas pikës 8, shtohen pikat 9 dhe 10, me përmbajtjen e mëposhtme: 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“9. Për qëllime mbikëqyrjeje dhe kontrolli, subjektet e akcizës që tregtojnë produktet e kategorisë E500, gaz për përdorim për mjete motorike, brenda datës 31.1.2017 duhet të vetëdeklarojnë dhe të dorëzojnë pranë Drejtorisë së Përgjithshme të Doganave inventarin gjendje të datës 31.12.2016. Një kopje e këtij inventari duhet të dorëzohet në adresë të degës doganore territorialisht kompetente. Autoritetet doganore, në cdo rast, kryejnë verifikimet e nevojshme.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 xml:space="preserve"> 10. Pikat e tregtimit me shumicë të produkteve të kategorisë E500, gaz për përdorim për mjete motorike, brenda datës 10 të çdo muaji, depozitojnë pranë degës doganore teritorialisht kompetente, regjistrin e shitjeve ku kanë të pasqyruar të dhëna mbi blerësin dhe sasitë e shitura.”.</w:t>
      </w:r>
    </w:p>
    <w:p w:rsidR="007E38DC" w:rsidRPr="00FD79A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lastRenderedPageBreak/>
        <w:t>6. Në aneksin 10, “Tabela referuese e disa normativave të harxhimit të lëndës djegëse” tabela e tretë “Industria”, zëvendësohet me tabelën që i bashkëlidhet këtij vendimi.</w:t>
      </w:r>
    </w:p>
    <w:p w:rsidR="007E38DC" w:rsidRDefault="007E38DC" w:rsidP="007E38DC">
      <w:pPr>
        <w:pStyle w:val="Paragrafi"/>
        <w:rPr>
          <w:spacing w:val="-4"/>
        </w:rPr>
      </w:pPr>
      <w:r w:rsidRPr="00FD79AC">
        <w:rPr>
          <w:spacing w:val="-4"/>
        </w:rPr>
        <w:t>7. Në aneksin 24, shtohen kategoritë e produkteve E500, si më poshtë:</w:t>
      </w:r>
    </w:p>
    <w:p w:rsidR="007E38DC" w:rsidRPr="00FD79AC" w:rsidRDefault="007E38DC" w:rsidP="007E38DC">
      <w:pPr>
        <w:pStyle w:val="Paragrafi"/>
        <w:rPr>
          <w:spacing w:val="-4"/>
        </w:rPr>
      </w:pPr>
    </w:p>
    <w:p w:rsidR="007E38DC" w:rsidRDefault="007E38DC" w:rsidP="007E38DC">
      <w:pPr>
        <w:pStyle w:val="Paragrafi"/>
        <w:rPr>
          <w:sz w:val="14"/>
        </w:rPr>
        <w:sectPr w:rsidR="007E38DC" w:rsidSect="005359E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49"/>
          <w:cols w:space="454"/>
          <w:docGrid w:linePitch="360"/>
        </w:sect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Default="007E38DC" w:rsidP="007E38DC">
      <w:pPr>
        <w:pStyle w:val="Paragrafi"/>
        <w:rPr>
          <w:sz w:val="14"/>
        </w:rPr>
      </w:pPr>
    </w:p>
    <w:p w:rsidR="007E38DC" w:rsidRPr="00FD79AC" w:rsidRDefault="007E38DC" w:rsidP="007E38DC">
      <w:pPr>
        <w:pStyle w:val="Paragrafi"/>
        <w:rPr>
          <w:sz w:val="14"/>
        </w:rPr>
      </w:pPr>
    </w:p>
    <w:tbl>
      <w:tblPr>
        <w:tblW w:w="45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5"/>
        <w:gridCol w:w="3831"/>
        <w:gridCol w:w="2833"/>
      </w:tblGrid>
      <w:tr w:rsidR="007E38DC" w:rsidRPr="00394986" w:rsidTr="003F2B74">
        <w:trPr>
          <w:trHeight w:val="178"/>
          <w:jc w:val="center"/>
        </w:trPr>
        <w:tc>
          <w:tcPr>
            <w:tcW w:w="1314" w:type="pct"/>
          </w:tcPr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b/>
                <w:sz w:val="22"/>
              </w:rPr>
            </w:pPr>
            <w:r w:rsidRPr="00394986">
              <w:rPr>
                <w:b/>
                <w:sz w:val="22"/>
              </w:rPr>
              <w:t>Kategoria</w:t>
            </w:r>
          </w:p>
        </w:tc>
        <w:tc>
          <w:tcPr>
            <w:tcW w:w="2119" w:type="pct"/>
          </w:tcPr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b/>
                <w:sz w:val="22"/>
              </w:rPr>
            </w:pPr>
            <w:r w:rsidRPr="00394986">
              <w:rPr>
                <w:b/>
                <w:sz w:val="22"/>
              </w:rPr>
              <w:t>Përshkrimi</w:t>
            </w:r>
          </w:p>
        </w:tc>
        <w:tc>
          <w:tcPr>
            <w:tcW w:w="1568" w:type="pct"/>
          </w:tcPr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b/>
                <w:sz w:val="22"/>
              </w:rPr>
            </w:pPr>
            <w:r w:rsidRPr="00394986">
              <w:rPr>
                <w:b/>
                <w:sz w:val="22"/>
              </w:rPr>
              <w:t>Kodi NK</w:t>
            </w:r>
          </w:p>
        </w:tc>
      </w:tr>
      <w:tr w:rsidR="007E38DC" w:rsidRPr="00394986" w:rsidTr="003F2B74">
        <w:trPr>
          <w:trHeight w:val="2424"/>
          <w:jc w:val="center"/>
        </w:trPr>
        <w:tc>
          <w:tcPr>
            <w:tcW w:w="1314" w:type="pct"/>
          </w:tcPr>
          <w:p w:rsidR="007E38DC" w:rsidRPr="00394986" w:rsidRDefault="007E38DC" w:rsidP="003F2B74">
            <w:pPr>
              <w:pStyle w:val="Paragrafi"/>
              <w:ind w:firstLine="0"/>
              <w:rPr>
                <w:sz w:val="22"/>
              </w:rPr>
            </w:pPr>
            <w:r w:rsidRPr="00394986">
              <w:rPr>
                <w:sz w:val="22"/>
              </w:rPr>
              <w:t>E500</w:t>
            </w:r>
          </w:p>
          <w:p w:rsidR="007E38DC" w:rsidRPr="00394986" w:rsidRDefault="007E38DC" w:rsidP="003F2B74">
            <w:pPr>
              <w:pStyle w:val="Paragrafi"/>
              <w:ind w:firstLine="0"/>
              <w:rPr>
                <w:sz w:val="22"/>
              </w:rPr>
            </w:pPr>
          </w:p>
        </w:tc>
        <w:tc>
          <w:tcPr>
            <w:tcW w:w="2119" w:type="pct"/>
          </w:tcPr>
          <w:p w:rsidR="007E38DC" w:rsidRPr="00394986" w:rsidRDefault="007E38DC" w:rsidP="003F2B74">
            <w:pPr>
              <w:pStyle w:val="Paragrafi"/>
              <w:ind w:firstLine="0"/>
              <w:jc w:val="left"/>
              <w:rPr>
                <w:sz w:val="22"/>
              </w:rPr>
            </w:pPr>
            <w:r w:rsidRPr="00394986">
              <w:rPr>
                <w:sz w:val="22"/>
              </w:rPr>
              <w:t>Gazet e naftës dhe hidrokarbure të tjera gazoike për përdorim si lëndë djegëse për motor automjetesh.</w:t>
            </w:r>
          </w:p>
        </w:tc>
        <w:tc>
          <w:tcPr>
            <w:tcW w:w="1568" w:type="pct"/>
          </w:tcPr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27111211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27111219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27111291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27111293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27111294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27111297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27111310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27111330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27111391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27111397</w:t>
            </w:r>
          </w:p>
          <w:p w:rsidR="007E38DC" w:rsidRPr="00394986" w:rsidRDefault="007E38DC" w:rsidP="003F2B74">
            <w:pPr>
              <w:pStyle w:val="Paragrafi"/>
              <w:ind w:firstLine="0"/>
              <w:jc w:val="center"/>
              <w:rPr>
                <w:sz w:val="22"/>
              </w:rPr>
            </w:pPr>
            <w:r w:rsidRPr="00394986">
              <w:rPr>
                <w:sz w:val="22"/>
              </w:rPr>
              <w:t>27111400</w:t>
            </w:r>
          </w:p>
        </w:tc>
      </w:tr>
    </w:tbl>
    <w:p w:rsidR="007E38DC" w:rsidRPr="00FD79AC" w:rsidRDefault="007E38DC" w:rsidP="007E38DC">
      <w:pPr>
        <w:pStyle w:val="Paragrafi"/>
        <w:rPr>
          <w:sz w:val="12"/>
        </w:rPr>
      </w:pPr>
    </w:p>
    <w:p w:rsidR="007E38DC" w:rsidRPr="002B6840" w:rsidRDefault="007E38DC" w:rsidP="007E38DC">
      <w:pPr>
        <w:pStyle w:val="Paragrafi"/>
      </w:pPr>
      <w:proofErr w:type="gramStart"/>
      <w:r w:rsidRPr="002B6840">
        <w:t>Ky</w:t>
      </w:r>
      <w:proofErr w:type="gramEnd"/>
      <w:r w:rsidRPr="002B6840">
        <w:t xml:space="preserve"> vendim hyn në fuqi pas botimit në Fletoren Zyrtare. </w:t>
      </w:r>
    </w:p>
    <w:p w:rsidR="007E38DC" w:rsidRPr="00FD79AC" w:rsidRDefault="007E38DC" w:rsidP="007E38DC">
      <w:pPr>
        <w:pStyle w:val="Paragrafi"/>
        <w:rPr>
          <w:sz w:val="12"/>
        </w:rPr>
      </w:pPr>
    </w:p>
    <w:p w:rsidR="007E38DC" w:rsidRDefault="007E38DC" w:rsidP="007E38DC">
      <w:pPr>
        <w:pStyle w:val="Autoriteti"/>
      </w:pPr>
      <w:r>
        <w:t>ZËVENDËSKRYEMINISTRI</w:t>
      </w:r>
    </w:p>
    <w:p w:rsidR="007E38DC" w:rsidRDefault="007E38DC" w:rsidP="007E38DC">
      <w:pPr>
        <w:pStyle w:val="AutoritetiEmer"/>
      </w:pPr>
      <w:r w:rsidRPr="009425FF">
        <w:t>Niko Peleshi</w:t>
      </w:r>
    </w:p>
    <w:p w:rsidR="007E38DC" w:rsidRDefault="007E38DC" w:rsidP="007E38DC">
      <w:pPr>
        <w:pStyle w:val="Akti"/>
        <w:jc w:val="both"/>
        <w:rPr>
          <w:caps w:val="0"/>
        </w:rPr>
      </w:pPr>
      <w:r>
        <w:rPr>
          <w:caps w:val="0"/>
        </w:rPr>
        <w:t xml:space="preserve"> “</w:t>
      </w:r>
      <w:r w:rsidRPr="00D97247">
        <w:rPr>
          <w:caps w:val="0"/>
        </w:rPr>
        <w:t>Industria”</w:t>
      </w:r>
    </w:p>
    <w:p w:rsidR="007E38DC" w:rsidRPr="00394986" w:rsidRDefault="007E38DC" w:rsidP="007E38DC">
      <w:pPr>
        <w:pStyle w:val="Akti"/>
        <w:jc w:val="both"/>
        <w:rPr>
          <w:spacing w:val="-4"/>
          <w:sz w:val="14"/>
          <w:lang w:val="sq-AL"/>
        </w:rPr>
      </w:pPr>
    </w:p>
    <w:tbl>
      <w:tblPr>
        <w:tblStyle w:val="GridTable1Light1"/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846"/>
        <w:gridCol w:w="1843"/>
        <w:gridCol w:w="1418"/>
        <w:gridCol w:w="1559"/>
        <w:gridCol w:w="1559"/>
      </w:tblGrid>
      <w:tr w:rsidR="007E38DC" w:rsidRPr="00394986" w:rsidTr="003F2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vMerge w:val="restart"/>
            <w:tcBorders>
              <w:bottom w:val="none" w:sz="0" w:space="0" w:color="auto"/>
            </w:tcBorders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Nr.</w:t>
            </w:r>
          </w:p>
        </w:tc>
        <w:tc>
          <w:tcPr>
            <w:tcW w:w="1846" w:type="dxa"/>
            <w:vMerge w:val="restart"/>
            <w:tcBorders>
              <w:bottom w:val="none" w:sz="0" w:space="0" w:color="auto"/>
            </w:tcBorders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Aktiviteti</w:t>
            </w:r>
          </w:p>
        </w:tc>
        <w:tc>
          <w:tcPr>
            <w:tcW w:w="1843" w:type="dxa"/>
            <w:vMerge w:val="restart"/>
            <w:tcBorders>
              <w:bottom w:val="none" w:sz="0" w:space="0" w:color="auto"/>
            </w:tcBorders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Proceset teknologjike</w:t>
            </w:r>
          </w:p>
        </w:tc>
        <w:tc>
          <w:tcPr>
            <w:tcW w:w="1418" w:type="dxa"/>
            <w:tcBorders>
              <w:bottom w:val="none" w:sz="0" w:space="0" w:color="auto"/>
            </w:tcBorders>
          </w:tcPr>
          <w:p w:rsidR="007E38DC" w:rsidRPr="00394986" w:rsidRDefault="007E38DC" w:rsidP="003F2B74">
            <w:pPr>
              <w:pStyle w:val="Default"/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bottom w:val="none" w:sz="0" w:space="0" w:color="auto"/>
            </w:tcBorders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</w:rPr>
              <w:t>Sasia e lëndë</w:t>
            </w: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ve djegëse për njesi të produktit final</w:t>
            </w:r>
          </w:p>
        </w:tc>
      </w:tr>
      <w:tr w:rsidR="007E38DC" w:rsidRPr="00394986" w:rsidTr="003F2B7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vMerge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46" w:type="dxa"/>
            <w:vMerge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 xml:space="preserve">Gazoil D1 ose D2 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Solar ose mazut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Koks Nafte</w:t>
            </w:r>
          </w:p>
        </w:tc>
      </w:tr>
      <w:tr w:rsidR="007E38DC" w:rsidRPr="00394986" w:rsidTr="003F2B74">
        <w:trPr>
          <w:trHeight w:val="8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846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Prodhim tullash dhe tjegullash me pjekje termike. Etj</w:t>
            </w:r>
          </w:p>
        </w:tc>
        <w:tc>
          <w:tcPr>
            <w:tcW w:w="1843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Ngrohje tharje dhe pjekje të tullave dhe tjegullave</w:t>
            </w: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 xml:space="preserve">Sipas kartës teknologjike jo më shumë se </w:t>
            </w:r>
            <w:r w:rsidRPr="00394986">
              <w:rPr>
                <w:rFonts w:ascii="Garamond" w:hAnsi="Garamond"/>
                <w:color w:val="auto"/>
                <w:sz w:val="22"/>
                <w:szCs w:val="22"/>
              </w:rPr>
              <w:t xml:space="preserve"> 4-kg, solar për 1-kv produkt final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</w:tr>
      <w:tr w:rsidR="007E38DC" w:rsidRPr="00394986" w:rsidTr="003F2B74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846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Prodhim çimento</w:t>
            </w:r>
          </w:p>
        </w:tc>
        <w:tc>
          <w:tcPr>
            <w:tcW w:w="1843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  <w:tc>
          <w:tcPr>
            <w:tcW w:w="1559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</w:tr>
      <w:tr w:rsidR="007E38DC" w:rsidRPr="00394986" w:rsidTr="003F2B74">
        <w:trPr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846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Riciklim i plastikës, qelqit dhe të përzier</w:t>
            </w:r>
          </w:p>
        </w:tc>
        <w:tc>
          <w:tcPr>
            <w:tcW w:w="1843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7E38DC" w:rsidRPr="00394986" w:rsidTr="003F2B7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846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Prodhim barnash</w:t>
            </w:r>
          </w:p>
        </w:tc>
        <w:tc>
          <w:tcPr>
            <w:tcW w:w="1843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  <w:tc>
          <w:tcPr>
            <w:tcW w:w="1559" w:type="dxa"/>
            <w:noWrap/>
            <w:hideMark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7E38DC" w:rsidRPr="00394986" w:rsidTr="003F2B74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noWrap/>
          </w:tcPr>
          <w:p w:rsidR="007E38DC" w:rsidRPr="00394986" w:rsidRDefault="007E38DC" w:rsidP="003F2B74">
            <w:pPr>
              <w:pStyle w:val="Default"/>
              <w:spacing w:after="20"/>
              <w:rPr>
                <w:rFonts w:ascii="Garamond" w:hAnsi="Garamond"/>
                <w:b w:val="0"/>
                <w:sz w:val="22"/>
                <w:szCs w:val="22"/>
              </w:rPr>
            </w:pPr>
            <w:r w:rsidRPr="00394986">
              <w:rPr>
                <w:rFonts w:ascii="Garamond" w:hAnsi="Garamond"/>
                <w:b w:val="0"/>
                <w:sz w:val="22"/>
                <w:szCs w:val="22"/>
              </w:rPr>
              <w:t>5</w:t>
            </w:r>
          </w:p>
        </w:tc>
        <w:tc>
          <w:tcPr>
            <w:tcW w:w="1846" w:type="dxa"/>
            <w:noWrap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Rafineri</w:t>
            </w:r>
          </w:p>
        </w:tc>
        <w:tc>
          <w:tcPr>
            <w:tcW w:w="1843" w:type="dxa"/>
            <w:noWrap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 xml:space="preserve">Përpunim i naftës bruto </w:t>
            </w:r>
          </w:p>
        </w:tc>
        <w:tc>
          <w:tcPr>
            <w:tcW w:w="1418" w:type="dxa"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  <w:noWrap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  <w:r w:rsidRPr="00394986">
              <w:rPr>
                <w:rFonts w:ascii="Garamond" w:hAnsi="Garamond"/>
                <w:sz w:val="22"/>
                <w:szCs w:val="22"/>
              </w:rPr>
              <w:t>Sipas kartës teknologjike</w:t>
            </w:r>
          </w:p>
        </w:tc>
        <w:tc>
          <w:tcPr>
            <w:tcW w:w="1559" w:type="dxa"/>
            <w:noWrap/>
          </w:tcPr>
          <w:p w:rsidR="007E38DC" w:rsidRPr="00394986" w:rsidRDefault="007E38DC" w:rsidP="003F2B74">
            <w:pPr>
              <w:pStyle w:val="Default"/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7E38DC" w:rsidRPr="00240DA3" w:rsidRDefault="007E38DC" w:rsidP="007E38DC">
      <w:pPr>
        <w:pStyle w:val="Akti"/>
        <w:keepNext w:val="0"/>
        <w:rPr>
          <w:spacing w:val="-4"/>
          <w:sz w:val="14"/>
          <w:lang w:val="sq-AL"/>
        </w:rPr>
      </w:pPr>
    </w:p>
    <w:p w:rsidR="007E38DC" w:rsidRDefault="007E38DC" w:rsidP="007E38DC">
      <w:pPr>
        <w:pStyle w:val="Akti"/>
        <w:rPr>
          <w:spacing w:val="-4"/>
          <w:lang w:val="sq-AL"/>
        </w:rPr>
        <w:sectPr w:rsidR="007E38DC" w:rsidSect="005359E3">
          <w:type w:val="continuous"/>
          <w:pgSz w:w="11907" w:h="16840" w:code="9"/>
          <w:pgMar w:top="720" w:right="1134" w:bottom="720" w:left="1134" w:header="851" w:footer="851" w:gutter="0"/>
          <w:pgNumType w:start="51"/>
          <w:cols w:space="454"/>
          <w:docGrid w:linePitch="360"/>
        </w:sectPr>
      </w:pPr>
    </w:p>
    <w:p w:rsidR="004F59B3" w:rsidRDefault="004F59B3" w:rsidP="0089007B">
      <w:pPr>
        <w:pStyle w:val="Akti"/>
        <w:keepNext w:val="0"/>
      </w:pPr>
      <w:bookmarkStart w:id="0" w:name="_GoBack"/>
      <w:bookmarkEnd w:id="0"/>
    </w:p>
    <w:sectPr w:rsidR="004F59B3" w:rsidSect="00535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EEB" w:rsidRDefault="005359E3">
      <w:pPr>
        <w:spacing w:after="0" w:line="240" w:lineRule="auto"/>
      </w:pPr>
      <w:r>
        <w:separator/>
      </w:r>
    </w:p>
  </w:endnote>
  <w:endnote w:type="continuationSeparator" w:id="0">
    <w:p w:rsidR="00FE0EEB" w:rsidRDefault="0053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3652F" w:rsidRPr="00B4283E" w:rsidRDefault="007E38D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2F" w:rsidRPr="005B4361" w:rsidRDefault="0089007B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3652F" w:rsidRPr="00833610" w:rsidRDefault="007E38D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3652F" w:rsidRDefault="008900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EEB" w:rsidRDefault="005359E3">
      <w:pPr>
        <w:spacing w:after="0" w:line="240" w:lineRule="auto"/>
      </w:pPr>
      <w:r>
        <w:separator/>
      </w:r>
    </w:p>
  </w:footnote>
  <w:footnote w:type="continuationSeparator" w:id="0">
    <w:p w:rsidR="00FE0EEB" w:rsidRDefault="00535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3652F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3652F" w:rsidRPr="00EB260B" w:rsidRDefault="007E38DC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3652F" w:rsidRPr="00EB260B" w:rsidRDefault="007E38DC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CA4382B" wp14:editId="030B975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3652F" w:rsidRPr="00EB260B" w:rsidRDefault="007E38DC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4</w:t>
          </w:r>
        </w:p>
      </w:tc>
    </w:tr>
  </w:tbl>
  <w:p w:rsidR="0093652F" w:rsidRPr="00385E2C" w:rsidRDefault="0089007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2F" w:rsidRDefault="008900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2F" w:rsidRDefault="0089007B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AA"/>
    <w:rsid w:val="004F59B3"/>
    <w:rsid w:val="005359E3"/>
    <w:rsid w:val="00664BAA"/>
    <w:rsid w:val="007E38DC"/>
    <w:rsid w:val="0089007B"/>
    <w:rsid w:val="00FE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EC440-2FF2-40DB-9032-280768AD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8D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E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E38D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E3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8D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3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8DC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7E38D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E38D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E38D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E38D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E38D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E38D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E38D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E38D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E38D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E38D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E38D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E38D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E38DC"/>
    <w:pPr>
      <w:ind w:firstLine="0"/>
      <w:jc w:val="center"/>
    </w:pPr>
    <w:rPr>
      <w:caps/>
      <w:szCs w:val="24"/>
    </w:rPr>
  </w:style>
  <w:style w:type="paragraph" w:customStyle="1" w:styleId="Default">
    <w:name w:val="Default"/>
    <w:rsid w:val="007E38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1Light1">
    <w:name w:val="Grid Table 1 Light1"/>
    <w:basedOn w:val="TableNormal"/>
    <w:uiPriority w:val="46"/>
    <w:rsid w:val="007E38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3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9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 aliaj</cp:lastModifiedBy>
  <cp:revision>4</cp:revision>
  <dcterms:created xsi:type="dcterms:W3CDTF">2017-01-23T10:03:00Z</dcterms:created>
  <dcterms:modified xsi:type="dcterms:W3CDTF">2018-09-26T08:06:00Z</dcterms:modified>
</cp:coreProperties>
</file>