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53" w:rsidRPr="008066EE" w:rsidRDefault="00DC2753" w:rsidP="00DC2753">
      <w:pPr>
        <w:pStyle w:val="Akti"/>
        <w:keepNext w:val="0"/>
        <w:rPr>
          <w:spacing w:val="-4"/>
          <w:lang w:val="sq-AL"/>
        </w:rPr>
      </w:pPr>
      <w:bookmarkStart w:id="0" w:name="_GoBack"/>
      <w:r w:rsidRPr="008066EE">
        <w:rPr>
          <w:spacing w:val="-4"/>
          <w:lang w:val="sq-AL"/>
        </w:rPr>
        <w:t>VENDIM</w:t>
      </w:r>
    </w:p>
    <w:p w:rsidR="00DC2753" w:rsidRPr="008066EE" w:rsidRDefault="00DC2753" w:rsidP="00DC2753">
      <w:pPr>
        <w:pStyle w:val="Paragrafi"/>
        <w:jc w:val="center"/>
        <w:rPr>
          <w:b/>
          <w:spacing w:val="-4"/>
          <w:lang w:val="sq-AL"/>
        </w:rPr>
      </w:pPr>
      <w:r w:rsidRPr="008066EE">
        <w:rPr>
          <w:b/>
          <w:spacing w:val="-4"/>
          <w:lang w:val="sq-AL"/>
        </w:rPr>
        <w:t>Nr. 47, datë 25.1.2017</w:t>
      </w:r>
    </w:p>
    <w:p w:rsidR="00DC2753" w:rsidRPr="008066EE" w:rsidRDefault="00DC2753" w:rsidP="00DC2753">
      <w:pPr>
        <w:pStyle w:val="Hapesira7"/>
        <w:rPr>
          <w:lang w:val="sq-AL"/>
        </w:rPr>
      </w:pPr>
    </w:p>
    <w:p w:rsidR="00DC2753" w:rsidRPr="008066EE" w:rsidRDefault="00DC2753" w:rsidP="00DC2753">
      <w:pPr>
        <w:pStyle w:val="Paragrafi"/>
        <w:jc w:val="center"/>
        <w:rPr>
          <w:b/>
          <w:spacing w:val="-4"/>
          <w:lang w:val="sq-AL"/>
        </w:rPr>
      </w:pPr>
      <w:r w:rsidRPr="008066EE">
        <w:rPr>
          <w:b/>
          <w:spacing w:val="-4"/>
          <w:lang w:val="sq-AL"/>
        </w:rPr>
        <w:t>PËR MIRATIMIN E KUADRIT MAKROEKONOMIK E FISKAL PËR PERIUDHËN 2018–2020</w:t>
      </w:r>
    </w:p>
    <w:p w:rsidR="00DC2753" w:rsidRPr="008066EE" w:rsidRDefault="00DC2753" w:rsidP="00DC2753">
      <w:pPr>
        <w:pStyle w:val="Hapesira7"/>
        <w:rPr>
          <w:lang w:val="sq-AL"/>
        </w:rPr>
      </w:pPr>
    </w:p>
    <w:p w:rsidR="00DC2753" w:rsidRPr="008066EE" w:rsidRDefault="00DC2753" w:rsidP="00DC2753">
      <w:pPr>
        <w:pStyle w:val="Paragrafi"/>
        <w:rPr>
          <w:spacing w:val="-4"/>
          <w:lang w:val="sq-AL"/>
        </w:rPr>
      </w:pPr>
      <w:r w:rsidRPr="008066EE">
        <w:rPr>
          <w:spacing w:val="-4"/>
          <w:lang w:val="sq-AL"/>
        </w:rPr>
        <w:t>Në mbështetje të nenit 100 të Kushtetutës dhe të neneve 23 e 27, të ligjit nr. 9936, datë 26.6.2008, “Për menaxhimin e sistemit buxhetor në Republikën e Shqipërisë”, të ndryshuar, me propozimin e ministrit të Financave, Këshilli i Ministrave</w:t>
      </w:r>
    </w:p>
    <w:p w:rsidR="00DC2753" w:rsidRPr="008066EE" w:rsidRDefault="00DC2753" w:rsidP="00DC2753">
      <w:pPr>
        <w:pStyle w:val="Hapesira7"/>
        <w:rPr>
          <w:lang w:val="sq-AL"/>
        </w:rPr>
      </w:pPr>
    </w:p>
    <w:p w:rsidR="00DC2753" w:rsidRPr="008066EE" w:rsidRDefault="00DC2753" w:rsidP="00DC2753">
      <w:pPr>
        <w:pStyle w:val="Titull-Titull"/>
        <w:rPr>
          <w:spacing w:val="-4"/>
          <w:lang w:val="sq-AL"/>
        </w:rPr>
      </w:pPr>
      <w:r w:rsidRPr="008066EE">
        <w:rPr>
          <w:spacing w:val="-4"/>
          <w:lang w:val="sq-AL"/>
        </w:rPr>
        <w:t>VENDOSI:</w:t>
      </w:r>
    </w:p>
    <w:p w:rsidR="00DC2753" w:rsidRPr="008066EE" w:rsidRDefault="00DC2753" w:rsidP="00DC2753">
      <w:pPr>
        <w:pStyle w:val="Hapesira7"/>
        <w:rPr>
          <w:lang w:val="sq-AL"/>
        </w:rPr>
      </w:pPr>
    </w:p>
    <w:p w:rsidR="00DC2753" w:rsidRPr="008066EE" w:rsidRDefault="00DC2753" w:rsidP="00DC2753">
      <w:pPr>
        <w:pStyle w:val="Paragrafi"/>
        <w:rPr>
          <w:spacing w:val="-4"/>
          <w:lang w:val="sq-AL"/>
        </w:rPr>
      </w:pPr>
      <w:r w:rsidRPr="008066EE">
        <w:rPr>
          <w:spacing w:val="-4"/>
          <w:lang w:val="sq-AL"/>
        </w:rPr>
        <w:t>1. Miratimin e kuadrit makroekonomik e fiskal për periudhën 2018–2020, si dhe lidhjet nr. 1, “Treguesit kryesorë makroekonomikë”, nr. 2/1 e nr. 2/2, “Treguesit fiskalë sipas buxhetit të konsoliduar”, që i bashkëlidhen këtij vendimi dhe janë pjesë përbërëse të tij.</w:t>
      </w:r>
    </w:p>
    <w:p w:rsidR="00DC2753" w:rsidRPr="008066EE" w:rsidRDefault="00DC2753" w:rsidP="00DC2753">
      <w:pPr>
        <w:pStyle w:val="Paragrafi"/>
        <w:rPr>
          <w:spacing w:val="-4"/>
          <w:lang w:val="sq-AL"/>
        </w:rPr>
      </w:pPr>
      <w:r w:rsidRPr="008066EE">
        <w:rPr>
          <w:spacing w:val="-4"/>
          <w:lang w:val="sq-AL"/>
        </w:rPr>
        <w:t xml:space="preserve">2. Ngarkohet Ministria e Financave për zbatimin e këtij vendimi. </w:t>
      </w:r>
    </w:p>
    <w:p w:rsidR="00DC2753" w:rsidRPr="008066EE" w:rsidRDefault="00DC2753" w:rsidP="00DC2753">
      <w:pPr>
        <w:pStyle w:val="Paragrafi"/>
        <w:rPr>
          <w:spacing w:val="-4"/>
          <w:lang w:val="sq-AL"/>
        </w:rPr>
      </w:pPr>
      <w:r w:rsidRPr="008066EE">
        <w:rPr>
          <w:spacing w:val="-4"/>
          <w:lang w:val="sq-AL"/>
        </w:rPr>
        <w:t>Ky vendim hyn në fuqi menjëherë dhe botohet në Fletoren Zyrtare.</w:t>
      </w:r>
    </w:p>
    <w:p w:rsidR="00DC2753" w:rsidRPr="008066EE" w:rsidRDefault="00DC2753" w:rsidP="00DC2753">
      <w:pPr>
        <w:pStyle w:val="Hapesira7"/>
        <w:rPr>
          <w:lang w:val="sq-AL"/>
        </w:rPr>
      </w:pPr>
    </w:p>
    <w:p w:rsidR="00DC2753" w:rsidRPr="008066EE" w:rsidRDefault="00DC2753" w:rsidP="00DC2753">
      <w:pPr>
        <w:pStyle w:val="Autoriteti"/>
        <w:keepNext w:val="0"/>
        <w:rPr>
          <w:spacing w:val="-4"/>
          <w:lang w:val="sq-AL"/>
        </w:rPr>
      </w:pPr>
      <w:r w:rsidRPr="008066EE">
        <w:rPr>
          <w:spacing w:val="-4"/>
          <w:lang w:val="sq-AL"/>
        </w:rPr>
        <w:t>ZËVENDËSKRYEMINISTRI</w:t>
      </w:r>
    </w:p>
    <w:p w:rsidR="00DC2753" w:rsidRPr="00462AD6" w:rsidRDefault="00DC2753" w:rsidP="00DC2753">
      <w:pPr>
        <w:pStyle w:val="AutoritetiEmer"/>
        <w:rPr>
          <w:spacing w:val="-4"/>
          <w:lang w:val="sq-AL"/>
        </w:rPr>
        <w:sectPr w:rsidR="00DC2753" w:rsidRPr="00462AD6" w:rsidSect="00807797">
          <w:pgSz w:w="11907" w:h="16840" w:code="9"/>
          <w:pgMar w:top="720" w:right="1134" w:bottom="720" w:left="1134" w:header="851" w:footer="851" w:gutter="0"/>
          <w:cols w:space="454"/>
          <w:docGrid w:linePitch="360"/>
        </w:sectPr>
      </w:pPr>
      <w:r w:rsidRPr="008066EE">
        <w:rPr>
          <w:spacing w:val="-4"/>
          <w:lang w:val="sq-AL"/>
        </w:rPr>
        <w:t>Niko Peleshi</w:t>
      </w:r>
    </w:p>
    <w:bookmarkEnd w:id="0"/>
    <w:p w:rsidR="00807797" w:rsidRDefault="00807797" w:rsidP="00DC2753">
      <w:pPr>
        <w:pStyle w:val="Hapesira7"/>
        <w:rPr>
          <w:lang w:val="sq-AL" w:eastAsia="en-GB"/>
        </w:rPr>
        <w:sectPr w:rsidR="00807797" w:rsidSect="008A378D">
          <w:type w:val="continuous"/>
          <w:pgSz w:w="11907" w:h="16840" w:code="9"/>
          <w:pgMar w:top="720" w:right="1134" w:bottom="720" w:left="1134" w:header="851" w:footer="851" w:gutter="0"/>
          <w:cols w:space="454"/>
          <w:docGrid w:linePitch="360"/>
        </w:sectPr>
      </w:pPr>
    </w:p>
    <w:p w:rsidR="00DC2753" w:rsidRPr="00276B9D" w:rsidRDefault="00DC2753" w:rsidP="00DC2753">
      <w:pPr>
        <w:pStyle w:val="Hapesira7"/>
        <w:rPr>
          <w:lang w:val="sq-AL" w:eastAsia="en-GB"/>
        </w:rPr>
      </w:pPr>
    </w:p>
    <w:p w:rsidR="00DC2753" w:rsidRPr="00C94213" w:rsidRDefault="00DC2753" w:rsidP="00DC2753">
      <w:pPr>
        <w:pStyle w:val="Titull-Titull"/>
        <w:rPr>
          <w:b/>
          <w:lang w:val="sq-AL"/>
        </w:rPr>
      </w:pPr>
      <w:r w:rsidRPr="00C94213">
        <w:rPr>
          <w:b/>
          <w:lang w:val="sq-AL"/>
        </w:rPr>
        <w:t>Kuadri Makroekonomik dhe Fiskal 2018–2020</w:t>
      </w:r>
    </w:p>
    <w:p w:rsidR="00DC2753" w:rsidRPr="00276B9D" w:rsidRDefault="00DC2753" w:rsidP="00DC2753">
      <w:pPr>
        <w:pStyle w:val="Titull-Titull"/>
        <w:rPr>
          <w:lang w:val="sq-AL"/>
        </w:rPr>
      </w:pPr>
      <w:r>
        <w:rPr>
          <w:lang w:val="sq-AL"/>
        </w:rPr>
        <w:t>janar 2017</w:t>
      </w:r>
    </w:p>
    <w:p w:rsidR="00DC2753" w:rsidRPr="00276B9D" w:rsidRDefault="00DC2753" w:rsidP="00DC2753">
      <w:pPr>
        <w:pStyle w:val="Hapesira7"/>
        <w:rPr>
          <w:lang w:val="sq-AL" w:eastAsia="en-GB"/>
        </w:rPr>
      </w:pPr>
    </w:p>
    <w:p w:rsidR="00DC2753" w:rsidRDefault="00DC2753" w:rsidP="00DC2753">
      <w:pPr>
        <w:pStyle w:val="Paragrafi"/>
        <w:jc w:val="left"/>
        <w:rPr>
          <w:lang w:val="sq-AL"/>
        </w:rPr>
      </w:pPr>
      <w:bookmarkStart w:id="1" w:name="_Toc472430731"/>
      <w:r w:rsidRPr="00276B9D">
        <w:rPr>
          <w:lang w:val="sq-AL"/>
        </w:rPr>
        <w:t>Shkurtime</w:t>
      </w:r>
      <w:bookmarkEnd w:id="1"/>
    </w:p>
    <w:p w:rsidR="00DC2753" w:rsidRPr="00C90467" w:rsidRDefault="00DC2753" w:rsidP="00DC2753">
      <w:pPr>
        <w:pStyle w:val="Paragrafi"/>
        <w:jc w:val="left"/>
        <w:rPr>
          <w:sz w:val="16"/>
          <w:lang w:val="sq-AL"/>
        </w:rPr>
      </w:pPr>
    </w:p>
    <w:tbl>
      <w:tblPr>
        <w:tblStyle w:val="TableGrid"/>
        <w:tblW w:w="2733" w:type="pct"/>
        <w:tblInd w:w="392" w:type="dxa"/>
        <w:tblLook w:val="04A0" w:firstRow="1" w:lastRow="0" w:firstColumn="1" w:lastColumn="0" w:noHBand="0" w:noVBand="1"/>
      </w:tblPr>
      <w:tblGrid>
        <w:gridCol w:w="1393"/>
        <w:gridCol w:w="3994"/>
      </w:tblGrid>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MF</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Ministria e Financave</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KMF</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Kuadri Makroekonomik dhe Fiskal</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PBA</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 xml:space="preserve">Programi Buxhetor Afatmesëm </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SPI</w:t>
            </w:r>
          </w:p>
        </w:tc>
        <w:tc>
          <w:tcPr>
            <w:tcW w:w="3707" w:type="pct"/>
          </w:tcPr>
          <w:p w:rsidR="00DC2753" w:rsidRPr="00276B9D" w:rsidRDefault="00DC2753" w:rsidP="00A32E42">
            <w:pPr>
              <w:widowControl w:val="0"/>
              <w:ind w:firstLine="0"/>
              <w:jc w:val="left"/>
              <w:rPr>
                <w:rFonts w:ascii="Garamond" w:hAnsi="Garamond"/>
                <w:lang w:val="sq-AL"/>
              </w:rPr>
            </w:pPr>
            <w:r>
              <w:rPr>
                <w:rFonts w:ascii="Garamond" w:hAnsi="Garamond"/>
                <w:lang w:val="sq-AL"/>
              </w:rPr>
              <w:t>Sistemi i</w:t>
            </w:r>
            <w:r w:rsidRPr="00276B9D">
              <w:rPr>
                <w:rFonts w:ascii="Garamond" w:hAnsi="Garamond"/>
                <w:lang w:val="sq-AL"/>
              </w:rPr>
              <w:t xml:space="preserve"> Planifikimit të Integruar</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KM</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Këshilli i Ministrave</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PBB</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Produkti i Brendshëm Bruto</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FMN</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Fondi Monetar Ndërkombëtar</w:t>
            </w:r>
          </w:p>
        </w:tc>
      </w:tr>
      <w:tr w:rsidR="00DC2753" w:rsidRPr="00276B9D" w:rsidTr="00A32E42">
        <w:tc>
          <w:tcPr>
            <w:tcW w:w="1293"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WEO</w:t>
            </w:r>
          </w:p>
        </w:tc>
        <w:tc>
          <w:tcPr>
            <w:tcW w:w="3707" w:type="pct"/>
          </w:tcPr>
          <w:p w:rsidR="00DC2753" w:rsidRPr="00276B9D" w:rsidRDefault="00DC2753" w:rsidP="00A32E42">
            <w:pPr>
              <w:widowControl w:val="0"/>
              <w:ind w:firstLine="0"/>
              <w:jc w:val="left"/>
              <w:rPr>
                <w:rFonts w:ascii="Garamond" w:hAnsi="Garamond"/>
                <w:lang w:val="sq-AL"/>
              </w:rPr>
            </w:pPr>
            <w:r w:rsidRPr="00276B9D">
              <w:rPr>
                <w:rFonts w:ascii="Garamond" w:hAnsi="Garamond"/>
                <w:lang w:val="sq-AL"/>
              </w:rPr>
              <w:t>World Economic Outlook</w:t>
            </w:r>
          </w:p>
        </w:tc>
      </w:tr>
    </w:tbl>
    <w:p w:rsidR="00DC2753" w:rsidRPr="00276B9D" w:rsidRDefault="00DC2753" w:rsidP="00DC2753">
      <w:pPr>
        <w:pStyle w:val="Hapesira7"/>
        <w:rPr>
          <w:lang w:val="sq-AL" w:eastAsia="en-GB"/>
        </w:rPr>
      </w:pPr>
    </w:p>
    <w:p w:rsidR="00DC2753" w:rsidRPr="00276B9D" w:rsidRDefault="00DC2753" w:rsidP="00DC2753">
      <w:pPr>
        <w:pStyle w:val="Paragrafi"/>
        <w:rPr>
          <w:lang w:val="sq-AL"/>
        </w:rPr>
      </w:pPr>
      <w:bookmarkStart w:id="2" w:name="_Toc472430732"/>
      <w:r w:rsidRPr="00276B9D">
        <w:rPr>
          <w:lang w:val="sq-AL"/>
        </w:rPr>
        <w:t>Hyrje</w:t>
      </w:r>
      <w:bookmarkEnd w:id="2"/>
      <w:r w:rsidRPr="00276B9D">
        <w:rPr>
          <w:lang w:val="sq-AL"/>
        </w:rPr>
        <w:t xml:space="preserve"> </w:t>
      </w:r>
    </w:p>
    <w:p w:rsidR="00DC2753" w:rsidRDefault="00DC2753" w:rsidP="00DC2753">
      <w:pPr>
        <w:pStyle w:val="Paragrafi"/>
        <w:rPr>
          <w:lang w:val="sq-AL"/>
        </w:rPr>
      </w:pPr>
      <w:r w:rsidRPr="00276B9D">
        <w:rPr>
          <w:lang w:val="sq-AL"/>
        </w:rPr>
        <w:t xml:space="preserve">Kuadri Makroekonomik e Fiskal (KMF) për periudhën </w:t>
      </w:r>
      <w:r>
        <w:rPr>
          <w:lang w:val="sq-AL"/>
        </w:rPr>
        <w:t>2018–2020</w:t>
      </w:r>
      <w:r w:rsidRPr="00276B9D">
        <w:rPr>
          <w:lang w:val="sq-AL"/>
        </w:rPr>
        <w:t xml:space="preserve"> është pjesë e Sistemit të Planifikimit të Integruar dhe përgatitet nga Ministria e Financave. KMF</w:t>
      </w:r>
      <w:r>
        <w:rPr>
          <w:lang w:val="sq-AL"/>
        </w:rPr>
        <w:t>-ja</w:t>
      </w:r>
      <w:r w:rsidRPr="00276B9D">
        <w:rPr>
          <w:lang w:val="sq-AL"/>
        </w:rPr>
        <w:t xml:space="preserve"> ka për qëllim përcaktimin e përparësive strategjike të qeverisë. Ai projekton pritshmërinë makroekonomike në horizontin kohor </w:t>
      </w:r>
      <w:r>
        <w:rPr>
          <w:lang w:val="sq-AL"/>
        </w:rPr>
        <w:t>afat</w:t>
      </w:r>
      <w:r w:rsidRPr="00276B9D">
        <w:rPr>
          <w:lang w:val="sq-AL"/>
        </w:rPr>
        <w:t>mesëm, si dhe parashikon nivelin e zërave të agreguar të të ardhurave dhe shpenzimeve të buxhetit të shtetit. Ai përcakton synimet dhe objektivat e qeverisë në lidhje me treguesit kryesor</w:t>
      </w:r>
      <w:r>
        <w:rPr>
          <w:lang w:val="sq-AL"/>
        </w:rPr>
        <w:t>ë</w:t>
      </w:r>
      <w:r w:rsidRPr="00276B9D">
        <w:rPr>
          <w:lang w:val="sq-AL"/>
        </w:rPr>
        <w:t xml:space="preserve"> të politikës fiskale</w:t>
      </w:r>
      <w:r>
        <w:rPr>
          <w:lang w:val="sq-AL"/>
        </w:rPr>
        <w:t>, si:</w:t>
      </w:r>
      <w:r w:rsidRPr="00276B9D">
        <w:rPr>
          <w:lang w:val="sq-AL"/>
        </w:rPr>
        <w:t xml:space="preserve"> balancën e përgjithshme fiskale (deficitin), huamarrjen, borxhin publik, balancën fiskale primare dhe atë korrente. KMF</w:t>
      </w:r>
      <w:r>
        <w:rPr>
          <w:lang w:val="sq-AL"/>
        </w:rPr>
        <w:t>-ja</w:t>
      </w:r>
      <w:r w:rsidRPr="00276B9D">
        <w:rPr>
          <w:lang w:val="sq-AL"/>
        </w:rPr>
        <w:t xml:space="preserve"> shërben si bazë për përcaktimin e tavaneve në fazën e parë të procesit të përgatitjes së Programit Buxhetor Afatmesëm (PBA) 2018–2020 në nivel ministrie. </w:t>
      </w:r>
    </w:p>
    <w:p w:rsidR="00DC2753" w:rsidRDefault="00DC2753" w:rsidP="00DC2753">
      <w:pPr>
        <w:pStyle w:val="Paragrafi"/>
        <w:rPr>
          <w:lang w:val="sq-AL"/>
        </w:rPr>
      </w:pPr>
    </w:p>
    <w:p w:rsidR="00DC2753" w:rsidRPr="00276B9D" w:rsidRDefault="00DC2753" w:rsidP="00DC2753">
      <w:pPr>
        <w:pStyle w:val="Paragrafi"/>
        <w:rPr>
          <w:lang w:val="sq-AL"/>
        </w:rPr>
      </w:pPr>
    </w:p>
    <w:p w:rsidR="00DC2753" w:rsidRPr="00276B9D" w:rsidRDefault="00DC2753" w:rsidP="00DC2753">
      <w:pPr>
        <w:pStyle w:val="Paragrafi"/>
        <w:rPr>
          <w:lang w:val="sq-AL"/>
        </w:rPr>
      </w:pPr>
      <w:r w:rsidRPr="00276B9D">
        <w:rPr>
          <w:lang w:val="sq-AL"/>
        </w:rPr>
        <w:t>KMF</w:t>
      </w:r>
      <w:r>
        <w:rPr>
          <w:lang w:val="sq-AL"/>
        </w:rPr>
        <w:t>-ja</w:t>
      </w:r>
      <w:r w:rsidRPr="00276B9D">
        <w:rPr>
          <w:lang w:val="sq-AL"/>
        </w:rPr>
        <w:t xml:space="preserve"> miratohet nga Këshilli i Ministr</w:t>
      </w:r>
      <w:r>
        <w:rPr>
          <w:lang w:val="sq-AL"/>
        </w:rPr>
        <w:t>ave në muajin janar të çdo viti</w:t>
      </w:r>
      <w:r w:rsidRPr="00276B9D">
        <w:rPr>
          <w:lang w:val="sq-AL"/>
        </w:rPr>
        <w:t xml:space="preserve"> dhe mund të jetë sërish subjekt rishikimi dhe përditësimi përgjatë vitit, përpara finalizimit të PBA-së dhe të tavaneve për shpenzimet. </w:t>
      </w:r>
    </w:p>
    <w:p w:rsidR="00DC2753" w:rsidRPr="00276B9D" w:rsidRDefault="00DC2753" w:rsidP="00DC2753">
      <w:pPr>
        <w:pStyle w:val="Paragrafi"/>
        <w:rPr>
          <w:lang w:val="sq-AL"/>
        </w:rPr>
      </w:pPr>
      <w:r w:rsidRPr="00276B9D">
        <w:rPr>
          <w:lang w:val="sq-AL"/>
        </w:rPr>
        <w:t>KMF</w:t>
      </w:r>
      <w:r>
        <w:rPr>
          <w:lang w:val="sq-AL"/>
        </w:rPr>
        <w:t>-ja</w:t>
      </w:r>
      <w:r w:rsidRPr="00276B9D">
        <w:rPr>
          <w:lang w:val="sq-AL"/>
        </w:rPr>
        <w:t xml:space="preserve"> përmban dy komponentë kryesor</w:t>
      </w:r>
      <w:r w:rsidRPr="00136833">
        <w:rPr>
          <w:lang w:val="sq-AL"/>
        </w:rPr>
        <w:t>ë</w:t>
      </w:r>
      <w:r w:rsidRPr="00276B9D">
        <w:rPr>
          <w:lang w:val="sq-AL"/>
        </w:rPr>
        <w:t>: i) parashikimet për treguesit kryesorë makroekonomik</w:t>
      </w:r>
      <w:r>
        <w:rPr>
          <w:lang w:val="sq-AL"/>
        </w:rPr>
        <w:t>ë,</w:t>
      </w:r>
      <w:r w:rsidRPr="00276B9D">
        <w:rPr>
          <w:lang w:val="sq-AL"/>
        </w:rPr>
        <w:t xml:space="preserve"> të cilët paraqesin pritshmërinë ek</w:t>
      </w:r>
      <w:r>
        <w:rPr>
          <w:lang w:val="sq-AL"/>
        </w:rPr>
        <w:t>onomike për vitin aktual dhe tri</w:t>
      </w:r>
      <w:r w:rsidRPr="00276B9D">
        <w:rPr>
          <w:lang w:val="sq-AL"/>
        </w:rPr>
        <w:t xml:space="preserve"> vitet e ardhshme</w:t>
      </w:r>
      <w:r>
        <w:rPr>
          <w:lang w:val="sq-AL"/>
        </w:rPr>
        <w:t>;</w:t>
      </w:r>
      <w:r w:rsidRPr="00276B9D">
        <w:rPr>
          <w:lang w:val="sq-AL"/>
        </w:rPr>
        <w:t xml:space="preserve"> dhe ii) parashikimet dhe objektivat për treguesit fiskal</w:t>
      </w:r>
      <w:r>
        <w:rPr>
          <w:lang w:val="sq-AL"/>
        </w:rPr>
        <w:t>ë,</w:t>
      </w:r>
      <w:r w:rsidRPr="00276B9D">
        <w:rPr>
          <w:lang w:val="sq-AL"/>
        </w:rPr>
        <w:t xml:space="preserve"> të cilët paraqesin burimet e pritshme në dispozicion të qeverisë për vitet 2018–2020 dhe shpërndarjen e tyre për këtë periudhë sipas buxhetit të konsoliduar. Këto komponentë paraqiten në mënyrë tabelore në fund të këtij dokumenti, përkatësisht lidhja nr. 1; lidhja </w:t>
      </w:r>
      <w:r w:rsidRPr="00276B9D">
        <w:rPr>
          <w:lang w:val="sq-AL"/>
        </w:rPr>
        <w:lastRenderedPageBreak/>
        <w:t>nr. 2/1; dhe lidhja nr. 2/2.</w:t>
      </w:r>
    </w:p>
    <w:p w:rsidR="00DC2753" w:rsidRPr="00276B9D" w:rsidRDefault="00DC2753" w:rsidP="00DC2753">
      <w:pPr>
        <w:pStyle w:val="Paragrafi"/>
        <w:rPr>
          <w:lang w:val="sq-AL"/>
        </w:rPr>
      </w:pPr>
      <w:r w:rsidRPr="00276B9D">
        <w:rPr>
          <w:lang w:val="sq-AL"/>
        </w:rPr>
        <w:t>KMF</w:t>
      </w:r>
      <w:r>
        <w:rPr>
          <w:lang w:val="sq-AL"/>
        </w:rPr>
        <w:t>-ja</w:t>
      </w:r>
      <w:r w:rsidRPr="00276B9D">
        <w:rPr>
          <w:lang w:val="sq-AL"/>
        </w:rPr>
        <w:t xml:space="preserve"> </w:t>
      </w:r>
      <w:r>
        <w:rPr>
          <w:lang w:val="sq-AL"/>
        </w:rPr>
        <w:t>2018–2020</w:t>
      </w:r>
      <w:r w:rsidRPr="00276B9D">
        <w:rPr>
          <w:lang w:val="sq-AL"/>
        </w:rPr>
        <w:t xml:space="preserve"> ka ndryshime relativisht të vogla kundrejt KMF</w:t>
      </w:r>
      <w:r>
        <w:rPr>
          <w:lang w:val="sq-AL"/>
        </w:rPr>
        <w:t>-së</w:t>
      </w:r>
      <w:r w:rsidRPr="00276B9D">
        <w:rPr>
          <w:lang w:val="sq-AL"/>
        </w:rPr>
        <w:t xml:space="preserve"> të mëparshëm</w:t>
      </w:r>
      <w:r>
        <w:rPr>
          <w:lang w:val="sq-AL"/>
        </w:rPr>
        <w:t>,</w:t>
      </w:r>
      <w:r w:rsidRPr="00276B9D">
        <w:rPr>
          <w:lang w:val="sq-AL"/>
        </w:rPr>
        <w:t xml:space="preserve"> si dhe me ligjin e buxhetit vjetor 2017 për vitet 2017</w:t>
      </w:r>
      <w:r>
        <w:rPr>
          <w:lang w:val="sq-AL"/>
        </w:rPr>
        <w:t>–</w:t>
      </w:r>
      <w:r w:rsidRPr="00276B9D">
        <w:rPr>
          <w:lang w:val="sq-AL"/>
        </w:rPr>
        <w:t>2019. Ai është</w:t>
      </w:r>
      <w:r>
        <w:rPr>
          <w:lang w:val="sq-AL"/>
        </w:rPr>
        <w:t>,</w:t>
      </w:r>
      <w:r w:rsidRPr="00276B9D">
        <w:rPr>
          <w:lang w:val="sq-AL"/>
        </w:rPr>
        <w:t xml:space="preserve"> gjithashtu</w:t>
      </w:r>
      <w:r>
        <w:rPr>
          <w:lang w:val="sq-AL"/>
        </w:rPr>
        <w:t>,</w:t>
      </w:r>
      <w:r w:rsidRPr="00276B9D">
        <w:rPr>
          <w:lang w:val="sq-AL"/>
        </w:rPr>
        <w:t xml:space="preserve"> në linjë me parashikimet e institucioneve ndërkombëtare d</w:t>
      </w:r>
      <w:r>
        <w:rPr>
          <w:lang w:val="sq-AL"/>
        </w:rPr>
        <w:t>he në përputhje të plotë me pa</w:t>
      </w:r>
      <w:r w:rsidRPr="00276B9D">
        <w:rPr>
          <w:lang w:val="sq-AL"/>
        </w:rPr>
        <w:t>rimet dhe rregullat fiskalë të ligjit organik të buxhetit.</w:t>
      </w:r>
    </w:p>
    <w:p w:rsidR="00DC2753" w:rsidRPr="00276B9D" w:rsidRDefault="00DC2753" w:rsidP="00DC2753">
      <w:pPr>
        <w:pStyle w:val="Paragrafi"/>
        <w:rPr>
          <w:lang w:val="sq-AL"/>
        </w:rPr>
      </w:pPr>
      <w:bookmarkStart w:id="3" w:name="_Toc472430733"/>
      <w:r>
        <w:rPr>
          <w:noProof/>
        </w:rPr>
        <w:drawing>
          <wp:anchor distT="0" distB="0" distL="114300" distR="114300" simplePos="0" relativeHeight="251660288" behindDoc="0" locked="0" layoutInCell="1" allowOverlap="1" wp14:anchorId="71F3DE62" wp14:editId="33A73789">
            <wp:simplePos x="0" y="0"/>
            <wp:positionH relativeFrom="margin">
              <wp:posOffset>-20955</wp:posOffset>
            </wp:positionH>
            <wp:positionV relativeFrom="margin">
              <wp:posOffset>2377440</wp:posOffset>
            </wp:positionV>
            <wp:extent cx="3489325" cy="2155825"/>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89325" cy="2155825"/>
                    </a:xfrm>
                    <a:prstGeom prst="rect">
                      <a:avLst/>
                    </a:prstGeom>
                    <a:noFill/>
                    <a:ln>
                      <a:noFill/>
                    </a:ln>
                  </pic:spPr>
                </pic:pic>
              </a:graphicData>
            </a:graphic>
          </wp:anchor>
        </w:drawing>
      </w:r>
      <w:r w:rsidRPr="00276B9D">
        <w:rPr>
          <w:lang w:val="sq-AL"/>
        </w:rPr>
        <w:t>1. Zhvillimet më të fundit makro</w:t>
      </w:r>
      <w:r>
        <w:rPr>
          <w:lang w:val="sq-AL"/>
        </w:rPr>
        <w:t>-</w:t>
      </w:r>
      <w:r w:rsidRPr="00276B9D">
        <w:rPr>
          <w:lang w:val="sq-AL"/>
        </w:rPr>
        <w:t>ekonomike</w:t>
      </w:r>
      <w:bookmarkEnd w:id="3"/>
      <w:r w:rsidRPr="00276B9D">
        <w:rPr>
          <w:lang w:val="sq-AL"/>
        </w:rPr>
        <w:t xml:space="preserve"> </w:t>
      </w:r>
    </w:p>
    <w:p w:rsidR="00DC2753" w:rsidRPr="00276B9D" w:rsidRDefault="00DC2753" w:rsidP="00DC2753">
      <w:pPr>
        <w:pStyle w:val="Paragrafi"/>
        <w:rPr>
          <w:lang w:val="sq-AL"/>
        </w:rPr>
      </w:pPr>
      <w:r w:rsidRPr="00276B9D">
        <w:rPr>
          <w:lang w:val="sq-AL"/>
        </w:rPr>
        <w:t>Nga tërësia e statistikave dhe informa</w:t>
      </w:r>
      <w:r>
        <w:rPr>
          <w:lang w:val="sq-AL"/>
        </w:rPr>
        <w:t>-</w:t>
      </w:r>
      <w:r w:rsidRPr="00276B9D">
        <w:rPr>
          <w:lang w:val="sq-AL"/>
        </w:rPr>
        <w:t>cioneve të disponueshme, duket qartë se ekonomia ka hyrë tashmë në një trajektore përshpejtuese të rritjes. Referuar statisti</w:t>
      </w:r>
      <w:r>
        <w:rPr>
          <w:lang w:val="sq-AL"/>
        </w:rPr>
        <w:t>-</w:t>
      </w:r>
      <w:r w:rsidRPr="00276B9D">
        <w:rPr>
          <w:lang w:val="sq-AL"/>
        </w:rPr>
        <w:t>kave të llogarive kombëtare tremujore, rezulton një përshpejtim i rritjes ekonomike për 9-mujorin e parë të vitit 2016. Nga optika e kërkesës, rritja në 9</w:t>
      </w:r>
      <w:r>
        <w:rPr>
          <w:lang w:val="sq-AL"/>
        </w:rPr>
        <w:t>-</w:t>
      </w:r>
      <w:r w:rsidRPr="00276B9D">
        <w:rPr>
          <w:lang w:val="sq-AL"/>
        </w:rPr>
        <w:t xml:space="preserve">mujorin e parë të vitit 2016 është gjeneruar nga kërkesa e brendshme, ndërkohë që kërkesa e huaj dha një kontribut lehtësisht në kahun negativ. Sinjal të rëndësishëm përbën vijimi i trendit pozitiv dhe relativisht të fortë të konsumit për të pestin tremujor radhazi, që prej tremujorit të tretë të vitit 2015. </w:t>
      </w:r>
    </w:p>
    <w:p w:rsidR="00DC2753" w:rsidRPr="00276B9D" w:rsidRDefault="00DC2753" w:rsidP="00DC2753">
      <w:pPr>
        <w:pStyle w:val="Paragrafi"/>
        <w:rPr>
          <w:lang w:val="sq-AL"/>
        </w:rPr>
      </w:pPr>
      <w:r w:rsidRPr="00276B9D">
        <w:rPr>
          <w:lang w:val="sq-AL"/>
        </w:rPr>
        <w:t>Rritja reale e Prodhimit të Brendshëm Bruto për nëntë muajt e parë të 2016</w:t>
      </w:r>
      <w:r>
        <w:rPr>
          <w:lang w:val="sq-AL"/>
        </w:rPr>
        <w:t>-s</w:t>
      </w:r>
      <w:r w:rsidRPr="00276B9D">
        <w:rPr>
          <w:lang w:val="sq-AL"/>
        </w:rPr>
        <w:t xml:space="preserve"> ishte 3.27 për</w:t>
      </w:r>
      <w:r>
        <w:rPr>
          <w:lang w:val="sq-AL"/>
        </w:rPr>
        <w:t xml:space="preserve"> </w:t>
      </w:r>
      <w:r w:rsidRPr="00276B9D">
        <w:rPr>
          <w:lang w:val="sq-AL"/>
        </w:rPr>
        <w:t>qind nga rreth 2.6 për</w:t>
      </w:r>
      <w:r>
        <w:rPr>
          <w:lang w:val="sq-AL"/>
        </w:rPr>
        <w:t xml:space="preserve"> </w:t>
      </w:r>
      <w:r w:rsidRPr="00276B9D">
        <w:rPr>
          <w:lang w:val="sq-AL"/>
        </w:rPr>
        <w:t>qind që ishte për vitin 2015. Kjo performancë për tre tremujorët e parë të vitit është në linjë me pritshmëritë tona fillestare dhe aktuale për një rritje prej rreth 3.4 për</w:t>
      </w:r>
      <w:r>
        <w:rPr>
          <w:lang w:val="sq-AL"/>
        </w:rPr>
        <w:t xml:space="preserve"> </w:t>
      </w:r>
      <w:r w:rsidRPr="00276B9D">
        <w:rPr>
          <w:lang w:val="sq-AL"/>
        </w:rPr>
        <w:t>qind për të gjithë vitin 2016.</w:t>
      </w:r>
    </w:p>
    <w:p w:rsidR="00DC2753" w:rsidRPr="00276B9D" w:rsidRDefault="00DC2753" w:rsidP="00DC2753">
      <w:pPr>
        <w:pStyle w:val="Paragrafi"/>
        <w:rPr>
          <w:lang w:val="sq-AL"/>
        </w:rPr>
      </w:pPr>
      <w:r w:rsidRPr="00276B9D">
        <w:rPr>
          <w:lang w:val="sq-AL"/>
        </w:rPr>
        <w:t>Kërkesa agregate u rrit në mënyrë të qëndrueshme përgjatë 9 muajve të vitit 2016, e mbështetur kryesisht nga rritja në kërkesën e brendshme. Konsumi final total, i cili përbën p</w:t>
      </w:r>
      <w:r>
        <w:rPr>
          <w:lang w:val="sq-AL"/>
        </w:rPr>
        <w:t>e</w:t>
      </w:r>
      <w:r w:rsidRPr="00276B9D">
        <w:rPr>
          <w:lang w:val="sq-AL"/>
        </w:rPr>
        <w:t>shën kryesore në kërkesën agregate u rrit me rreth 2.2 për</w:t>
      </w:r>
      <w:r>
        <w:rPr>
          <w:lang w:val="sq-AL"/>
        </w:rPr>
        <w:t xml:space="preserve"> </w:t>
      </w:r>
      <w:r w:rsidRPr="00276B9D">
        <w:rPr>
          <w:lang w:val="sq-AL"/>
        </w:rPr>
        <w:t>qind përgjatë nëntë muajve të parë të vitit 2016 (në terma realë vjetorë), e mbështetur kryesisht nga rritja e të ardhurave të disponueshme, normat e ulëta të interesit dhe nga përmirësimi i sentimentit ekonomik të konsumatorëve, por edhe të biznesit. Ndërkohë konsumi final privat (i familjeve) u rrit me rreth 2.3 për</w:t>
      </w:r>
      <w:r>
        <w:rPr>
          <w:lang w:val="sq-AL"/>
        </w:rPr>
        <w:t xml:space="preserve"> </w:t>
      </w:r>
      <w:r w:rsidRPr="00276B9D">
        <w:rPr>
          <w:lang w:val="sq-AL"/>
        </w:rPr>
        <w:t>qind gjatë këtyre nëntë mu</w:t>
      </w:r>
      <w:r>
        <w:rPr>
          <w:lang w:val="sq-AL"/>
        </w:rPr>
        <w:t>a</w:t>
      </w:r>
      <w:r w:rsidRPr="00276B9D">
        <w:rPr>
          <w:lang w:val="sq-AL"/>
        </w:rPr>
        <w:t>jve të parë, duke pa</w:t>
      </w:r>
      <w:r>
        <w:rPr>
          <w:lang w:val="sq-AL"/>
        </w:rPr>
        <w:t>s</w:t>
      </w:r>
      <w:r w:rsidRPr="00276B9D">
        <w:rPr>
          <w:lang w:val="sq-AL"/>
        </w:rPr>
        <w:t>ur një përshpejtim të ndjeshëm nga viti 2015 ku shënonte një rritje pozitive, por të moderuar, prej rreth 0.9 për</w:t>
      </w:r>
      <w:r>
        <w:rPr>
          <w:lang w:val="sq-AL"/>
        </w:rPr>
        <w:t xml:space="preserve"> </w:t>
      </w:r>
      <w:r w:rsidRPr="00276B9D">
        <w:rPr>
          <w:lang w:val="sq-AL"/>
        </w:rPr>
        <w:t>qind.</w:t>
      </w:r>
    </w:p>
    <w:p w:rsidR="00DC2753" w:rsidRDefault="00DC2753" w:rsidP="00DC2753">
      <w:pPr>
        <w:pStyle w:val="Paragrafi"/>
        <w:rPr>
          <w:lang w:val="sq-AL"/>
        </w:rPr>
      </w:pPr>
      <w:r w:rsidRPr="00276B9D">
        <w:rPr>
          <w:lang w:val="sq-AL"/>
        </w:rPr>
        <w:t xml:space="preserve">Komponenti i </w:t>
      </w:r>
      <w:r>
        <w:rPr>
          <w:lang w:val="sq-AL"/>
        </w:rPr>
        <w:t>“</w:t>
      </w:r>
      <w:r w:rsidRPr="00276B9D">
        <w:rPr>
          <w:lang w:val="sq-AL"/>
        </w:rPr>
        <w:t>Formimit Bruto të Kapitalit Fiks</w:t>
      </w:r>
      <w:r>
        <w:rPr>
          <w:lang w:val="sq-AL"/>
        </w:rPr>
        <w:t>”</w:t>
      </w:r>
      <w:r w:rsidRPr="00276B9D">
        <w:rPr>
          <w:lang w:val="sq-AL"/>
        </w:rPr>
        <w:t>, ose ndryshe investimet totale në ekonomi, gjatë nëntë muajve të parë u rritën me rreth 8.1 për</w:t>
      </w:r>
      <w:r>
        <w:rPr>
          <w:lang w:val="sq-AL"/>
        </w:rPr>
        <w:t xml:space="preserve"> </w:t>
      </w:r>
      <w:r w:rsidRPr="00276B9D">
        <w:rPr>
          <w:lang w:val="sq-AL"/>
        </w:rPr>
        <w:t>qind (në terma realë vjetorë), ndërkohë që për tremujorin e tretë të vitit vihet re një përshpejtim i ritmit të rritjes së investimeve prej rreth 11.9 për</w:t>
      </w:r>
      <w:r>
        <w:rPr>
          <w:lang w:val="sq-AL"/>
        </w:rPr>
        <w:t xml:space="preserve"> </w:t>
      </w:r>
      <w:r w:rsidRPr="00276B9D">
        <w:rPr>
          <w:lang w:val="sq-AL"/>
        </w:rPr>
        <w:t>qind e mbështetur edhe nga flukse të larta hyrëse të investimeve të huaja direkte, ku këto të fundit (pra</w:t>
      </w:r>
      <w:r>
        <w:rPr>
          <w:lang w:val="sq-AL"/>
        </w:rPr>
        <w:t>,</w:t>
      </w:r>
      <w:r w:rsidRPr="00276B9D">
        <w:rPr>
          <w:lang w:val="sq-AL"/>
        </w:rPr>
        <w:t xml:space="preserve"> IHD), referuar statistikave të bilancit të pagesave (Banka e Shqipërisë) për tremujorin e tretë të vitit shënuan një rritje nominale prej rreth 12.9 për</w:t>
      </w:r>
      <w:r>
        <w:rPr>
          <w:lang w:val="sq-AL"/>
        </w:rPr>
        <w:t xml:space="preserve"> </w:t>
      </w:r>
      <w:r w:rsidRPr="00276B9D">
        <w:rPr>
          <w:lang w:val="sq-AL"/>
        </w:rPr>
        <w:t>qind në terma vjetorë.</w:t>
      </w:r>
    </w:p>
    <w:p w:rsidR="00DC2753" w:rsidRPr="00276B9D" w:rsidRDefault="00DC2753" w:rsidP="00DC2753">
      <w:pPr>
        <w:pStyle w:val="Paragrafi"/>
        <w:rPr>
          <w:lang w:val="sq-AL"/>
        </w:rPr>
      </w:pPr>
      <w:r w:rsidRPr="00276B9D">
        <w:rPr>
          <w:lang w:val="sq-AL"/>
        </w:rPr>
        <w:t>Ndërkohë</w:t>
      </w:r>
      <w:r>
        <w:rPr>
          <w:lang w:val="sq-AL"/>
        </w:rPr>
        <w:t>,</w:t>
      </w:r>
      <w:r w:rsidRPr="00276B9D">
        <w:rPr>
          <w:lang w:val="sq-AL"/>
        </w:rPr>
        <w:t xml:space="preserve"> në kontributin negativ që dha kërkesa e huaj në rritjen ekonomike gjatë nëntë muajve të parë të vitit</w:t>
      </w:r>
      <w:r>
        <w:rPr>
          <w:lang w:val="sq-AL"/>
        </w:rPr>
        <w:t>,</w:t>
      </w:r>
      <w:r w:rsidRPr="00276B9D">
        <w:rPr>
          <w:lang w:val="sq-AL"/>
        </w:rPr>
        <w:t xml:space="preserve"> luajtën rol si rritja negative e eksporteve të mallrave, e shkaktuar tërësisht nga eksportet e naftës bruto e lidhur drejtpërdrejtë me konjukturat e çmimeve të naftës në tregjet ndërkombëtare, ashtu edhe një rritje e ndjeshme e importeve të mallrave në reflektim të përshpejtimit të fortë të konsumit final. Megjithatë impakti në deficitin e llogarisë korrente ka q</w:t>
      </w:r>
      <w:r>
        <w:rPr>
          <w:lang w:val="sq-AL"/>
        </w:rPr>
        <w:t>e</w:t>
      </w:r>
      <w:r w:rsidRPr="00276B9D">
        <w:rPr>
          <w:lang w:val="sq-AL"/>
        </w:rPr>
        <w:t>në i moderuar, pasi thellimi i deficitit të bilancit tregtar u kompensua në një masë të madhe prej përmirësimit të suficitit të bilancit të shërbimeve. Këtu evidentohet rritja e eksporteve të shërbimeve të lidhura me aktivitetet turistike. Stabiliteti i sektorit të jashtëm të ekonomisë është reflektuar përgjithësisht edhe në një stabilitet për</w:t>
      </w:r>
      <w:r>
        <w:rPr>
          <w:lang w:val="sq-AL"/>
        </w:rPr>
        <w:t xml:space="preserve"> </w:t>
      </w:r>
      <w:r w:rsidRPr="00276B9D">
        <w:rPr>
          <w:lang w:val="sq-AL"/>
        </w:rPr>
        <w:t>sa i takon ecurisë së monedhës vendase (</w:t>
      </w:r>
      <w:r>
        <w:rPr>
          <w:lang w:val="sq-AL"/>
        </w:rPr>
        <w:t>l</w:t>
      </w:r>
      <w:r w:rsidRPr="00276B9D">
        <w:rPr>
          <w:lang w:val="sq-AL"/>
        </w:rPr>
        <w:t xml:space="preserve">ekut) kundrejt valutave kryesore. </w:t>
      </w:r>
    </w:p>
    <w:p w:rsidR="00DC2753" w:rsidRPr="00276B9D" w:rsidRDefault="00DC2753" w:rsidP="00DC2753">
      <w:pPr>
        <w:pStyle w:val="Paragrafi"/>
        <w:rPr>
          <w:lang w:val="sq-AL"/>
        </w:rPr>
      </w:pPr>
      <w:r w:rsidRPr="00276B9D">
        <w:rPr>
          <w:lang w:val="sq-AL"/>
        </w:rPr>
        <w:t>Më specifikisht për eksportet e mallrave, referuar statistikave të tregtisë së jashtme (INSTAT)</w:t>
      </w:r>
      <w:r>
        <w:rPr>
          <w:lang w:val="sq-AL"/>
        </w:rPr>
        <w:t>,</w:t>
      </w:r>
      <w:r w:rsidRPr="00276B9D">
        <w:rPr>
          <w:lang w:val="sq-AL"/>
        </w:rPr>
        <w:t xml:space="preserve"> të cilat janë të disponueshme deri në dhjetor</w:t>
      </w:r>
      <w:r>
        <w:rPr>
          <w:lang w:val="sq-AL"/>
        </w:rPr>
        <w:t xml:space="preserve"> </w:t>
      </w:r>
      <w:r w:rsidRPr="00276B9D">
        <w:rPr>
          <w:lang w:val="sq-AL"/>
        </w:rPr>
        <w:t>2016, rezulton një rritje pozitive e eksporteve total prej 0.1 për</w:t>
      </w:r>
      <w:r>
        <w:rPr>
          <w:lang w:val="sq-AL"/>
        </w:rPr>
        <w:t xml:space="preserve"> </w:t>
      </w:r>
      <w:r w:rsidRPr="00276B9D">
        <w:rPr>
          <w:lang w:val="sq-AL"/>
        </w:rPr>
        <w:t xml:space="preserve">qind në terma vjetorë. Ndërkohë që nëse kjo statistikë zhvishet prej efektit të kategorisë së eksporteve të </w:t>
      </w:r>
      <w:r>
        <w:rPr>
          <w:lang w:val="sq-AL"/>
        </w:rPr>
        <w:t>“</w:t>
      </w:r>
      <w:r w:rsidRPr="00276B9D">
        <w:rPr>
          <w:lang w:val="sq-AL"/>
        </w:rPr>
        <w:t>naftës bruto, mineraleve dhe energjisë elektrike</w:t>
      </w:r>
      <w:r>
        <w:rPr>
          <w:lang w:val="sq-AL"/>
        </w:rPr>
        <w:t>”</w:t>
      </w:r>
      <w:r w:rsidRPr="00276B9D">
        <w:rPr>
          <w:lang w:val="sq-AL"/>
        </w:rPr>
        <w:t>, rezulton se pjesa tjetër e eksporteve për periudhën janar-dhjetor 2016 ka pa</w:t>
      </w:r>
      <w:r>
        <w:rPr>
          <w:lang w:val="sq-AL"/>
        </w:rPr>
        <w:t>s</w:t>
      </w:r>
      <w:r w:rsidRPr="00276B9D">
        <w:rPr>
          <w:lang w:val="sq-AL"/>
        </w:rPr>
        <w:t>ur një rritje prej rreth 10.2 për</w:t>
      </w:r>
      <w:r>
        <w:rPr>
          <w:lang w:val="sq-AL"/>
        </w:rPr>
        <w:t xml:space="preserve"> </w:t>
      </w:r>
      <w:r w:rsidRPr="00276B9D">
        <w:rPr>
          <w:lang w:val="sq-AL"/>
        </w:rPr>
        <w:t>qind në terma vjetorë nominalë. Gjithashtu</w:t>
      </w:r>
      <w:r>
        <w:rPr>
          <w:lang w:val="sq-AL"/>
        </w:rPr>
        <w:t>,</w:t>
      </w:r>
      <w:r w:rsidRPr="00276B9D">
        <w:rPr>
          <w:lang w:val="sq-AL"/>
        </w:rPr>
        <w:t xml:space="preserve"> është e rëndësishme të evidentohet se që prej muajit </w:t>
      </w:r>
      <w:r>
        <w:rPr>
          <w:lang w:val="sq-AL"/>
        </w:rPr>
        <w:t>g</w:t>
      </w:r>
      <w:r w:rsidRPr="00276B9D">
        <w:rPr>
          <w:lang w:val="sq-AL"/>
        </w:rPr>
        <w:t>usht 2016</w:t>
      </w:r>
      <w:r>
        <w:rPr>
          <w:lang w:val="sq-AL"/>
        </w:rPr>
        <w:t>,</w:t>
      </w:r>
      <w:r w:rsidRPr="00276B9D">
        <w:rPr>
          <w:lang w:val="sq-AL"/>
        </w:rPr>
        <w:t xml:space="preserve"> rritja e eksporteve totale të mallrave ka kaluar në territor pozitiv dhe me një trend përshpejtues. Ndërkohë që vetëm për muajin dhjetor edhe kategoria e eksporteve të naftës bruto, mineraleve dhe energjisë shënoi një rritje të fortë pozitive prej rreth 39.9 për</w:t>
      </w:r>
      <w:r>
        <w:rPr>
          <w:lang w:val="sq-AL"/>
        </w:rPr>
        <w:t xml:space="preserve"> </w:t>
      </w:r>
      <w:r w:rsidRPr="00276B9D">
        <w:rPr>
          <w:lang w:val="sq-AL"/>
        </w:rPr>
        <w:t xml:space="preserve">qind në terma vjetorë, në reflektim edhe të rritjes së çmimit të naftës bruto së fundmi në tregjet ndërkombëtare, ndërsa eksportet totale për </w:t>
      </w:r>
      <w:r>
        <w:rPr>
          <w:lang w:val="sq-AL"/>
        </w:rPr>
        <w:t>d</w:t>
      </w:r>
      <w:r w:rsidRPr="00276B9D">
        <w:rPr>
          <w:lang w:val="sq-AL"/>
        </w:rPr>
        <w:t xml:space="preserve">hjetorin shënuan një rritje prej rreth </w:t>
      </w:r>
      <w:r w:rsidRPr="00276B9D">
        <w:rPr>
          <w:lang w:val="sq-AL"/>
        </w:rPr>
        <w:lastRenderedPageBreak/>
        <w:t>22.5 për</w:t>
      </w:r>
      <w:r>
        <w:rPr>
          <w:lang w:val="sq-AL"/>
        </w:rPr>
        <w:t xml:space="preserve"> </w:t>
      </w:r>
      <w:r w:rsidRPr="00276B9D">
        <w:rPr>
          <w:lang w:val="sq-AL"/>
        </w:rPr>
        <w:t>qind në terma vjetorë.</w:t>
      </w:r>
    </w:p>
    <w:p w:rsidR="00DC2753" w:rsidRPr="00276B9D" w:rsidRDefault="00DC2753" w:rsidP="00DC2753">
      <w:pPr>
        <w:pStyle w:val="Paragrafi"/>
        <w:rPr>
          <w:lang w:val="sq-AL"/>
        </w:rPr>
      </w:pPr>
      <w:r w:rsidRPr="00276B9D">
        <w:rPr>
          <w:lang w:val="sq-AL"/>
        </w:rPr>
        <w:t xml:space="preserve">Nga optika e ofertës agregate, rritja ekonomike përgjatë nëntëmujorit të vitit 2016 është gjeneruar kryesisht nga performanca e vazhdueshme pozitive e sektorit të </w:t>
      </w:r>
      <w:r>
        <w:rPr>
          <w:lang w:val="sq-AL"/>
        </w:rPr>
        <w:t>“</w:t>
      </w:r>
      <w:r w:rsidRPr="00276B9D">
        <w:rPr>
          <w:lang w:val="sq-AL"/>
        </w:rPr>
        <w:t xml:space="preserve">Tregtisë, </w:t>
      </w:r>
      <w:r>
        <w:rPr>
          <w:lang w:val="sq-AL"/>
        </w:rPr>
        <w:t>transportit</w:t>
      </w:r>
      <w:r w:rsidRPr="00276B9D">
        <w:rPr>
          <w:lang w:val="sq-AL"/>
        </w:rPr>
        <w:t xml:space="preserve"> dhe hotele</w:t>
      </w:r>
      <w:r>
        <w:rPr>
          <w:lang w:val="sq-AL"/>
        </w:rPr>
        <w:t>ve”</w:t>
      </w:r>
      <w:r w:rsidRPr="00276B9D">
        <w:rPr>
          <w:lang w:val="sq-AL"/>
        </w:rPr>
        <w:t>, i cili shënoi një rritje reale në terma vjetorë prej 5.2 për</w:t>
      </w:r>
      <w:r>
        <w:rPr>
          <w:lang w:val="sq-AL"/>
        </w:rPr>
        <w:t xml:space="preserve"> </w:t>
      </w:r>
      <w:r w:rsidRPr="00276B9D">
        <w:rPr>
          <w:lang w:val="sq-AL"/>
        </w:rPr>
        <w:t>qind, e cila shkon në linjë edhe me performacën e aktiviteteve të turizmit këtë vit. Gjithashtu, nga pikëpamja e ofertës, rritja u gjenerua edhe nga një performancë dukshëm pozitive e sektorit të ndërtimit, i cili shënoi një rritje reale prej rreth 6.1 për</w:t>
      </w:r>
      <w:r>
        <w:rPr>
          <w:lang w:val="sq-AL"/>
        </w:rPr>
        <w:t xml:space="preserve"> </w:t>
      </w:r>
      <w:r w:rsidRPr="00276B9D">
        <w:rPr>
          <w:lang w:val="sq-AL"/>
        </w:rPr>
        <w:t>qind, në linjë me ecurinë e investimeve, si private ashtu edhe publike, krahasuar me nëntë muajt e parë të 2015. Sektorë të tjerë</w:t>
      </w:r>
      <w:r>
        <w:rPr>
          <w:lang w:val="sq-AL"/>
        </w:rPr>
        <w:t>,</w:t>
      </w:r>
      <w:r w:rsidRPr="00276B9D">
        <w:rPr>
          <w:lang w:val="sq-AL"/>
        </w:rPr>
        <w:t xml:space="preserve"> të cilët kanë pa</w:t>
      </w:r>
      <w:r>
        <w:rPr>
          <w:lang w:val="sq-AL"/>
        </w:rPr>
        <w:t>s</w:t>
      </w:r>
      <w:r w:rsidRPr="00276B9D">
        <w:rPr>
          <w:lang w:val="sq-AL"/>
        </w:rPr>
        <w:t>ur</w:t>
      </w:r>
      <w:r>
        <w:rPr>
          <w:lang w:val="sq-AL"/>
        </w:rPr>
        <w:t>,</w:t>
      </w:r>
      <w:r w:rsidRPr="00276B9D">
        <w:rPr>
          <w:lang w:val="sq-AL"/>
        </w:rPr>
        <w:t xml:space="preserve"> </w:t>
      </w:r>
      <w:r>
        <w:rPr>
          <w:lang w:val="sq-AL"/>
        </w:rPr>
        <w:t>gjithashtu,</w:t>
      </w:r>
      <w:r w:rsidRPr="00276B9D">
        <w:rPr>
          <w:lang w:val="sq-AL"/>
        </w:rPr>
        <w:t xml:space="preserve"> një rritje pozitive të fortë ishin ai i </w:t>
      </w:r>
      <w:r>
        <w:rPr>
          <w:lang w:val="sq-AL"/>
        </w:rPr>
        <w:t>“</w:t>
      </w:r>
      <w:r w:rsidRPr="00276B9D">
        <w:rPr>
          <w:lang w:val="sq-AL"/>
        </w:rPr>
        <w:t>Aktivitete financiare dhe të sigurimit</w:t>
      </w:r>
      <w:r>
        <w:rPr>
          <w:lang w:val="sq-AL"/>
        </w:rPr>
        <w:t>”</w:t>
      </w:r>
      <w:r w:rsidRPr="00276B9D">
        <w:rPr>
          <w:lang w:val="sq-AL"/>
        </w:rPr>
        <w:t xml:space="preserve"> me një rritje reale prej rreth 7 për</w:t>
      </w:r>
      <w:r>
        <w:rPr>
          <w:lang w:val="sq-AL"/>
        </w:rPr>
        <w:t xml:space="preserve"> </w:t>
      </w:r>
      <w:r w:rsidRPr="00276B9D">
        <w:rPr>
          <w:lang w:val="sq-AL"/>
        </w:rPr>
        <w:t xml:space="preserve">qind; </w:t>
      </w:r>
      <w:r>
        <w:rPr>
          <w:lang w:val="sq-AL"/>
        </w:rPr>
        <w:t>“</w:t>
      </w:r>
      <w:r w:rsidRPr="00276B9D">
        <w:rPr>
          <w:lang w:val="sq-AL"/>
        </w:rPr>
        <w:t>Informacioni dhe telekomunikacioni</w:t>
      </w:r>
      <w:r>
        <w:rPr>
          <w:lang w:val="sq-AL"/>
        </w:rPr>
        <w:t>”</w:t>
      </w:r>
      <w:r w:rsidRPr="00276B9D">
        <w:rPr>
          <w:lang w:val="sq-AL"/>
        </w:rPr>
        <w:t xml:space="preserve"> me një rritje prej rreth 7.5 për</w:t>
      </w:r>
      <w:r>
        <w:rPr>
          <w:lang w:val="sq-AL"/>
        </w:rPr>
        <w:t xml:space="preserve"> </w:t>
      </w:r>
      <w:r w:rsidRPr="00276B9D">
        <w:rPr>
          <w:lang w:val="sq-AL"/>
        </w:rPr>
        <w:t xml:space="preserve">qind; </w:t>
      </w:r>
      <w:r>
        <w:rPr>
          <w:lang w:val="sq-AL"/>
        </w:rPr>
        <w:t>“</w:t>
      </w:r>
      <w:r w:rsidRPr="00276B9D">
        <w:rPr>
          <w:lang w:val="sq-AL"/>
        </w:rPr>
        <w:t>Aktivitete të pasurive të paluajtshme</w:t>
      </w:r>
      <w:r>
        <w:rPr>
          <w:lang w:val="sq-AL"/>
        </w:rPr>
        <w:t>”</w:t>
      </w:r>
      <w:r w:rsidRPr="00276B9D">
        <w:rPr>
          <w:lang w:val="sq-AL"/>
        </w:rPr>
        <w:t xml:space="preserve"> me një rritje prej 4.8 për</w:t>
      </w:r>
      <w:r>
        <w:rPr>
          <w:lang w:val="sq-AL"/>
        </w:rPr>
        <w:t xml:space="preserve"> </w:t>
      </w:r>
      <w:r w:rsidRPr="00276B9D">
        <w:rPr>
          <w:lang w:val="sq-AL"/>
        </w:rPr>
        <w:t xml:space="preserve">qind; dhe </w:t>
      </w:r>
      <w:r>
        <w:rPr>
          <w:lang w:val="sq-AL"/>
        </w:rPr>
        <w:t>“</w:t>
      </w:r>
      <w:r w:rsidRPr="00276B9D">
        <w:rPr>
          <w:lang w:val="sq-AL"/>
        </w:rPr>
        <w:t>Arte, argëtim dhe çlodhje</w:t>
      </w:r>
      <w:r>
        <w:rPr>
          <w:lang w:val="sq-AL"/>
        </w:rPr>
        <w:t>”</w:t>
      </w:r>
      <w:r w:rsidRPr="00276B9D">
        <w:rPr>
          <w:lang w:val="sq-AL"/>
        </w:rPr>
        <w:t xml:space="preserve"> me një rritje prej rreth 9.7 për</w:t>
      </w:r>
      <w:r>
        <w:rPr>
          <w:lang w:val="sq-AL"/>
        </w:rPr>
        <w:t xml:space="preserve"> </w:t>
      </w:r>
      <w:r w:rsidRPr="00276B9D">
        <w:rPr>
          <w:lang w:val="sq-AL"/>
        </w:rPr>
        <w:t xml:space="preserve">qind. Ndërkohë sektori i </w:t>
      </w:r>
      <w:r>
        <w:rPr>
          <w:lang w:val="sq-AL"/>
        </w:rPr>
        <w:t>“</w:t>
      </w:r>
      <w:r w:rsidRPr="00276B9D">
        <w:rPr>
          <w:lang w:val="sq-AL"/>
        </w:rPr>
        <w:t>Bujqësisë</w:t>
      </w:r>
      <w:r>
        <w:rPr>
          <w:lang w:val="sq-AL"/>
        </w:rPr>
        <w:t>”</w:t>
      </w:r>
      <w:r w:rsidRPr="00276B9D">
        <w:rPr>
          <w:lang w:val="sq-AL"/>
        </w:rPr>
        <w:t xml:space="preserve"> ka pa</w:t>
      </w:r>
      <w:r>
        <w:rPr>
          <w:lang w:val="sq-AL"/>
        </w:rPr>
        <w:t>s</w:t>
      </w:r>
      <w:r w:rsidRPr="00276B9D">
        <w:rPr>
          <w:lang w:val="sq-AL"/>
        </w:rPr>
        <w:t>ur</w:t>
      </w:r>
      <w:r>
        <w:rPr>
          <w:lang w:val="sq-AL"/>
        </w:rPr>
        <w:t>,</w:t>
      </w:r>
      <w:r w:rsidRPr="00276B9D">
        <w:rPr>
          <w:lang w:val="sq-AL"/>
        </w:rPr>
        <w:t xml:space="preserve"> gjithashtu</w:t>
      </w:r>
      <w:r>
        <w:rPr>
          <w:lang w:val="sq-AL"/>
        </w:rPr>
        <w:t>,</w:t>
      </w:r>
      <w:r w:rsidRPr="00276B9D">
        <w:rPr>
          <w:lang w:val="sq-AL"/>
        </w:rPr>
        <w:t xml:space="preserve"> një rritje pozitive, por të moderuar për nëntë muajt e parë të vitit prej rreth 1 për</w:t>
      </w:r>
      <w:r>
        <w:rPr>
          <w:lang w:val="sq-AL"/>
        </w:rPr>
        <w:t xml:space="preserve"> </w:t>
      </w:r>
      <w:r w:rsidRPr="00276B9D">
        <w:rPr>
          <w:lang w:val="sq-AL"/>
        </w:rPr>
        <w:t xml:space="preserve">qind. Ndërsa sektori i </w:t>
      </w:r>
      <w:r>
        <w:rPr>
          <w:lang w:val="sq-AL"/>
        </w:rPr>
        <w:t>“</w:t>
      </w:r>
      <w:r w:rsidRPr="00276B9D">
        <w:rPr>
          <w:lang w:val="sq-AL"/>
        </w:rPr>
        <w:t>Industrisë</w:t>
      </w:r>
      <w:r>
        <w:rPr>
          <w:lang w:val="sq-AL"/>
        </w:rPr>
        <w:t>”</w:t>
      </w:r>
      <w:r w:rsidRPr="00276B9D">
        <w:rPr>
          <w:lang w:val="sq-AL"/>
        </w:rPr>
        <w:t xml:space="preserve"> ka rezultuar praktikisht në një stagnacion (pra</w:t>
      </w:r>
      <w:r>
        <w:rPr>
          <w:lang w:val="sq-AL"/>
        </w:rPr>
        <w:t>,</w:t>
      </w:r>
      <w:r w:rsidRPr="00276B9D">
        <w:rPr>
          <w:lang w:val="sq-AL"/>
        </w:rPr>
        <w:t xml:space="preserve"> me një rritje reale rreth zeros), ku rënia e fortë e industrisë nxjerrëse (kryesisht industria nxjerrëse e naftës bruto dhe mineraleve) u kompensua nga ajo përpunuese, ku evidentohet performanca e mirë e sektorit energjetik këtë vit, por edhe aktivitete të tjera të industrisë përpunuese si industria e lehtë me përpunim </w:t>
      </w:r>
      <w:r>
        <w:rPr>
          <w:lang w:val="sq-AL"/>
        </w:rPr>
        <w:t>“</w:t>
      </w:r>
      <w:r w:rsidRPr="00276B9D">
        <w:rPr>
          <w:lang w:val="sq-AL"/>
        </w:rPr>
        <w:t>fason</w:t>
      </w:r>
      <w:r>
        <w:rPr>
          <w:lang w:val="sq-AL"/>
        </w:rPr>
        <w:t>”</w:t>
      </w:r>
      <w:r w:rsidRPr="00276B9D">
        <w:rPr>
          <w:lang w:val="sq-AL"/>
        </w:rPr>
        <w:t xml:space="preserve"> etj. </w:t>
      </w:r>
    </w:p>
    <w:p w:rsidR="00DC2753" w:rsidRPr="00276B9D" w:rsidRDefault="00DC2753" w:rsidP="00DC2753">
      <w:pPr>
        <w:pStyle w:val="Paragrafi"/>
        <w:rPr>
          <w:lang w:val="sq-AL"/>
        </w:rPr>
      </w:pPr>
      <w:r w:rsidRPr="00276B9D">
        <w:rPr>
          <w:lang w:val="sq-AL"/>
        </w:rPr>
        <w:t xml:space="preserve">Përgjithësisht në linjë me përshpejtimin e vënë re në aktivitetin ekonomik rezulton edhe dinamika në tregun e punës. Sipas </w:t>
      </w:r>
      <w:r>
        <w:rPr>
          <w:lang w:val="sq-AL"/>
        </w:rPr>
        <w:t>a</w:t>
      </w:r>
      <w:r w:rsidRPr="00276B9D">
        <w:rPr>
          <w:lang w:val="sq-AL"/>
        </w:rPr>
        <w:t>nketës së forcave të punës, punësimi në nëntë muajt e parë të vitit 2016 u rrit me rreth 7.4 për</w:t>
      </w:r>
      <w:r>
        <w:rPr>
          <w:lang w:val="sq-AL"/>
        </w:rPr>
        <w:t xml:space="preserve"> qind, kundrejt s</w:t>
      </w:r>
      <w:r w:rsidRPr="00276B9D">
        <w:rPr>
          <w:lang w:val="sq-AL"/>
        </w:rPr>
        <w:t>ë njëjtës periudhë të 2015</w:t>
      </w:r>
      <w:r>
        <w:rPr>
          <w:lang w:val="sq-AL"/>
        </w:rPr>
        <w:t>-s</w:t>
      </w:r>
      <w:r w:rsidRPr="00276B9D">
        <w:rPr>
          <w:lang w:val="sq-AL"/>
        </w:rPr>
        <w:t>, ndërkohë shkalla e papunësisë ka vijuar trendin e saj rënës që prej T1-2014</w:t>
      </w:r>
      <w:r>
        <w:rPr>
          <w:lang w:val="sq-AL"/>
        </w:rPr>
        <w:t>,</w:t>
      </w:r>
      <w:r w:rsidRPr="00276B9D">
        <w:rPr>
          <w:lang w:val="sq-AL"/>
        </w:rPr>
        <w:t xml:space="preserve"> ku shënoi pikun prej 18.0 për</w:t>
      </w:r>
      <w:r>
        <w:rPr>
          <w:lang w:val="sq-AL"/>
        </w:rPr>
        <w:t xml:space="preserve"> </w:t>
      </w:r>
      <w:r w:rsidRPr="00276B9D">
        <w:rPr>
          <w:lang w:val="sq-AL"/>
        </w:rPr>
        <w:t>qind, duke zbritur gradualisht në rreth 15.2 për</w:t>
      </w:r>
      <w:r>
        <w:rPr>
          <w:lang w:val="sq-AL"/>
        </w:rPr>
        <w:t xml:space="preserve"> </w:t>
      </w:r>
      <w:r w:rsidRPr="00276B9D">
        <w:rPr>
          <w:lang w:val="sq-AL"/>
        </w:rPr>
        <w:t>qind në T3-2016. Në harkun kohor të një viti, pra krahasuar me tremujorin e tretë të vitit 2015 ku shkalla e papunësisë regjistronte nivelin 17.5 për</w:t>
      </w:r>
      <w:r>
        <w:rPr>
          <w:lang w:val="sq-AL"/>
        </w:rPr>
        <w:t xml:space="preserve"> </w:t>
      </w:r>
      <w:r w:rsidRPr="00276B9D">
        <w:rPr>
          <w:lang w:val="sq-AL"/>
        </w:rPr>
        <w:t>qind, rezulton një reduktim prej 2.3 pikë përqindje, i cili përbën</w:t>
      </w:r>
      <w:r>
        <w:rPr>
          <w:lang w:val="sq-AL"/>
        </w:rPr>
        <w:t>,</w:t>
      </w:r>
      <w:r w:rsidRPr="00276B9D">
        <w:rPr>
          <w:lang w:val="sq-AL"/>
        </w:rPr>
        <w:t xml:space="preserve"> gjithashtu</w:t>
      </w:r>
      <w:r>
        <w:rPr>
          <w:lang w:val="sq-AL"/>
        </w:rPr>
        <w:t>,</w:t>
      </w:r>
      <w:r w:rsidRPr="00276B9D">
        <w:rPr>
          <w:lang w:val="sq-AL"/>
        </w:rPr>
        <w:t xml:space="preserve"> një sinjal të rëndësishëm pozitiv sa i takon situatës ekonomike dhe pritshmërive në vijimësi. </w:t>
      </w:r>
    </w:p>
    <w:p w:rsidR="00DC2753" w:rsidRPr="00276B9D" w:rsidRDefault="00DC2753" w:rsidP="00DC2753">
      <w:pPr>
        <w:pStyle w:val="Paragrafi"/>
        <w:rPr>
          <w:lang w:val="sq-AL"/>
        </w:rPr>
      </w:pPr>
      <w:r w:rsidRPr="00276B9D">
        <w:rPr>
          <w:lang w:val="sq-AL"/>
        </w:rPr>
        <w:t xml:space="preserve">Gjithashtu në të njëjtin trend pozitiv shfaqet edhe kreditimi i ekonomisë. Ndonëse sërish në nivele të moderuara, gjatë vitit 2016 norma e rritjes së kreditimit për ekonominë ka qëndruar në territor pozitiv dhe me një trend rritës. E zhveshur nga efekti i fshirjes së </w:t>
      </w:r>
      <w:r>
        <w:rPr>
          <w:lang w:val="sq-AL"/>
        </w:rPr>
        <w:t>“</w:t>
      </w:r>
      <w:r w:rsidRPr="00276B9D">
        <w:rPr>
          <w:lang w:val="sq-AL"/>
        </w:rPr>
        <w:t>kredive të humbura</w:t>
      </w:r>
      <w:r>
        <w:rPr>
          <w:lang w:val="sq-AL"/>
        </w:rPr>
        <w:t>”</w:t>
      </w:r>
      <w:r w:rsidRPr="00276B9D">
        <w:rPr>
          <w:lang w:val="sq-AL"/>
        </w:rPr>
        <w:t xml:space="preserve"> nga bilancet e bankave, një prej masave të ndërmarra në kuadër të strategjisë së BSH</w:t>
      </w:r>
      <w:r>
        <w:rPr>
          <w:lang w:val="sq-AL"/>
        </w:rPr>
        <w:t>-së</w:t>
      </w:r>
      <w:r w:rsidRPr="00276B9D">
        <w:rPr>
          <w:lang w:val="sq-AL"/>
        </w:rPr>
        <w:t xml:space="preserve"> dhe qeverisë për uljen e kredive të këqija në ekonomi, rezulton se rritja e stokut të kredisë për ekonominë deri në </w:t>
      </w:r>
      <w:r>
        <w:rPr>
          <w:lang w:val="sq-AL"/>
        </w:rPr>
        <w:t>n</w:t>
      </w:r>
      <w:r w:rsidRPr="00276B9D">
        <w:rPr>
          <w:lang w:val="sq-AL"/>
        </w:rPr>
        <w:t>ëntor 2016 ishte rreth 3 për</w:t>
      </w:r>
      <w:r>
        <w:rPr>
          <w:lang w:val="sq-AL"/>
        </w:rPr>
        <w:t xml:space="preserve"> </w:t>
      </w:r>
      <w:r w:rsidRPr="00276B9D">
        <w:rPr>
          <w:lang w:val="sq-AL"/>
        </w:rPr>
        <w:t xml:space="preserve">qind në terma vjetorë. Ndërkohë sektori financiar përgjithësisht duket mjaft stabël, likuid dhe me parametra të mirë të mjaftueshmërisë së kapitalit dhe rentabilitetit. </w:t>
      </w:r>
    </w:p>
    <w:p w:rsidR="00DC2753" w:rsidRPr="00276B9D" w:rsidRDefault="00DC2753" w:rsidP="00DC2753">
      <w:pPr>
        <w:pStyle w:val="Paragrafi"/>
        <w:rPr>
          <w:lang w:val="sq-AL"/>
        </w:rPr>
      </w:pPr>
      <w:r w:rsidRPr="00276B9D">
        <w:rPr>
          <w:lang w:val="sq-AL"/>
        </w:rPr>
        <w:t>Inflacioni</w:t>
      </w:r>
      <w:r>
        <w:rPr>
          <w:lang w:val="sq-AL"/>
        </w:rPr>
        <w:t>,</w:t>
      </w:r>
      <w:r w:rsidRPr="00276B9D">
        <w:rPr>
          <w:lang w:val="sq-AL"/>
        </w:rPr>
        <w:t xml:space="preserve"> gjithashtu</w:t>
      </w:r>
      <w:r>
        <w:rPr>
          <w:lang w:val="sq-AL"/>
        </w:rPr>
        <w:t>,</w:t>
      </w:r>
      <w:r w:rsidRPr="00276B9D">
        <w:rPr>
          <w:lang w:val="sq-AL"/>
        </w:rPr>
        <w:t xml:space="preserve"> ka shfaqur një prirje përgjithësisht në linjë me ecurinë e aktivitetit ekonomik. Gjatë 2016</w:t>
      </w:r>
      <w:r>
        <w:rPr>
          <w:lang w:val="sq-AL"/>
        </w:rPr>
        <w:t>-s,</w:t>
      </w:r>
      <w:r w:rsidRPr="00276B9D">
        <w:rPr>
          <w:lang w:val="sq-AL"/>
        </w:rPr>
        <w:t xml:space="preserve"> ai ka pa</w:t>
      </w:r>
      <w:r>
        <w:rPr>
          <w:lang w:val="sq-AL"/>
        </w:rPr>
        <w:t>s</w:t>
      </w:r>
      <w:r w:rsidRPr="00276B9D">
        <w:rPr>
          <w:lang w:val="sq-AL"/>
        </w:rPr>
        <w:t>ur përgjithësisht një trend rritës, veçanërisht gjatë gjysmës së dytë të vitit. Inflacioni mesatar për 2016 ishte 1.3 për</w:t>
      </w:r>
      <w:r>
        <w:rPr>
          <w:lang w:val="sq-AL"/>
        </w:rPr>
        <w:t xml:space="preserve"> </w:t>
      </w:r>
      <w:r w:rsidRPr="00276B9D">
        <w:rPr>
          <w:lang w:val="sq-AL"/>
        </w:rPr>
        <w:t>qind, ndërsa ai në fund të vitit (</w:t>
      </w:r>
      <w:r>
        <w:rPr>
          <w:lang w:val="sq-AL"/>
        </w:rPr>
        <w:t>d</w:t>
      </w:r>
      <w:r w:rsidRPr="00276B9D">
        <w:rPr>
          <w:lang w:val="sq-AL"/>
        </w:rPr>
        <w:t>hjetor) ishte 2.2 për</w:t>
      </w:r>
      <w:r>
        <w:rPr>
          <w:lang w:val="sq-AL"/>
        </w:rPr>
        <w:t xml:space="preserve"> </w:t>
      </w:r>
      <w:r w:rsidRPr="00276B9D">
        <w:rPr>
          <w:lang w:val="sq-AL"/>
        </w:rPr>
        <w:t>qind.</w:t>
      </w:r>
    </w:p>
    <w:p w:rsidR="00DC2753" w:rsidRPr="00276B9D" w:rsidRDefault="00DC2753" w:rsidP="00DC2753">
      <w:pPr>
        <w:pStyle w:val="Paragrafi"/>
        <w:rPr>
          <w:lang w:val="sq-AL"/>
        </w:rPr>
      </w:pPr>
      <w:bookmarkStart w:id="4" w:name="_Toc472430734"/>
      <w:r w:rsidRPr="00276B9D">
        <w:rPr>
          <w:lang w:val="sq-AL"/>
        </w:rPr>
        <w:t xml:space="preserve">2. Politikat </w:t>
      </w:r>
      <w:r>
        <w:rPr>
          <w:lang w:val="sq-AL"/>
        </w:rPr>
        <w:t>f</w:t>
      </w:r>
      <w:r w:rsidRPr="00276B9D">
        <w:rPr>
          <w:lang w:val="sq-AL"/>
        </w:rPr>
        <w:t>iskale</w:t>
      </w:r>
      <w:bookmarkEnd w:id="4"/>
      <w:r w:rsidRPr="00276B9D">
        <w:rPr>
          <w:lang w:val="sq-AL"/>
        </w:rPr>
        <w:t xml:space="preserve"> </w:t>
      </w:r>
    </w:p>
    <w:p w:rsidR="00DC2753" w:rsidRPr="00276B9D" w:rsidRDefault="00DC2753" w:rsidP="00DC2753">
      <w:pPr>
        <w:pStyle w:val="Paragrafi"/>
        <w:rPr>
          <w:lang w:val="sq-AL"/>
        </w:rPr>
      </w:pPr>
      <w:r w:rsidRPr="00276B9D">
        <w:rPr>
          <w:lang w:val="sq-AL"/>
        </w:rPr>
        <w:t xml:space="preserve">Politika fiskale për periudhën afatmesme </w:t>
      </w:r>
      <w:r>
        <w:rPr>
          <w:lang w:val="sq-AL"/>
        </w:rPr>
        <w:t>2018–2020</w:t>
      </w:r>
      <w:r w:rsidRPr="00276B9D">
        <w:rPr>
          <w:lang w:val="sq-AL"/>
        </w:rPr>
        <w:t xml:space="preserve"> do të jetë e orientuar drejt konsolidimit fiskal ndërkohë që siguron një nivel optimal investimesh rreth 4.6 për</w:t>
      </w:r>
      <w:r>
        <w:rPr>
          <w:lang w:val="sq-AL"/>
        </w:rPr>
        <w:t xml:space="preserve"> </w:t>
      </w:r>
      <w:r w:rsidRPr="00276B9D">
        <w:rPr>
          <w:lang w:val="sq-AL"/>
        </w:rPr>
        <w:t>qind të PBB</w:t>
      </w:r>
      <w:r>
        <w:rPr>
          <w:lang w:val="sq-AL"/>
        </w:rPr>
        <w:t>-së</w:t>
      </w:r>
      <w:r w:rsidRPr="00276B9D">
        <w:rPr>
          <w:lang w:val="sq-AL"/>
        </w:rPr>
        <w:t xml:space="preserve"> (përfshirë këtu edhe Fondin e Zhvillimit Rajonal, si dhe investimet në sektorin e energjisë të financuara nga buxheti i shtetit). Konsolidimi fiskal dhe reduktimi i borxhit publik është thelbësor për uljen e risqeve të ardhura nga borxhi, të cilat pengojnë rritjen ekonomike dhe shkaktojnë paqëndrueshmëri makroekonomike. KMF</w:t>
      </w:r>
      <w:r>
        <w:rPr>
          <w:lang w:val="sq-AL"/>
        </w:rPr>
        <w:t>-ja</w:t>
      </w:r>
      <w:r w:rsidRPr="00276B9D">
        <w:rPr>
          <w:lang w:val="sq-AL"/>
        </w:rPr>
        <w:t xml:space="preserve"> </w:t>
      </w:r>
      <w:r>
        <w:rPr>
          <w:lang w:val="sq-AL"/>
        </w:rPr>
        <w:t>2018–2020</w:t>
      </w:r>
      <w:r w:rsidRPr="00276B9D">
        <w:rPr>
          <w:lang w:val="sq-AL"/>
        </w:rPr>
        <w:t xml:space="preserve"> dhe politika fiskale e synuar prej tij është në përputhje të plotë me parimet dhe rregullat fiskalë të ligjit organik të buxhetit (shih kuadratin në faqen 7</w:t>
      </w:r>
      <w:r>
        <w:rPr>
          <w:lang w:val="sq-AL"/>
        </w:rPr>
        <w:t>–</w:t>
      </w:r>
      <w:r w:rsidRPr="00276B9D">
        <w:rPr>
          <w:lang w:val="sq-AL"/>
        </w:rPr>
        <w:t>8). Ky kuadër fiskal synon një deficit fiskal të përgjithshëm prej 1.8 për</w:t>
      </w:r>
      <w:r>
        <w:rPr>
          <w:lang w:val="sq-AL"/>
        </w:rPr>
        <w:t xml:space="preserve"> </w:t>
      </w:r>
      <w:r w:rsidRPr="00276B9D">
        <w:rPr>
          <w:lang w:val="sq-AL"/>
        </w:rPr>
        <w:t>qind të PBB-së për 2018</w:t>
      </w:r>
      <w:r>
        <w:rPr>
          <w:lang w:val="sq-AL"/>
        </w:rPr>
        <w:t>-n</w:t>
      </w:r>
      <w:r w:rsidRPr="00276B9D">
        <w:rPr>
          <w:lang w:val="sq-AL"/>
        </w:rPr>
        <w:t>, nga 2.0 për</w:t>
      </w:r>
      <w:r>
        <w:rPr>
          <w:lang w:val="sq-AL"/>
        </w:rPr>
        <w:t xml:space="preserve"> </w:t>
      </w:r>
      <w:r w:rsidRPr="00276B9D">
        <w:rPr>
          <w:lang w:val="sq-AL"/>
        </w:rPr>
        <w:t>qind i programuar për vitin 2017; nivel prej 1.0 për</w:t>
      </w:r>
      <w:r>
        <w:rPr>
          <w:lang w:val="sq-AL"/>
        </w:rPr>
        <w:t xml:space="preserve"> </w:t>
      </w:r>
      <w:r w:rsidRPr="00276B9D">
        <w:rPr>
          <w:lang w:val="sq-AL"/>
        </w:rPr>
        <w:t>qind të PBB</w:t>
      </w:r>
      <w:r>
        <w:rPr>
          <w:lang w:val="sq-AL"/>
        </w:rPr>
        <w:t>-së</w:t>
      </w:r>
      <w:r w:rsidRPr="00276B9D">
        <w:rPr>
          <w:lang w:val="sq-AL"/>
        </w:rPr>
        <w:t xml:space="preserve"> </w:t>
      </w:r>
      <w:r>
        <w:rPr>
          <w:lang w:val="sq-AL"/>
        </w:rPr>
        <w:t>m</w:t>
      </w:r>
      <w:r w:rsidRPr="00276B9D">
        <w:rPr>
          <w:lang w:val="sq-AL"/>
        </w:rPr>
        <w:t>ë 2019</w:t>
      </w:r>
      <w:r>
        <w:rPr>
          <w:lang w:val="sq-AL"/>
        </w:rPr>
        <w:t>-n</w:t>
      </w:r>
      <w:r w:rsidRPr="00276B9D">
        <w:rPr>
          <w:lang w:val="sq-AL"/>
        </w:rPr>
        <w:t>; dhe 0.6 për</w:t>
      </w:r>
      <w:r>
        <w:rPr>
          <w:lang w:val="sq-AL"/>
        </w:rPr>
        <w:t xml:space="preserve"> </w:t>
      </w:r>
      <w:r w:rsidRPr="00276B9D">
        <w:rPr>
          <w:lang w:val="sq-AL"/>
        </w:rPr>
        <w:t xml:space="preserve">qind në vitin 2020. Njëkohësisht targeton në vijimësi një balancë primare pozitive dhe në rritje për vitet </w:t>
      </w:r>
      <w:r>
        <w:rPr>
          <w:lang w:val="sq-AL"/>
        </w:rPr>
        <w:t>2018–2020</w:t>
      </w:r>
      <w:r w:rsidRPr="00276B9D">
        <w:rPr>
          <w:lang w:val="sq-AL"/>
        </w:rPr>
        <w:t>, respektivisht 1 për</w:t>
      </w:r>
      <w:r>
        <w:rPr>
          <w:lang w:val="sq-AL"/>
        </w:rPr>
        <w:t xml:space="preserve"> </w:t>
      </w:r>
      <w:r w:rsidRPr="00276B9D">
        <w:rPr>
          <w:lang w:val="sq-AL"/>
        </w:rPr>
        <w:t>qind në 2018 nga 0.7 për</w:t>
      </w:r>
      <w:r>
        <w:rPr>
          <w:lang w:val="sq-AL"/>
        </w:rPr>
        <w:t xml:space="preserve"> </w:t>
      </w:r>
      <w:r w:rsidRPr="00276B9D">
        <w:rPr>
          <w:lang w:val="sq-AL"/>
        </w:rPr>
        <w:t>qind i targetuar në buxhetin 2017; 1.8 për</w:t>
      </w:r>
      <w:r>
        <w:rPr>
          <w:lang w:val="sq-AL"/>
        </w:rPr>
        <w:t xml:space="preserve"> </w:t>
      </w:r>
      <w:r w:rsidRPr="00276B9D">
        <w:rPr>
          <w:lang w:val="sq-AL"/>
        </w:rPr>
        <w:t>qind në 2019; dhe 2.3 për</w:t>
      </w:r>
      <w:r>
        <w:rPr>
          <w:lang w:val="sq-AL"/>
        </w:rPr>
        <w:t xml:space="preserve"> </w:t>
      </w:r>
      <w:r w:rsidRPr="00276B9D">
        <w:rPr>
          <w:lang w:val="sq-AL"/>
        </w:rPr>
        <w:t>qind në vitin 2020.</w:t>
      </w:r>
    </w:p>
    <w:p w:rsidR="00DC2753" w:rsidRPr="00276B9D" w:rsidRDefault="00DC2753" w:rsidP="00DC2753">
      <w:pPr>
        <w:pStyle w:val="Paragrafi"/>
        <w:rPr>
          <w:lang w:val="sq-AL"/>
        </w:rPr>
      </w:pPr>
      <w:r w:rsidRPr="00276B9D">
        <w:rPr>
          <w:lang w:val="sq-AL"/>
        </w:rPr>
        <w:t>Ky konsolidim fiskal do të bëjë të mundur që niveli i borxhit publik ndaj PBB-së të vijojë trajektoren rënëse të nisur që në vitin 2016. Borxhi publik pritet që të bjerë rreth nivelit e 66.3 për</w:t>
      </w:r>
      <w:r>
        <w:rPr>
          <w:lang w:val="sq-AL"/>
        </w:rPr>
        <w:t xml:space="preserve"> </w:t>
      </w:r>
      <w:r w:rsidRPr="00276B9D">
        <w:rPr>
          <w:lang w:val="sq-AL"/>
        </w:rPr>
        <w:t>qind e PBB-së për 2018</w:t>
      </w:r>
      <w:r>
        <w:rPr>
          <w:lang w:val="sq-AL"/>
        </w:rPr>
        <w:t>-n</w:t>
      </w:r>
      <w:r w:rsidRPr="00276B9D">
        <w:rPr>
          <w:lang w:val="sq-AL"/>
        </w:rPr>
        <w:t>, 62.8 për</w:t>
      </w:r>
      <w:r>
        <w:rPr>
          <w:lang w:val="sq-AL"/>
        </w:rPr>
        <w:t xml:space="preserve"> </w:t>
      </w:r>
      <w:r w:rsidRPr="00276B9D">
        <w:rPr>
          <w:lang w:val="sq-AL"/>
        </w:rPr>
        <w:t xml:space="preserve">qind </w:t>
      </w:r>
      <w:r>
        <w:rPr>
          <w:lang w:val="sq-AL"/>
        </w:rPr>
        <w:t>m</w:t>
      </w:r>
      <w:r w:rsidRPr="00276B9D">
        <w:rPr>
          <w:lang w:val="sq-AL"/>
        </w:rPr>
        <w:t>ë 2019</w:t>
      </w:r>
      <w:r>
        <w:rPr>
          <w:lang w:val="sq-AL"/>
        </w:rPr>
        <w:t>-n</w:t>
      </w:r>
      <w:r w:rsidRPr="00276B9D">
        <w:rPr>
          <w:lang w:val="sq-AL"/>
        </w:rPr>
        <w:t xml:space="preserve"> dhe më tej në 59.6 për</w:t>
      </w:r>
      <w:r>
        <w:rPr>
          <w:lang w:val="sq-AL"/>
        </w:rPr>
        <w:t xml:space="preserve"> </w:t>
      </w:r>
      <w:r w:rsidRPr="00276B9D">
        <w:rPr>
          <w:lang w:val="sq-AL"/>
        </w:rPr>
        <w:t xml:space="preserve">qind në vitin 2020. </w:t>
      </w:r>
    </w:p>
    <w:p w:rsidR="00DC2753" w:rsidRPr="00276B9D" w:rsidRDefault="00DC2753" w:rsidP="00DC2753">
      <w:pPr>
        <w:pStyle w:val="Paragrafi"/>
        <w:rPr>
          <w:lang w:val="sq-AL"/>
        </w:rPr>
      </w:pPr>
      <w:r w:rsidRPr="00276B9D">
        <w:rPr>
          <w:lang w:val="sq-AL"/>
        </w:rPr>
        <w:t>Në të njëjtën kohë, ky kuadër fiskal përfshin një serë politikash buxhetore për të mbështetur rritjen ekonomike dhe për të kompensuar efektet shtrënguese të konsolidimit fiskal. Investimet publike në periudhën afatshkurtër dhe afatmesëm parashikohen të mbahen në të paktën 4.6 për</w:t>
      </w:r>
      <w:r>
        <w:rPr>
          <w:lang w:val="sq-AL"/>
        </w:rPr>
        <w:t xml:space="preserve"> </w:t>
      </w:r>
      <w:r w:rsidRPr="00276B9D">
        <w:rPr>
          <w:lang w:val="sq-AL"/>
        </w:rPr>
        <w:t xml:space="preserve">qind të PBB-së, e cila është e rëndësishme për të ushqyer kërkesën agregate në afat të shkurtër dhe për ta zhvendosur rritjen ekonomike në një nivel të më të lartë në afat të mesëm dhe të gjatë. </w:t>
      </w:r>
    </w:p>
    <w:p w:rsidR="00DC2753" w:rsidRPr="00DA20A2" w:rsidRDefault="00DC2753" w:rsidP="00DC2753">
      <w:pPr>
        <w:pStyle w:val="Paragrafi"/>
        <w:rPr>
          <w:rFonts w:eastAsia="Times New Roman"/>
          <w:spacing w:val="-4"/>
          <w:sz w:val="14"/>
          <w:szCs w:val="24"/>
          <w:lang w:val="sq-AL" w:eastAsia="en-GB"/>
        </w:rPr>
      </w:pPr>
      <w:r>
        <w:rPr>
          <w:rFonts w:eastAsia="Times New Roman"/>
          <w:noProof/>
          <w:spacing w:val="-4"/>
          <w:sz w:val="14"/>
          <w:szCs w:val="24"/>
        </w:rPr>
        <w:lastRenderedPageBreak/>
        <w:drawing>
          <wp:anchor distT="0" distB="0" distL="114300" distR="114300" simplePos="0" relativeHeight="251659264" behindDoc="0" locked="0" layoutInCell="1" allowOverlap="1" wp14:anchorId="310A45D5" wp14:editId="7225C5A8">
            <wp:simplePos x="0" y="0"/>
            <wp:positionH relativeFrom="margin">
              <wp:posOffset>265430</wp:posOffset>
            </wp:positionH>
            <wp:positionV relativeFrom="margin">
              <wp:posOffset>3919855</wp:posOffset>
            </wp:positionV>
            <wp:extent cx="5549900" cy="2385060"/>
            <wp:effectExtent l="0" t="0" r="0" b="0"/>
            <wp:wrapSquare wrapText="bothSides"/>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9900" cy="2385060"/>
                    </a:xfrm>
                    <a:prstGeom prst="rect">
                      <a:avLst/>
                    </a:prstGeom>
                    <a:noFill/>
                    <a:ln>
                      <a:noFill/>
                    </a:ln>
                  </pic:spPr>
                </pic:pic>
              </a:graphicData>
            </a:graphic>
          </wp:anchor>
        </w:drawing>
      </w:r>
    </w:p>
    <w:p w:rsidR="00DC2753" w:rsidRPr="00276B9D" w:rsidRDefault="00DC2753" w:rsidP="00DC2753">
      <w:pPr>
        <w:pStyle w:val="Hapesira7"/>
        <w:rPr>
          <w:lang w:val="sq-AL" w:eastAsia="en-GB"/>
        </w:rPr>
      </w:pPr>
      <w:r>
        <w:rPr>
          <w:noProof/>
        </w:rPr>
        <mc:AlternateContent>
          <mc:Choice Requires="wps">
            <w:drawing>
              <wp:anchor distT="0" distB="0" distL="114300" distR="114300" simplePos="0" relativeHeight="251658240" behindDoc="0" locked="0" layoutInCell="1" allowOverlap="1" wp14:anchorId="2E1CB099" wp14:editId="1DAFAD15">
                <wp:simplePos x="0" y="0"/>
                <wp:positionH relativeFrom="margin">
                  <wp:posOffset>186690</wp:posOffset>
                </wp:positionH>
                <wp:positionV relativeFrom="paragraph">
                  <wp:posOffset>-19685</wp:posOffset>
                </wp:positionV>
                <wp:extent cx="5969000" cy="7328535"/>
                <wp:effectExtent l="0" t="0" r="12700" b="2476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0" cy="7328535"/>
                        </a:xfrm>
                        <a:prstGeom prst="rect">
                          <a:avLst/>
                        </a:prstGeom>
                        <a:solidFill>
                          <a:schemeClr val="bg1">
                            <a:lumMod val="95000"/>
                          </a:schemeClr>
                        </a:solidFill>
                        <a:ln w="6350">
                          <a:solidFill>
                            <a:prstClr val="black"/>
                          </a:solidFill>
                        </a:ln>
                        <a:effectLst/>
                      </wps:spPr>
                      <wps:txbx>
                        <w:txbxContent>
                          <w:p w:rsidR="00DC2753" w:rsidRPr="00824A04" w:rsidRDefault="00DC2753" w:rsidP="00DC2753">
                            <w:pPr>
                              <w:spacing w:after="0" w:line="240" w:lineRule="auto"/>
                              <w:ind w:firstLine="0"/>
                              <w:jc w:val="center"/>
                              <w:rPr>
                                <w:rFonts w:ascii="Garamond" w:eastAsia="Times New Roman" w:hAnsi="Garamond" w:cstheme="minorHAnsi"/>
                                <w:b/>
                                <w:iCs/>
                                <w:noProof/>
                                <w:lang w:val="sq-AL"/>
                              </w:rPr>
                            </w:pPr>
                            <w:r w:rsidRPr="00824A04">
                              <w:rPr>
                                <w:rFonts w:ascii="Garamond" w:eastAsia="Times New Roman" w:hAnsi="Garamond" w:cstheme="minorHAnsi"/>
                                <w:b/>
                                <w:iCs/>
                                <w:lang w:val="sq-AL"/>
                              </w:rPr>
                              <w:t>PARIMET DHE RREGULLAT FISKALE</w:t>
                            </w:r>
                          </w:p>
                          <w:p w:rsidR="00DC2753" w:rsidRPr="00DA20A2" w:rsidRDefault="00DC2753" w:rsidP="00DC2753">
                            <w:pPr>
                              <w:pStyle w:val="Paragrafi"/>
                              <w:rPr>
                                <w:rFonts w:eastAsia="Times New Roman"/>
                                <w:spacing w:val="-4"/>
                                <w:sz w:val="14"/>
                                <w:szCs w:val="24"/>
                                <w:lang w:val="sq-AL" w:eastAsia="en-GB"/>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të plotë me obligimet që rrjedhin prej ligjit organik të buxhetit nr</w:t>
                            </w:r>
                            <w:r>
                              <w:rPr>
                                <w:rFonts w:ascii="Garamond" w:eastAsia="Times New Roman" w:hAnsi="Garamond" w:cstheme="minorHAnsi"/>
                                <w:noProof/>
                                <w:sz w:val="20"/>
                                <w:szCs w:val="20"/>
                                <w:lang w:val="sq-AL"/>
                              </w:rPr>
                              <w:t>.</w:t>
                            </w:r>
                            <w:r w:rsidRPr="00824A04">
                              <w:rPr>
                                <w:rFonts w:ascii="Garamond" w:eastAsia="Times New Roman" w:hAnsi="Garamond" w:cstheme="minorHAnsi"/>
                                <w:noProof/>
                                <w:sz w:val="20"/>
                                <w:szCs w:val="20"/>
                                <w:lang w:val="sq-AL"/>
                              </w:rPr>
                              <w:t xml:space="preserve"> 57/2016, ligji i buxhetit për vitin 2017, materializon parimet dhe rregullat fiskale të mëposhtme:</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përqind të Produktit të Brendshëm Bruto;</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w:t>
                            </w:r>
                            <w:r w:rsidRPr="00824A04">
                              <w:rPr>
                                <w:rFonts w:ascii="Garamond" w:eastAsia="Times New Roman" w:hAnsi="Garamond" w:cstheme="minorHAnsi"/>
                                <w:b/>
                                <w:i/>
                                <w:noProof/>
                                <w:sz w:val="20"/>
                                <w:szCs w:val="20"/>
                                <w:lang w:val="sq-AL"/>
                              </w:rPr>
                              <w:t>targeton cdo vit një</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një nivel të borxhit publik total në përqindje të PBB ndjeshëm më të ulët se sa një viti pararendës.</w:t>
                            </w:r>
                          </w:p>
                          <w:p w:rsidR="00DC2753" w:rsidRPr="00DA20A2" w:rsidRDefault="00DC2753" w:rsidP="00DC2753">
                            <w:pPr>
                              <w:spacing w:after="0" w:line="240" w:lineRule="auto"/>
                              <w:ind w:firstLine="0"/>
                              <w:rPr>
                                <w:rFonts w:ascii="Garamond" w:eastAsia="Times New Roman" w:hAnsi="Garamond" w:cstheme="minorHAnsi"/>
                                <w:noProof/>
                                <w:sz w:val="12"/>
                                <w:szCs w:val="20"/>
                                <w:lang w:val="sq-AL"/>
                              </w:rPr>
                            </w:pP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 xml:space="preserve">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(World Economic Outlook), të Fondit Monetar Ndërkombëtar, më i fundit i publikuar në kohën kur ligji vjetor i buxhetit dorëzohet për miratim në Kuvend. Kjo dokumentohet qartësisht në relacionin shoqërues të ligjit vjetor të buxhetit; </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bazohet në projeksionet e mëposhtme të PBB</w:t>
                            </w:r>
                            <w:r>
                              <w:rPr>
                                <w:rFonts w:ascii="Garamond" w:eastAsia="Times New Roman" w:hAnsi="Garamond" w:cstheme="minorHAnsi"/>
                                <w:b/>
                                <w:i/>
                                <w:noProof/>
                                <w:sz w:val="20"/>
                                <w:szCs w:val="20"/>
                                <w:lang w:val="sq-AL"/>
                              </w:rPr>
                              <w:t>-së</w:t>
                            </w:r>
                            <w:r w:rsidRPr="00824A04">
                              <w:rPr>
                                <w:rFonts w:ascii="Garamond" w:eastAsia="Times New Roman" w:hAnsi="Garamond" w:cstheme="minorHAnsi"/>
                                <w:b/>
                                <w:i/>
                                <w:noProof/>
                                <w:sz w:val="20"/>
                                <w:szCs w:val="20"/>
                                <w:lang w:val="sq-AL"/>
                              </w:rPr>
                              <w:t xml:space="preserve"> nominale, të cilat paraqiten në mënyrë krahasimore kundrejt projeksioneve të raportit “Perspektiva Ekonomike Botërore”</w:t>
                            </w:r>
                            <w:r w:rsidRPr="00824A04">
                              <w:rPr>
                                <w:rFonts w:ascii="Garamond" w:eastAsia="Times New Roman" w:hAnsi="Garamond" w:cstheme="minorHAnsi"/>
                                <w:noProof/>
                                <w:sz w:val="20"/>
                                <w:szCs w:val="20"/>
                                <w:lang w:val="sq-AL"/>
                              </w:rPr>
                              <w:t xml:space="preserve"> (World Economic Outlook), të Fondit Monetar Ndërkombëtar, më i fundit i publikuar më 4 </w:t>
                            </w:r>
                            <w:r>
                              <w:rPr>
                                <w:rFonts w:ascii="Garamond" w:eastAsia="Times New Roman" w:hAnsi="Garamond" w:cstheme="minorHAnsi"/>
                                <w:noProof/>
                                <w:sz w:val="20"/>
                                <w:szCs w:val="20"/>
                                <w:lang w:val="sq-AL"/>
                              </w:rPr>
                              <w:t>t</w:t>
                            </w:r>
                            <w:r w:rsidRPr="00824A04">
                              <w:rPr>
                                <w:rFonts w:ascii="Garamond" w:eastAsia="Times New Roman" w:hAnsi="Garamond" w:cstheme="minorHAnsi"/>
                                <w:noProof/>
                                <w:sz w:val="20"/>
                                <w:szCs w:val="20"/>
                                <w:lang w:val="sq-AL"/>
                              </w:rPr>
                              <w:t>etor 2016.</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Parashikimet e PBB nominale të FMN dhe Ministrisë së Financave</w:t>
                            </w:r>
                          </w:p>
                          <w:tbl>
                            <w:tblPr>
                              <w:tblW w:w="5000" w:type="pct"/>
                              <w:tblLook w:val="04A0" w:firstRow="1" w:lastRow="0" w:firstColumn="1" w:lastColumn="0" w:noHBand="0" w:noVBand="1"/>
                            </w:tblPr>
                            <w:tblGrid>
                              <w:gridCol w:w="3740"/>
                              <w:gridCol w:w="799"/>
                              <w:gridCol w:w="799"/>
                              <w:gridCol w:w="799"/>
                              <w:gridCol w:w="799"/>
                              <w:gridCol w:w="799"/>
                              <w:gridCol w:w="799"/>
                              <w:gridCol w:w="799"/>
                            </w:tblGrid>
                            <w:tr w:rsidR="00DC2753" w:rsidRPr="00824A04" w:rsidTr="0023660E">
                              <w:trPr>
                                <w:trHeight w:val="270"/>
                              </w:trPr>
                              <w:tc>
                                <w:tcPr>
                                  <w:tcW w:w="2002" w:type="pct"/>
                                  <w:vMerge w:val="restart"/>
                                  <w:tcBorders>
                                    <w:top w:val="single" w:sz="12" w:space="0" w:color="000000"/>
                                    <w:left w:val="nil"/>
                                    <w:bottom w:val="single" w:sz="8" w:space="0" w:color="000000"/>
                                    <w:right w:val="single" w:sz="8" w:space="0" w:color="000000"/>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në miliard</w:t>
                                  </w:r>
                                  <w:r>
                                    <w:rPr>
                                      <w:rFonts w:ascii="Garamond" w:eastAsia="Times New Roman" w:hAnsi="Garamond" w:cs="Arial"/>
                                      <w:b/>
                                      <w:bCs/>
                                      <w:i/>
                                      <w:iCs/>
                                      <w:sz w:val="20"/>
                                      <w:szCs w:val="20"/>
                                      <w:lang w:val="sq-AL"/>
                                    </w:rPr>
                                    <w:t>ë</w:t>
                                  </w:r>
                                  <w:r w:rsidRPr="00824A04">
                                    <w:rPr>
                                      <w:rFonts w:ascii="Garamond" w:eastAsia="Times New Roman" w:hAnsi="Garamond" w:cs="Arial"/>
                                      <w:b/>
                                      <w:bCs/>
                                      <w:i/>
                                      <w:iCs/>
                                      <w:sz w:val="20"/>
                                      <w:szCs w:val="20"/>
                                      <w:lang w:val="sq-AL"/>
                                    </w:rPr>
                                    <w:t xml:space="preserve"> lekë</w:t>
                                  </w:r>
                                </w:p>
                              </w:tc>
                              <w:tc>
                                <w:tcPr>
                                  <w:tcW w:w="428" w:type="pct"/>
                                  <w:vMerge w:val="restart"/>
                                  <w:tcBorders>
                                    <w:top w:val="single" w:sz="12" w:space="0" w:color="000000"/>
                                    <w:left w:val="single" w:sz="8" w:space="0" w:color="000000"/>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2014</w:t>
                                  </w:r>
                                </w:p>
                              </w:tc>
                              <w:tc>
                                <w:tcPr>
                                  <w:tcW w:w="428" w:type="pct"/>
                                  <w:vMerge w:val="restart"/>
                                  <w:tcBorders>
                                    <w:top w:val="single" w:sz="12" w:space="0" w:color="000000"/>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2015</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2016</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2017</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2018</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2019</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2020</w:t>
                                  </w:r>
                                </w:p>
                              </w:tc>
                            </w:tr>
                            <w:tr w:rsidR="00DC2753" w:rsidRPr="00824A04" w:rsidTr="0023660E">
                              <w:trPr>
                                <w:trHeight w:val="270"/>
                              </w:trPr>
                              <w:tc>
                                <w:tcPr>
                                  <w:tcW w:w="2002" w:type="pct"/>
                                  <w:vMerge/>
                                  <w:tcBorders>
                                    <w:top w:val="single" w:sz="12" w:space="0" w:color="000000"/>
                                    <w:left w:val="nil"/>
                                    <w:bottom w:val="single" w:sz="8" w:space="0" w:color="000000"/>
                                    <w:right w:val="single" w:sz="8" w:space="0" w:color="000000"/>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single" w:sz="8" w:space="0" w:color="000000"/>
                                    <w:bottom w:val="single" w:sz="8"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nil"/>
                                    <w:bottom w:val="single" w:sz="8"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FMN - Perspektiva Ekon. Bot.</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1,597</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1,709</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1,835</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1,971</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Ministria e Financave</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1,502</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1,707</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1,833</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1,953</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 xml:space="preserve">Diferenca FMN - MeF </w:t>
                                  </w:r>
                                </w:p>
                              </w:tc>
                              <w:tc>
                                <w:tcPr>
                                  <w:tcW w:w="428" w:type="pct"/>
                                  <w:vMerge w:val="restart"/>
                                  <w:tcBorders>
                                    <w:top w:val="nil"/>
                                    <w:left w:val="single" w:sz="8" w:space="0" w:color="000000"/>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w:t>
                                  </w:r>
                                </w:p>
                              </w:tc>
                            </w:tr>
                            <w:tr w:rsidR="00DC2753" w:rsidRPr="00824A04" w:rsidTr="0023660E">
                              <w:trPr>
                                <w:trHeight w:val="270"/>
                              </w:trPr>
                              <w:tc>
                                <w:tcPr>
                                  <w:tcW w:w="2002" w:type="pct"/>
                                  <w:tcBorders>
                                    <w:top w:val="nil"/>
                                    <w:left w:val="nil"/>
                                    <w:bottom w:val="single" w:sz="12" w:space="0" w:color="000000"/>
                                    <w:right w:val="single" w:sz="8" w:space="0" w:color="000000"/>
                                  </w:tcBorders>
                                  <w:shd w:val="clear" w:color="auto" w:fill="auto"/>
                                  <w:noWrap/>
                                  <w:vAlign w:val="center"/>
                                  <w:hideMark/>
                                </w:tcPr>
                                <w:p w:rsidR="00DC2753" w:rsidRPr="00824A04" w:rsidRDefault="00DC2753" w:rsidP="00B72863">
                                  <w:pPr>
                                    <w:spacing w:after="0" w:line="240" w:lineRule="auto"/>
                                    <w:ind w:firstLine="0"/>
                                    <w:rPr>
                                      <w:rFonts w:ascii="Garamond" w:eastAsia="Times New Roman" w:hAnsi="Garamond" w:cs="Arial"/>
                                      <w:sz w:val="14"/>
                                      <w:szCs w:val="14"/>
                                    </w:rPr>
                                  </w:pPr>
                                  <w:r w:rsidRPr="00824A04">
                                    <w:rPr>
                                      <w:rFonts w:ascii="Garamond" w:eastAsia="Times New Roman" w:hAnsi="Garamond" w:cs="Arial"/>
                                      <w:sz w:val="16"/>
                                      <w:szCs w:val="14"/>
                                      <w:lang w:val="sq-AL"/>
                                    </w:rPr>
                                    <w:t>(duhet 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jet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jo më e vogël se zero)</w:t>
                                  </w:r>
                                </w:p>
                              </w:tc>
                              <w:tc>
                                <w:tcPr>
                                  <w:tcW w:w="428" w:type="pct"/>
                                  <w:vMerge/>
                                  <w:tcBorders>
                                    <w:top w:val="nil"/>
                                    <w:left w:val="single" w:sz="8" w:space="0" w:color="000000"/>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r>
                          </w:tbl>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r w:rsidRPr="00824A04">
                              <w:rPr>
                                <w:rFonts w:ascii="Garamond" w:eastAsia="Times New Roman" w:hAnsi="Garamond" w:cstheme="minorHAnsi"/>
                                <w:noProof/>
                                <w:sz w:val="20"/>
                                <w:szCs w:val="20"/>
                                <w:lang w:val="sq-AL"/>
                              </w:rPr>
                              <w:t xml:space="preserve"> </w:t>
                            </w: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DC2753" w:rsidRPr="00D22C73" w:rsidRDefault="00DC2753" w:rsidP="00DC2753">
                            <w:pPr>
                              <w:spacing w:after="0" w:line="240" w:lineRule="auto"/>
                              <w:ind w:firstLine="0"/>
                              <w:rPr>
                                <w:rFonts w:ascii="Garamond" w:eastAsia="Times New Roman" w:hAnsi="Garamond" w:cstheme="minorHAnsi"/>
                                <w: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përfshin për cdo vit në një zë të veçantë të tij, emërtuar </w:t>
                            </w:r>
                            <w:r w:rsidRPr="00824A04">
                              <w:rPr>
                                <w:rFonts w:ascii="Garamond" w:eastAsia="Times New Roman" w:hAnsi="Garamond" w:cstheme="minorHAnsi"/>
                                <w:i/>
                                <w:noProof/>
                                <w:sz w:val="20"/>
                                <w:szCs w:val="20"/>
                                <w:lang w:val="sq-AL"/>
                              </w:rPr>
                              <w:t>“Kontigjencë për impaktin në borxhin publik nga luh</w:t>
                            </w:r>
                            <w:r>
                              <w:rPr>
                                <w:rFonts w:ascii="Garamond" w:eastAsia="Times New Roman" w:hAnsi="Garamond" w:cstheme="minorHAnsi"/>
                                <w:i/>
                                <w:noProof/>
                                <w:sz w:val="20"/>
                                <w:szCs w:val="20"/>
                                <w:lang w:val="sq-AL"/>
                              </w:rPr>
                              <w:t>atjet e normave të interesit et</w:t>
                            </w:r>
                            <w:r w:rsidRPr="00824A04">
                              <w:rPr>
                                <w:rFonts w:ascii="Garamond" w:eastAsia="Times New Roman" w:hAnsi="Garamond" w:cstheme="minorHAnsi"/>
                                <w:i/>
                                <w:noProof/>
                                <w:sz w:val="20"/>
                                <w:szCs w:val="20"/>
                                <w:lang w:val="sq-AL"/>
                              </w:rPr>
                              <w:t>j</w:t>
                            </w:r>
                            <w:r>
                              <w:rPr>
                                <w:rFonts w:ascii="Garamond" w:eastAsia="Times New Roman" w:hAnsi="Garamond" w:cstheme="minorHAnsi"/>
                                <w:i/>
                                <w:noProof/>
                                <w:sz w:val="20"/>
                                <w:szCs w:val="20"/>
                                <w:lang w:val="sq-AL"/>
                              </w:rPr>
                              <w:t>.</w:t>
                            </w:r>
                            <w:r w:rsidRPr="00824A04">
                              <w:rPr>
                                <w:rFonts w:ascii="Garamond" w:eastAsia="Times New Roman" w:hAnsi="Garamond" w:cstheme="minorHAnsi"/>
                                <w:i/>
                                <w:noProof/>
                                <w:sz w:val="20"/>
                                <w:szCs w:val="20"/>
                                <w:lang w:val="sq-AL"/>
                              </w:rPr>
                              <w:t xml:space="preserve">” </w:t>
                            </w:r>
                            <w:r w:rsidRPr="00824A04">
                              <w:rPr>
                                <w:rFonts w:ascii="Garamond" w:eastAsia="Times New Roman" w:hAnsi="Garamond" w:cstheme="minorHAnsi"/>
                                <w:b/>
                                <w:i/>
                                <w:noProof/>
                                <w:sz w:val="20"/>
                                <w:szCs w:val="20"/>
                                <w:lang w:val="sq-AL"/>
                              </w:rPr>
                              <w:t>një kontigjencë prej mbi 0.7 përqind e shpenzimeve totale</w:t>
                            </w:r>
                            <w:r w:rsidRPr="00824A04">
                              <w:rPr>
                                <w:rFonts w:ascii="Garamond" w:eastAsia="Times New Roman" w:hAnsi="Garamond" w:cstheme="minorHAnsi"/>
                                <w:noProof/>
                                <w:sz w:val="20"/>
                                <w:szCs w:val="20"/>
                                <w:lang w:val="sq-AL"/>
                              </w:rPr>
                              <w:t xml:space="preserve">. </w:t>
                            </w:r>
                          </w:p>
                          <w:p w:rsidR="00DC2753" w:rsidRPr="00824A04" w:rsidRDefault="00DC2753" w:rsidP="00DC2753">
                            <w:pPr>
                              <w:pStyle w:val="ListParagraph"/>
                              <w:numPr>
                                <w:ilvl w:val="0"/>
                                <w:numId w:val="2"/>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nenit 4/1 të ligjit organik të buxhetit nr</w:t>
                            </w:r>
                            <w:r>
                              <w:rPr>
                                <w:rFonts w:ascii="Garamond" w:hAnsi="Garamond" w:cstheme="minorHAnsi"/>
                                <w:i/>
                                <w:noProof/>
                                <w:sz w:val="20"/>
                                <w:szCs w:val="20"/>
                                <w:lang w:val="sq-AL"/>
                              </w:rPr>
                              <w:t>.</w:t>
                            </w:r>
                            <w:r w:rsidRPr="00824A04">
                              <w:rPr>
                                <w:rFonts w:ascii="Garamond" w:hAnsi="Garamond" w:cstheme="minorHAnsi"/>
                                <w:i/>
                                <w:noProof/>
                                <w:sz w:val="20"/>
                                <w:szCs w:val="20"/>
                                <w:lang w:val="sq-AL"/>
                              </w:rPr>
                              <w:t xml:space="preserve"> 57/2016, përdorimi i të ardhurave të arkëtuara nga privatizimet përcaktohet në ligjin vjetor të buxhetit.</w:t>
                            </w:r>
                          </w:p>
                          <w:p w:rsidR="00DC2753" w:rsidRPr="00D22C73" w:rsidRDefault="00DC2753" w:rsidP="00DC2753">
                            <w:pPr>
                              <w:spacing w:after="0" w:line="240" w:lineRule="auto"/>
                              <w:ind w:firstLine="0"/>
                              <w:rPr>
                                <w:rFonts w:ascii="Garamond" w:eastAsia="Times New Roman" w:hAnsi="Garamond" w:cstheme="minorHAnsi"/>
                                <w: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nuk përfshin të hyra nga privatizimet e mundshme</w:t>
                            </w:r>
                            <w:r w:rsidRPr="00824A04">
                              <w:rPr>
                                <w:rFonts w:ascii="Garamond" w:eastAsia="Times New Roman" w:hAnsi="Garamond" w:cstheme="minorHAnsi"/>
                                <w:noProof/>
                                <w:sz w:val="20"/>
                                <w:szCs w:val="20"/>
                                <w:lang w:val="sq-AL"/>
                              </w:rPr>
                              <w:t>.</w:t>
                            </w:r>
                          </w:p>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pStyle w:val="ListParagraph"/>
                              <w:numPr>
                                <w:ilvl w:val="0"/>
                                <w:numId w:val="2"/>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Masa e deficitit buxhetor nuk mund të tejkalojë masën e shpenzimeve kapitale të parashikuara çdo vit në ligjin e buxhetit.</w:t>
                            </w:r>
                          </w:p>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 “rregulli i artë”)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 xml:space="preserve">deficiti i targetuar në Kuadrin 2018-2020 është çdo vit ndjeshëm më i ulët se sa shpenzimet kapitale të planifikuara. </w:t>
                            </w:r>
                            <w:r w:rsidRPr="00824A04">
                              <w:rPr>
                                <w:rFonts w:ascii="Garamond" w:eastAsia="Times New Roman" w:hAnsi="Garamond" w:cstheme="minorHAnsi"/>
                                <w:noProof/>
                                <w:sz w:val="20"/>
                                <w:szCs w:val="20"/>
                                <w:lang w:val="sq-AL"/>
                              </w:rPr>
                              <w:t xml:space="preserve">Rrjedhimisht, </w:t>
                            </w:r>
                            <w:r w:rsidRPr="00824A04">
                              <w:rPr>
                                <w:rFonts w:ascii="Garamond" w:eastAsia="Times New Roman" w:hAnsi="Garamond" w:cstheme="minorHAnsi"/>
                                <w:b/>
                                <w:i/>
                                <w:noProof/>
                                <w:sz w:val="20"/>
                                <w:szCs w:val="20"/>
                                <w:lang w:val="sq-AL"/>
                              </w:rPr>
                              <w:t>balanca korrente e targetuar është pozitive prej mesatarisht 3.5 përqind të PBB në çdo vit të programuar.</w:t>
                            </w:r>
                          </w:p>
                          <w:p w:rsidR="00DC2753" w:rsidRPr="005C6506" w:rsidRDefault="00DC2753" w:rsidP="00DC2753">
                            <w:pPr>
                              <w:spacing w:after="0" w:line="240" w:lineRule="auto"/>
                              <w:rPr>
                                <w:rFonts w:ascii="Garamond" w:eastAsia="Times New Roman" w:hAnsi="Garamond" w:cstheme="minorHAnsi"/>
                                <w:noProof/>
                                <w:sz w:val="2"/>
                                <w:szCs w:val="20"/>
                                <w:lang w:val="sq-AL"/>
                              </w:rPr>
                            </w:pPr>
                          </w:p>
                          <w:p w:rsidR="00DC2753" w:rsidRPr="00F04E2C" w:rsidRDefault="00DC2753" w:rsidP="00DC2753">
                            <w:pPr>
                              <w:spacing w:after="0" w:line="240" w:lineRule="auto"/>
                              <w:rPr>
                                <w:rFonts w:eastAsia="Times New Roman" w:cstheme="minorHAnsi"/>
                                <w:sz w:val="20"/>
                                <w:szCs w:val="20"/>
                                <w:lang w:val="sq-AL"/>
                              </w:rPr>
                            </w:pPr>
                            <w:r w:rsidRPr="00F04E2C">
                              <w:rPr>
                                <w:rFonts w:eastAsia="Times New Roman" w:cstheme="minorHAnsi"/>
                                <w:sz w:val="20"/>
                                <w:szCs w:val="20"/>
                                <w:lang w:val="sq-AL"/>
                              </w:rPr>
                              <w:t>__________</w:t>
                            </w:r>
                          </w:p>
                          <w:p w:rsidR="00DC2753" w:rsidRPr="008B483D" w:rsidRDefault="00DC2753" w:rsidP="00DC2753">
                            <w:pPr>
                              <w:spacing w:after="0" w:line="240" w:lineRule="auto"/>
                              <w:ind w:firstLine="0"/>
                              <w:rPr>
                                <w:rFonts w:ascii="Garamond" w:eastAsia="Times New Roman" w:hAnsi="Garamond" w:cstheme="minorHAnsi"/>
                                <w:i/>
                                <w:iCs/>
                                <w:sz w:val="18"/>
                                <w:szCs w:val="18"/>
                                <w:lang w:val="sq-AL"/>
                              </w:rPr>
                            </w:pPr>
                            <w:r w:rsidRPr="008B483D">
                              <w:rPr>
                                <w:rFonts w:ascii="Garamond" w:eastAsia="Times New Roman" w:hAnsi="Garamond" w:cstheme="minorHAnsi"/>
                                <w:i/>
                                <w:iCs/>
                                <w:sz w:val="20"/>
                                <w:szCs w:val="20"/>
                                <w:lang w:val="sq-AL"/>
                              </w:rPr>
                              <w:t xml:space="preserve">1. </w:t>
                            </w:r>
                            <w:r w:rsidRPr="008B483D">
                              <w:rPr>
                                <w:rFonts w:ascii="Garamond" w:eastAsia="Times New Roman" w:hAnsi="Garamond" w:cstheme="minorHAnsi"/>
                                <w:i/>
                                <w:iCs/>
                                <w:sz w:val="18"/>
                                <w:szCs w:val="18"/>
                                <w:lang w:val="sq-AL"/>
                              </w:rPr>
                              <w:t>Linku për aksesimin e raportit WEO – Tetor 2016: http://www.imf.org/external/pubs/ft/seo/2016/02/weodata/index.aspx</w:t>
                            </w:r>
                          </w:p>
                          <w:p w:rsidR="00DC2753" w:rsidRPr="00F04E2C" w:rsidRDefault="00DC2753" w:rsidP="00DC2753">
                            <w:pPr>
                              <w:spacing w:after="0" w:line="240" w:lineRule="auto"/>
                              <w:rPr>
                                <w:rFonts w:eastAsia="Times New Roman" w:cstheme="minorHAnsi"/>
                                <w:sz w:val="20"/>
                                <w:szCs w:val="20"/>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4.7pt;margin-top:-1.55pt;width:470pt;height:577.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" fillcolor="#f2f2f2 [3052]" strokeweight=".5pt">
                <v:path arrowok="t"/>
                <v:textbox>
                  <w:txbxContent>
                    <w:p w:rsidR="00DC2753" w:rsidRPr="00824A04" w:rsidRDefault="00DC2753" w:rsidP="00DC2753">
                      <w:pPr>
                        <w:spacing w:after="0" w:line="240" w:lineRule="auto"/>
                        <w:ind w:firstLine="0"/>
                        <w:jc w:val="center"/>
                        <w:rPr>
                          <w:rFonts w:ascii="Garamond" w:eastAsia="Times New Roman" w:hAnsi="Garamond" w:cstheme="minorHAnsi"/>
                          <w:b/>
                          <w:iCs/>
                          <w:noProof/>
                          <w:lang w:val="sq-AL"/>
                        </w:rPr>
                      </w:pPr>
                      <w:r w:rsidRPr="00824A04">
                        <w:rPr>
                          <w:rFonts w:ascii="Garamond" w:eastAsia="Times New Roman" w:hAnsi="Garamond" w:cstheme="minorHAnsi"/>
                          <w:b/>
                          <w:iCs/>
                          <w:lang w:val="sq-AL"/>
                        </w:rPr>
                        <w:t>PARIMET DHE RREGULLAT FISKALE</w:t>
                      </w:r>
                    </w:p>
                    <w:p w:rsidR="00DC2753" w:rsidRPr="00DA20A2" w:rsidRDefault="00DC2753" w:rsidP="00DC2753">
                      <w:pPr>
                        <w:pStyle w:val="Paragrafi"/>
                        <w:rPr>
                          <w:rFonts w:eastAsia="Times New Roman"/>
                          <w:spacing w:val="-4"/>
                          <w:sz w:val="14"/>
                          <w:szCs w:val="24"/>
                          <w:lang w:val="sq-AL" w:eastAsia="en-GB"/>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të plotë me obligimet që rrjedhin prej ligjit organik të buxhetit nr</w:t>
                      </w:r>
                      <w:r>
                        <w:rPr>
                          <w:rFonts w:ascii="Garamond" w:eastAsia="Times New Roman" w:hAnsi="Garamond" w:cstheme="minorHAnsi"/>
                          <w:noProof/>
                          <w:sz w:val="20"/>
                          <w:szCs w:val="20"/>
                          <w:lang w:val="sq-AL"/>
                        </w:rPr>
                        <w:t>.</w:t>
                      </w:r>
                      <w:r w:rsidRPr="00824A04">
                        <w:rPr>
                          <w:rFonts w:ascii="Garamond" w:eastAsia="Times New Roman" w:hAnsi="Garamond" w:cstheme="minorHAnsi"/>
                          <w:noProof/>
                          <w:sz w:val="20"/>
                          <w:szCs w:val="20"/>
                          <w:lang w:val="sq-AL"/>
                        </w:rPr>
                        <w:t xml:space="preserve"> 57/2016, ligji i buxhetit për vitin 2017, materializon parimet dhe rregullat fiskale të mëposhtme:</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përqind të Produktit të Brendshëm Bruto;</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w:t>
                      </w:r>
                      <w:r w:rsidRPr="00824A04">
                        <w:rPr>
                          <w:rFonts w:ascii="Garamond" w:eastAsia="Times New Roman" w:hAnsi="Garamond" w:cstheme="minorHAnsi"/>
                          <w:b/>
                          <w:i/>
                          <w:noProof/>
                          <w:sz w:val="20"/>
                          <w:szCs w:val="20"/>
                          <w:lang w:val="sq-AL"/>
                        </w:rPr>
                        <w:t>targeton cdo vit një</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një nivel të borxhit publik total në përqindje të PBB ndjeshëm më të ulët se sa një viti pararendës.</w:t>
                      </w:r>
                    </w:p>
                    <w:p w:rsidR="00DC2753" w:rsidRPr="00DA20A2" w:rsidRDefault="00DC2753" w:rsidP="00DC2753">
                      <w:pPr>
                        <w:spacing w:after="0" w:line="240" w:lineRule="auto"/>
                        <w:ind w:firstLine="0"/>
                        <w:rPr>
                          <w:rFonts w:ascii="Garamond" w:eastAsia="Times New Roman" w:hAnsi="Garamond" w:cstheme="minorHAnsi"/>
                          <w:noProof/>
                          <w:sz w:val="12"/>
                          <w:szCs w:val="20"/>
                          <w:lang w:val="sq-AL"/>
                        </w:rPr>
                      </w:pP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 xml:space="preserve">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(World Economic Outlook), të Fondit Monetar Ndërkombëtar, më i fundit i publikuar në kohën kur ligji vjetor i buxhetit dorëzohet për miratim në Kuvend. Kjo dokumentohet qartësisht në relacionin shoqërues të ligjit vjetor të buxhetit; </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bazohet në projeksionet e mëposhtme të PBB</w:t>
                      </w:r>
                      <w:r>
                        <w:rPr>
                          <w:rFonts w:ascii="Garamond" w:eastAsia="Times New Roman" w:hAnsi="Garamond" w:cstheme="minorHAnsi"/>
                          <w:b/>
                          <w:i/>
                          <w:noProof/>
                          <w:sz w:val="20"/>
                          <w:szCs w:val="20"/>
                          <w:lang w:val="sq-AL"/>
                        </w:rPr>
                        <w:t>-së</w:t>
                      </w:r>
                      <w:r w:rsidRPr="00824A04">
                        <w:rPr>
                          <w:rFonts w:ascii="Garamond" w:eastAsia="Times New Roman" w:hAnsi="Garamond" w:cstheme="minorHAnsi"/>
                          <w:b/>
                          <w:i/>
                          <w:noProof/>
                          <w:sz w:val="20"/>
                          <w:szCs w:val="20"/>
                          <w:lang w:val="sq-AL"/>
                        </w:rPr>
                        <w:t xml:space="preserve"> nominale, të cilat paraqiten në mënyrë krahasimore kundrejt projeksioneve të raportit “Perspektiva Ekonomike Botërore”</w:t>
                      </w:r>
                      <w:r w:rsidRPr="00824A04">
                        <w:rPr>
                          <w:rFonts w:ascii="Garamond" w:eastAsia="Times New Roman" w:hAnsi="Garamond" w:cstheme="minorHAnsi"/>
                          <w:noProof/>
                          <w:sz w:val="20"/>
                          <w:szCs w:val="20"/>
                          <w:lang w:val="sq-AL"/>
                        </w:rPr>
                        <w:t xml:space="preserve"> (World Economic Outlook), të Fondit Monetar Ndërkombëtar, më i fundit i publikuar më 4 </w:t>
                      </w:r>
                      <w:r>
                        <w:rPr>
                          <w:rFonts w:ascii="Garamond" w:eastAsia="Times New Roman" w:hAnsi="Garamond" w:cstheme="minorHAnsi"/>
                          <w:noProof/>
                          <w:sz w:val="20"/>
                          <w:szCs w:val="20"/>
                          <w:lang w:val="sq-AL"/>
                        </w:rPr>
                        <w:t>t</w:t>
                      </w:r>
                      <w:r w:rsidRPr="00824A04">
                        <w:rPr>
                          <w:rFonts w:ascii="Garamond" w:eastAsia="Times New Roman" w:hAnsi="Garamond" w:cstheme="minorHAnsi"/>
                          <w:noProof/>
                          <w:sz w:val="20"/>
                          <w:szCs w:val="20"/>
                          <w:lang w:val="sq-AL"/>
                        </w:rPr>
                        <w:t>etor 2016.</w:t>
                      </w:r>
                    </w:p>
                    <w:p w:rsidR="00DC2753" w:rsidRPr="00DA20A2"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Parashikimet e PBB nominale të FMN dhe Ministrisë së Financave</w:t>
                      </w:r>
                    </w:p>
                    <w:tbl>
                      <w:tblPr>
                        <w:tblW w:w="5000" w:type="pct"/>
                        <w:tblLook w:val="04A0" w:firstRow="1" w:lastRow="0" w:firstColumn="1" w:lastColumn="0" w:noHBand="0" w:noVBand="1"/>
                      </w:tblPr>
                      <w:tblGrid>
                        <w:gridCol w:w="3740"/>
                        <w:gridCol w:w="799"/>
                        <w:gridCol w:w="799"/>
                        <w:gridCol w:w="799"/>
                        <w:gridCol w:w="799"/>
                        <w:gridCol w:w="799"/>
                        <w:gridCol w:w="799"/>
                        <w:gridCol w:w="799"/>
                      </w:tblGrid>
                      <w:tr w:rsidR="00DC2753" w:rsidRPr="00824A04" w:rsidTr="0023660E">
                        <w:trPr>
                          <w:trHeight w:val="270"/>
                        </w:trPr>
                        <w:tc>
                          <w:tcPr>
                            <w:tcW w:w="2002" w:type="pct"/>
                            <w:vMerge w:val="restart"/>
                            <w:tcBorders>
                              <w:top w:val="single" w:sz="12" w:space="0" w:color="000000"/>
                              <w:left w:val="nil"/>
                              <w:bottom w:val="single" w:sz="8" w:space="0" w:color="000000"/>
                              <w:right w:val="single" w:sz="8" w:space="0" w:color="000000"/>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në miliard</w:t>
                            </w:r>
                            <w:r>
                              <w:rPr>
                                <w:rFonts w:ascii="Garamond" w:eastAsia="Times New Roman" w:hAnsi="Garamond" w:cs="Arial"/>
                                <w:b/>
                                <w:bCs/>
                                <w:i/>
                                <w:iCs/>
                                <w:sz w:val="20"/>
                                <w:szCs w:val="20"/>
                                <w:lang w:val="sq-AL"/>
                              </w:rPr>
                              <w:t>ë</w:t>
                            </w:r>
                            <w:r w:rsidRPr="00824A04">
                              <w:rPr>
                                <w:rFonts w:ascii="Garamond" w:eastAsia="Times New Roman" w:hAnsi="Garamond" w:cs="Arial"/>
                                <w:b/>
                                <w:bCs/>
                                <w:i/>
                                <w:iCs/>
                                <w:sz w:val="20"/>
                                <w:szCs w:val="20"/>
                                <w:lang w:val="sq-AL"/>
                              </w:rPr>
                              <w:t xml:space="preserve"> lekë</w:t>
                            </w:r>
                          </w:p>
                        </w:tc>
                        <w:tc>
                          <w:tcPr>
                            <w:tcW w:w="428" w:type="pct"/>
                            <w:vMerge w:val="restart"/>
                            <w:tcBorders>
                              <w:top w:val="single" w:sz="12" w:space="0" w:color="000000"/>
                              <w:left w:val="single" w:sz="8" w:space="0" w:color="000000"/>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2014</w:t>
                            </w:r>
                          </w:p>
                        </w:tc>
                        <w:tc>
                          <w:tcPr>
                            <w:tcW w:w="428" w:type="pct"/>
                            <w:vMerge w:val="restart"/>
                            <w:tcBorders>
                              <w:top w:val="single" w:sz="12" w:space="0" w:color="000000"/>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2015</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2016</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2017</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2018</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2019</w:t>
                            </w:r>
                          </w:p>
                        </w:tc>
                        <w:tc>
                          <w:tcPr>
                            <w:tcW w:w="428" w:type="pct"/>
                            <w:tcBorders>
                              <w:top w:val="single" w:sz="12" w:space="0" w:color="000000"/>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2020</w:t>
                            </w:r>
                          </w:p>
                        </w:tc>
                      </w:tr>
                      <w:tr w:rsidR="00DC2753" w:rsidRPr="00824A04" w:rsidTr="0023660E">
                        <w:trPr>
                          <w:trHeight w:val="270"/>
                        </w:trPr>
                        <w:tc>
                          <w:tcPr>
                            <w:tcW w:w="2002" w:type="pct"/>
                            <w:vMerge/>
                            <w:tcBorders>
                              <w:top w:val="single" w:sz="12" w:space="0" w:color="000000"/>
                              <w:left w:val="nil"/>
                              <w:bottom w:val="single" w:sz="8" w:space="0" w:color="000000"/>
                              <w:right w:val="single" w:sz="8" w:space="0" w:color="000000"/>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single" w:sz="8" w:space="0" w:color="000000"/>
                              <w:bottom w:val="single" w:sz="8"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nil"/>
                              <w:bottom w:val="single" w:sz="8"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b/>
                                <w:bCs/>
                                <w:i/>
                                <w:iCs/>
                                <w:sz w:val="20"/>
                                <w:szCs w:val="20"/>
                              </w:rPr>
                            </w:pP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FMN - Perspektiva Ekon. Bot.</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1,597</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1,709</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1,835</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1,971</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Ministria e Financave</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1,502</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1,596</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1,707</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1,833</w:t>
                            </w:r>
                          </w:p>
                        </w:tc>
                        <w:tc>
                          <w:tcPr>
                            <w:tcW w:w="428" w:type="pct"/>
                            <w:tcBorders>
                              <w:top w:val="nil"/>
                              <w:left w:val="nil"/>
                              <w:bottom w:val="nil"/>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1,953</w:t>
                            </w:r>
                          </w:p>
                        </w:tc>
                      </w:tr>
                      <w:tr w:rsidR="00DC2753"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 xml:space="preserve">Diferenca FMN - MeF </w:t>
                            </w:r>
                          </w:p>
                        </w:tc>
                        <w:tc>
                          <w:tcPr>
                            <w:tcW w:w="428" w:type="pct"/>
                            <w:vMerge w:val="restart"/>
                            <w:tcBorders>
                              <w:top w:val="nil"/>
                              <w:left w:val="single" w:sz="8" w:space="0" w:color="000000"/>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DC2753" w:rsidRPr="00824A04" w:rsidRDefault="00DC2753"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w:t>
                            </w:r>
                          </w:p>
                        </w:tc>
                      </w:tr>
                      <w:tr w:rsidR="00DC2753" w:rsidRPr="00824A04" w:rsidTr="0023660E">
                        <w:trPr>
                          <w:trHeight w:val="270"/>
                        </w:trPr>
                        <w:tc>
                          <w:tcPr>
                            <w:tcW w:w="2002" w:type="pct"/>
                            <w:tcBorders>
                              <w:top w:val="nil"/>
                              <w:left w:val="nil"/>
                              <w:bottom w:val="single" w:sz="12" w:space="0" w:color="000000"/>
                              <w:right w:val="single" w:sz="8" w:space="0" w:color="000000"/>
                            </w:tcBorders>
                            <w:shd w:val="clear" w:color="auto" w:fill="auto"/>
                            <w:noWrap/>
                            <w:vAlign w:val="center"/>
                            <w:hideMark/>
                          </w:tcPr>
                          <w:p w:rsidR="00DC2753" w:rsidRPr="00824A04" w:rsidRDefault="00DC2753" w:rsidP="00B72863">
                            <w:pPr>
                              <w:spacing w:after="0" w:line="240" w:lineRule="auto"/>
                              <w:ind w:firstLine="0"/>
                              <w:rPr>
                                <w:rFonts w:ascii="Garamond" w:eastAsia="Times New Roman" w:hAnsi="Garamond" w:cs="Arial"/>
                                <w:sz w:val="14"/>
                                <w:szCs w:val="14"/>
                              </w:rPr>
                            </w:pPr>
                            <w:r w:rsidRPr="00824A04">
                              <w:rPr>
                                <w:rFonts w:ascii="Garamond" w:eastAsia="Times New Roman" w:hAnsi="Garamond" w:cs="Arial"/>
                                <w:sz w:val="16"/>
                                <w:szCs w:val="14"/>
                                <w:lang w:val="sq-AL"/>
                              </w:rPr>
                              <w:t>(duhet 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jet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jo më e vogël se zero)</w:t>
                            </w:r>
                          </w:p>
                        </w:tc>
                        <w:tc>
                          <w:tcPr>
                            <w:tcW w:w="428" w:type="pct"/>
                            <w:vMerge/>
                            <w:tcBorders>
                              <w:top w:val="nil"/>
                              <w:left w:val="single" w:sz="8" w:space="0" w:color="000000"/>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DC2753" w:rsidRPr="00824A04" w:rsidRDefault="00DC2753" w:rsidP="00824A04">
                            <w:pPr>
                              <w:spacing w:after="0" w:line="240" w:lineRule="auto"/>
                              <w:ind w:firstLine="0"/>
                              <w:rPr>
                                <w:rFonts w:ascii="Garamond" w:eastAsia="Times New Roman" w:hAnsi="Garamond" w:cs="Arial"/>
                                <w:sz w:val="20"/>
                                <w:szCs w:val="20"/>
                              </w:rPr>
                            </w:pPr>
                          </w:p>
                        </w:tc>
                      </w:tr>
                    </w:tbl>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r w:rsidRPr="00824A04">
                        <w:rPr>
                          <w:rFonts w:ascii="Garamond" w:eastAsia="Times New Roman" w:hAnsi="Garamond" w:cstheme="minorHAnsi"/>
                          <w:noProof/>
                          <w:sz w:val="20"/>
                          <w:szCs w:val="20"/>
                          <w:lang w:val="sq-AL"/>
                        </w:rPr>
                        <w:t xml:space="preserve"> </w:t>
                      </w:r>
                    </w:p>
                    <w:p w:rsidR="00DC2753" w:rsidRPr="00824A04" w:rsidRDefault="00DC2753" w:rsidP="00DC2753">
                      <w:pPr>
                        <w:numPr>
                          <w:ilvl w:val="0"/>
                          <w:numId w:val="1"/>
                        </w:numPr>
                        <w:spacing w:after="0" w:line="240" w:lineRule="auto"/>
                        <w:ind w:left="0"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DC2753" w:rsidRPr="00D22C73" w:rsidRDefault="00DC2753" w:rsidP="00DC2753">
                      <w:pPr>
                        <w:spacing w:after="0" w:line="240" w:lineRule="auto"/>
                        <w:ind w:firstLine="0"/>
                        <w:rPr>
                          <w:rFonts w:ascii="Garamond" w:eastAsia="Times New Roman" w:hAnsi="Garamond" w:cstheme="minorHAnsi"/>
                          <w: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përfshin për cdo vit në një zë të veçantë të tij, emërtuar </w:t>
                      </w:r>
                      <w:r w:rsidRPr="00824A04">
                        <w:rPr>
                          <w:rFonts w:ascii="Garamond" w:eastAsia="Times New Roman" w:hAnsi="Garamond" w:cstheme="minorHAnsi"/>
                          <w:i/>
                          <w:noProof/>
                          <w:sz w:val="20"/>
                          <w:szCs w:val="20"/>
                          <w:lang w:val="sq-AL"/>
                        </w:rPr>
                        <w:t>“Kontigjencë për impaktin në borxhin publik nga luh</w:t>
                      </w:r>
                      <w:r>
                        <w:rPr>
                          <w:rFonts w:ascii="Garamond" w:eastAsia="Times New Roman" w:hAnsi="Garamond" w:cstheme="minorHAnsi"/>
                          <w:i/>
                          <w:noProof/>
                          <w:sz w:val="20"/>
                          <w:szCs w:val="20"/>
                          <w:lang w:val="sq-AL"/>
                        </w:rPr>
                        <w:t>atjet e normave të interesit et</w:t>
                      </w:r>
                      <w:r w:rsidRPr="00824A04">
                        <w:rPr>
                          <w:rFonts w:ascii="Garamond" w:eastAsia="Times New Roman" w:hAnsi="Garamond" w:cstheme="minorHAnsi"/>
                          <w:i/>
                          <w:noProof/>
                          <w:sz w:val="20"/>
                          <w:szCs w:val="20"/>
                          <w:lang w:val="sq-AL"/>
                        </w:rPr>
                        <w:t>j</w:t>
                      </w:r>
                      <w:r>
                        <w:rPr>
                          <w:rFonts w:ascii="Garamond" w:eastAsia="Times New Roman" w:hAnsi="Garamond" w:cstheme="minorHAnsi"/>
                          <w:i/>
                          <w:noProof/>
                          <w:sz w:val="20"/>
                          <w:szCs w:val="20"/>
                          <w:lang w:val="sq-AL"/>
                        </w:rPr>
                        <w:t>.</w:t>
                      </w:r>
                      <w:r w:rsidRPr="00824A04">
                        <w:rPr>
                          <w:rFonts w:ascii="Garamond" w:eastAsia="Times New Roman" w:hAnsi="Garamond" w:cstheme="minorHAnsi"/>
                          <w:i/>
                          <w:noProof/>
                          <w:sz w:val="20"/>
                          <w:szCs w:val="20"/>
                          <w:lang w:val="sq-AL"/>
                        </w:rPr>
                        <w:t xml:space="preserve">” </w:t>
                      </w:r>
                      <w:r w:rsidRPr="00824A04">
                        <w:rPr>
                          <w:rFonts w:ascii="Garamond" w:eastAsia="Times New Roman" w:hAnsi="Garamond" w:cstheme="minorHAnsi"/>
                          <w:b/>
                          <w:i/>
                          <w:noProof/>
                          <w:sz w:val="20"/>
                          <w:szCs w:val="20"/>
                          <w:lang w:val="sq-AL"/>
                        </w:rPr>
                        <w:t>një kontigjencë prej mbi 0.7 përqind e shpenzimeve totale</w:t>
                      </w:r>
                      <w:r w:rsidRPr="00824A04">
                        <w:rPr>
                          <w:rFonts w:ascii="Garamond" w:eastAsia="Times New Roman" w:hAnsi="Garamond" w:cstheme="minorHAnsi"/>
                          <w:noProof/>
                          <w:sz w:val="20"/>
                          <w:szCs w:val="20"/>
                          <w:lang w:val="sq-AL"/>
                        </w:rPr>
                        <w:t xml:space="preserve">. </w:t>
                      </w:r>
                    </w:p>
                    <w:p w:rsidR="00DC2753" w:rsidRPr="00824A04" w:rsidRDefault="00DC2753" w:rsidP="00DC2753">
                      <w:pPr>
                        <w:pStyle w:val="ListParagraph"/>
                        <w:numPr>
                          <w:ilvl w:val="0"/>
                          <w:numId w:val="2"/>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nenit 4/1 të ligjit organik të buxhetit nr</w:t>
                      </w:r>
                      <w:r>
                        <w:rPr>
                          <w:rFonts w:ascii="Garamond" w:hAnsi="Garamond" w:cstheme="minorHAnsi"/>
                          <w:i/>
                          <w:noProof/>
                          <w:sz w:val="20"/>
                          <w:szCs w:val="20"/>
                          <w:lang w:val="sq-AL"/>
                        </w:rPr>
                        <w:t>.</w:t>
                      </w:r>
                      <w:r w:rsidRPr="00824A04">
                        <w:rPr>
                          <w:rFonts w:ascii="Garamond" w:hAnsi="Garamond" w:cstheme="minorHAnsi"/>
                          <w:i/>
                          <w:noProof/>
                          <w:sz w:val="20"/>
                          <w:szCs w:val="20"/>
                          <w:lang w:val="sq-AL"/>
                        </w:rPr>
                        <w:t xml:space="preserve"> 57/2016, përdorimi i të ardhurave të arkëtuara nga privatizimet përcaktohet në ligjin vjetor të buxhetit.</w:t>
                      </w:r>
                    </w:p>
                    <w:p w:rsidR="00DC2753" w:rsidRPr="00D22C73" w:rsidRDefault="00DC2753" w:rsidP="00DC2753">
                      <w:pPr>
                        <w:spacing w:after="0" w:line="240" w:lineRule="auto"/>
                        <w:ind w:firstLine="0"/>
                        <w:rPr>
                          <w:rFonts w:ascii="Garamond" w:eastAsia="Times New Roman" w:hAnsi="Garamond" w:cstheme="minorHAnsi"/>
                          <w: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nuk përfshin të hyra nga privatizimet e mundshme</w:t>
                      </w:r>
                      <w:r w:rsidRPr="00824A04">
                        <w:rPr>
                          <w:rFonts w:ascii="Garamond" w:eastAsia="Times New Roman" w:hAnsi="Garamond" w:cstheme="minorHAnsi"/>
                          <w:noProof/>
                          <w:sz w:val="20"/>
                          <w:szCs w:val="20"/>
                          <w:lang w:val="sq-AL"/>
                        </w:rPr>
                        <w:t>.</w:t>
                      </w:r>
                    </w:p>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pStyle w:val="ListParagraph"/>
                        <w:numPr>
                          <w:ilvl w:val="0"/>
                          <w:numId w:val="2"/>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Masa e deficitit buxhetor nuk mund të tejkalojë masën e shpenzimeve kapitale të parashikuara çdo vit në ligjin e buxhetit.</w:t>
                      </w:r>
                    </w:p>
                    <w:p w:rsidR="00DC2753" w:rsidRPr="00D22C73" w:rsidRDefault="00DC2753" w:rsidP="00DC2753">
                      <w:pPr>
                        <w:spacing w:after="0" w:line="240" w:lineRule="auto"/>
                        <w:ind w:firstLine="0"/>
                        <w:rPr>
                          <w:rFonts w:ascii="Garamond" w:eastAsia="Times New Roman" w:hAnsi="Garamond" w:cstheme="minorHAnsi"/>
                          <w:noProof/>
                          <w:sz w:val="14"/>
                          <w:szCs w:val="20"/>
                          <w:lang w:val="sq-AL"/>
                        </w:rPr>
                      </w:pPr>
                    </w:p>
                    <w:p w:rsidR="00DC2753" w:rsidRPr="00824A04" w:rsidRDefault="00DC2753" w:rsidP="00DC2753">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 “rregulli i artë”)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 xml:space="preserve">deficiti i targetuar në Kuadrin 2018-2020 është çdo vit ndjeshëm më i ulët se sa shpenzimet kapitale të planifikuara. </w:t>
                      </w:r>
                      <w:r w:rsidRPr="00824A04">
                        <w:rPr>
                          <w:rFonts w:ascii="Garamond" w:eastAsia="Times New Roman" w:hAnsi="Garamond" w:cstheme="minorHAnsi"/>
                          <w:noProof/>
                          <w:sz w:val="20"/>
                          <w:szCs w:val="20"/>
                          <w:lang w:val="sq-AL"/>
                        </w:rPr>
                        <w:t xml:space="preserve">Rrjedhimisht, </w:t>
                      </w:r>
                      <w:r w:rsidRPr="00824A04">
                        <w:rPr>
                          <w:rFonts w:ascii="Garamond" w:eastAsia="Times New Roman" w:hAnsi="Garamond" w:cstheme="minorHAnsi"/>
                          <w:b/>
                          <w:i/>
                          <w:noProof/>
                          <w:sz w:val="20"/>
                          <w:szCs w:val="20"/>
                          <w:lang w:val="sq-AL"/>
                        </w:rPr>
                        <w:t>balanca korrente e targetuar është pozitive prej mesatarisht 3.5 përqind të PBB në çdo vit të programuar.</w:t>
                      </w:r>
                    </w:p>
                    <w:p w:rsidR="00DC2753" w:rsidRPr="005C6506" w:rsidRDefault="00DC2753" w:rsidP="00DC2753">
                      <w:pPr>
                        <w:spacing w:after="0" w:line="240" w:lineRule="auto"/>
                        <w:rPr>
                          <w:rFonts w:ascii="Garamond" w:eastAsia="Times New Roman" w:hAnsi="Garamond" w:cstheme="minorHAnsi"/>
                          <w:noProof/>
                          <w:sz w:val="2"/>
                          <w:szCs w:val="20"/>
                          <w:lang w:val="sq-AL"/>
                        </w:rPr>
                      </w:pPr>
                    </w:p>
                    <w:p w:rsidR="00DC2753" w:rsidRPr="00F04E2C" w:rsidRDefault="00DC2753" w:rsidP="00DC2753">
                      <w:pPr>
                        <w:spacing w:after="0" w:line="240" w:lineRule="auto"/>
                        <w:rPr>
                          <w:rFonts w:eastAsia="Times New Roman" w:cstheme="minorHAnsi"/>
                          <w:sz w:val="20"/>
                          <w:szCs w:val="20"/>
                          <w:lang w:val="sq-AL"/>
                        </w:rPr>
                      </w:pPr>
                      <w:r w:rsidRPr="00F04E2C">
                        <w:rPr>
                          <w:rFonts w:eastAsia="Times New Roman" w:cstheme="minorHAnsi"/>
                          <w:sz w:val="20"/>
                          <w:szCs w:val="20"/>
                          <w:lang w:val="sq-AL"/>
                        </w:rPr>
                        <w:t>__________</w:t>
                      </w:r>
                    </w:p>
                    <w:p w:rsidR="00DC2753" w:rsidRPr="008B483D" w:rsidRDefault="00DC2753" w:rsidP="00DC2753">
                      <w:pPr>
                        <w:spacing w:after="0" w:line="240" w:lineRule="auto"/>
                        <w:ind w:firstLine="0"/>
                        <w:rPr>
                          <w:rFonts w:ascii="Garamond" w:eastAsia="Times New Roman" w:hAnsi="Garamond" w:cstheme="minorHAnsi"/>
                          <w:i/>
                          <w:iCs/>
                          <w:sz w:val="18"/>
                          <w:szCs w:val="18"/>
                          <w:lang w:val="sq-AL"/>
                        </w:rPr>
                      </w:pPr>
                      <w:r w:rsidRPr="008B483D">
                        <w:rPr>
                          <w:rFonts w:ascii="Garamond" w:eastAsia="Times New Roman" w:hAnsi="Garamond" w:cstheme="minorHAnsi"/>
                          <w:i/>
                          <w:iCs/>
                          <w:sz w:val="20"/>
                          <w:szCs w:val="20"/>
                          <w:lang w:val="sq-AL"/>
                        </w:rPr>
                        <w:t xml:space="preserve">1. </w:t>
                      </w:r>
                      <w:r w:rsidRPr="008B483D">
                        <w:rPr>
                          <w:rFonts w:ascii="Garamond" w:eastAsia="Times New Roman" w:hAnsi="Garamond" w:cstheme="minorHAnsi"/>
                          <w:i/>
                          <w:iCs/>
                          <w:sz w:val="18"/>
                          <w:szCs w:val="18"/>
                          <w:lang w:val="sq-AL"/>
                        </w:rPr>
                        <w:t>Linku për aksesimin e raportit WEO – Tetor 2016: http://www.imf.org/external/pubs/ft/seo/2016/02/weodata/index.aspx</w:t>
                      </w:r>
                    </w:p>
                    <w:p w:rsidR="00DC2753" w:rsidRPr="00F04E2C" w:rsidRDefault="00DC2753" w:rsidP="00DC2753">
                      <w:pPr>
                        <w:spacing w:after="0" w:line="240" w:lineRule="auto"/>
                        <w:rPr>
                          <w:rFonts w:eastAsia="Times New Roman" w:cstheme="minorHAnsi"/>
                          <w:sz w:val="20"/>
                          <w:szCs w:val="20"/>
                          <w:lang w:val="it-IT"/>
                        </w:rPr>
                      </w:pPr>
                    </w:p>
                  </w:txbxContent>
                </v:textbox>
                <w10:wrap type="square" anchorx="margin"/>
              </v:shape>
            </w:pict>
          </mc:Fallback>
        </mc:AlternateContent>
      </w:r>
    </w:p>
    <w:p w:rsidR="00DC2753" w:rsidRPr="00276B9D" w:rsidRDefault="00DC2753" w:rsidP="00DC2753">
      <w:pPr>
        <w:pStyle w:val="Paragrafi"/>
        <w:rPr>
          <w:lang w:val="sq-AL"/>
        </w:rPr>
      </w:pPr>
      <w:r w:rsidRPr="00276B9D">
        <w:rPr>
          <w:lang w:val="sq-AL"/>
        </w:rPr>
        <w:t>3. Parashikimet e treguesve makroekonomik</w:t>
      </w:r>
      <w:r>
        <w:rPr>
          <w:lang w:val="sq-AL"/>
        </w:rPr>
        <w:t>ë</w:t>
      </w:r>
      <w:r w:rsidRPr="00276B9D">
        <w:rPr>
          <w:lang w:val="sq-AL"/>
        </w:rPr>
        <w:t xml:space="preserve"> dhe fiskal</w:t>
      </w:r>
      <w:r>
        <w:rPr>
          <w:lang w:val="sq-AL"/>
        </w:rPr>
        <w:t>ë</w:t>
      </w:r>
      <w:r w:rsidRPr="00276B9D">
        <w:rPr>
          <w:lang w:val="sq-AL"/>
        </w:rPr>
        <w:t xml:space="preserve"> </w:t>
      </w:r>
    </w:p>
    <w:p w:rsidR="00DC2753" w:rsidRPr="00276B9D" w:rsidRDefault="00DC2753" w:rsidP="00DC2753">
      <w:pPr>
        <w:pStyle w:val="Paragrafi"/>
        <w:rPr>
          <w:lang w:val="sq-AL"/>
        </w:rPr>
      </w:pPr>
      <w:bookmarkStart w:id="5" w:name="_Toc472430736"/>
      <w:r w:rsidRPr="00276B9D">
        <w:rPr>
          <w:lang w:val="sq-AL"/>
        </w:rPr>
        <w:t>Metodologjia e parashikimeve makroekonomike</w:t>
      </w:r>
      <w:bookmarkEnd w:id="5"/>
    </w:p>
    <w:p w:rsidR="00DC2753" w:rsidRPr="00276B9D" w:rsidRDefault="00DC2753" w:rsidP="00DC2753">
      <w:pPr>
        <w:pStyle w:val="Paragrafi"/>
        <w:rPr>
          <w:lang w:val="sq-AL"/>
        </w:rPr>
      </w:pPr>
      <w:r w:rsidRPr="00276B9D">
        <w:rPr>
          <w:lang w:val="sq-AL"/>
        </w:rPr>
        <w:t>Parashikimi i treguesve makroekonomik</w:t>
      </w:r>
      <w:r>
        <w:rPr>
          <w:lang w:val="sq-AL"/>
        </w:rPr>
        <w:t>ë</w:t>
      </w:r>
      <w:r w:rsidRPr="00276B9D">
        <w:rPr>
          <w:lang w:val="sq-AL"/>
        </w:rPr>
        <w:t xml:space="preserve"> afatmesëm dhe i t</w:t>
      </w:r>
      <w:r>
        <w:rPr>
          <w:lang w:val="sq-AL"/>
        </w:rPr>
        <w:t>ë</w:t>
      </w:r>
      <w:r w:rsidRPr="00276B9D">
        <w:rPr>
          <w:lang w:val="sq-AL"/>
        </w:rPr>
        <w:t>r</w:t>
      </w:r>
      <w:r>
        <w:rPr>
          <w:lang w:val="sq-AL"/>
        </w:rPr>
        <w:t>ë</w:t>
      </w:r>
      <w:r w:rsidRPr="00276B9D">
        <w:rPr>
          <w:lang w:val="sq-AL"/>
        </w:rPr>
        <w:t>sis</w:t>
      </w:r>
      <w:r>
        <w:rPr>
          <w:lang w:val="sq-AL"/>
        </w:rPr>
        <w:t>ë</w:t>
      </w:r>
      <w:r w:rsidRPr="00276B9D">
        <w:rPr>
          <w:lang w:val="sq-AL"/>
        </w:rPr>
        <w:t xml:space="preserve"> s</w:t>
      </w:r>
      <w:r>
        <w:rPr>
          <w:lang w:val="sq-AL"/>
        </w:rPr>
        <w:t>ë</w:t>
      </w:r>
      <w:r w:rsidRPr="00276B9D">
        <w:rPr>
          <w:lang w:val="sq-AL"/>
        </w:rPr>
        <w:t xml:space="preserve"> element</w:t>
      </w:r>
      <w:r>
        <w:rPr>
          <w:lang w:val="sq-AL"/>
        </w:rPr>
        <w:t>e</w:t>
      </w:r>
      <w:r w:rsidRPr="00276B9D">
        <w:rPr>
          <w:lang w:val="sq-AL"/>
        </w:rPr>
        <w:t>ve p</w:t>
      </w:r>
      <w:r>
        <w:rPr>
          <w:lang w:val="sq-AL"/>
        </w:rPr>
        <w:t>ë</w:t>
      </w:r>
      <w:r w:rsidRPr="00276B9D">
        <w:rPr>
          <w:lang w:val="sq-AL"/>
        </w:rPr>
        <w:t>rb</w:t>
      </w:r>
      <w:r>
        <w:rPr>
          <w:lang w:val="sq-AL"/>
        </w:rPr>
        <w:t>ë</w:t>
      </w:r>
      <w:r w:rsidRPr="00276B9D">
        <w:rPr>
          <w:lang w:val="sq-AL"/>
        </w:rPr>
        <w:t>r</w:t>
      </w:r>
      <w:r>
        <w:rPr>
          <w:lang w:val="sq-AL"/>
        </w:rPr>
        <w:t>ë</w:t>
      </w:r>
      <w:r w:rsidRPr="00276B9D">
        <w:rPr>
          <w:lang w:val="sq-AL"/>
        </w:rPr>
        <w:t>s</w:t>
      </w:r>
      <w:r>
        <w:rPr>
          <w:lang w:val="sq-AL"/>
        </w:rPr>
        <w:t>e</w:t>
      </w:r>
      <w:r w:rsidRPr="00276B9D">
        <w:rPr>
          <w:lang w:val="sq-AL"/>
        </w:rPr>
        <w:t xml:space="preserve"> t</w:t>
      </w:r>
      <w:r>
        <w:rPr>
          <w:lang w:val="sq-AL"/>
        </w:rPr>
        <w:t>ë</w:t>
      </w:r>
      <w:r w:rsidRPr="00276B9D">
        <w:rPr>
          <w:lang w:val="sq-AL"/>
        </w:rPr>
        <w:t xml:space="preserve"> kuadrit makroekonomik </w:t>
      </w:r>
      <w:r>
        <w:rPr>
          <w:lang w:val="sq-AL"/>
        </w:rPr>
        <w:t>ë</w:t>
      </w:r>
      <w:r w:rsidRPr="00276B9D">
        <w:rPr>
          <w:lang w:val="sq-AL"/>
        </w:rPr>
        <w:t>sht</w:t>
      </w:r>
      <w:r>
        <w:rPr>
          <w:lang w:val="sq-AL"/>
        </w:rPr>
        <w:t>ë</w:t>
      </w:r>
      <w:r w:rsidRPr="00276B9D">
        <w:rPr>
          <w:lang w:val="sq-AL"/>
        </w:rPr>
        <w:t xml:space="preserve"> bazuar kryesisht n</w:t>
      </w:r>
      <w:r>
        <w:rPr>
          <w:lang w:val="sq-AL"/>
        </w:rPr>
        <w:t>ë</w:t>
      </w:r>
      <w:r w:rsidRPr="00276B9D">
        <w:rPr>
          <w:lang w:val="sq-AL"/>
        </w:rPr>
        <w:t xml:space="preserve"> metodat modeluese dhe analitike të programimit financiar. Skenari baz</w:t>
      </w:r>
      <w:r>
        <w:rPr>
          <w:lang w:val="sq-AL"/>
        </w:rPr>
        <w:t>ë</w:t>
      </w:r>
      <w:r w:rsidRPr="00276B9D">
        <w:rPr>
          <w:lang w:val="sq-AL"/>
        </w:rPr>
        <w:t xml:space="preserve"> i kuadrit makroekonomik, mbështetet n</w:t>
      </w:r>
      <w:r>
        <w:rPr>
          <w:lang w:val="sq-AL"/>
        </w:rPr>
        <w:t>ë</w:t>
      </w:r>
      <w:r w:rsidRPr="00276B9D">
        <w:rPr>
          <w:lang w:val="sq-AL"/>
        </w:rPr>
        <w:t xml:space="preserve"> linjën aktuale t</w:t>
      </w:r>
      <w:r>
        <w:rPr>
          <w:lang w:val="sq-AL"/>
        </w:rPr>
        <w:t>ë</w:t>
      </w:r>
      <w:r w:rsidRPr="00276B9D">
        <w:rPr>
          <w:lang w:val="sq-AL"/>
        </w:rPr>
        <w:t xml:space="preserve"> politikave makroekonomike, n</w:t>
      </w:r>
      <w:r>
        <w:rPr>
          <w:lang w:val="sq-AL"/>
        </w:rPr>
        <w:t>ë</w:t>
      </w:r>
      <w:r w:rsidRPr="00276B9D">
        <w:rPr>
          <w:lang w:val="sq-AL"/>
        </w:rPr>
        <w:t xml:space="preserve"> linjën aktuale t</w:t>
      </w:r>
      <w:r>
        <w:rPr>
          <w:lang w:val="sq-AL"/>
        </w:rPr>
        <w:t>ë</w:t>
      </w:r>
      <w:r w:rsidRPr="00276B9D">
        <w:rPr>
          <w:lang w:val="sq-AL"/>
        </w:rPr>
        <w:t xml:space="preserve"> politikave e reformave ekonomiko-strukturore qeveritare, n</w:t>
      </w:r>
      <w:r>
        <w:rPr>
          <w:lang w:val="sq-AL"/>
        </w:rPr>
        <w:t>ë</w:t>
      </w:r>
      <w:r w:rsidRPr="00276B9D">
        <w:rPr>
          <w:lang w:val="sq-AL"/>
        </w:rPr>
        <w:t xml:space="preserve"> sjelljen dhe n</w:t>
      </w:r>
      <w:r>
        <w:rPr>
          <w:lang w:val="sq-AL"/>
        </w:rPr>
        <w:t>ë</w:t>
      </w:r>
      <w:r w:rsidRPr="00276B9D">
        <w:rPr>
          <w:lang w:val="sq-AL"/>
        </w:rPr>
        <w:t xml:space="preserve"> bashkëveprimin racional t</w:t>
      </w:r>
      <w:r>
        <w:rPr>
          <w:lang w:val="sq-AL"/>
        </w:rPr>
        <w:t>ë</w:t>
      </w:r>
      <w:r w:rsidRPr="00276B9D">
        <w:rPr>
          <w:lang w:val="sq-AL"/>
        </w:rPr>
        <w:t xml:space="preserve"> agjentëve ekonomik</w:t>
      </w:r>
      <w:r>
        <w:rPr>
          <w:lang w:val="sq-AL"/>
        </w:rPr>
        <w:t>ë</w:t>
      </w:r>
      <w:r w:rsidRPr="00276B9D">
        <w:rPr>
          <w:lang w:val="sq-AL"/>
        </w:rPr>
        <w:t xml:space="preserve"> brenda kontureve t</w:t>
      </w:r>
      <w:r>
        <w:rPr>
          <w:lang w:val="sq-AL"/>
        </w:rPr>
        <w:t>ë</w:t>
      </w:r>
      <w:r w:rsidRPr="00276B9D">
        <w:rPr>
          <w:lang w:val="sq-AL"/>
        </w:rPr>
        <w:t xml:space="preserve"> ambientit t</w:t>
      </w:r>
      <w:r>
        <w:rPr>
          <w:lang w:val="sq-AL"/>
        </w:rPr>
        <w:t>ë</w:t>
      </w:r>
      <w:r w:rsidRPr="00276B9D">
        <w:rPr>
          <w:lang w:val="sq-AL"/>
        </w:rPr>
        <w:t xml:space="preserve"> brendshëm e t</w:t>
      </w:r>
      <w:r>
        <w:rPr>
          <w:lang w:val="sq-AL"/>
        </w:rPr>
        <w:t>ë</w:t>
      </w:r>
      <w:r w:rsidRPr="00276B9D">
        <w:rPr>
          <w:lang w:val="sq-AL"/>
        </w:rPr>
        <w:t xml:space="preserve"> jasht</w:t>
      </w:r>
      <w:r>
        <w:rPr>
          <w:lang w:val="sq-AL"/>
        </w:rPr>
        <w:t>ë</w:t>
      </w:r>
      <w:r w:rsidRPr="00276B9D">
        <w:rPr>
          <w:lang w:val="sq-AL"/>
        </w:rPr>
        <w:t>m makroekonomik, i cili duket si m</w:t>
      </w:r>
      <w:r>
        <w:rPr>
          <w:lang w:val="sq-AL"/>
        </w:rPr>
        <w:t>ë</w:t>
      </w:r>
      <w:r w:rsidRPr="00276B9D">
        <w:rPr>
          <w:lang w:val="sq-AL"/>
        </w:rPr>
        <w:t xml:space="preserve"> i mundshmi p</w:t>
      </w:r>
      <w:r>
        <w:rPr>
          <w:lang w:val="sq-AL"/>
        </w:rPr>
        <w:t>ë</w:t>
      </w:r>
      <w:r w:rsidRPr="00276B9D">
        <w:rPr>
          <w:lang w:val="sq-AL"/>
        </w:rPr>
        <w:t>r periudhën afatmesme n</w:t>
      </w:r>
      <w:r>
        <w:rPr>
          <w:lang w:val="sq-AL"/>
        </w:rPr>
        <w:t>ë</w:t>
      </w:r>
      <w:r w:rsidRPr="00276B9D">
        <w:rPr>
          <w:lang w:val="sq-AL"/>
        </w:rPr>
        <w:t xml:space="preserve"> vijim. N</w:t>
      </w:r>
      <w:r>
        <w:rPr>
          <w:lang w:val="sq-AL"/>
        </w:rPr>
        <w:t>ë</w:t>
      </w:r>
      <w:r w:rsidRPr="00276B9D">
        <w:rPr>
          <w:lang w:val="sq-AL"/>
        </w:rPr>
        <w:t xml:space="preserve"> kryerjen e këtyre parashikimeve janë ngritur një set supozimesh bazë, si dhe janë përdorur nj</w:t>
      </w:r>
      <w:r>
        <w:rPr>
          <w:lang w:val="sq-AL"/>
        </w:rPr>
        <w:t>ë</w:t>
      </w:r>
      <w:r w:rsidRPr="00276B9D">
        <w:rPr>
          <w:lang w:val="sq-AL"/>
        </w:rPr>
        <w:t xml:space="preserve"> set i gjer</w:t>
      </w:r>
      <w:r>
        <w:rPr>
          <w:lang w:val="sq-AL"/>
        </w:rPr>
        <w:t>ë</w:t>
      </w:r>
      <w:r w:rsidRPr="00276B9D">
        <w:rPr>
          <w:lang w:val="sq-AL"/>
        </w:rPr>
        <w:t xml:space="preserve"> t</w:t>
      </w:r>
      <w:r>
        <w:rPr>
          <w:lang w:val="sq-AL"/>
        </w:rPr>
        <w:t>ë</w:t>
      </w:r>
      <w:r w:rsidRPr="00276B9D">
        <w:rPr>
          <w:lang w:val="sq-AL"/>
        </w:rPr>
        <w:t xml:space="preserve"> dhënash statistikore makroekonomike t</w:t>
      </w:r>
      <w:r>
        <w:rPr>
          <w:lang w:val="sq-AL"/>
        </w:rPr>
        <w:t>ë</w:t>
      </w:r>
      <w:r w:rsidRPr="00276B9D">
        <w:rPr>
          <w:lang w:val="sq-AL"/>
        </w:rPr>
        <w:t xml:space="preserve"> gjeneruara prej institucioneve</w:t>
      </w:r>
      <w:r>
        <w:rPr>
          <w:lang w:val="sq-AL"/>
        </w:rPr>
        <w:t>, si:</w:t>
      </w:r>
      <w:r w:rsidRPr="00276B9D">
        <w:rPr>
          <w:lang w:val="sq-AL"/>
        </w:rPr>
        <w:t xml:space="preserve"> Instituti i Statistikave, Banka e Shqip</w:t>
      </w:r>
      <w:r>
        <w:rPr>
          <w:lang w:val="sq-AL"/>
        </w:rPr>
        <w:t>ë</w:t>
      </w:r>
      <w:r w:rsidRPr="00276B9D">
        <w:rPr>
          <w:lang w:val="sq-AL"/>
        </w:rPr>
        <w:t>ris</w:t>
      </w:r>
      <w:r>
        <w:rPr>
          <w:lang w:val="sq-AL"/>
        </w:rPr>
        <w:t>ë</w:t>
      </w:r>
      <w:r w:rsidRPr="00276B9D">
        <w:rPr>
          <w:lang w:val="sq-AL"/>
        </w:rPr>
        <w:t>, Ministria e Financave, Fondi Monetar Nd</w:t>
      </w:r>
      <w:r>
        <w:rPr>
          <w:lang w:val="sq-AL"/>
        </w:rPr>
        <w:t>ë</w:t>
      </w:r>
      <w:r w:rsidRPr="00276B9D">
        <w:rPr>
          <w:lang w:val="sq-AL"/>
        </w:rPr>
        <w:t>rkomb</w:t>
      </w:r>
      <w:r>
        <w:rPr>
          <w:lang w:val="sq-AL"/>
        </w:rPr>
        <w:t>ë</w:t>
      </w:r>
      <w:r w:rsidRPr="00276B9D">
        <w:rPr>
          <w:lang w:val="sq-AL"/>
        </w:rPr>
        <w:t>tar, Banka Botërore, Eurostat etj. K</w:t>
      </w:r>
      <w:r>
        <w:rPr>
          <w:lang w:val="sq-AL"/>
        </w:rPr>
        <w:t>ë</w:t>
      </w:r>
      <w:r w:rsidRPr="00276B9D">
        <w:rPr>
          <w:lang w:val="sq-AL"/>
        </w:rPr>
        <w:t>to statistika janë kryesisht n</w:t>
      </w:r>
      <w:r>
        <w:rPr>
          <w:lang w:val="sq-AL"/>
        </w:rPr>
        <w:t>ë</w:t>
      </w:r>
      <w:r w:rsidRPr="00276B9D">
        <w:rPr>
          <w:lang w:val="sq-AL"/>
        </w:rPr>
        <w:t xml:space="preserve"> form</w:t>
      </w:r>
      <w:r>
        <w:rPr>
          <w:lang w:val="sq-AL"/>
        </w:rPr>
        <w:t>ë</w:t>
      </w:r>
      <w:r w:rsidRPr="00276B9D">
        <w:rPr>
          <w:lang w:val="sq-AL"/>
        </w:rPr>
        <w:t>n e serive kohore me frekuenc</w:t>
      </w:r>
      <w:r>
        <w:rPr>
          <w:lang w:val="sq-AL"/>
        </w:rPr>
        <w:t>ë</w:t>
      </w:r>
      <w:r w:rsidRPr="00276B9D">
        <w:rPr>
          <w:lang w:val="sq-AL"/>
        </w:rPr>
        <w:t xml:space="preserve"> vjetore, tremujore e </w:t>
      </w:r>
      <w:r w:rsidRPr="00276B9D">
        <w:rPr>
          <w:lang w:val="sq-AL"/>
        </w:rPr>
        <w:lastRenderedPageBreak/>
        <w:t>mujore. Kohëzgjatja e tyre e marr</w:t>
      </w:r>
      <w:r>
        <w:rPr>
          <w:lang w:val="sq-AL"/>
        </w:rPr>
        <w:t>ë</w:t>
      </w:r>
      <w:r w:rsidRPr="00276B9D">
        <w:rPr>
          <w:lang w:val="sq-AL"/>
        </w:rPr>
        <w:t xml:space="preserve"> n</w:t>
      </w:r>
      <w:r>
        <w:rPr>
          <w:lang w:val="sq-AL"/>
        </w:rPr>
        <w:t>ë</w:t>
      </w:r>
      <w:r w:rsidRPr="00276B9D">
        <w:rPr>
          <w:lang w:val="sq-AL"/>
        </w:rPr>
        <w:t xml:space="preserve"> konsiderat</w:t>
      </w:r>
      <w:r>
        <w:rPr>
          <w:lang w:val="sq-AL"/>
        </w:rPr>
        <w:t>ë</w:t>
      </w:r>
      <w:r w:rsidRPr="00276B9D">
        <w:rPr>
          <w:lang w:val="sq-AL"/>
        </w:rPr>
        <w:t xml:space="preserve"> p</w:t>
      </w:r>
      <w:r>
        <w:rPr>
          <w:lang w:val="sq-AL"/>
        </w:rPr>
        <w:t>ë</w:t>
      </w:r>
      <w:r w:rsidRPr="00276B9D">
        <w:rPr>
          <w:lang w:val="sq-AL"/>
        </w:rPr>
        <w:t>r ndërtimin e k</w:t>
      </w:r>
      <w:r>
        <w:rPr>
          <w:lang w:val="sq-AL"/>
        </w:rPr>
        <w:t>ë</w:t>
      </w:r>
      <w:r w:rsidRPr="00276B9D">
        <w:rPr>
          <w:lang w:val="sq-AL"/>
        </w:rPr>
        <w:t xml:space="preserve">tij kuadri </w:t>
      </w:r>
      <w:r>
        <w:rPr>
          <w:lang w:val="sq-AL"/>
        </w:rPr>
        <w:t>ë</w:t>
      </w:r>
      <w:r w:rsidRPr="00276B9D">
        <w:rPr>
          <w:lang w:val="sq-AL"/>
        </w:rPr>
        <w:t>sht</w:t>
      </w:r>
      <w:r>
        <w:rPr>
          <w:lang w:val="sq-AL"/>
        </w:rPr>
        <w:t>ë</w:t>
      </w:r>
      <w:r w:rsidRPr="00276B9D">
        <w:rPr>
          <w:lang w:val="sq-AL"/>
        </w:rPr>
        <w:t xml:space="preserve"> p</w:t>
      </w:r>
      <w:r>
        <w:rPr>
          <w:lang w:val="sq-AL"/>
        </w:rPr>
        <w:t>ë</w:t>
      </w:r>
      <w:r w:rsidRPr="00276B9D">
        <w:rPr>
          <w:lang w:val="sq-AL"/>
        </w:rPr>
        <w:t>rgjith</w:t>
      </w:r>
      <w:r>
        <w:rPr>
          <w:lang w:val="sq-AL"/>
        </w:rPr>
        <w:t>ë</w:t>
      </w:r>
      <w:r w:rsidRPr="00276B9D">
        <w:rPr>
          <w:lang w:val="sq-AL"/>
        </w:rPr>
        <w:t>sisht q</w:t>
      </w:r>
      <w:r>
        <w:rPr>
          <w:lang w:val="sq-AL"/>
        </w:rPr>
        <w:t>ë</w:t>
      </w:r>
      <w:r w:rsidRPr="00276B9D">
        <w:rPr>
          <w:lang w:val="sq-AL"/>
        </w:rPr>
        <w:t xml:space="preserve"> prej vitit 1996. Pasi janë ndjekur t</w:t>
      </w:r>
      <w:r>
        <w:rPr>
          <w:lang w:val="sq-AL"/>
        </w:rPr>
        <w:t>ë</w:t>
      </w:r>
      <w:r w:rsidRPr="00276B9D">
        <w:rPr>
          <w:lang w:val="sq-AL"/>
        </w:rPr>
        <w:t xml:space="preserve"> gjitha etapat metodologjike t</w:t>
      </w:r>
      <w:r>
        <w:rPr>
          <w:lang w:val="sq-AL"/>
        </w:rPr>
        <w:t>ë</w:t>
      </w:r>
      <w:r w:rsidRPr="00276B9D">
        <w:rPr>
          <w:lang w:val="sq-AL"/>
        </w:rPr>
        <w:t xml:space="preserve"> parashikimit, skenari baz</w:t>
      </w:r>
      <w:r>
        <w:rPr>
          <w:lang w:val="sq-AL"/>
        </w:rPr>
        <w:t>ë</w:t>
      </w:r>
      <w:r w:rsidRPr="00276B9D">
        <w:rPr>
          <w:lang w:val="sq-AL"/>
        </w:rPr>
        <w:t xml:space="preserve"> i përftuar synon t</w:t>
      </w:r>
      <w:r>
        <w:rPr>
          <w:lang w:val="sq-AL"/>
        </w:rPr>
        <w:t>ë</w:t>
      </w:r>
      <w:r w:rsidRPr="00276B9D">
        <w:rPr>
          <w:lang w:val="sq-AL"/>
        </w:rPr>
        <w:t xml:space="preserve"> paraqes</w:t>
      </w:r>
      <w:r>
        <w:rPr>
          <w:lang w:val="sq-AL"/>
        </w:rPr>
        <w:t>ë</w:t>
      </w:r>
      <w:r w:rsidRPr="00276B9D">
        <w:rPr>
          <w:lang w:val="sq-AL"/>
        </w:rPr>
        <w:t xml:space="preserve"> situatën makroekonomike p</w:t>
      </w:r>
      <w:r>
        <w:rPr>
          <w:lang w:val="sq-AL"/>
        </w:rPr>
        <w:t>ë</w:t>
      </w:r>
      <w:r w:rsidRPr="00276B9D">
        <w:rPr>
          <w:lang w:val="sq-AL"/>
        </w:rPr>
        <w:t>rgjith</w:t>
      </w:r>
      <w:r>
        <w:rPr>
          <w:lang w:val="sq-AL"/>
        </w:rPr>
        <w:t>ë</w:t>
      </w:r>
      <w:r w:rsidRPr="00276B9D">
        <w:rPr>
          <w:lang w:val="sq-AL"/>
        </w:rPr>
        <w:t>sisht m</w:t>
      </w:r>
      <w:r>
        <w:rPr>
          <w:lang w:val="sq-AL"/>
        </w:rPr>
        <w:t>ë</w:t>
      </w:r>
      <w:r w:rsidRPr="00276B9D">
        <w:rPr>
          <w:lang w:val="sq-AL"/>
        </w:rPr>
        <w:t xml:space="preserve"> t</w:t>
      </w:r>
      <w:r>
        <w:rPr>
          <w:lang w:val="sq-AL"/>
        </w:rPr>
        <w:t>ë mundshme</w:t>
      </w:r>
      <w:r w:rsidRPr="00276B9D">
        <w:rPr>
          <w:lang w:val="sq-AL"/>
        </w:rPr>
        <w:t xml:space="preserve"> dhe maksimalisht konsistente n</w:t>
      </w:r>
      <w:r>
        <w:rPr>
          <w:lang w:val="sq-AL"/>
        </w:rPr>
        <w:t>ë</w:t>
      </w:r>
      <w:r w:rsidRPr="00276B9D">
        <w:rPr>
          <w:lang w:val="sq-AL"/>
        </w:rPr>
        <w:t xml:space="preserve"> aspektin e nj</w:t>
      </w:r>
      <w:r>
        <w:rPr>
          <w:lang w:val="sq-AL"/>
        </w:rPr>
        <w:t>ë</w:t>
      </w:r>
      <w:r w:rsidRPr="00276B9D">
        <w:rPr>
          <w:lang w:val="sq-AL"/>
        </w:rPr>
        <w:t xml:space="preserve"> ekonomie t</w:t>
      </w:r>
      <w:r>
        <w:rPr>
          <w:lang w:val="sq-AL"/>
        </w:rPr>
        <w:t>ë</w:t>
      </w:r>
      <w:r w:rsidRPr="00276B9D">
        <w:rPr>
          <w:lang w:val="sq-AL"/>
        </w:rPr>
        <w:t xml:space="preserve"> plot</w:t>
      </w:r>
      <w:r>
        <w:rPr>
          <w:lang w:val="sq-AL"/>
        </w:rPr>
        <w:t>ë</w:t>
      </w:r>
      <w:r w:rsidRPr="00276B9D">
        <w:rPr>
          <w:lang w:val="sq-AL"/>
        </w:rPr>
        <w:t xml:space="preserve"> dhe integrale. </w:t>
      </w:r>
    </w:p>
    <w:p w:rsidR="00DC2753" w:rsidRPr="00276B9D" w:rsidRDefault="00DC2753" w:rsidP="00DC2753">
      <w:pPr>
        <w:pStyle w:val="Paragrafi"/>
        <w:rPr>
          <w:lang w:val="sq-AL"/>
        </w:rPr>
      </w:pPr>
      <w:r>
        <w:rPr>
          <w:lang w:val="sq-AL"/>
        </w:rPr>
        <w:t>Objektivat themelorë</w:t>
      </w:r>
      <w:r w:rsidRPr="00276B9D">
        <w:rPr>
          <w:lang w:val="sq-AL"/>
        </w:rPr>
        <w:t xml:space="preserve"> të miksit të politikave</w:t>
      </w:r>
      <w:r>
        <w:rPr>
          <w:lang w:val="sq-AL"/>
        </w:rPr>
        <w:t xml:space="preserve"> fiskale e monetare përgjatë tri</w:t>
      </w:r>
      <w:r w:rsidRPr="00276B9D">
        <w:rPr>
          <w:lang w:val="sq-AL"/>
        </w:rPr>
        <w:t xml:space="preserve"> viteve në vijim me anë të të cilave synohet ruajtja dhe konsolidimi i mëtejshëm i stabilitetit makroekonomik, krijimi i klimës për një rritje të lartë e të qëndrueshme ekonomike</w:t>
      </w:r>
      <w:r>
        <w:rPr>
          <w:lang w:val="sq-AL"/>
        </w:rPr>
        <w:t>,</w:t>
      </w:r>
      <w:r w:rsidRPr="00276B9D">
        <w:rPr>
          <w:lang w:val="sq-AL"/>
        </w:rPr>
        <w:t xml:space="preserve"> si dhe konvergimi sa shpejt drejt nivelit mesatar të mirëqenies të Bashkimit Evropian, janë:</w:t>
      </w:r>
    </w:p>
    <w:p w:rsidR="00DC2753" w:rsidRPr="00276B9D" w:rsidRDefault="00DC2753" w:rsidP="00DC2753">
      <w:pPr>
        <w:pStyle w:val="Paragrafi"/>
        <w:rPr>
          <w:lang w:val="sq-AL"/>
        </w:rPr>
      </w:pPr>
      <w:r w:rsidRPr="00276B9D">
        <w:rPr>
          <w:lang w:val="sq-AL"/>
        </w:rPr>
        <w:t>- Targetimi i një trajektore rënëse të borxhit publik</w:t>
      </w:r>
      <w:r>
        <w:rPr>
          <w:lang w:val="sq-AL"/>
        </w:rPr>
        <w:t>,</w:t>
      </w:r>
      <w:r w:rsidRPr="00276B9D">
        <w:rPr>
          <w:lang w:val="sq-AL"/>
        </w:rPr>
        <w:t xml:space="preserve"> duke synuar nivelin poshtë 60 për</w:t>
      </w:r>
      <w:r>
        <w:rPr>
          <w:lang w:val="sq-AL"/>
        </w:rPr>
        <w:t xml:space="preserve"> </w:t>
      </w:r>
      <w:r w:rsidRPr="00276B9D">
        <w:rPr>
          <w:lang w:val="sq-AL"/>
        </w:rPr>
        <w:t>qind të PBB</w:t>
      </w:r>
      <w:r>
        <w:rPr>
          <w:lang w:val="sq-AL"/>
        </w:rPr>
        <w:t>-së</w:t>
      </w:r>
      <w:r w:rsidRPr="00276B9D">
        <w:rPr>
          <w:lang w:val="sq-AL"/>
        </w:rPr>
        <w:t xml:space="preserve"> në vitin 2020.</w:t>
      </w:r>
    </w:p>
    <w:p w:rsidR="00DC2753" w:rsidRPr="00276B9D" w:rsidRDefault="00DC2753" w:rsidP="00DC2753">
      <w:pPr>
        <w:pStyle w:val="Paragrafi"/>
        <w:rPr>
          <w:lang w:val="sq-AL"/>
        </w:rPr>
      </w:pPr>
      <w:r w:rsidRPr="00276B9D">
        <w:rPr>
          <w:lang w:val="sq-AL"/>
        </w:rPr>
        <w:t>- Mbajtja e një niveli të investimeve publike mbi nivelin e deficitit të përgjithshëm fiskal në çdo vit dhe mundësisht afër nivelit optimal prej 5 për</w:t>
      </w:r>
      <w:r>
        <w:rPr>
          <w:lang w:val="sq-AL"/>
        </w:rPr>
        <w:t xml:space="preserve"> </w:t>
      </w:r>
      <w:r w:rsidRPr="00276B9D">
        <w:rPr>
          <w:lang w:val="sq-AL"/>
        </w:rPr>
        <w:t>qind të PBB</w:t>
      </w:r>
      <w:r>
        <w:rPr>
          <w:lang w:val="sq-AL"/>
        </w:rPr>
        <w:t>-së</w:t>
      </w:r>
      <w:r w:rsidRPr="00276B9D">
        <w:rPr>
          <w:lang w:val="sq-AL"/>
        </w:rPr>
        <w:t>.</w:t>
      </w:r>
    </w:p>
    <w:p w:rsidR="00DC2753" w:rsidRPr="00276B9D" w:rsidRDefault="00DC2753" w:rsidP="00DC2753">
      <w:pPr>
        <w:pStyle w:val="Paragrafi"/>
        <w:rPr>
          <w:lang w:val="sq-AL"/>
        </w:rPr>
      </w:pPr>
      <w:r w:rsidRPr="00276B9D">
        <w:rPr>
          <w:lang w:val="sq-AL"/>
        </w:rPr>
        <w:t>- Harmonizimi me objektivin themelor të politikës monetare për stabilitetin e çmimeve</w:t>
      </w:r>
      <w:r>
        <w:rPr>
          <w:lang w:val="sq-AL"/>
        </w:rPr>
        <w:t>,</w:t>
      </w:r>
      <w:r w:rsidRPr="00276B9D">
        <w:rPr>
          <w:lang w:val="sq-AL"/>
        </w:rPr>
        <w:t xml:space="preserve"> e cila targeton një normë inflacioni në nivelin 3 për</w:t>
      </w:r>
      <w:r>
        <w:rPr>
          <w:lang w:val="sq-AL"/>
        </w:rPr>
        <w:t xml:space="preserve"> </w:t>
      </w:r>
      <w:r w:rsidRPr="00276B9D">
        <w:rPr>
          <w:lang w:val="sq-AL"/>
        </w:rPr>
        <w:t xml:space="preserve">qind dhe ankorimin e pritshmërive të tij rreth këtij niveli. </w:t>
      </w:r>
    </w:p>
    <w:p w:rsidR="00DC2753" w:rsidRPr="00276B9D" w:rsidRDefault="00DC2753" w:rsidP="00DC2753">
      <w:pPr>
        <w:pStyle w:val="Paragrafi"/>
        <w:rPr>
          <w:lang w:val="sq-AL"/>
        </w:rPr>
      </w:pPr>
      <w:r w:rsidRPr="00276B9D">
        <w:rPr>
          <w:lang w:val="sq-AL"/>
        </w:rPr>
        <w:t>- Zbutja e deficitit t</w:t>
      </w:r>
      <w:r>
        <w:rPr>
          <w:lang w:val="sq-AL"/>
        </w:rPr>
        <w:t>ë</w:t>
      </w:r>
      <w:r w:rsidRPr="00276B9D">
        <w:rPr>
          <w:lang w:val="sq-AL"/>
        </w:rPr>
        <w:t xml:space="preserve"> llogaris</w:t>
      </w:r>
      <w:r>
        <w:rPr>
          <w:lang w:val="sq-AL"/>
        </w:rPr>
        <w:t>ë</w:t>
      </w:r>
      <w:r w:rsidRPr="00276B9D">
        <w:rPr>
          <w:lang w:val="sq-AL"/>
        </w:rPr>
        <w:t xml:space="preserve"> korrente dhe përmirësimi i pozicionit të jashtëm të ekonomisë duke tentuar rritjen graduale t</w:t>
      </w:r>
      <w:r>
        <w:rPr>
          <w:lang w:val="sq-AL"/>
        </w:rPr>
        <w:t>ë nivelit të rezervave valutore</w:t>
      </w:r>
      <w:r w:rsidRPr="00276B9D">
        <w:rPr>
          <w:lang w:val="sq-AL"/>
        </w:rPr>
        <w:t xml:space="preserve"> dhe duke ruajtur të paktën një nivel dysheme të tyre, të mjaftueshëm për të financuar jo më pak se 4 muaj import mallrash dhe shërbimesh. </w:t>
      </w:r>
    </w:p>
    <w:p w:rsidR="00DC2753" w:rsidRPr="00276B9D" w:rsidRDefault="00DC2753" w:rsidP="00DC2753">
      <w:pPr>
        <w:pStyle w:val="Paragrafi"/>
        <w:rPr>
          <w:lang w:val="sq-AL"/>
        </w:rPr>
      </w:pPr>
      <w:r>
        <w:rPr>
          <w:lang w:val="sq-AL"/>
        </w:rPr>
        <w:t>Këta objektiva fondamentalë</w:t>
      </w:r>
      <w:r w:rsidRPr="00276B9D">
        <w:rPr>
          <w:lang w:val="sq-AL"/>
        </w:rPr>
        <w:t xml:space="preserve"> p</w:t>
      </w:r>
      <w:r>
        <w:rPr>
          <w:lang w:val="sq-AL"/>
        </w:rPr>
        <w:t>ë</w:t>
      </w:r>
      <w:r w:rsidRPr="00276B9D">
        <w:rPr>
          <w:lang w:val="sq-AL"/>
        </w:rPr>
        <w:t>rb</w:t>
      </w:r>
      <w:r>
        <w:rPr>
          <w:lang w:val="sq-AL"/>
        </w:rPr>
        <w:t>e</w:t>
      </w:r>
      <w:r w:rsidRPr="00276B9D">
        <w:rPr>
          <w:lang w:val="sq-AL"/>
        </w:rPr>
        <w:t>jnë konturet bazë t</w:t>
      </w:r>
      <w:r>
        <w:rPr>
          <w:lang w:val="sq-AL"/>
        </w:rPr>
        <w:t>ë</w:t>
      </w:r>
      <w:r w:rsidRPr="00276B9D">
        <w:rPr>
          <w:lang w:val="sq-AL"/>
        </w:rPr>
        <w:t xml:space="preserve"> k</w:t>
      </w:r>
      <w:r>
        <w:rPr>
          <w:lang w:val="sq-AL"/>
        </w:rPr>
        <w:t>ë</w:t>
      </w:r>
      <w:r w:rsidRPr="00276B9D">
        <w:rPr>
          <w:lang w:val="sq-AL"/>
        </w:rPr>
        <w:t>tij programi ekonomik e fiskal brenda t</w:t>
      </w:r>
      <w:r>
        <w:rPr>
          <w:lang w:val="sq-AL"/>
        </w:rPr>
        <w:t>ë</w:t>
      </w:r>
      <w:r w:rsidRPr="00276B9D">
        <w:rPr>
          <w:lang w:val="sq-AL"/>
        </w:rPr>
        <w:t xml:space="preserve"> cilave përcaktohen projeksionet dhe programohen p</w:t>
      </w:r>
      <w:r>
        <w:rPr>
          <w:lang w:val="sq-AL"/>
        </w:rPr>
        <w:t>ë</w:t>
      </w:r>
      <w:r w:rsidRPr="00276B9D">
        <w:rPr>
          <w:lang w:val="sq-AL"/>
        </w:rPr>
        <w:t>r t</w:t>
      </w:r>
      <w:r>
        <w:rPr>
          <w:lang w:val="sq-AL"/>
        </w:rPr>
        <w:t>ë</w:t>
      </w:r>
      <w:r w:rsidRPr="00276B9D">
        <w:rPr>
          <w:lang w:val="sq-AL"/>
        </w:rPr>
        <w:t xml:space="preserve"> gjith</w:t>
      </w:r>
      <w:r>
        <w:rPr>
          <w:lang w:val="sq-AL"/>
        </w:rPr>
        <w:t>ë</w:t>
      </w:r>
      <w:r w:rsidRPr="00276B9D">
        <w:rPr>
          <w:lang w:val="sq-AL"/>
        </w:rPr>
        <w:t xml:space="preserve"> variablat e tjer</w:t>
      </w:r>
      <w:r>
        <w:rPr>
          <w:lang w:val="sq-AL"/>
        </w:rPr>
        <w:t>ë</w:t>
      </w:r>
      <w:r w:rsidRPr="00276B9D">
        <w:rPr>
          <w:lang w:val="sq-AL"/>
        </w:rPr>
        <w:t xml:space="preserve"> makroekonomik</w:t>
      </w:r>
      <w:r>
        <w:rPr>
          <w:lang w:val="sq-AL"/>
        </w:rPr>
        <w:t>ë</w:t>
      </w:r>
      <w:r w:rsidRPr="00276B9D">
        <w:rPr>
          <w:lang w:val="sq-AL"/>
        </w:rPr>
        <w:t xml:space="preserve">. </w:t>
      </w:r>
    </w:p>
    <w:p w:rsidR="00DC2753" w:rsidRPr="00276B9D" w:rsidRDefault="00DC2753" w:rsidP="00DC2753">
      <w:pPr>
        <w:pStyle w:val="Paragrafi"/>
        <w:rPr>
          <w:lang w:val="sq-AL"/>
        </w:rPr>
      </w:pPr>
      <w:bookmarkStart w:id="6" w:name="_Toc472430737"/>
      <w:r w:rsidRPr="00276B9D">
        <w:rPr>
          <w:lang w:val="sq-AL"/>
        </w:rPr>
        <w:t xml:space="preserve">Skenari makroekonomik e fiskal </w:t>
      </w:r>
      <w:r>
        <w:rPr>
          <w:lang w:val="sq-AL"/>
        </w:rPr>
        <w:t>afat</w:t>
      </w:r>
      <w:r w:rsidRPr="00276B9D">
        <w:rPr>
          <w:lang w:val="sq-AL"/>
        </w:rPr>
        <w:t>mesëm</w:t>
      </w:r>
      <w:bookmarkEnd w:id="6"/>
    </w:p>
    <w:p w:rsidR="00DC2753" w:rsidRPr="00276B9D" w:rsidRDefault="00DC2753" w:rsidP="00DC2753">
      <w:pPr>
        <w:pStyle w:val="Paragrafi"/>
        <w:rPr>
          <w:lang w:val="sq-AL"/>
        </w:rPr>
      </w:pPr>
      <w:r w:rsidRPr="00276B9D">
        <w:rPr>
          <w:lang w:val="sq-AL"/>
        </w:rPr>
        <w:t>Perspektiva ekonomike pritet të vijojë përmirësimin në periudhën afatmesme. Rritja ekonomike pritet të vijojë përshpejtimin e saj e gjeneruar në masën më të madhe prej kërkesës së brendshme, duke arritur në 3.8 për</w:t>
      </w:r>
      <w:r>
        <w:rPr>
          <w:lang w:val="sq-AL"/>
        </w:rPr>
        <w:t xml:space="preserve"> </w:t>
      </w:r>
      <w:r w:rsidRPr="00276B9D">
        <w:rPr>
          <w:lang w:val="sq-AL"/>
        </w:rPr>
        <w:t>qind në vitin 2017 nga 3.4 për</w:t>
      </w:r>
      <w:r>
        <w:rPr>
          <w:lang w:val="sq-AL"/>
        </w:rPr>
        <w:t xml:space="preserve"> </w:t>
      </w:r>
      <w:r w:rsidRPr="00276B9D">
        <w:rPr>
          <w:lang w:val="sq-AL"/>
        </w:rPr>
        <w:t>qind e pritur për 2016</w:t>
      </w:r>
      <w:r>
        <w:rPr>
          <w:lang w:val="sq-AL"/>
        </w:rPr>
        <w:t>-n</w:t>
      </w:r>
      <w:r w:rsidRPr="00276B9D">
        <w:rPr>
          <w:lang w:val="sq-AL"/>
        </w:rPr>
        <w:t>, dhe duke kaluar mbi nivelin 4 për</w:t>
      </w:r>
      <w:r>
        <w:rPr>
          <w:lang w:val="sq-AL"/>
        </w:rPr>
        <w:t xml:space="preserve"> </w:t>
      </w:r>
      <w:r w:rsidRPr="00276B9D">
        <w:rPr>
          <w:lang w:val="sq-AL"/>
        </w:rPr>
        <w:t>qind për tr</w:t>
      </w:r>
      <w:r>
        <w:rPr>
          <w:lang w:val="sq-AL"/>
        </w:rPr>
        <w:t>i</w:t>
      </w:r>
      <w:r w:rsidRPr="00276B9D">
        <w:rPr>
          <w:lang w:val="sq-AL"/>
        </w:rPr>
        <w:t xml:space="preserve"> vitet e ardhshme, përkatësisht 4.1 për</w:t>
      </w:r>
      <w:r>
        <w:rPr>
          <w:lang w:val="sq-AL"/>
        </w:rPr>
        <w:t xml:space="preserve"> </w:t>
      </w:r>
      <w:r w:rsidRPr="00276B9D">
        <w:rPr>
          <w:lang w:val="sq-AL"/>
        </w:rPr>
        <w:t xml:space="preserve">qind </w:t>
      </w:r>
      <w:r>
        <w:rPr>
          <w:lang w:val="sq-AL"/>
        </w:rPr>
        <w:t>m</w:t>
      </w:r>
      <w:r w:rsidRPr="00276B9D">
        <w:rPr>
          <w:lang w:val="sq-AL"/>
        </w:rPr>
        <w:t>ë 2018</w:t>
      </w:r>
      <w:r>
        <w:rPr>
          <w:lang w:val="sq-AL"/>
        </w:rPr>
        <w:t>-n</w:t>
      </w:r>
      <w:r w:rsidRPr="00276B9D">
        <w:rPr>
          <w:lang w:val="sq-AL"/>
        </w:rPr>
        <w:t xml:space="preserve"> dhe 4.2 për</w:t>
      </w:r>
      <w:r>
        <w:rPr>
          <w:lang w:val="sq-AL"/>
        </w:rPr>
        <w:t xml:space="preserve"> </w:t>
      </w:r>
      <w:r w:rsidRPr="00276B9D">
        <w:rPr>
          <w:lang w:val="sq-AL"/>
        </w:rPr>
        <w:t xml:space="preserve">qind </w:t>
      </w:r>
      <w:r>
        <w:rPr>
          <w:lang w:val="sq-AL"/>
        </w:rPr>
        <w:t>m</w:t>
      </w:r>
      <w:r w:rsidRPr="00276B9D">
        <w:rPr>
          <w:lang w:val="sq-AL"/>
        </w:rPr>
        <w:t>ë 2019</w:t>
      </w:r>
      <w:r>
        <w:rPr>
          <w:lang w:val="sq-AL"/>
        </w:rPr>
        <w:t>-n,</w:t>
      </w:r>
      <w:r w:rsidRPr="00276B9D">
        <w:rPr>
          <w:lang w:val="sq-AL"/>
        </w:rPr>
        <w:t xml:space="preserve"> dhe 4.3 për</w:t>
      </w:r>
      <w:r>
        <w:rPr>
          <w:lang w:val="sq-AL"/>
        </w:rPr>
        <w:t xml:space="preserve"> </w:t>
      </w:r>
      <w:r w:rsidRPr="00276B9D">
        <w:rPr>
          <w:lang w:val="sq-AL"/>
        </w:rPr>
        <w:t xml:space="preserve">qind </w:t>
      </w:r>
      <w:r>
        <w:rPr>
          <w:lang w:val="sq-AL"/>
        </w:rPr>
        <w:t>m</w:t>
      </w:r>
      <w:r w:rsidRPr="00276B9D">
        <w:rPr>
          <w:lang w:val="sq-AL"/>
        </w:rPr>
        <w:t>ë 2020</w:t>
      </w:r>
      <w:r>
        <w:rPr>
          <w:lang w:val="sq-AL"/>
        </w:rPr>
        <w:t>-n</w:t>
      </w:r>
      <w:r w:rsidRPr="00276B9D">
        <w:rPr>
          <w:lang w:val="sq-AL"/>
        </w:rPr>
        <w:t xml:space="preserve">. </w:t>
      </w:r>
    </w:p>
    <w:p w:rsidR="00DC2753" w:rsidRPr="00276B9D" w:rsidRDefault="00DC2753" w:rsidP="00DC2753">
      <w:pPr>
        <w:pStyle w:val="Paragrafi"/>
        <w:rPr>
          <w:lang w:val="sq-AL"/>
        </w:rPr>
      </w:pPr>
      <w:r w:rsidRPr="00276B9D">
        <w:rPr>
          <w:lang w:val="sq-AL"/>
        </w:rPr>
        <w:t>Investimet, veçanërisht ato të huaja direkte</w:t>
      </w:r>
      <w:r>
        <w:rPr>
          <w:lang w:val="sq-AL"/>
        </w:rPr>
        <w:t>,</w:t>
      </w:r>
      <w:r w:rsidRPr="00276B9D">
        <w:rPr>
          <w:lang w:val="sq-AL"/>
        </w:rPr>
        <w:t xml:space="preserve"> si dhe konsumi, pritet të jenë gjeneratorët kryesorë të rritjes. Pritshmëritë për rritjen e mëtejshme të kërkesës për investime reflektojnë edhe përmirësimin aktual të normave të shfrytëzimit të kapaciteteve prodhuese.</w:t>
      </w:r>
    </w:p>
    <w:p w:rsidR="00DC2753" w:rsidRPr="00276B9D" w:rsidRDefault="00DC2753" w:rsidP="00DC2753">
      <w:pPr>
        <w:pStyle w:val="Paragrafi"/>
        <w:rPr>
          <w:lang w:val="sq-AL"/>
        </w:rPr>
      </w:pPr>
      <w:r w:rsidRPr="00276B9D">
        <w:rPr>
          <w:lang w:val="sq-AL"/>
        </w:rPr>
        <w:t xml:space="preserve">Eksporti i mallrave pritet t’i rikthehet normave relativisht të larta të rritjes </w:t>
      </w:r>
      <w:r>
        <w:rPr>
          <w:lang w:val="sq-AL"/>
        </w:rPr>
        <w:t>duke supozuar të paktën një mos</w:t>
      </w:r>
      <w:r w:rsidRPr="00276B9D">
        <w:rPr>
          <w:lang w:val="sq-AL"/>
        </w:rPr>
        <w:t>rënie të mëtejshme të çmimeve të naftës bruto dhe mineraleve në tregjet ndërkombëtare. Eksporti i shërbimeve, veçanërisht</w:t>
      </w:r>
      <w:r>
        <w:rPr>
          <w:lang w:val="sq-AL"/>
        </w:rPr>
        <w:t>,</w:t>
      </w:r>
      <w:r w:rsidRPr="00276B9D">
        <w:rPr>
          <w:lang w:val="sq-AL"/>
        </w:rPr>
        <w:t xml:space="preserve"> shërbimet turistike, pritet të kenë një performancë të mirë në afat të mesëm. Megjithatë, kërkesa e huaj neto pritet të vazhdojë të ketë një kontribut neutral në vitin 2018 për shkak të vijimit të importeve relativisht të larta të mallrave kapitale, veçanërisht</w:t>
      </w:r>
      <w:r>
        <w:rPr>
          <w:lang w:val="sq-AL"/>
        </w:rPr>
        <w:t>,</w:t>
      </w:r>
      <w:r w:rsidRPr="00276B9D">
        <w:rPr>
          <w:lang w:val="sq-AL"/>
        </w:rPr>
        <w:t xml:space="preserve"> në reflektim të dy projekteve kryesore të energjisë, TAP dhe Statkraft-Devoll Hydropower. Ndërkohë për vitet 2019 dhe 2020, kontributi i kërkesës së huaj neto parashikohet të rikthehet në terren pozitiv. </w:t>
      </w:r>
    </w:p>
    <w:p w:rsidR="00DC2753" w:rsidRPr="00276B9D" w:rsidRDefault="00DC2753" w:rsidP="00DC2753">
      <w:pPr>
        <w:pStyle w:val="Paragrafi"/>
        <w:rPr>
          <w:lang w:val="sq-AL"/>
        </w:rPr>
      </w:pPr>
      <w:r w:rsidRPr="00276B9D">
        <w:rPr>
          <w:lang w:val="sq-AL"/>
        </w:rPr>
        <w:t>Ndërsa politika fiskale do të vazhdojë të orientohet drejt konsolidimit në horizontin afatmesëm dhe atë afatgjatë, politika buxhetore për të ruajtur një nivel të investimeve publike afër 5 për</w:t>
      </w:r>
      <w:r>
        <w:rPr>
          <w:lang w:val="sq-AL"/>
        </w:rPr>
        <w:t xml:space="preserve"> </w:t>
      </w:r>
      <w:r w:rsidRPr="00276B9D">
        <w:rPr>
          <w:lang w:val="sq-AL"/>
        </w:rPr>
        <w:t>qind të PBB-së, do të mbështesë krijimin e konsiderueshëm të kapitalit fiks bruto në ekonomi, i cili është i rëndësishëm për të mbajtur nivele relativisht të larta rr</w:t>
      </w:r>
      <w:r>
        <w:rPr>
          <w:lang w:val="sq-AL"/>
        </w:rPr>
        <w:t>itjeje, si në afatin e shkurtër</w:t>
      </w:r>
      <w:r w:rsidRPr="00276B9D">
        <w:rPr>
          <w:lang w:val="sq-AL"/>
        </w:rPr>
        <w:t xml:space="preserve"> ashtu edhe në afatin e gjatë. Rritja e konsumit privat pritet të vazhdojë të jetë në nivele relativisht të larta pozitive, duke reflektuar besimin e përmirësuar të konsumatorëve. Në të njëjtën kohë, qëndrimi akomodues i parashikuar i politikës monetare për periudhën afatmesme, për sa kohë që presionet inflacioniste të mbeten në kahun e poshtëm, pritet të mbështesë konsumin privat dhe investimet.</w:t>
      </w:r>
    </w:p>
    <w:p w:rsidR="00DC2753" w:rsidRPr="00276B9D" w:rsidRDefault="00DC2753" w:rsidP="00DC2753">
      <w:pPr>
        <w:pStyle w:val="Paragrafi"/>
        <w:rPr>
          <w:lang w:val="sq-AL"/>
        </w:rPr>
      </w:pPr>
      <w:r w:rsidRPr="00276B9D">
        <w:rPr>
          <w:lang w:val="sq-AL"/>
        </w:rPr>
        <w:t xml:space="preserve">Rritja e konsumit privat përgjatë horizontit të parashikuar pritet të mbështetet edhe nga përmirësimet në tregun e punës. Kjo do të stimulojë rritjen reale të të ardhurave të individëve. Në të njëjtën kohë, edhe rritja e huadhënies për konsum parashikohet në rritje, duke reflektuar si përmirësimin e financave të individëve, ashtu edhe lehtësimin e standardeve të kredidhënies nga sistemi bankar. </w:t>
      </w:r>
    </w:p>
    <w:p w:rsidR="00DC2753" w:rsidRPr="00276B9D" w:rsidRDefault="00DC2753" w:rsidP="00DC2753">
      <w:pPr>
        <w:pStyle w:val="Paragrafi"/>
        <w:rPr>
          <w:lang w:val="sq-AL"/>
        </w:rPr>
      </w:pPr>
      <w:r w:rsidRPr="00276B9D">
        <w:rPr>
          <w:lang w:val="sq-AL"/>
        </w:rPr>
        <w:t>Kërkesa totale e sektorit publik do të vijojë të jetë disi e kufizuar si rezultat i konsolidimit fiskal. Megjithatë, konsolidimi fiskal do të reduktojë ndjeshëm primet e risqeve në periudhën afatmesme dhe do të krijojë më shumë hapësira për zgjerimin dhe përforcimin e sektorit privat.</w:t>
      </w:r>
    </w:p>
    <w:p w:rsidR="00DC2753" w:rsidRPr="00276B9D" w:rsidRDefault="00DC2753" w:rsidP="00DC2753">
      <w:pPr>
        <w:pStyle w:val="Paragrafi"/>
        <w:rPr>
          <w:lang w:val="sq-AL"/>
        </w:rPr>
      </w:pPr>
      <w:r w:rsidRPr="00276B9D">
        <w:rPr>
          <w:lang w:val="sq-AL"/>
        </w:rPr>
        <w:t xml:space="preserve">Në të njëjtën kohë, përbërja e politikave buxhetore të planifikuara në mbështetje të rritjes ekonomike, pritet të balancojnë në një masë të caktuar efektet shtrënguese të konsolidimit fiskal. </w:t>
      </w:r>
    </w:p>
    <w:p w:rsidR="00DC2753" w:rsidRPr="00276B9D" w:rsidRDefault="00DC2753" w:rsidP="00DC2753">
      <w:pPr>
        <w:pStyle w:val="Paragrafi"/>
        <w:rPr>
          <w:lang w:val="sq-AL"/>
        </w:rPr>
      </w:pPr>
      <w:r w:rsidRPr="00276B9D">
        <w:rPr>
          <w:lang w:val="sq-AL"/>
        </w:rPr>
        <w:t xml:space="preserve">Rritja ekonomike në periudhën afatmesme në vijim pritet të gjenerojë një nivel relativisht të lartë punësimi, pasi sektorët e prodhimit me intensitet të lartë të forcës së punës pritet të performojnë më mirë se të tjerët. Për këtë arsye, rritja e punësimit total pritet të përshpejtohet gjatë viteve </w:t>
      </w:r>
      <w:r>
        <w:rPr>
          <w:lang w:val="sq-AL"/>
        </w:rPr>
        <w:t>2018–2020</w:t>
      </w:r>
      <w:r w:rsidRPr="00276B9D">
        <w:rPr>
          <w:lang w:val="sq-AL"/>
        </w:rPr>
        <w:t>. Ndërkohë shkalla e papunësisë pritet të zbresë në 13.3 për</w:t>
      </w:r>
      <w:r>
        <w:rPr>
          <w:lang w:val="sq-AL"/>
        </w:rPr>
        <w:t xml:space="preserve"> </w:t>
      </w:r>
      <w:r w:rsidRPr="00276B9D">
        <w:rPr>
          <w:lang w:val="sq-AL"/>
        </w:rPr>
        <w:t xml:space="preserve">qind për vitin 2018 dhe të vijojë gradualisht </w:t>
      </w:r>
      <w:r w:rsidRPr="00276B9D">
        <w:rPr>
          <w:lang w:val="sq-AL"/>
        </w:rPr>
        <w:lastRenderedPageBreak/>
        <w:t>rënien rreth nivelit 11.8 për</w:t>
      </w:r>
      <w:r>
        <w:rPr>
          <w:lang w:val="sq-AL"/>
        </w:rPr>
        <w:t xml:space="preserve"> </w:t>
      </w:r>
      <w:r w:rsidRPr="00276B9D">
        <w:rPr>
          <w:lang w:val="sq-AL"/>
        </w:rPr>
        <w:t xml:space="preserve">qind në vitin 2020. </w:t>
      </w:r>
    </w:p>
    <w:p w:rsidR="00DC2753" w:rsidRPr="00276B9D" w:rsidRDefault="00DC2753" w:rsidP="00DC2753">
      <w:pPr>
        <w:pStyle w:val="Paragrafi"/>
        <w:rPr>
          <w:lang w:val="sq-AL"/>
        </w:rPr>
      </w:pPr>
      <w:r w:rsidRPr="00276B9D">
        <w:rPr>
          <w:lang w:val="sq-AL"/>
        </w:rPr>
        <w:t>Presionet inflacioniste parashikohet të forcohen në periudhën afatmesme. Inflacioni pritet të rritet gradualisht dhe të rikthehet në objektivin e politikës monetare, br</w:t>
      </w:r>
      <w:r>
        <w:rPr>
          <w:lang w:val="sq-AL"/>
        </w:rPr>
        <w:t>e</w:t>
      </w:r>
      <w:r w:rsidRPr="00276B9D">
        <w:rPr>
          <w:lang w:val="sq-AL"/>
        </w:rPr>
        <w:t>nda fundit të vitit 2018. Presionet e brendshme inflacioniste priten të përshpejtohen, si rezultat i rritjes së konsumit privat dhe investimeve, që do të mbështesin një ritëm më të shpejtë të rritjes ekonomike. Për më tepër, kërkesa agregate dhe inflacioni në mjedisin ndërkombëtar pritet të kenë një efekt disinflacionist në një masë më të vogël për periudhën afatmesme në vijim.</w:t>
      </w:r>
    </w:p>
    <w:p w:rsidR="00DC2753" w:rsidRPr="002353BB" w:rsidRDefault="00DC2753" w:rsidP="00DC2753">
      <w:pPr>
        <w:pStyle w:val="Paragrafi"/>
        <w:rPr>
          <w:sz w:val="14"/>
          <w:lang w:val="sq-AL"/>
        </w:rPr>
      </w:pPr>
    </w:p>
    <w:p w:rsidR="00DC2753" w:rsidRPr="00276B9D" w:rsidRDefault="00DC2753" w:rsidP="00DC2753">
      <w:pPr>
        <w:pStyle w:val="Paragrafi"/>
        <w:rPr>
          <w:lang w:val="sq-AL"/>
        </w:rPr>
      </w:pPr>
      <w:r w:rsidRPr="00276B9D">
        <w:rPr>
          <w:lang w:val="sq-AL"/>
        </w:rPr>
        <w:t>Grafik: Rritja reale (majtas, në për</w:t>
      </w:r>
      <w:r>
        <w:rPr>
          <w:lang w:val="sq-AL"/>
        </w:rPr>
        <w:t xml:space="preserve"> </w:t>
      </w:r>
      <w:r w:rsidRPr="00276B9D">
        <w:rPr>
          <w:lang w:val="sq-AL"/>
        </w:rPr>
        <w:t>qind) dhe kontributet në rritje (djathtas, në pikë për</w:t>
      </w:r>
      <w:r>
        <w:rPr>
          <w:lang w:val="sq-AL"/>
        </w:rPr>
        <w:t xml:space="preserve"> </w:t>
      </w:r>
      <w:r w:rsidRPr="00276B9D">
        <w:rPr>
          <w:lang w:val="sq-AL"/>
        </w:rPr>
        <w:t xml:space="preserve">qind) sipas komponentëve të kërkesës agregate </w:t>
      </w:r>
    </w:p>
    <w:p w:rsidR="00DC2753" w:rsidRPr="00276B9D" w:rsidRDefault="00DC2753" w:rsidP="00DC2753">
      <w:pPr>
        <w:widowControl w:val="0"/>
        <w:ind w:firstLine="0"/>
        <w:rPr>
          <w:lang w:val="sq-AL"/>
        </w:rPr>
      </w:pPr>
      <w:r w:rsidRPr="00276B9D">
        <w:rPr>
          <w:noProof/>
        </w:rPr>
        <w:drawing>
          <wp:inline distT="0" distB="0" distL="0" distR="0" wp14:anchorId="778FCDC0" wp14:editId="62D537C2">
            <wp:extent cx="5943600" cy="227108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271080"/>
                    </a:xfrm>
                    <a:prstGeom prst="rect">
                      <a:avLst/>
                    </a:prstGeom>
                    <a:noFill/>
                    <a:ln>
                      <a:noFill/>
                    </a:ln>
                  </pic:spPr>
                </pic:pic>
              </a:graphicData>
            </a:graphic>
          </wp:inline>
        </w:drawing>
      </w:r>
    </w:p>
    <w:p w:rsidR="00DC2753" w:rsidRPr="002353BB" w:rsidRDefault="00DC2753" w:rsidP="00DC2753">
      <w:pPr>
        <w:pStyle w:val="Paragrafi"/>
        <w:rPr>
          <w:i/>
          <w:lang w:val="sq-AL"/>
        </w:rPr>
      </w:pPr>
      <w:r w:rsidRPr="002353BB">
        <w:rPr>
          <w:i/>
          <w:lang w:val="sq-AL"/>
        </w:rPr>
        <w:t xml:space="preserve">Burimi: INSTAT, Ministria e Financave </w:t>
      </w:r>
    </w:p>
    <w:p w:rsidR="00DC2753" w:rsidRPr="00276B9D"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Default="00DC2753" w:rsidP="00DC2753">
      <w:pPr>
        <w:pStyle w:val="Paragrafi"/>
        <w:rPr>
          <w:lang w:val="sq-AL"/>
        </w:rPr>
      </w:pPr>
    </w:p>
    <w:p w:rsidR="00DC2753" w:rsidRPr="00276B9D" w:rsidRDefault="00DC2753" w:rsidP="00DC2753">
      <w:pPr>
        <w:pStyle w:val="Paragrafi"/>
        <w:rPr>
          <w:lang w:val="sq-AL"/>
        </w:rPr>
      </w:pPr>
      <w:r w:rsidRPr="00276B9D">
        <w:rPr>
          <w:lang w:val="sq-AL"/>
        </w:rPr>
        <w:t>Grafik: Rritja reale (majtas, në për</w:t>
      </w:r>
      <w:r>
        <w:rPr>
          <w:lang w:val="sq-AL"/>
        </w:rPr>
        <w:t xml:space="preserve"> </w:t>
      </w:r>
      <w:r w:rsidRPr="00276B9D">
        <w:rPr>
          <w:lang w:val="sq-AL"/>
        </w:rPr>
        <w:t>qind) dhe kontributet në rritje (djathtas, në pikë për</w:t>
      </w:r>
      <w:r>
        <w:rPr>
          <w:lang w:val="sq-AL"/>
        </w:rPr>
        <w:t xml:space="preserve"> </w:t>
      </w:r>
      <w:r w:rsidRPr="00276B9D">
        <w:rPr>
          <w:lang w:val="sq-AL"/>
        </w:rPr>
        <w:t>qind) sipas komponentëve të ofertës agregate</w:t>
      </w:r>
    </w:p>
    <w:p w:rsidR="00DC2753" w:rsidRPr="00276B9D" w:rsidRDefault="00DC2753" w:rsidP="00DC2753">
      <w:pPr>
        <w:widowControl w:val="0"/>
        <w:ind w:firstLine="0"/>
        <w:rPr>
          <w:lang w:val="sq-AL"/>
        </w:rPr>
      </w:pPr>
      <w:r w:rsidRPr="00276B9D">
        <w:rPr>
          <w:noProof/>
        </w:rPr>
        <w:drawing>
          <wp:inline distT="0" distB="0" distL="0" distR="0" wp14:anchorId="28C8F4CE" wp14:editId="406448D2">
            <wp:extent cx="5943600" cy="2265523"/>
            <wp:effectExtent l="0" t="0" r="0" b="190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265523"/>
                    </a:xfrm>
                    <a:prstGeom prst="rect">
                      <a:avLst/>
                    </a:prstGeom>
                    <a:noFill/>
                    <a:ln>
                      <a:noFill/>
                    </a:ln>
                  </pic:spPr>
                </pic:pic>
              </a:graphicData>
            </a:graphic>
          </wp:inline>
        </w:drawing>
      </w:r>
    </w:p>
    <w:p w:rsidR="00DC2753" w:rsidRPr="002353BB" w:rsidRDefault="00DC2753" w:rsidP="00DC2753">
      <w:pPr>
        <w:pStyle w:val="Paragrafi"/>
        <w:rPr>
          <w:i/>
          <w:lang w:val="sq-AL"/>
        </w:rPr>
      </w:pPr>
      <w:r w:rsidRPr="002353BB">
        <w:rPr>
          <w:i/>
          <w:lang w:val="sq-AL"/>
        </w:rPr>
        <w:t xml:space="preserve">Burimi: INSTAT Ministria e Financave </w:t>
      </w:r>
    </w:p>
    <w:p w:rsidR="00DC2753" w:rsidRPr="002353BB" w:rsidRDefault="00DC2753" w:rsidP="00DC2753">
      <w:pPr>
        <w:pStyle w:val="Paragrafi"/>
        <w:rPr>
          <w:sz w:val="14"/>
          <w:lang w:val="sq-AL"/>
        </w:rPr>
      </w:pPr>
    </w:p>
    <w:p w:rsidR="00DC2753" w:rsidRPr="00276B9D" w:rsidRDefault="00DC2753" w:rsidP="00DC2753">
      <w:pPr>
        <w:pStyle w:val="Paragrafi"/>
        <w:rPr>
          <w:lang w:val="sq-AL"/>
        </w:rPr>
      </w:pPr>
      <w:r w:rsidRPr="00276B9D">
        <w:rPr>
          <w:lang w:val="sq-AL"/>
        </w:rPr>
        <w:t xml:space="preserve">Parashikimet për treguesit kryesorë makroekonomikë paraqiten në lidhjen nr. 1 bashkëngjitur </w:t>
      </w:r>
      <w:r w:rsidRPr="00276B9D">
        <w:rPr>
          <w:lang w:val="sq-AL"/>
        </w:rPr>
        <w:lastRenderedPageBreak/>
        <w:t>projektvendimit.</w:t>
      </w:r>
    </w:p>
    <w:p w:rsidR="00DC2753" w:rsidRPr="00276B9D" w:rsidRDefault="00DC2753" w:rsidP="00DC2753">
      <w:pPr>
        <w:pStyle w:val="Paragrafi"/>
        <w:rPr>
          <w:lang w:val="sq-AL"/>
        </w:rPr>
      </w:pPr>
      <w:r w:rsidRPr="00276B9D">
        <w:rPr>
          <w:lang w:val="sq-AL"/>
        </w:rPr>
        <w:t>Bazuar mbi parashikimet e treguesve kryesorë makroekonomik</w:t>
      </w:r>
      <w:r>
        <w:rPr>
          <w:lang w:val="sq-AL"/>
        </w:rPr>
        <w:t>ë</w:t>
      </w:r>
      <w:r w:rsidRPr="00276B9D">
        <w:rPr>
          <w:lang w:val="sq-AL"/>
        </w:rPr>
        <w:t>, reformave fiskale të ndërmarra, efekteve të pritshme të përmirësimit administrativ, si dhe të faktorëve të tjerë përcaktues në ecurinë e zërave të ndryshëm të të ardhurave të buxhetit të shtetit, të ardhurat totale të buxhet</w:t>
      </w:r>
      <w:r>
        <w:rPr>
          <w:lang w:val="sq-AL"/>
        </w:rPr>
        <w:t>it për tri vitet në vijim (2018–</w:t>
      </w:r>
      <w:r w:rsidRPr="00276B9D">
        <w:rPr>
          <w:lang w:val="sq-AL"/>
        </w:rPr>
        <w:t>2020) parashikohet të rriten mesatarisht me rreth 6.85 për</w:t>
      </w:r>
      <w:r>
        <w:rPr>
          <w:lang w:val="sq-AL"/>
        </w:rPr>
        <w:t xml:space="preserve"> </w:t>
      </w:r>
      <w:r w:rsidRPr="00276B9D">
        <w:rPr>
          <w:lang w:val="sq-AL"/>
        </w:rPr>
        <w:t>qind në çdo vit. Të ardhura tatimore për këtë periudhë parashikohen me një rritje mesatare vjetore prej rreth 6.9 për</w:t>
      </w:r>
      <w:r>
        <w:rPr>
          <w:lang w:val="sq-AL"/>
        </w:rPr>
        <w:t xml:space="preserve"> </w:t>
      </w:r>
      <w:r w:rsidRPr="00276B9D">
        <w:rPr>
          <w:lang w:val="sq-AL"/>
        </w:rPr>
        <w:t>qind.</w:t>
      </w:r>
    </w:p>
    <w:p w:rsidR="00DC2753" w:rsidRPr="002353BB" w:rsidRDefault="00DC2753" w:rsidP="00DC2753">
      <w:pPr>
        <w:pStyle w:val="Paragrafi"/>
        <w:rPr>
          <w:sz w:val="14"/>
          <w:lang w:val="sq-AL"/>
        </w:rPr>
      </w:pPr>
    </w:p>
    <w:p w:rsidR="00DC2753" w:rsidRPr="00276B9D" w:rsidRDefault="00DC2753" w:rsidP="00DC2753">
      <w:pPr>
        <w:pStyle w:val="Paragrafi"/>
        <w:rPr>
          <w:lang w:val="sq-AL"/>
        </w:rPr>
      </w:pPr>
      <w:r w:rsidRPr="00276B9D">
        <w:rPr>
          <w:lang w:val="sq-AL"/>
        </w:rPr>
        <w:t xml:space="preserve">Grafik: Të ardhurat (majtas në miliardë </w:t>
      </w:r>
      <w:r>
        <w:rPr>
          <w:lang w:val="sq-AL"/>
        </w:rPr>
        <w:t>l</w:t>
      </w:r>
      <w:r w:rsidRPr="00276B9D">
        <w:rPr>
          <w:lang w:val="sq-AL"/>
        </w:rPr>
        <w:t>ekë, djathtas në për</w:t>
      </w:r>
      <w:r>
        <w:rPr>
          <w:lang w:val="sq-AL"/>
        </w:rPr>
        <w:t xml:space="preserve"> </w:t>
      </w:r>
      <w:r w:rsidRPr="00276B9D">
        <w:rPr>
          <w:lang w:val="sq-AL"/>
        </w:rPr>
        <w:t>qind të PBB</w:t>
      </w:r>
      <w:r>
        <w:rPr>
          <w:lang w:val="sq-AL"/>
        </w:rPr>
        <w:t>-së</w:t>
      </w:r>
      <w:r w:rsidRPr="00276B9D">
        <w:rPr>
          <w:lang w:val="sq-AL"/>
        </w:rPr>
        <w:t xml:space="preserve">) </w:t>
      </w:r>
    </w:p>
    <w:p w:rsidR="00DC2753" w:rsidRPr="00276B9D" w:rsidRDefault="00DC2753" w:rsidP="00DC2753">
      <w:pPr>
        <w:widowControl w:val="0"/>
        <w:ind w:firstLine="0"/>
        <w:rPr>
          <w:lang w:val="sq-AL"/>
        </w:rPr>
      </w:pPr>
      <w:r w:rsidRPr="00276B9D">
        <w:rPr>
          <w:noProof/>
        </w:rPr>
        <w:drawing>
          <wp:inline distT="0" distB="0" distL="0" distR="0" wp14:anchorId="624A6CCA" wp14:editId="5C3C6CAE">
            <wp:extent cx="5944345" cy="2092147"/>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091885"/>
                    </a:xfrm>
                    <a:prstGeom prst="rect">
                      <a:avLst/>
                    </a:prstGeom>
                    <a:noFill/>
                    <a:ln>
                      <a:noFill/>
                    </a:ln>
                  </pic:spPr>
                </pic:pic>
              </a:graphicData>
            </a:graphic>
          </wp:inline>
        </w:drawing>
      </w:r>
    </w:p>
    <w:p w:rsidR="00DC2753" w:rsidRPr="002353BB" w:rsidRDefault="00DC2753" w:rsidP="00DC2753">
      <w:pPr>
        <w:pStyle w:val="Paragrafi"/>
        <w:rPr>
          <w:i/>
          <w:lang w:val="sq-AL"/>
        </w:rPr>
      </w:pPr>
      <w:r w:rsidRPr="002353BB">
        <w:rPr>
          <w:i/>
          <w:lang w:val="sq-AL"/>
        </w:rPr>
        <w:t>Burimi: Ministria e Financave</w:t>
      </w:r>
    </w:p>
    <w:p w:rsidR="00DC2753" w:rsidRPr="002353BB" w:rsidRDefault="00DC2753" w:rsidP="00DC2753">
      <w:pPr>
        <w:pStyle w:val="Paragrafi"/>
        <w:rPr>
          <w:sz w:val="14"/>
          <w:lang w:val="sq-AL"/>
        </w:rPr>
      </w:pPr>
    </w:p>
    <w:p w:rsidR="00DC2753" w:rsidRPr="00276B9D" w:rsidRDefault="00DC2753" w:rsidP="00DC2753">
      <w:pPr>
        <w:pStyle w:val="Paragrafi"/>
        <w:rPr>
          <w:lang w:val="sq-AL"/>
        </w:rPr>
      </w:pPr>
      <w:r w:rsidRPr="00276B9D">
        <w:rPr>
          <w:lang w:val="sq-AL"/>
        </w:rPr>
        <w:t>Duke qëndruar brenda kontureve të parashikimeve të treguesve makroekon</w:t>
      </w:r>
      <w:r>
        <w:rPr>
          <w:lang w:val="sq-AL"/>
        </w:rPr>
        <w:t>omikë dhe të të ardhurave për tri</w:t>
      </w:r>
      <w:r w:rsidRPr="00276B9D">
        <w:rPr>
          <w:lang w:val="sq-AL"/>
        </w:rPr>
        <w:t xml:space="preserve"> vitet në vijim, si dhe duke synuar respektimin e objektivave të sipërpërmendur të deficitit fiskal për këtë periudhë, burimet totale të qeverisë për t’u shpenzuar gjatë viteve 2018–2020 pritet të jenë mesatarisht në rreth 519 miliard</w:t>
      </w:r>
      <w:r>
        <w:rPr>
          <w:lang w:val="sq-AL"/>
        </w:rPr>
        <w:t>ë</w:t>
      </w:r>
      <w:r w:rsidRPr="00276B9D">
        <w:rPr>
          <w:lang w:val="sq-AL"/>
        </w:rPr>
        <w:t xml:space="preserve"> </w:t>
      </w:r>
      <w:r>
        <w:rPr>
          <w:lang w:val="sq-AL"/>
        </w:rPr>
        <w:t>l</w:t>
      </w:r>
      <w:r w:rsidRPr="00276B9D">
        <w:rPr>
          <w:lang w:val="sq-AL"/>
        </w:rPr>
        <w:t>ekë në çdo vit ose mesatarisht rreth 28.4 për</w:t>
      </w:r>
      <w:r>
        <w:rPr>
          <w:lang w:val="sq-AL"/>
        </w:rPr>
        <w:t xml:space="preserve"> </w:t>
      </w:r>
      <w:r w:rsidRPr="00276B9D">
        <w:rPr>
          <w:lang w:val="sq-AL"/>
        </w:rPr>
        <w:t>qind e PBB</w:t>
      </w:r>
      <w:r>
        <w:rPr>
          <w:lang w:val="sq-AL"/>
        </w:rPr>
        <w:t>-së</w:t>
      </w:r>
      <w:r w:rsidRPr="00276B9D">
        <w:rPr>
          <w:lang w:val="sq-AL"/>
        </w:rPr>
        <w:t>. Investimet publike janë programuar të mbahen në një nivel mesatarisht prej rreth 4.6 për</w:t>
      </w:r>
      <w:r>
        <w:rPr>
          <w:lang w:val="sq-AL"/>
        </w:rPr>
        <w:t xml:space="preserve"> </w:t>
      </w:r>
      <w:r w:rsidRPr="00276B9D">
        <w:rPr>
          <w:lang w:val="sq-AL"/>
        </w:rPr>
        <w:t>qind të PBB</w:t>
      </w:r>
      <w:r>
        <w:rPr>
          <w:lang w:val="sq-AL"/>
        </w:rPr>
        <w:t>-së</w:t>
      </w:r>
      <w:r w:rsidRPr="00276B9D">
        <w:rPr>
          <w:lang w:val="sq-AL"/>
        </w:rPr>
        <w:t xml:space="preserve"> në çdo vit. Këto konsiderohen nivele optimale për mbështetjen e një rritje ekonomike të lartë e të qëndrueshme.</w:t>
      </w:r>
    </w:p>
    <w:p w:rsidR="00DC2753" w:rsidRPr="002353BB" w:rsidRDefault="00DC2753" w:rsidP="00DC2753">
      <w:pPr>
        <w:pStyle w:val="Paragrafi"/>
        <w:rPr>
          <w:sz w:val="14"/>
          <w:lang w:val="sq-AL"/>
        </w:rPr>
      </w:pPr>
    </w:p>
    <w:p w:rsidR="00DC2753" w:rsidRDefault="00DC2753" w:rsidP="00DC2753">
      <w:pPr>
        <w:pStyle w:val="Paragrafi"/>
        <w:rPr>
          <w:lang w:val="sq-AL"/>
        </w:rPr>
      </w:pPr>
    </w:p>
    <w:p w:rsidR="00DC2753" w:rsidRPr="00276B9D" w:rsidRDefault="00DC2753" w:rsidP="00DC2753">
      <w:pPr>
        <w:pStyle w:val="Paragrafi"/>
        <w:rPr>
          <w:lang w:val="sq-AL"/>
        </w:rPr>
      </w:pPr>
      <w:r w:rsidRPr="00276B9D">
        <w:rPr>
          <w:lang w:val="sq-AL"/>
        </w:rPr>
        <w:t xml:space="preserve">Grafik: Shpenzimet (majtas në miliardë </w:t>
      </w:r>
      <w:r>
        <w:rPr>
          <w:lang w:val="sq-AL"/>
        </w:rPr>
        <w:t>l</w:t>
      </w:r>
      <w:r w:rsidRPr="00276B9D">
        <w:rPr>
          <w:lang w:val="sq-AL"/>
        </w:rPr>
        <w:t>ekë, djathtas në për</w:t>
      </w:r>
      <w:r>
        <w:rPr>
          <w:lang w:val="sq-AL"/>
        </w:rPr>
        <w:t xml:space="preserve"> </w:t>
      </w:r>
      <w:r w:rsidRPr="00276B9D">
        <w:rPr>
          <w:lang w:val="sq-AL"/>
        </w:rPr>
        <w:t>qind të PBB</w:t>
      </w:r>
      <w:r>
        <w:rPr>
          <w:lang w:val="sq-AL"/>
        </w:rPr>
        <w:t>-së</w:t>
      </w:r>
      <w:r w:rsidRPr="00276B9D">
        <w:rPr>
          <w:lang w:val="sq-AL"/>
        </w:rPr>
        <w:t xml:space="preserve">) </w:t>
      </w:r>
    </w:p>
    <w:p w:rsidR="00DC2753" w:rsidRPr="00276B9D" w:rsidRDefault="00DC2753" w:rsidP="00DC2753">
      <w:pPr>
        <w:widowControl w:val="0"/>
        <w:ind w:firstLine="0"/>
        <w:rPr>
          <w:lang w:val="sq-AL"/>
        </w:rPr>
      </w:pPr>
      <w:r w:rsidRPr="00276B9D">
        <w:rPr>
          <w:noProof/>
        </w:rPr>
        <w:drawing>
          <wp:inline distT="0" distB="0" distL="0" distR="0" wp14:anchorId="15222D40" wp14:editId="5B2EA227">
            <wp:extent cx="5944345" cy="2084832"/>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084571"/>
                    </a:xfrm>
                    <a:prstGeom prst="rect">
                      <a:avLst/>
                    </a:prstGeom>
                    <a:noFill/>
                    <a:ln>
                      <a:noFill/>
                    </a:ln>
                  </pic:spPr>
                </pic:pic>
              </a:graphicData>
            </a:graphic>
          </wp:inline>
        </w:drawing>
      </w:r>
    </w:p>
    <w:p w:rsidR="00DC2753" w:rsidRPr="002353BB" w:rsidRDefault="00DC2753" w:rsidP="00DC2753">
      <w:pPr>
        <w:pStyle w:val="Paragrafi"/>
        <w:rPr>
          <w:i/>
          <w:lang w:val="sq-AL"/>
        </w:rPr>
      </w:pPr>
      <w:r w:rsidRPr="002353BB">
        <w:rPr>
          <w:i/>
          <w:lang w:val="sq-AL"/>
        </w:rPr>
        <w:t>Burimi: Ministria e Financave</w:t>
      </w:r>
    </w:p>
    <w:p w:rsidR="00DC2753" w:rsidRPr="002353BB" w:rsidRDefault="00DC2753" w:rsidP="00DC2753">
      <w:pPr>
        <w:pStyle w:val="Paragrafi"/>
        <w:rPr>
          <w:sz w:val="14"/>
          <w:lang w:val="sq-AL"/>
        </w:rPr>
      </w:pPr>
    </w:p>
    <w:p w:rsidR="00DC2753" w:rsidRPr="00276B9D" w:rsidRDefault="00DC2753" w:rsidP="00DC2753">
      <w:pPr>
        <w:pStyle w:val="Paragrafi"/>
        <w:rPr>
          <w:lang w:val="sq-AL"/>
        </w:rPr>
      </w:pPr>
      <w:r w:rsidRPr="00276B9D">
        <w:rPr>
          <w:lang w:val="sq-AL"/>
        </w:rPr>
        <w:t>Parashikimet e të ardhurave sipas zërave të buxhetit të konsoliduar, si dhe niveli i shpenzimeve të shpërndara sipas zërave të buxhetit të konsoliduar paraqiten në lidhjet nr. 2/1 dhe nr. 2/2 bashkëngjitur projektvendimit, respektivisht në terma nominalë dhe në raport me PBB</w:t>
      </w:r>
      <w:r>
        <w:rPr>
          <w:lang w:val="sq-AL"/>
        </w:rPr>
        <w:t>-në</w:t>
      </w:r>
      <w:r w:rsidRPr="00276B9D">
        <w:rPr>
          <w:lang w:val="sq-AL"/>
        </w:rPr>
        <w:t>.</w:t>
      </w:r>
    </w:p>
    <w:p w:rsidR="00DC2753" w:rsidRPr="00276B9D" w:rsidRDefault="00DC2753" w:rsidP="00DC2753">
      <w:pPr>
        <w:pStyle w:val="Hapesira7"/>
        <w:rPr>
          <w:lang w:val="sq-AL" w:eastAsia="en-GB"/>
        </w:rPr>
      </w:pPr>
    </w:p>
    <w:p w:rsidR="00DC2753" w:rsidRDefault="00DC2753" w:rsidP="00DC2753">
      <w:pPr>
        <w:widowControl w:val="0"/>
        <w:spacing w:after="0"/>
        <w:rPr>
          <w:rFonts w:ascii="Garamond" w:hAnsi="Garamond"/>
          <w:b/>
          <w:lang w:val="sq-AL"/>
        </w:rPr>
      </w:pPr>
      <w:r w:rsidRPr="00276B9D">
        <w:rPr>
          <w:rFonts w:ascii="Garamond" w:hAnsi="Garamond"/>
          <w:b/>
          <w:lang w:val="sq-AL"/>
        </w:rPr>
        <w:t xml:space="preserve">Lidhja </w:t>
      </w:r>
      <w:r>
        <w:rPr>
          <w:rFonts w:ascii="Garamond" w:hAnsi="Garamond"/>
          <w:b/>
          <w:lang w:val="sq-AL"/>
        </w:rPr>
        <w:t>n</w:t>
      </w:r>
      <w:r w:rsidRPr="00276B9D">
        <w:rPr>
          <w:rFonts w:ascii="Garamond" w:hAnsi="Garamond"/>
          <w:b/>
          <w:lang w:val="sq-AL"/>
        </w:rPr>
        <w:t xml:space="preserve">r. 1 </w:t>
      </w:r>
    </w:p>
    <w:p w:rsidR="00DC2753" w:rsidRPr="00276B9D" w:rsidRDefault="00DC2753" w:rsidP="00DC2753">
      <w:pPr>
        <w:widowControl w:val="0"/>
        <w:spacing w:after="0"/>
        <w:rPr>
          <w:rFonts w:ascii="Garamond" w:hAnsi="Garamond"/>
          <w:b/>
          <w:i/>
          <w:lang w:val="sq-AL"/>
        </w:rPr>
      </w:pPr>
      <w:r w:rsidRPr="00276B9D">
        <w:rPr>
          <w:rFonts w:ascii="Garamond" w:hAnsi="Garamond"/>
          <w:b/>
          <w:i/>
          <w:lang w:val="sq-AL"/>
        </w:rPr>
        <w:t>Treguesit kryesorë makroekonomikë</w:t>
      </w:r>
    </w:p>
    <w:p w:rsidR="00DC2753" w:rsidRPr="00276B9D" w:rsidRDefault="00DC2753" w:rsidP="00DC2753">
      <w:pPr>
        <w:pStyle w:val="Hapesira7"/>
        <w:rPr>
          <w:lang w:val="sq-AL"/>
        </w:rPr>
      </w:pPr>
    </w:p>
    <w:p w:rsidR="00DC2753" w:rsidRPr="00276B9D" w:rsidRDefault="00DC2753" w:rsidP="00DC2753">
      <w:pPr>
        <w:widowControl w:val="0"/>
        <w:spacing w:after="0"/>
        <w:jc w:val="center"/>
        <w:rPr>
          <w:b/>
          <w:i/>
          <w:sz w:val="24"/>
          <w:szCs w:val="24"/>
          <w:lang w:val="sq-AL"/>
        </w:rPr>
      </w:pPr>
      <w:r w:rsidRPr="00276B9D">
        <w:rPr>
          <w:noProof/>
        </w:rPr>
        <w:lastRenderedPageBreak/>
        <w:drawing>
          <wp:inline distT="0" distB="0" distL="0" distR="0" wp14:anchorId="270F8AF6" wp14:editId="1A52BC36">
            <wp:extent cx="5484083" cy="4608576"/>
            <wp:effectExtent l="19050" t="0" r="2317"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448" cy="4613085"/>
                    </a:xfrm>
                    <a:prstGeom prst="rect">
                      <a:avLst/>
                    </a:prstGeom>
                    <a:noFill/>
                    <a:ln>
                      <a:noFill/>
                    </a:ln>
                  </pic:spPr>
                </pic:pic>
              </a:graphicData>
            </a:graphic>
          </wp:inline>
        </w:drawing>
      </w:r>
    </w:p>
    <w:p w:rsidR="00DC2753" w:rsidRPr="00276B9D" w:rsidRDefault="00DC2753" w:rsidP="00DC2753">
      <w:pPr>
        <w:widowControl w:val="0"/>
        <w:spacing w:after="0"/>
        <w:ind w:firstLine="720"/>
        <w:rPr>
          <w:b/>
          <w:sz w:val="28"/>
          <w:szCs w:val="28"/>
          <w:lang w:val="sq-AL"/>
        </w:rPr>
      </w:pPr>
      <w:bookmarkStart w:id="7" w:name="_Toc472430739"/>
    </w:p>
    <w:p w:rsidR="00DC2753" w:rsidRPr="00276B9D" w:rsidRDefault="00DC2753" w:rsidP="00DC2753">
      <w:pPr>
        <w:widowControl w:val="0"/>
        <w:spacing w:after="0"/>
        <w:rPr>
          <w:rFonts w:ascii="Garamond" w:hAnsi="Garamond"/>
          <w:b/>
          <w:i/>
          <w:lang w:val="sq-AL"/>
        </w:rPr>
      </w:pPr>
      <w:r w:rsidRPr="00276B9D">
        <w:rPr>
          <w:rFonts w:ascii="Garamond" w:hAnsi="Garamond"/>
          <w:b/>
          <w:lang w:val="sq-AL"/>
        </w:rPr>
        <w:t xml:space="preserve">Lidhja nr. 2/1 – </w:t>
      </w:r>
      <w:r w:rsidRPr="00276B9D">
        <w:rPr>
          <w:rFonts w:ascii="Garamond" w:hAnsi="Garamond"/>
          <w:b/>
          <w:i/>
          <w:lang w:val="sq-AL"/>
        </w:rPr>
        <w:t>Treguesit fiskalë sipas buxheti të konsoliduar (në milion lekë)</w:t>
      </w:r>
      <w:bookmarkEnd w:id="7"/>
    </w:p>
    <w:p w:rsidR="00DC2753" w:rsidRPr="00276B9D" w:rsidRDefault="00DC2753" w:rsidP="00DC2753">
      <w:pPr>
        <w:widowControl w:val="0"/>
        <w:spacing w:after="0"/>
        <w:rPr>
          <w:b/>
          <w:i/>
          <w:sz w:val="28"/>
          <w:szCs w:val="28"/>
          <w:lang w:val="sq-AL"/>
        </w:rPr>
      </w:pPr>
      <w:r w:rsidRPr="00276B9D">
        <w:rPr>
          <w:noProof/>
        </w:rPr>
        <w:lastRenderedPageBreak/>
        <w:drawing>
          <wp:inline distT="0" distB="0" distL="0" distR="0" wp14:anchorId="730B29F9" wp14:editId="0E5624CE">
            <wp:extent cx="5986393" cy="8393248"/>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2194" cy="8401381"/>
                    </a:xfrm>
                    <a:prstGeom prst="rect">
                      <a:avLst/>
                    </a:prstGeom>
                    <a:noFill/>
                    <a:ln>
                      <a:noFill/>
                    </a:ln>
                  </pic:spPr>
                </pic:pic>
              </a:graphicData>
            </a:graphic>
          </wp:inline>
        </w:drawing>
      </w:r>
    </w:p>
    <w:p w:rsidR="00DC2753" w:rsidRPr="00276B9D" w:rsidRDefault="00DC2753" w:rsidP="00DC2753">
      <w:pPr>
        <w:widowControl w:val="0"/>
        <w:spacing w:after="0"/>
        <w:rPr>
          <w:rFonts w:ascii="Garamond" w:hAnsi="Garamond"/>
          <w:lang w:val="sq-AL"/>
        </w:rPr>
      </w:pPr>
      <w:bookmarkStart w:id="8" w:name="_Toc472430740"/>
      <w:r w:rsidRPr="00276B9D">
        <w:rPr>
          <w:rFonts w:ascii="Garamond" w:hAnsi="Garamond"/>
          <w:b/>
          <w:lang w:val="sq-AL"/>
        </w:rPr>
        <w:t>Lidhja Nr. 2/2 – Treguesti fiskalë sipas buxheti të konsoliduar (në përqindje të PBB)</w:t>
      </w:r>
      <w:bookmarkEnd w:id="8"/>
      <w:r w:rsidRPr="00276B9D">
        <w:rPr>
          <w:rFonts w:ascii="Garamond" w:hAnsi="Garamond"/>
          <w:b/>
          <w:lang w:val="sq-AL"/>
        </w:rPr>
        <w:t xml:space="preserve"> </w:t>
      </w:r>
    </w:p>
    <w:p w:rsidR="00DC2753" w:rsidRPr="00276B9D" w:rsidRDefault="00DC2753" w:rsidP="00DC2753">
      <w:pPr>
        <w:widowControl w:val="0"/>
        <w:spacing w:after="0"/>
        <w:rPr>
          <w:b/>
          <w:sz w:val="28"/>
          <w:szCs w:val="28"/>
          <w:lang w:val="sq-AL"/>
        </w:rPr>
      </w:pPr>
      <w:r w:rsidRPr="00276B9D">
        <w:rPr>
          <w:noProof/>
        </w:rPr>
        <w:lastRenderedPageBreak/>
        <w:drawing>
          <wp:inline distT="0" distB="0" distL="0" distR="0" wp14:anchorId="19CEA32B" wp14:editId="2756622B">
            <wp:extent cx="5879649" cy="8272994"/>
            <wp:effectExtent l="19050" t="0" r="6801"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2866" cy="8277521"/>
                    </a:xfrm>
                    <a:prstGeom prst="rect">
                      <a:avLst/>
                    </a:prstGeom>
                    <a:noFill/>
                    <a:ln>
                      <a:noFill/>
                    </a:ln>
                  </pic:spPr>
                </pic:pic>
              </a:graphicData>
            </a:graphic>
          </wp:inline>
        </w:drawing>
      </w:r>
    </w:p>
    <w:p w:rsidR="00DC2753" w:rsidRDefault="00DC2753" w:rsidP="00DC2753">
      <w:pPr>
        <w:pStyle w:val="Akti"/>
        <w:keepNext w:val="0"/>
        <w:rPr>
          <w:lang w:val="sq-AL"/>
        </w:rPr>
        <w:sectPr w:rsidR="00DC2753" w:rsidSect="008A378D">
          <w:type w:val="continuous"/>
          <w:pgSz w:w="11907" w:h="16840" w:code="9"/>
          <w:pgMar w:top="720" w:right="1134" w:bottom="720" w:left="1134" w:header="851" w:footer="851" w:gutter="0"/>
          <w:cols w:space="454"/>
          <w:docGrid w:linePitch="360"/>
        </w:sect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3166CA2"/>
    <w:multiLevelType w:val="hybridMultilevel"/>
    <w:tmpl w:val="595A55F6"/>
    <w:lvl w:ilvl="0" w:tplc="4B4E4E7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F5"/>
    <w:rsid w:val="004F59B3"/>
    <w:rsid w:val="00807797"/>
    <w:rsid w:val="00DC2753"/>
    <w:rsid w:val="00EE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75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C275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DC275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C2753"/>
    <w:rPr>
      <w:rFonts w:ascii="Garamond" w:eastAsia="MS Mincho" w:hAnsi="Garamond" w:cs="CG Times"/>
      <w:sz w:val="24"/>
    </w:rPr>
  </w:style>
  <w:style w:type="character" w:customStyle="1" w:styleId="AktiChar">
    <w:name w:val="Akti Char"/>
    <w:basedOn w:val="DefaultParagraphFont"/>
    <w:link w:val="Akti"/>
    <w:rsid w:val="00DC2753"/>
    <w:rPr>
      <w:rFonts w:ascii="Garamond" w:eastAsia="MS Mincho" w:hAnsi="Garamond" w:cs="CG Times"/>
      <w:b/>
      <w:bCs/>
      <w:caps/>
      <w:color w:val="000000"/>
      <w:sz w:val="24"/>
      <w:lang w:val="en-GB"/>
    </w:rPr>
  </w:style>
  <w:style w:type="paragraph" w:customStyle="1" w:styleId="Autoriteti">
    <w:name w:val="Autoriteti"/>
    <w:next w:val="Normal"/>
    <w:link w:val="AutoritetiChar"/>
    <w:rsid w:val="00DC275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C275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C2753"/>
    <w:rPr>
      <w:rFonts w:ascii="Garamond" w:eastAsia="MS Mincho" w:hAnsi="Garamond" w:cs="CG Times"/>
      <w:caps/>
      <w:sz w:val="24"/>
      <w:lang w:val="en-GB"/>
    </w:rPr>
  </w:style>
  <w:style w:type="character" w:customStyle="1" w:styleId="AutoritetiEmerChar">
    <w:name w:val="Autoriteti_Emer Char"/>
    <w:link w:val="AutoritetiEmer"/>
    <w:locked/>
    <w:rsid w:val="00DC2753"/>
    <w:rPr>
      <w:rFonts w:ascii="Garamond" w:eastAsia="MS Mincho" w:hAnsi="Garamond" w:cs="Times New Roman"/>
      <w:b/>
      <w:bCs/>
      <w:sz w:val="24"/>
      <w:lang w:val="en-GB"/>
    </w:rPr>
  </w:style>
  <w:style w:type="paragraph" w:customStyle="1" w:styleId="Titull-Titull">
    <w:name w:val="Titull-Titull"/>
    <w:basedOn w:val="Paragrafi"/>
    <w:qFormat/>
    <w:rsid w:val="00DC2753"/>
    <w:pPr>
      <w:ind w:firstLine="0"/>
      <w:jc w:val="center"/>
    </w:pPr>
    <w:rPr>
      <w:caps/>
      <w:szCs w:val="24"/>
    </w:rPr>
  </w:style>
  <w:style w:type="paragraph" w:customStyle="1" w:styleId="Hapesira7">
    <w:name w:val="Hapesira 7"/>
    <w:basedOn w:val="Paragrafi"/>
    <w:qFormat/>
    <w:rsid w:val="00DC2753"/>
    <w:rPr>
      <w:sz w:val="14"/>
      <w:szCs w:val="24"/>
    </w:rPr>
  </w:style>
  <w:style w:type="paragraph" w:styleId="ListParagraph">
    <w:name w:val="List Paragraph"/>
    <w:aliases w:val="List Paragraph2"/>
    <w:basedOn w:val="Normal"/>
    <w:link w:val="ListParagraphChar"/>
    <w:uiPriority w:val="34"/>
    <w:qFormat/>
    <w:rsid w:val="00DC275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C2753"/>
    <w:rPr>
      <w:rFonts w:ascii="Calibri" w:eastAsia="Times New Roman" w:hAnsi="Calibri" w:cs="Times New Roman"/>
    </w:rPr>
  </w:style>
  <w:style w:type="table" w:styleId="TableGrid">
    <w:name w:val="Table Grid"/>
    <w:basedOn w:val="TableNormal"/>
    <w:uiPriority w:val="59"/>
    <w:rsid w:val="00DC275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7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79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75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C275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DC275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C2753"/>
    <w:rPr>
      <w:rFonts w:ascii="Garamond" w:eastAsia="MS Mincho" w:hAnsi="Garamond" w:cs="CG Times"/>
      <w:sz w:val="24"/>
    </w:rPr>
  </w:style>
  <w:style w:type="character" w:customStyle="1" w:styleId="AktiChar">
    <w:name w:val="Akti Char"/>
    <w:basedOn w:val="DefaultParagraphFont"/>
    <w:link w:val="Akti"/>
    <w:rsid w:val="00DC2753"/>
    <w:rPr>
      <w:rFonts w:ascii="Garamond" w:eastAsia="MS Mincho" w:hAnsi="Garamond" w:cs="CG Times"/>
      <w:b/>
      <w:bCs/>
      <w:caps/>
      <w:color w:val="000000"/>
      <w:sz w:val="24"/>
      <w:lang w:val="en-GB"/>
    </w:rPr>
  </w:style>
  <w:style w:type="paragraph" w:customStyle="1" w:styleId="Autoriteti">
    <w:name w:val="Autoriteti"/>
    <w:next w:val="Normal"/>
    <w:link w:val="AutoritetiChar"/>
    <w:rsid w:val="00DC275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C275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C2753"/>
    <w:rPr>
      <w:rFonts w:ascii="Garamond" w:eastAsia="MS Mincho" w:hAnsi="Garamond" w:cs="CG Times"/>
      <w:caps/>
      <w:sz w:val="24"/>
      <w:lang w:val="en-GB"/>
    </w:rPr>
  </w:style>
  <w:style w:type="character" w:customStyle="1" w:styleId="AutoritetiEmerChar">
    <w:name w:val="Autoriteti_Emer Char"/>
    <w:link w:val="AutoritetiEmer"/>
    <w:locked/>
    <w:rsid w:val="00DC2753"/>
    <w:rPr>
      <w:rFonts w:ascii="Garamond" w:eastAsia="MS Mincho" w:hAnsi="Garamond" w:cs="Times New Roman"/>
      <w:b/>
      <w:bCs/>
      <w:sz w:val="24"/>
      <w:lang w:val="en-GB"/>
    </w:rPr>
  </w:style>
  <w:style w:type="paragraph" w:customStyle="1" w:styleId="Titull-Titull">
    <w:name w:val="Titull-Titull"/>
    <w:basedOn w:val="Paragrafi"/>
    <w:qFormat/>
    <w:rsid w:val="00DC2753"/>
    <w:pPr>
      <w:ind w:firstLine="0"/>
      <w:jc w:val="center"/>
    </w:pPr>
    <w:rPr>
      <w:caps/>
      <w:szCs w:val="24"/>
    </w:rPr>
  </w:style>
  <w:style w:type="paragraph" w:customStyle="1" w:styleId="Hapesira7">
    <w:name w:val="Hapesira 7"/>
    <w:basedOn w:val="Paragrafi"/>
    <w:qFormat/>
    <w:rsid w:val="00DC2753"/>
    <w:rPr>
      <w:sz w:val="14"/>
      <w:szCs w:val="24"/>
    </w:rPr>
  </w:style>
  <w:style w:type="paragraph" w:styleId="ListParagraph">
    <w:name w:val="List Paragraph"/>
    <w:aliases w:val="List Paragraph2"/>
    <w:basedOn w:val="Normal"/>
    <w:link w:val="ListParagraphChar"/>
    <w:uiPriority w:val="34"/>
    <w:qFormat/>
    <w:rsid w:val="00DC275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C2753"/>
    <w:rPr>
      <w:rFonts w:ascii="Calibri" w:eastAsia="Times New Roman" w:hAnsi="Calibri" w:cs="Times New Roman"/>
    </w:rPr>
  </w:style>
  <w:style w:type="table" w:styleId="TableGrid">
    <w:name w:val="Table Grid"/>
    <w:basedOn w:val="TableNormal"/>
    <w:uiPriority w:val="59"/>
    <w:rsid w:val="00DC275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7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79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3241</Words>
  <Characters>18475</Characters>
  <Application>Microsoft Office Word</Application>
  <DocSecurity>0</DocSecurity>
  <Lines>153</Lines>
  <Paragraphs>43</Paragraphs>
  <ScaleCrop>false</ScaleCrop>
  <Company/>
  <LinksUpToDate>false</LinksUpToDate>
  <CharactersWithSpaces>21673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2017-02-06T09:55:00Z</dcterms:created>
  <dcterms:modified xsi:type="dcterms:W3CDTF">2018-01-25T10:11:00Z</dcterms:modified>
</cp:coreProperties>
</file>