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4D3" w:rsidRPr="00425E0F" w:rsidRDefault="005604D3" w:rsidP="005604D3">
      <w:pPr>
        <w:pStyle w:val="Akti"/>
        <w:rPr>
          <w:spacing w:val="-4"/>
          <w:lang w:val="sq-AL"/>
        </w:rPr>
      </w:pPr>
      <w:r w:rsidRPr="00425E0F">
        <w:rPr>
          <w:spacing w:val="-4"/>
          <w:lang w:val="sq-AL"/>
        </w:rPr>
        <w:t>VENDIM</w:t>
      </w:r>
    </w:p>
    <w:p w:rsidR="005604D3" w:rsidRPr="00425E0F" w:rsidRDefault="005604D3" w:rsidP="005604D3">
      <w:pPr>
        <w:pStyle w:val="NumriData"/>
        <w:rPr>
          <w:spacing w:val="-4"/>
          <w:lang w:val="sq-AL"/>
        </w:rPr>
      </w:pPr>
      <w:r w:rsidRPr="00425E0F">
        <w:rPr>
          <w:spacing w:val="-4"/>
          <w:lang w:val="sq-AL"/>
        </w:rPr>
        <w:t>Nr. 134, datë 22.2.2017</w:t>
      </w:r>
    </w:p>
    <w:p w:rsidR="005604D3" w:rsidRPr="00425E0F" w:rsidRDefault="005604D3" w:rsidP="005604D3">
      <w:pPr>
        <w:pStyle w:val="Hapesira7"/>
        <w:rPr>
          <w:lang w:val="sq-AL"/>
        </w:rPr>
      </w:pPr>
    </w:p>
    <w:p w:rsidR="005604D3" w:rsidRPr="00425E0F" w:rsidRDefault="005604D3" w:rsidP="005604D3">
      <w:pPr>
        <w:pStyle w:val="Titulli"/>
        <w:rPr>
          <w:spacing w:val="-4"/>
          <w:lang w:val="sq-AL"/>
        </w:rPr>
      </w:pPr>
      <w:r w:rsidRPr="00425E0F">
        <w:rPr>
          <w:spacing w:val="-4"/>
          <w:lang w:val="sq-AL"/>
        </w:rPr>
        <w:t>PËR HEQJEN NGA FONDI PYJOR DHE KULLOSOR PUBLIK DHE PAKËSIMIN NË VOLUM TË SIPËRFAQES PREJ 1.18 HA NË NJËSINË ADMINISTRATIVE SURROJ,  BASHKIA KUKËS, QË DO TË PËRDORET NGA SHOQËRIA “VLLAZNIMI DEDA IMPORT EKSPORT”, SH.P.K., PËR NDËRTIMIN E FABRIKËS SË PASURIMIT TË KROMIT</w:t>
      </w:r>
    </w:p>
    <w:p w:rsidR="005604D3" w:rsidRPr="00425E0F" w:rsidRDefault="005604D3" w:rsidP="005604D3">
      <w:pPr>
        <w:pStyle w:val="Hapesira7"/>
        <w:rPr>
          <w:lang w:val="sq-AL"/>
        </w:rPr>
      </w:pPr>
      <w:r w:rsidRPr="00425E0F">
        <w:rPr>
          <w:lang w:val="sq-AL"/>
        </w:rPr>
        <w:t xml:space="preserve"> </w:t>
      </w:r>
    </w:p>
    <w:p w:rsidR="005604D3" w:rsidRPr="00425E0F" w:rsidRDefault="005604D3" w:rsidP="005604D3">
      <w:pPr>
        <w:pStyle w:val="Paragrafi"/>
        <w:rPr>
          <w:spacing w:val="-4"/>
          <w:lang w:val="sq-AL"/>
        </w:rPr>
      </w:pPr>
      <w:r w:rsidRPr="00425E0F">
        <w:rPr>
          <w:spacing w:val="-4"/>
          <w:lang w:val="sq-AL"/>
        </w:rPr>
        <w:t>Në mbështetje të nenit 100 të Kushtetutës, të pikës 1, të nenit 17, të ligjit nr.9385, datë 4.5.2005, “Për pyjet dhe shërbimin pyjor”, të ndryshuar dhe të shkronjës “b”, të pikës 1, të nenit 10, të ligjit nr.9693, datë 19.3.2007, “Për fondin kullosor”, të ndryshuar,  me propozimin e ministrit të Mjedisit dhe ministrit të Energjisë dhe Industrisë, Këshilli i Ministrave</w:t>
      </w:r>
    </w:p>
    <w:p w:rsidR="005604D3" w:rsidRPr="00425E0F" w:rsidRDefault="005604D3" w:rsidP="005604D3">
      <w:pPr>
        <w:pStyle w:val="Hapesira7"/>
        <w:rPr>
          <w:lang w:val="sq-AL"/>
        </w:rPr>
      </w:pPr>
    </w:p>
    <w:p w:rsidR="005604D3" w:rsidRPr="00425E0F" w:rsidRDefault="005604D3" w:rsidP="005604D3">
      <w:pPr>
        <w:pStyle w:val="Titulli"/>
        <w:rPr>
          <w:b w:val="0"/>
          <w:spacing w:val="-4"/>
          <w:lang w:val="sq-AL"/>
        </w:rPr>
      </w:pPr>
      <w:r w:rsidRPr="00425E0F">
        <w:rPr>
          <w:b w:val="0"/>
          <w:spacing w:val="-4"/>
          <w:lang w:val="sq-AL"/>
        </w:rPr>
        <w:t>VENDOSI:</w:t>
      </w:r>
    </w:p>
    <w:p w:rsidR="005604D3" w:rsidRPr="00425E0F" w:rsidRDefault="005604D3" w:rsidP="005604D3">
      <w:pPr>
        <w:pStyle w:val="Hapesira7"/>
        <w:rPr>
          <w:lang w:val="sq-AL"/>
        </w:rPr>
      </w:pPr>
    </w:p>
    <w:p w:rsidR="005604D3" w:rsidRPr="00425E0F" w:rsidRDefault="005604D3" w:rsidP="005604D3">
      <w:pPr>
        <w:pStyle w:val="Paragrafi"/>
        <w:rPr>
          <w:spacing w:val="-4"/>
          <w:lang w:val="sq-AL"/>
        </w:rPr>
      </w:pPr>
      <w:r w:rsidRPr="00425E0F">
        <w:rPr>
          <w:spacing w:val="-4"/>
          <w:lang w:val="sq-AL"/>
        </w:rPr>
        <w:t>1. Sipërfaqja pyjore publike prej 1.18 ha, që do të përdoret nga shoqëria “Vllaznimi Deda Import Eksport”, sh.p.k. për ndërtimin e fabrikës së pasurimit të  kromit, në njësinë administrative Surroj, të hiqet nga fondi pyjor dhe kullosor publik i Bashkisë Kukës, të pakësohet në volum dhe të çregjistrohet nga Kadastra Kombëtare e Pyjeve dhe Kullotave. Lidhja 1, me të dhënat për sipërfaqen pyjore që pakësohet në volum dhe hiqet nga fondi pyjor e kullosor publik, dhe harta topografike, me koordinatat e sipërfaqes objekt ndërtimi, i bashkëlidhen këtij vendimi dhe janë pjesë përbërëse e tij.</w:t>
      </w:r>
    </w:p>
    <w:p w:rsidR="005604D3" w:rsidRPr="00425E0F" w:rsidRDefault="005604D3" w:rsidP="005604D3">
      <w:pPr>
        <w:pStyle w:val="Paragrafi"/>
        <w:rPr>
          <w:spacing w:val="-4"/>
          <w:lang w:val="sq-AL"/>
        </w:rPr>
      </w:pPr>
      <w:r w:rsidRPr="00425E0F">
        <w:rPr>
          <w:spacing w:val="-4"/>
          <w:lang w:val="sq-AL"/>
        </w:rPr>
        <w:t>2. Vlerat përkatëse të pakësimit në volum të lëndës drusore, produkteve të tjera pyjore dhe kullosore dhe të investimeve të kryera në vite, paguhen nga shoqëria “Vllaznimi Deda Import Eksport”, sh.p.k., në bazë të lidhjes 4, të vendimit nr.391, datë 21.6.2006, të Këshillit të Ministrave, “Për përcaktimin e tarifave në sektorin e pyjeve dhe kullotave”, të ndryshuar dhe derdhen në llogarinë bankare të Bashkisë Kukës.</w:t>
      </w:r>
    </w:p>
    <w:p w:rsidR="005604D3" w:rsidRPr="00425E0F" w:rsidRDefault="005604D3" w:rsidP="005604D3">
      <w:pPr>
        <w:pStyle w:val="Paragrafi"/>
        <w:rPr>
          <w:spacing w:val="-4"/>
          <w:lang w:val="sq-AL"/>
        </w:rPr>
      </w:pPr>
      <w:r w:rsidRPr="00425E0F">
        <w:rPr>
          <w:spacing w:val="-4"/>
          <w:lang w:val="sq-AL"/>
        </w:rPr>
        <w:t>3. Shoqëria “Vllaznimi Deda Import Eksport”, sh.p.k., brenda 1 viti nga data e nënshkrimit të marrëveshjes me Bashkinë Kukës, të pyllëzojë me fondet e veta 1.18 ha me drurë pyjorë, sipas përcaktimeve në këtë marrëveshje.</w:t>
      </w:r>
    </w:p>
    <w:p w:rsidR="005604D3" w:rsidRPr="00425E0F" w:rsidRDefault="005604D3" w:rsidP="005604D3">
      <w:pPr>
        <w:pStyle w:val="Paragrafi"/>
        <w:rPr>
          <w:spacing w:val="-4"/>
          <w:lang w:val="sq-AL"/>
        </w:rPr>
      </w:pPr>
      <w:r w:rsidRPr="00425E0F">
        <w:rPr>
          <w:spacing w:val="-4"/>
          <w:lang w:val="sq-AL"/>
        </w:rPr>
        <w:t>4. Bashkia Kukës dhe shoqëria “Vllaznimi Deda Import Eksport”, sh.p.k. nënshkruajnë marrëveshjen e bashkëpunimit jo më vonë se 60 ditë nga hyrja në fuqi e këtij vendimi. Një kopje e marrëveshjes, së bashku me projektet e miratuara, dërgohet për monitorim në Ministrinë e Mjedisit, jo më vonë se 10 ditë nga data e nënshkrimit të saj.</w:t>
      </w:r>
    </w:p>
    <w:p w:rsidR="005604D3" w:rsidRPr="00425E0F" w:rsidRDefault="005604D3" w:rsidP="005604D3">
      <w:pPr>
        <w:pStyle w:val="Paragrafi"/>
        <w:rPr>
          <w:spacing w:val="-4"/>
          <w:lang w:val="sq-AL"/>
        </w:rPr>
      </w:pPr>
      <w:r w:rsidRPr="00425E0F">
        <w:rPr>
          <w:spacing w:val="-4"/>
          <w:lang w:val="sq-AL"/>
        </w:rPr>
        <w:t>5. Sipërfaqja pyjore, sipas lidhjes 1, të këtij vendimi, mbetet pronë publike e shtetit dhe regjistrohet në përgjegjësi administrimi të Bashkisë Kukës.</w:t>
      </w:r>
    </w:p>
    <w:p w:rsidR="005604D3" w:rsidRPr="00425E0F" w:rsidRDefault="005604D3" w:rsidP="005604D3">
      <w:pPr>
        <w:pStyle w:val="Paragrafi"/>
        <w:rPr>
          <w:spacing w:val="-4"/>
          <w:lang w:val="sq-AL"/>
        </w:rPr>
      </w:pPr>
      <w:r w:rsidRPr="00425E0F">
        <w:rPr>
          <w:spacing w:val="-4"/>
          <w:lang w:val="sq-AL"/>
        </w:rPr>
        <w:t>6. Zyra Vendore e Regjistrimit të Pasurive të Paluajtshme bën çregjistrimin e sipërfaqes pyjore të identifikuar sipas lidhjes 1, të këtij vendimi, nga kategoria “Tokë e zënë pyjore” dhe e regjistron në kategorinë “Tokë e zënë, objekt i ndërtimit të fabrikës së pasurimit të kromit”.</w:t>
      </w:r>
    </w:p>
    <w:p w:rsidR="005604D3" w:rsidRPr="00425E0F" w:rsidRDefault="005604D3" w:rsidP="005604D3">
      <w:pPr>
        <w:pStyle w:val="Paragrafi"/>
        <w:rPr>
          <w:spacing w:val="-4"/>
          <w:lang w:val="sq-AL"/>
        </w:rPr>
      </w:pPr>
      <w:r w:rsidRPr="00425E0F">
        <w:rPr>
          <w:spacing w:val="-4"/>
          <w:lang w:val="sq-AL"/>
        </w:rPr>
        <w:t>7. Me përmbushjen e detyrimeve të përcaktuara në planin e rehabilitimit, sipas procedurës paraprake të vlerësimit të ndikimit në mjedis nga shoqëria “Vllaznimi Deda Import Eksport”, sh.p.k., sipërfaqja e rehabilituar të regjistrohet në fondin pyjor dhe kullosor publik të Bashkisë Kukës.</w:t>
      </w:r>
    </w:p>
    <w:p w:rsidR="005604D3" w:rsidRPr="00425E0F" w:rsidRDefault="005604D3" w:rsidP="005604D3">
      <w:pPr>
        <w:pStyle w:val="Paragrafi"/>
        <w:rPr>
          <w:spacing w:val="-4"/>
          <w:lang w:val="sq-AL"/>
        </w:rPr>
      </w:pPr>
      <w:r w:rsidRPr="00425E0F">
        <w:rPr>
          <w:spacing w:val="-4"/>
          <w:lang w:val="sq-AL"/>
        </w:rPr>
        <w:t>8. Ngarkohen Ministria e Mjedisit, Ministria e Energjisë dhe Industrisë,  Zyra Vendore e Regjistrimit të Pasurive të Paluajtshme, Bashkia Kukës dhe shoqëria “Vllaznimi Deda Import Eksport”, sh.p.k., për zbatimin e këtij vendimi.</w:t>
      </w:r>
    </w:p>
    <w:p w:rsidR="005604D3" w:rsidRPr="00425E0F" w:rsidRDefault="005604D3" w:rsidP="005604D3">
      <w:pPr>
        <w:pStyle w:val="Paragrafi"/>
        <w:rPr>
          <w:spacing w:val="-4"/>
          <w:lang w:val="sq-AL"/>
        </w:rPr>
      </w:pPr>
      <w:r w:rsidRPr="00425E0F">
        <w:rPr>
          <w:spacing w:val="-4"/>
          <w:lang w:val="sq-AL"/>
        </w:rPr>
        <w:t>Ky vendim hyn në fuqi pas botimit në Fletoren Zyrtare</w:t>
      </w:r>
    </w:p>
    <w:p w:rsidR="005604D3" w:rsidRPr="00425E0F" w:rsidRDefault="005604D3" w:rsidP="005604D3">
      <w:pPr>
        <w:pStyle w:val="Autoriteti"/>
        <w:rPr>
          <w:spacing w:val="-4"/>
          <w:lang w:val="sq-AL"/>
        </w:rPr>
      </w:pPr>
      <w:r w:rsidRPr="00425E0F">
        <w:rPr>
          <w:spacing w:val="-4"/>
          <w:lang w:val="sq-AL"/>
        </w:rPr>
        <w:t>KRYEMINISTRI</w:t>
      </w:r>
    </w:p>
    <w:p w:rsidR="005604D3" w:rsidRPr="00425E0F" w:rsidRDefault="005604D3" w:rsidP="005604D3">
      <w:pPr>
        <w:pStyle w:val="AutoritetiEmer"/>
        <w:rPr>
          <w:spacing w:val="-4"/>
          <w:lang w:val="sq-AL"/>
        </w:rPr>
      </w:pPr>
      <w:r w:rsidRPr="00425E0F">
        <w:rPr>
          <w:spacing w:val="-4"/>
          <w:lang w:val="sq-AL"/>
        </w:rPr>
        <w:t>Edi Rama</w:t>
      </w:r>
    </w:p>
    <w:p w:rsidR="005604D3" w:rsidRDefault="005604D3" w:rsidP="005604D3">
      <w:pPr>
        <w:widowControl w:val="0"/>
        <w:spacing w:after="0" w:line="240" w:lineRule="auto"/>
        <w:jc w:val="center"/>
        <w:rPr>
          <w:rFonts w:ascii="Garamond" w:eastAsia="Times New Roman" w:hAnsi="Garamond"/>
          <w:spacing w:val="-4"/>
          <w:sz w:val="24"/>
          <w:szCs w:val="24"/>
          <w:lang w:val="sq-AL" w:eastAsia="en-GB"/>
        </w:rPr>
      </w:pPr>
    </w:p>
    <w:p w:rsidR="005604D3" w:rsidRDefault="005604D3" w:rsidP="005604D3">
      <w:pPr>
        <w:widowControl w:val="0"/>
        <w:spacing w:after="0" w:line="240" w:lineRule="auto"/>
        <w:jc w:val="center"/>
        <w:rPr>
          <w:rFonts w:ascii="Garamond" w:eastAsia="Times New Roman" w:hAnsi="Garamond"/>
          <w:spacing w:val="-4"/>
          <w:sz w:val="24"/>
          <w:szCs w:val="24"/>
          <w:lang w:val="sq-AL" w:eastAsia="en-GB"/>
        </w:rPr>
      </w:pPr>
    </w:p>
    <w:p w:rsidR="005604D3" w:rsidRDefault="005604D3" w:rsidP="005604D3">
      <w:pPr>
        <w:widowControl w:val="0"/>
        <w:spacing w:after="0" w:line="240" w:lineRule="auto"/>
        <w:jc w:val="center"/>
        <w:rPr>
          <w:rFonts w:ascii="Garamond" w:eastAsia="Times New Roman" w:hAnsi="Garamond"/>
          <w:spacing w:val="-4"/>
          <w:sz w:val="24"/>
          <w:szCs w:val="24"/>
          <w:lang w:val="sq-AL" w:eastAsia="en-GB"/>
        </w:rPr>
        <w:sectPr w:rsidR="005604D3" w:rsidSect="005604D3">
          <w:pgSz w:w="11907" w:h="16840" w:code="9"/>
          <w:pgMar w:top="720" w:right="1134" w:bottom="720" w:left="1134" w:header="851" w:footer="851" w:gutter="0"/>
          <w:cols w:space="454"/>
          <w:docGrid w:linePitch="360"/>
        </w:sectPr>
      </w:pPr>
    </w:p>
    <w:p w:rsidR="005604D3" w:rsidRPr="009B4C99" w:rsidRDefault="005604D3" w:rsidP="005604D3">
      <w:pPr>
        <w:widowControl w:val="0"/>
        <w:spacing w:after="0" w:line="240" w:lineRule="auto"/>
        <w:ind w:firstLine="0"/>
        <w:jc w:val="center"/>
        <w:rPr>
          <w:rFonts w:ascii="Garamond" w:eastAsia="Times New Roman" w:hAnsi="Garamond"/>
          <w:spacing w:val="-4"/>
          <w:sz w:val="24"/>
          <w:szCs w:val="24"/>
          <w:lang w:val="sq-AL" w:eastAsia="en-GB"/>
        </w:rPr>
      </w:pPr>
    </w:p>
    <w:p w:rsidR="005604D3" w:rsidRDefault="005604D3" w:rsidP="005604D3">
      <w:pPr>
        <w:widowControl w:val="0"/>
        <w:spacing w:after="0" w:line="240" w:lineRule="auto"/>
        <w:rPr>
          <w:rFonts w:ascii="Garamond" w:eastAsia="Times New Roman" w:hAnsi="Garamond"/>
          <w:spacing w:val="-4"/>
          <w:sz w:val="24"/>
          <w:szCs w:val="24"/>
          <w:lang w:val="sq-AL" w:eastAsia="en-GB"/>
        </w:rPr>
      </w:pPr>
    </w:p>
    <w:p w:rsidR="005604D3" w:rsidRDefault="005604D3" w:rsidP="005604D3">
      <w:pPr>
        <w:widowControl w:val="0"/>
        <w:spacing w:after="0" w:line="240" w:lineRule="auto"/>
        <w:rPr>
          <w:rFonts w:ascii="Garamond" w:eastAsia="Times New Roman" w:hAnsi="Garamond"/>
          <w:spacing w:val="-4"/>
          <w:sz w:val="24"/>
          <w:szCs w:val="24"/>
          <w:lang w:val="sq-AL" w:eastAsia="en-GB"/>
        </w:rPr>
      </w:pPr>
    </w:p>
    <w:p w:rsidR="005604D3" w:rsidRDefault="005604D3" w:rsidP="005604D3">
      <w:pPr>
        <w:widowControl w:val="0"/>
        <w:spacing w:after="0" w:line="240" w:lineRule="auto"/>
        <w:rPr>
          <w:rFonts w:ascii="Garamond" w:eastAsia="Times New Roman" w:hAnsi="Garamond"/>
          <w:spacing w:val="-4"/>
          <w:sz w:val="24"/>
          <w:szCs w:val="24"/>
          <w:lang w:val="sq-AL" w:eastAsia="en-GB"/>
        </w:rPr>
      </w:pPr>
    </w:p>
    <w:p w:rsidR="005604D3" w:rsidRDefault="005604D3" w:rsidP="005604D3">
      <w:pPr>
        <w:widowControl w:val="0"/>
        <w:spacing w:after="0" w:line="240" w:lineRule="auto"/>
        <w:rPr>
          <w:rFonts w:ascii="Garamond" w:eastAsia="Times New Roman" w:hAnsi="Garamond"/>
          <w:spacing w:val="-4"/>
          <w:sz w:val="24"/>
          <w:szCs w:val="24"/>
          <w:lang w:val="sq-AL" w:eastAsia="en-GB"/>
        </w:rPr>
      </w:pPr>
    </w:p>
    <w:p w:rsidR="005604D3" w:rsidRDefault="005604D3" w:rsidP="005604D3">
      <w:pPr>
        <w:widowControl w:val="0"/>
        <w:spacing w:after="0" w:line="240" w:lineRule="auto"/>
        <w:rPr>
          <w:rFonts w:ascii="Garamond" w:eastAsia="Times New Roman" w:hAnsi="Garamond"/>
          <w:spacing w:val="-4"/>
          <w:sz w:val="24"/>
          <w:szCs w:val="24"/>
          <w:lang w:val="sq-AL" w:eastAsia="en-GB"/>
        </w:rPr>
      </w:pPr>
    </w:p>
    <w:p w:rsidR="005604D3" w:rsidRDefault="005604D3" w:rsidP="005604D3">
      <w:pPr>
        <w:widowControl w:val="0"/>
        <w:spacing w:after="0" w:line="240" w:lineRule="auto"/>
        <w:rPr>
          <w:rFonts w:ascii="Garamond" w:eastAsia="Times New Roman" w:hAnsi="Garamond"/>
          <w:spacing w:val="-4"/>
          <w:sz w:val="24"/>
          <w:szCs w:val="24"/>
          <w:lang w:val="sq-AL" w:eastAsia="en-GB"/>
        </w:rPr>
      </w:pPr>
    </w:p>
    <w:p w:rsidR="005604D3" w:rsidRDefault="005604D3" w:rsidP="005604D3">
      <w:pPr>
        <w:widowControl w:val="0"/>
        <w:spacing w:after="0" w:line="240" w:lineRule="auto"/>
        <w:rPr>
          <w:rFonts w:ascii="Garamond" w:eastAsia="Times New Roman" w:hAnsi="Garamond"/>
          <w:spacing w:val="-4"/>
          <w:sz w:val="24"/>
          <w:szCs w:val="24"/>
          <w:lang w:val="sq-AL" w:eastAsia="en-GB"/>
        </w:rPr>
      </w:pPr>
    </w:p>
    <w:p w:rsidR="0059750C" w:rsidRDefault="0059750C" w:rsidP="005604D3">
      <w:pPr>
        <w:widowControl w:val="0"/>
        <w:spacing w:after="0" w:line="240" w:lineRule="auto"/>
        <w:ind w:firstLine="0"/>
        <w:rPr>
          <w:rFonts w:ascii="Garamond" w:eastAsia="Times New Roman" w:hAnsi="Garamond"/>
          <w:b/>
          <w:spacing w:val="-4"/>
          <w:sz w:val="24"/>
          <w:szCs w:val="24"/>
          <w:lang w:val="sq-AL" w:eastAsia="en-GB"/>
        </w:rPr>
      </w:pPr>
    </w:p>
    <w:p w:rsidR="005604D3" w:rsidRPr="004C69E2" w:rsidRDefault="005604D3" w:rsidP="005604D3">
      <w:pPr>
        <w:widowControl w:val="0"/>
        <w:spacing w:after="0" w:line="240" w:lineRule="auto"/>
        <w:ind w:firstLine="0"/>
        <w:rPr>
          <w:rFonts w:ascii="Garamond" w:eastAsia="Times New Roman" w:hAnsi="Garamond"/>
          <w:b/>
          <w:spacing w:val="-4"/>
          <w:sz w:val="24"/>
          <w:szCs w:val="24"/>
          <w:lang w:val="sq-AL" w:eastAsia="en-GB"/>
        </w:rPr>
      </w:pPr>
      <w:bookmarkStart w:id="0" w:name="_GoBack"/>
      <w:bookmarkEnd w:id="0"/>
      <w:r w:rsidRPr="004C69E2">
        <w:rPr>
          <w:rFonts w:ascii="Garamond" w:eastAsia="Times New Roman" w:hAnsi="Garamond"/>
          <w:b/>
          <w:spacing w:val="-4"/>
          <w:sz w:val="24"/>
          <w:szCs w:val="24"/>
          <w:lang w:val="sq-AL" w:eastAsia="en-GB"/>
        </w:rPr>
        <w:lastRenderedPageBreak/>
        <w:t>BASHKIA KUKËS</w:t>
      </w:r>
    </w:p>
    <w:p w:rsidR="005604D3" w:rsidRPr="004C69E2" w:rsidRDefault="005604D3" w:rsidP="005604D3">
      <w:pPr>
        <w:widowControl w:val="0"/>
        <w:spacing w:after="0" w:line="240" w:lineRule="auto"/>
        <w:ind w:firstLine="0"/>
        <w:rPr>
          <w:rFonts w:ascii="Garamond" w:eastAsia="Times New Roman" w:hAnsi="Garamond"/>
          <w:spacing w:val="-4"/>
          <w:sz w:val="14"/>
          <w:szCs w:val="24"/>
          <w:lang w:val="sq-AL" w:eastAsia="en-GB"/>
        </w:rPr>
      </w:pPr>
    </w:p>
    <w:p w:rsidR="005604D3" w:rsidRPr="004C69E2" w:rsidRDefault="005604D3" w:rsidP="005604D3">
      <w:pPr>
        <w:widowControl w:val="0"/>
        <w:spacing w:after="0" w:line="240" w:lineRule="auto"/>
        <w:ind w:firstLine="0"/>
        <w:jc w:val="center"/>
        <w:rPr>
          <w:rFonts w:ascii="Garamond" w:eastAsia="Times New Roman" w:hAnsi="Garamond"/>
          <w:b/>
          <w:spacing w:val="-4"/>
          <w:sz w:val="24"/>
          <w:szCs w:val="24"/>
          <w:lang w:val="sq-AL" w:eastAsia="en-GB"/>
        </w:rPr>
      </w:pPr>
      <w:r w:rsidRPr="004C69E2">
        <w:rPr>
          <w:rFonts w:ascii="Garamond" w:eastAsia="Times New Roman" w:hAnsi="Garamond"/>
          <w:b/>
          <w:spacing w:val="-4"/>
          <w:sz w:val="24"/>
          <w:szCs w:val="24"/>
          <w:lang w:val="sq-AL" w:eastAsia="en-GB"/>
        </w:rPr>
        <w:t>LISTA E NGASTRAVE DHE N/NGASTRAVE TË FONDIT PYJOR DHE KULLOSOR PUBLIK QË HIQEN PËR NDËRTIMIN E FABRIKËS SË PASURIMIN TË KROMIT, SURROJ, KUKËS</w:t>
      </w:r>
    </w:p>
    <w:p w:rsidR="005604D3" w:rsidRPr="009B4C99" w:rsidRDefault="005604D3" w:rsidP="005604D3">
      <w:pPr>
        <w:widowControl w:val="0"/>
        <w:spacing w:after="0" w:line="240" w:lineRule="auto"/>
        <w:ind w:firstLine="0"/>
        <w:jc w:val="center"/>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3807B309" wp14:editId="1A6C3C36">
            <wp:extent cx="5907819" cy="1590261"/>
            <wp:effectExtent l="0" t="0" r="0" b="0"/>
            <wp:docPr id="1" name="Picture 0" descr="Lidhja 1 per VLLAZNIMI D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per VLLAZNIMI DEDA.jpg"/>
                    <pic:cNvPicPr/>
                  </pic:nvPicPr>
                  <pic:blipFill rotWithShape="1">
                    <a:blip r:embed="rId5" cstate="print"/>
                    <a:srcRect l="12863" t="21894" r="17427" b="63023"/>
                    <a:stretch/>
                  </pic:blipFill>
                  <pic:spPr bwMode="auto">
                    <a:xfrm>
                      <a:off x="0" y="0"/>
                      <a:ext cx="5932817" cy="1596990"/>
                    </a:xfrm>
                    <a:prstGeom prst="rect">
                      <a:avLst/>
                    </a:prstGeom>
                    <a:ln>
                      <a:noFill/>
                    </a:ln>
                    <a:extLst>
                      <a:ext uri="{53640926-AAD7-44D8-BBD7-CCE9431645EC}">
                        <a14:shadowObscured xmlns:a14="http://schemas.microsoft.com/office/drawing/2010/main"/>
                      </a:ext>
                    </a:extLst>
                  </pic:spPr>
                </pic:pic>
              </a:graphicData>
            </a:graphic>
          </wp:inline>
        </w:drawing>
      </w:r>
    </w:p>
    <w:p w:rsidR="005604D3" w:rsidRPr="009B4C99" w:rsidRDefault="005604D3" w:rsidP="005604D3">
      <w:pPr>
        <w:widowControl w:val="0"/>
        <w:spacing w:after="0" w:line="240" w:lineRule="auto"/>
        <w:ind w:firstLine="0"/>
        <w:jc w:val="center"/>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454E9239" wp14:editId="724C6DCB">
            <wp:extent cx="5915287" cy="6154310"/>
            <wp:effectExtent l="0" t="0" r="0" b="0"/>
            <wp:docPr id="4" name="Picture 3" descr="Harta per VLLAZNIMI DED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per VLLAZNIMI DEDA (2).jpg"/>
                    <pic:cNvPicPr/>
                  </pic:nvPicPr>
                  <pic:blipFill>
                    <a:blip r:embed="rId6" cstate="print"/>
                    <a:srcRect l="12863" t="7337" r="9232" b="8657"/>
                    <a:stretch>
                      <a:fillRect/>
                    </a:stretch>
                  </pic:blipFill>
                  <pic:spPr>
                    <a:xfrm>
                      <a:off x="0" y="0"/>
                      <a:ext cx="5917609" cy="6156726"/>
                    </a:xfrm>
                    <a:prstGeom prst="rect">
                      <a:avLst/>
                    </a:prstGeom>
                  </pic:spPr>
                </pic:pic>
              </a:graphicData>
            </a:graphic>
          </wp:inline>
        </w:drawing>
      </w:r>
    </w:p>
    <w:p w:rsidR="005604D3" w:rsidRDefault="005604D3" w:rsidP="005604D3">
      <w:pPr>
        <w:pStyle w:val="Akti"/>
        <w:rPr>
          <w:lang w:val="sq-AL"/>
        </w:rPr>
        <w:sectPr w:rsidR="005604D3" w:rsidSect="005604D3">
          <w:type w:val="continuous"/>
          <w:pgSz w:w="11907" w:h="16840" w:code="9"/>
          <w:pgMar w:top="720" w:right="1134" w:bottom="720" w:left="1134" w:header="851" w:footer="851" w:gutter="0"/>
          <w:cols w:space="454"/>
          <w:docGrid w:linePitch="360"/>
        </w:sectPr>
      </w:pPr>
    </w:p>
    <w:p w:rsidR="005604D3" w:rsidRDefault="005604D3">
      <w:pPr>
        <w:sectPr w:rsidR="005604D3">
          <w:pgSz w:w="12240" w:h="15840"/>
          <w:pgMar w:top="1440" w:right="1440" w:bottom="1440" w:left="1440" w:header="720" w:footer="720" w:gutter="0"/>
          <w:cols w:space="720"/>
          <w:docGrid w:linePitch="360"/>
        </w:sectPr>
      </w:pPr>
    </w:p>
    <w:p w:rsidR="004F59B3" w:rsidRDefault="004F59B3"/>
    <w:sectPr w:rsidR="004F59B3" w:rsidSect="005604D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254"/>
    <w:rsid w:val="004F59B3"/>
    <w:rsid w:val="005604D3"/>
    <w:rsid w:val="0059750C"/>
    <w:rsid w:val="00BC2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4D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604D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604D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604D3"/>
    <w:rPr>
      <w:rFonts w:ascii="Garamond" w:eastAsia="MS Mincho" w:hAnsi="Garamond" w:cs="CG Times"/>
      <w:b/>
      <w:bCs/>
      <w:sz w:val="24"/>
      <w:lang w:val="en-GB"/>
    </w:rPr>
  </w:style>
  <w:style w:type="paragraph" w:customStyle="1" w:styleId="Paragrafi">
    <w:name w:val="Paragrafi"/>
    <w:link w:val="ParagrafiChar"/>
    <w:rsid w:val="005604D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604D3"/>
    <w:rPr>
      <w:rFonts w:ascii="Garamond" w:eastAsia="MS Mincho" w:hAnsi="Garamond" w:cs="CG Times"/>
      <w:sz w:val="24"/>
    </w:rPr>
  </w:style>
  <w:style w:type="paragraph" w:customStyle="1" w:styleId="Titulli">
    <w:name w:val="Titulli"/>
    <w:next w:val="Normal"/>
    <w:link w:val="TitulliChar"/>
    <w:uiPriority w:val="99"/>
    <w:rsid w:val="005604D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5604D3"/>
    <w:rPr>
      <w:rFonts w:ascii="Garamond" w:eastAsia="MS Mincho" w:hAnsi="Garamond" w:cs="CG Times"/>
      <w:b/>
      <w:bCs/>
      <w:caps/>
      <w:sz w:val="24"/>
      <w:lang w:val="en-GB"/>
    </w:rPr>
  </w:style>
  <w:style w:type="character" w:customStyle="1" w:styleId="AktiChar">
    <w:name w:val="Akti Char"/>
    <w:basedOn w:val="DefaultParagraphFont"/>
    <w:link w:val="Akti"/>
    <w:rsid w:val="005604D3"/>
    <w:rPr>
      <w:rFonts w:ascii="Garamond" w:eastAsia="MS Mincho" w:hAnsi="Garamond" w:cs="CG Times"/>
      <w:b/>
      <w:bCs/>
      <w:caps/>
      <w:color w:val="000000"/>
      <w:sz w:val="24"/>
      <w:lang w:val="en-GB"/>
    </w:rPr>
  </w:style>
  <w:style w:type="paragraph" w:customStyle="1" w:styleId="Autoriteti">
    <w:name w:val="Autoriteti"/>
    <w:next w:val="Normal"/>
    <w:link w:val="AutoritetiChar"/>
    <w:rsid w:val="005604D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604D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604D3"/>
    <w:rPr>
      <w:rFonts w:ascii="Garamond" w:eastAsia="MS Mincho" w:hAnsi="Garamond" w:cs="CG Times"/>
      <w:caps/>
      <w:sz w:val="24"/>
      <w:lang w:val="en-GB"/>
    </w:rPr>
  </w:style>
  <w:style w:type="character" w:customStyle="1" w:styleId="AutoritetiEmerChar">
    <w:name w:val="Autoriteti_Emer Char"/>
    <w:link w:val="AutoritetiEmer"/>
    <w:locked/>
    <w:rsid w:val="005604D3"/>
    <w:rPr>
      <w:rFonts w:ascii="Garamond" w:eastAsia="MS Mincho" w:hAnsi="Garamond" w:cs="Times New Roman"/>
      <w:b/>
      <w:bCs/>
      <w:sz w:val="24"/>
      <w:lang w:val="en-GB"/>
    </w:rPr>
  </w:style>
  <w:style w:type="paragraph" w:customStyle="1" w:styleId="Hapesira7">
    <w:name w:val="Hapesira 7"/>
    <w:basedOn w:val="Paragrafi"/>
    <w:qFormat/>
    <w:rsid w:val="005604D3"/>
    <w:rPr>
      <w:sz w:val="14"/>
      <w:szCs w:val="24"/>
    </w:rPr>
  </w:style>
  <w:style w:type="paragraph" w:styleId="BalloonText">
    <w:name w:val="Balloon Text"/>
    <w:basedOn w:val="Normal"/>
    <w:link w:val="BalloonTextChar"/>
    <w:uiPriority w:val="99"/>
    <w:semiHidden/>
    <w:unhideWhenUsed/>
    <w:rsid w:val="00597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50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4D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604D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604D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604D3"/>
    <w:rPr>
      <w:rFonts w:ascii="Garamond" w:eastAsia="MS Mincho" w:hAnsi="Garamond" w:cs="CG Times"/>
      <w:b/>
      <w:bCs/>
      <w:sz w:val="24"/>
      <w:lang w:val="en-GB"/>
    </w:rPr>
  </w:style>
  <w:style w:type="paragraph" w:customStyle="1" w:styleId="Paragrafi">
    <w:name w:val="Paragrafi"/>
    <w:link w:val="ParagrafiChar"/>
    <w:rsid w:val="005604D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604D3"/>
    <w:rPr>
      <w:rFonts w:ascii="Garamond" w:eastAsia="MS Mincho" w:hAnsi="Garamond" w:cs="CG Times"/>
      <w:sz w:val="24"/>
    </w:rPr>
  </w:style>
  <w:style w:type="paragraph" w:customStyle="1" w:styleId="Titulli">
    <w:name w:val="Titulli"/>
    <w:next w:val="Normal"/>
    <w:link w:val="TitulliChar"/>
    <w:uiPriority w:val="99"/>
    <w:rsid w:val="005604D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5604D3"/>
    <w:rPr>
      <w:rFonts w:ascii="Garamond" w:eastAsia="MS Mincho" w:hAnsi="Garamond" w:cs="CG Times"/>
      <w:b/>
      <w:bCs/>
      <w:caps/>
      <w:sz w:val="24"/>
      <w:lang w:val="en-GB"/>
    </w:rPr>
  </w:style>
  <w:style w:type="character" w:customStyle="1" w:styleId="AktiChar">
    <w:name w:val="Akti Char"/>
    <w:basedOn w:val="DefaultParagraphFont"/>
    <w:link w:val="Akti"/>
    <w:rsid w:val="005604D3"/>
    <w:rPr>
      <w:rFonts w:ascii="Garamond" w:eastAsia="MS Mincho" w:hAnsi="Garamond" w:cs="CG Times"/>
      <w:b/>
      <w:bCs/>
      <w:caps/>
      <w:color w:val="000000"/>
      <w:sz w:val="24"/>
      <w:lang w:val="en-GB"/>
    </w:rPr>
  </w:style>
  <w:style w:type="paragraph" w:customStyle="1" w:styleId="Autoriteti">
    <w:name w:val="Autoriteti"/>
    <w:next w:val="Normal"/>
    <w:link w:val="AutoritetiChar"/>
    <w:rsid w:val="005604D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604D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604D3"/>
    <w:rPr>
      <w:rFonts w:ascii="Garamond" w:eastAsia="MS Mincho" w:hAnsi="Garamond" w:cs="CG Times"/>
      <w:caps/>
      <w:sz w:val="24"/>
      <w:lang w:val="en-GB"/>
    </w:rPr>
  </w:style>
  <w:style w:type="character" w:customStyle="1" w:styleId="AutoritetiEmerChar">
    <w:name w:val="Autoriteti_Emer Char"/>
    <w:link w:val="AutoritetiEmer"/>
    <w:locked/>
    <w:rsid w:val="005604D3"/>
    <w:rPr>
      <w:rFonts w:ascii="Garamond" w:eastAsia="MS Mincho" w:hAnsi="Garamond" w:cs="Times New Roman"/>
      <w:b/>
      <w:bCs/>
      <w:sz w:val="24"/>
      <w:lang w:val="en-GB"/>
    </w:rPr>
  </w:style>
  <w:style w:type="paragraph" w:customStyle="1" w:styleId="Hapesira7">
    <w:name w:val="Hapesira 7"/>
    <w:basedOn w:val="Paragrafi"/>
    <w:qFormat/>
    <w:rsid w:val="005604D3"/>
    <w:rPr>
      <w:sz w:val="14"/>
      <w:szCs w:val="24"/>
    </w:rPr>
  </w:style>
  <w:style w:type="paragraph" w:styleId="BalloonText">
    <w:name w:val="Balloon Text"/>
    <w:basedOn w:val="Normal"/>
    <w:link w:val="BalloonTextChar"/>
    <w:uiPriority w:val="99"/>
    <w:semiHidden/>
    <w:unhideWhenUsed/>
    <w:rsid w:val="00597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50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2017-03-15T13:58:00Z</dcterms:created>
  <dcterms:modified xsi:type="dcterms:W3CDTF">2018-01-26T09:32:00Z</dcterms:modified>
</cp:coreProperties>
</file>