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32F" w:rsidRDefault="006F732F" w:rsidP="006F732F">
      <w:pPr>
        <w:pStyle w:val="NeniTitull"/>
        <w:rPr>
          <w:spacing w:val="-4"/>
          <w:lang w:val="sq-AL"/>
        </w:rPr>
      </w:pPr>
    </w:p>
    <w:p w:rsidR="006F732F" w:rsidRPr="00F221D4" w:rsidRDefault="006F732F" w:rsidP="006F732F">
      <w:pPr>
        <w:pStyle w:val="NeniTitull"/>
        <w:rPr>
          <w:spacing w:val="-4"/>
          <w:lang w:val="sq-AL"/>
        </w:rPr>
      </w:pPr>
      <w:r w:rsidRPr="00F221D4">
        <w:rPr>
          <w:spacing w:val="-4"/>
          <w:lang w:val="sq-AL"/>
        </w:rPr>
        <w:t>VENDIM</w:t>
      </w:r>
    </w:p>
    <w:p w:rsidR="006F732F" w:rsidRPr="00F221D4" w:rsidRDefault="006F732F" w:rsidP="006F732F">
      <w:pPr>
        <w:pStyle w:val="NeniTitull"/>
        <w:rPr>
          <w:spacing w:val="-4"/>
          <w:lang w:val="sq-AL"/>
        </w:rPr>
      </w:pPr>
      <w:r w:rsidRPr="00F221D4">
        <w:rPr>
          <w:spacing w:val="-4"/>
          <w:lang w:val="sq-AL"/>
        </w:rPr>
        <w:t>Nr. 196, datë 15.3.2017</w:t>
      </w:r>
    </w:p>
    <w:p w:rsidR="006F732F" w:rsidRPr="00F221D4" w:rsidRDefault="006F732F" w:rsidP="006F732F">
      <w:pPr>
        <w:pStyle w:val="Hapesira7"/>
        <w:rPr>
          <w:lang w:val="sq-AL"/>
        </w:rPr>
      </w:pPr>
    </w:p>
    <w:p w:rsidR="006F732F" w:rsidRPr="00F221D4" w:rsidRDefault="006F732F" w:rsidP="006F732F">
      <w:pPr>
        <w:pStyle w:val="NeniTitull"/>
        <w:rPr>
          <w:spacing w:val="-4"/>
          <w:lang w:val="sq-AL"/>
        </w:rPr>
      </w:pPr>
      <w:r w:rsidRPr="00F221D4">
        <w:rPr>
          <w:spacing w:val="-4"/>
          <w:lang w:val="sq-AL"/>
        </w:rPr>
        <w:t>PËR PËRCAKTIMIN E MËNYRAVE, FORMAVE, KRITEREVEDHE RREGULLAVE PËR ORGANIZIMIN E LOJËRAVE TË FATIT PROMOCIONALE</w:t>
      </w:r>
    </w:p>
    <w:p w:rsidR="006F732F" w:rsidRPr="00F221D4" w:rsidRDefault="006F732F" w:rsidP="006F732F">
      <w:pPr>
        <w:pStyle w:val="Hapesira7"/>
        <w:rPr>
          <w:lang w:val="sq-AL"/>
        </w:rPr>
      </w:pPr>
    </w:p>
    <w:p w:rsidR="006F732F" w:rsidRPr="00F221D4" w:rsidRDefault="006F732F" w:rsidP="006F732F">
      <w:pPr>
        <w:pStyle w:val="Paragrafi"/>
        <w:rPr>
          <w:spacing w:val="-4"/>
          <w:lang w:val="sq-AL"/>
        </w:rPr>
      </w:pPr>
      <w:r w:rsidRPr="00F221D4">
        <w:rPr>
          <w:spacing w:val="-4"/>
          <w:lang w:val="sq-AL"/>
        </w:rPr>
        <w:t>Në mbështetje të nenit 100 të Kushtetutës dhe të neneve 17, pika 5, e 70, pika 5, të ligjit nr. 155/2015, “Për lojërat e fatit në Republikën e Shqipërisë”, me propozimin e ministrit të Financave, Këshilli i Ministrave</w:t>
      </w:r>
    </w:p>
    <w:p w:rsidR="006F732F" w:rsidRPr="00F221D4" w:rsidRDefault="006F732F" w:rsidP="006F732F">
      <w:pPr>
        <w:pStyle w:val="Hapesira7"/>
        <w:rPr>
          <w:lang w:val="sq-AL"/>
        </w:rPr>
      </w:pPr>
    </w:p>
    <w:p w:rsidR="006F732F" w:rsidRPr="00F221D4" w:rsidRDefault="006F732F" w:rsidP="00E95BD4">
      <w:pPr>
        <w:pStyle w:val="NeniNr"/>
        <w:rPr>
          <w:spacing w:val="-4"/>
          <w:lang w:val="sq-AL"/>
        </w:rPr>
      </w:pPr>
      <w:bookmarkStart w:id="0" w:name="_GoBack"/>
      <w:r w:rsidRPr="00F221D4">
        <w:rPr>
          <w:spacing w:val="-4"/>
          <w:lang w:val="sq-AL"/>
        </w:rPr>
        <w:t>VENDOSI:</w:t>
      </w:r>
    </w:p>
    <w:p w:rsidR="006F732F" w:rsidRPr="00F221D4" w:rsidRDefault="006F732F" w:rsidP="00E95BD4">
      <w:pPr>
        <w:pStyle w:val="Hapesira7"/>
        <w:jc w:val="center"/>
        <w:rPr>
          <w:lang w:val="sq-AL"/>
        </w:rPr>
      </w:pPr>
    </w:p>
    <w:bookmarkEnd w:id="0"/>
    <w:p w:rsidR="006F732F" w:rsidRPr="00F221D4" w:rsidRDefault="006F732F" w:rsidP="006F732F">
      <w:pPr>
        <w:pStyle w:val="Paragrafi"/>
        <w:rPr>
          <w:spacing w:val="-4"/>
          <w:lang w:val="sq-AL"/>
        </w:rPr>
      </w:pPr>
      <w:r w:rsidRPr="00F221D4">
        <w:rPr>
          <w:spacing w:val="-4"/>
          <w:lang w:val="sq-AL"/>
        </w:rPr>
        <w:t>I. FORMAT DHE RREGULLAT PËR ORGANIZIMIN E LOJËRAVE TË FATIT PROMOCIONALE</w:t>
      </w:r>
    </w:p>
    <w:p w:rsidR="006F732F" w:rsidRPr="00F221D4" w:rsidRDefault="006F732F" w:rsidP="006F732F">
      <w:pPr>
        <w:pStyle w:val="Paragrafi"/>
        <w:rPr>
          <w:spacing w:val="-4"/>
          <w:lang w:val="sq-AL"/>
        </w:rPr>
      </w:pPr>
      <w:r w:rsidRPr="00F221D4">
        <w:rPr>
          <w:spacing w:val="-4"/>
          <w:lang w:val="sq-AL"/>
        </w:rPr>
        <w:t>1. Lojërat e fatit promocionale mund të organizohen nga subjekte publike ose private, të cilat kërkojnë të promovojnë produkte apo shërbime të biznesit/veprimtarisë së tyre, duke i ofruar fituesit të lojës një çmim/bonus të caktuar në mjete monetare ose në ndonjë formë tjetër shpërblimi.</w:t>
      </w:r>
    </w:p>
    <w:p w:rsidR="006F732F" w:rsidRPr="003A694B" w:rsidRDefault="006F732F" w:rsidP="006F732F">
      <w:pPr>
        <w:pStyle w:val="Paragrafi"/>
        <w:rPr>
          <w:spacing w:val="-6"/>
          <w:lang w:val="sq-AL"/>
        </w:rPr>
      </w:pPr>
      <w:r w:rsidRPr="003A694B">
        <w:rPr>
          <w:spacing w:val="-6"/>
          <w:lang w:val="sq-AL"/>
        </w:rPr>
        <w:t>2. Subjekteve, të cilat kanë objekt të veprimtarisë së tyre organizimin e lojërave të fatit, nuk u lejohet të organizojnë lojëra fati promocionale.</w:t>
      </w:r>
    </w:p>
    <w:p w:rsidR="006F732F" w:rsidRPr="00F221D4" w:rsidRDefault="006F732F" w:rsidP="006F732F">
      <w:pPr>
        <w:pStyle w:val="Paragrafi"/>
        <w:rPr>
          <w:spacing w:val="-4"/>
          <w:lang w:val="sq-AL"/>
        </w:rPr>
      </w:pPr>
      <w:r w:rsidRPr="00F221D4">
        <w:rPr>
          <w:spacing w:val="-4"/>
          <w:lang w:val="sq-AL"/>
        </w:rPr>
        <w:t>3. Për të siguruar pjesëmarrjen në lojë, në varësi të formës së organizimit të lojës së fatit promocionale, personat e interesuar mund të parapaguajnë një shumë të caktuar në mjete monetare ose në ndonjë formë tjetër pagese, në mënyrë të drejtpërdrejtë ose të tërthortë.</w:t>
      </w:r>
    </w:p>
    <w:p w:rsidR="006F732F" w:rsidRPr="00F221D4" w:rsidRDefault="006F732F" w:rsidP="006F732F">
      <w:pPr>
        <w:pStyle w:val="Paragrafi"/>
        <w:rPr>
          <w:spacing w:val="-4"/>
          <w:lang w:val="sq-AL"/>
        </w:rPr>
      </w:pPr>
      <w:r w:rsidRPr="00F221D4">
        <w:rPr>
          <w:spacing w:val="-4"/>
          <w:lang w:val="sq-AL"/>
        </w:rPr>
        <w:t>4. Lojërat e fatit promocionale mund të organizohen nga organizatorët nëpërmjet formave të mëposhtme:</w:t>
      </w:r>
    </w:p>
    <w:p w:rsidR="006F732F" w:rsidRPr="00F221D4" w:rsidRDefault="006F732F" w:rsidP="006F732F">
      <w:pPr>
        <w:pStyle w:val="Paragrafi"/>
        <w:rPr>
          <w:spacing w:val="-4"/>
          <w:lang w:val="sq-AL"/>
        </w:rPr>
      </w:pPr>
      <w:r w:rsidRPr="00F221D4">
        <w:rPr>
          <w:spacing w:val="-4"/>
          <w:lang w:val="sq-AL"/>
        </w:rPr>
        <w:t>a) Duke ofruar falas produktin/shërbimin që do të promovohet;</w:t>
      </w:r>
    </w:p>
    <w:p w:rsidR="006F732F" w:rsidRPr="00F221D4" w:rsidRDefault="006F732F" w:rsidP="006F732F">
      <w:pPr>
        <w:pStyle w:val="Paragrafi"/>
        <w:rPr>
          <w:spacing w:val="-4"/>
          <w:lang w:val="sq-AL"/>
        </w:rPr>
      </w:pPr>
      <w:r w:rsidRPr="00F221D4">
        <w:rPr>
          <w:spacing w:val="-4"/>
          <w:lang w:val="sq-AL"/>
        </w:rPr>
        <w:t>b) Duke ofruar produktin/shërbimin me çmimin e shitjes. Produkti mund të shoqërohet edhe me:</w:t>
      </w:r>
    </w:p>
    <w:p w:rsidR="006F732F" w:rsidRPr="00F221D4" w:rsidRDefault="006F732F" w:rsidP="006F732F">
      <w:pPr>
        <w:pStyle w:val="Paragrafi"/>
        <w:rPr>
          <w:spacing w:val="-4"/>
          <w:lang w:val="sq-AL"/>
        </w:rPr>
      </w:pPr>
      <w:r w:rsidRPr="00F221D4">
        <w:rPr>
          <w:spacing w:val="-4"/>
          <w:lang w:val="sq-AL"/>
        </w:rPr>
        <w:t>i)një kupon;</w:t>
      </w:r>
    </w:p>
    <w:p w:rsidR="006F732F" w:rsidRPr="00F221D4" w:rsidRDefault="006F732F" w:rsidP="006F732F">
      <w:pPr>
        <w:pStyle w:val="Paragrafi"/>
        <w:rPr>
          <w:spacing w:val="-4"/>
          <w:lang w:val="sq-AL"/>
        </w:rPr>
      </w:pPr>
      <w:r w:rsidRPr="00F221D4">
        <w:rPr>
          <w:spacing w:val="-4"/>
          <w:lang w:val="sq-AL"/>
        </w:rPr>
        <w:t>ii)një biletë;</w:t>
      </w:r>
    </w:p>
    <w:p w:rsidR="006F732F" w:rsidRPr="00F221D4" w:rsidRDefault="006F732F" w:rsidP="006F732F">
      <w:pPr>
        <w:pStyle w:val="Paragrafi"/>
        <w:rPr>
          <w:spacing w:val="-4"/>
          <w:lang w:val="sq-AL"/>
        </w:rPr>
      </w:pPr>
      <w:r w:rsidRPr="00F221D4">
        <w:rPr>
          <w:spacing w:val="-4"/>
          <w:lang w:val="sq-AL"/>
        </w:rPr>
        <w:t>iii)mundësinë për të gërvishtur në ambalazhin e produktit të blerë;</w:t>
      </w:r>
    </w:p>
    <w:p w:rsidR="006F732F" w:rsidRPr="00F221D4" w:rsidRDefault="006F732F" w:rsidP="006F732F">
      <w:pPr>
        <w:pStyle w:val="Paragrafi"/>
        <w:rPr>
          <w:spacing w:val="-4"/>
          <w:lang w:val="sq-AL"/>
        </w:rPr>
      </w:pPr>
      <w:r w:rsidRPr="00F221D4">
        <w:rPr>
          <w:spacing w:val="-4"/>
          <w:lang w:val="sq-AL"/>
        </w:rPr>
        <w:t xml:space="preserve">iv)çdo mënyrë tjetër, të parashikuar nga organizatori, por pa kosto të tjera shtesë për klientin. </w:t>
      </w:r>
    </w:p>
    <w:p w:rsidR="006F732F" w:rsidRPr="00F221D4" w:rsidRDefault="006F732F" w:rsidP="006F732F">
      <w:pPr>
        <w:pStyle w:val="Paragrafi"/>
        <w:rPr>
          <w:spacing w:val="-4"/>
          <w:lang w:val="sq-AL"/>
        </w:rPr>
      </w:pPr>
      <w:r w:rsidRPr="00F221D4">
        <w:rPr>
          <w:spacing w:val="-4"/>
          <w:lang w:val="sq-AL"/>
        </w:rPr>
        <w:t>5. Pas përfundimit të lojës, organizatori shpall fituesit, të cilët shpërblehen me produkte në vlerë monetare ose shërbime.</w:t>
      </w:r>
    </w:p>
    <w:p w:rsidR="006F732F" w:rsidRPr="00F221D4" w:rsidRDefault="006F732F" w:rsidP="006F732F">
      <w:pPr>
        <w:pStyle w:val="Paragrafi"/>
        <w:rPr>
          <w:spacing w:val="-4"/>
          <w:lang w:val="sq-AL"/>
        </w:rPr>
      </w:pPr>
      <w:r w:rsidRPr="00F221D4">
        <w:rPr>
          <w:spacing w:val="-4"/>
          <w:lang w:val="sq-AL"/>
        </w:rPr>
        <w:t>6. Subjektet publike apo private mund të organizojnë lojë fati promocionale, vetëm pasi të jenë pajisur me autorizimin përkatës nga drejtori i Përgjithshëm i Autoritetit të Mbikëqyrjes së Lojërave të Fatit.</w:t>
      </w:r>
    </w:p>
    <w:p w:rsidR="006F732F" w:rsidRPr="00F221D4" w:rsidRDefault="006F732F" w:rsidP="006F732F">
      <w:pPr>
        <w:pStyle w:val="Paragrafi"/>
        <w:rPr>
          <w:spacing w:val="-4"/>
          <w:lang w:val="sq-AL"/>
        </w:rPr>
      </w:pPr>
      <w:r w:rsidRPr="00F221D4">
        <w:rPr>
          <w:spacing w:val="-4"/>
          <w:lang w:val="sq-AL"/>
        </w:rPr>
        <w:t>7. Për lojërat e fatit promocionale jepet autorizimi i posaçëm. Autorizimi është i vlefshëm nga data e fillimit të lojës e cila nuk duhet të fillojë më vonë se 30 (tridhjetë) ditë pas datës së marrjes së autorizimit dhe vlen vetëm për një lloj të caktuar loje promocionale.</w:t>
      </w:r>
    </w:p>
    <w:p w:rsidR="006F732F" w:rsidRPr="00F221D4" w:rsidRDefault="006F732F" w:rsidP="006F732F">
      <w:pPr>
        <w:pStyle w:val="Paragrafi"/>
        <w:rPr>
          <w:spacing w:val="-4"/>
          <w:lang w:val="sq-AL"/>
        </w:rPr>
      </w:pPr>
      <w:r w:rsidRPr="00F221D4">
        <w:rPr>
          <w:spacing w:val="-4"/>
          <w:lang w:val="sq-AL"/>
        </w:rPr>
        <w:t>8. Kohëzgjatja e lojës promocionale përcaktohet me autorizim, bazuar në kërkesën e organizatorit të lojës, dhe miratohet nga Autoriteti i Mbikëqyrjes së Lojërave të Fatit (këtu e më poshtë referuar si AMLF), në varësi të llojit dhe formës së lojës promocionale, që do të organizohet.</w:t>
      </w:r>
    </w:p>
    <w:p w:rsidR="006F732F" w:rsidRPr="00F221D4" w:rsidRDefault="006F732F" w:rsidP="006F732F">
      <w:pPr>
        <w:pStyle w:val="Paragrafi"/>
        <w:rPr>
          <w:spacing w:val="-4"/>
          <w:lang w:val="sq-AL"/>
        </w:rPr>
      </w:pPr>
      <w:r w:rsidRPr="00F221D4">
        <w:rPr>
          <w:spacing w:val="-4"/>
          <w:lang w:val="sq-AL"/>
        </w:rPr>
        <w:t>9. Për marrjen e autorizimit, subjekti duhet të paraqesë pranë AMLF-së dokumentacionin e mëposhtëm:</w:t>
      </w:r>
    </w:p>
    <w:p w:rsidR="006F732F" w:rsidRPr="00F221D4" w:rsidRDefault="006F732F" w:rsidP="006F732F">
      <w:pPr>
        <w:pStyle w:val="Paragrafi"/>
        <w:rPr>
          <w:spacing w:val="-4"/>
          <w:lang w:val="sq-AL"/>
        </w:rPr>
      </w:pPr>
      <w:r w:rsidRPr="00F221D4">
        <w:rPr>
          <w:spacing w:val="-4"/>
          <w:lang w:val="sq-AL"/>
        </w:rPr>
        <w:t>a) Kërkesën me shkrim, ku të evidentohen të dhënat e subjektit, objekti i veprimtarisë së tij dhe një përshkrim i shkurtër i lojës, që do të organizohet;</w:t>
      </w:r>
    </w:p>
    <w:p w:rsidR="006F732F" w:rsidRPr="00F221D4" w:rsidRDefault="006F732F" w:rsidP="006F732F">
      <w:pPr>
        <w:pStyle w:val="Paragrafi"/>
        <w:rPr>
          <w:spacing w:val="-4"/>
          <w:lang w:val="sq-AL"/>
        </w:rPr>
      </w:pPr>
      <w:r w:rsidRPr="00F221D4">
        <w:rPr>
          <w:spacing w:val="-4"/>
          <w:lang w:val="sq-AL"/>
        </w:rPr>
        <w:t>b) Ekstraktin e Qendrës Kombëtare të Biznesit, ku të vërtetohet se shoqëria është me status aktiv;</w:t>
      </w:r>
    </w:p>
    <w:p w:rsidR="006F732F" w:rsidRPr="00F221D4" w:rsidRDefault="006F732F" w:rsidP="006F732F">
      <w:pPr>
        <w:pStyle w:val="Paragrafi"/>
        <w:rPr>
          <w:spacing w:val="-4"/>
          <w:lang w:val="sq-AL"/>
        </w:rPr>
      </w:pPr>
      <w:r w:rsidRPr="00F221D4">
        <w:rPr>
          <w:spacing w:val="-4"/>
          <w:lang w:val="sq-AL"/>
        </w:rPr>
        <w:t>c) Vërtetim që shoqëria nuk është në procedura likuidimi dhe/ose falimentimi;</w:t>
      </w:r>
    </w:p>
    <w:p w:rsidR="006F732F" w:rsidRPr="00F221D4" w:rsidRDefault="006F732F" w:rsidP="006F732F">
      <w:pPr>
        <w:pStyle w:val="Paragrafi"/>
        <w:rPr>
          <w:spacing w:val="-4"/>
          <w:lang w:val="sq-AL"/>
        </w:rPr>
      </w:pPr>
      <w:r w:rsidRPr="00F221D4">
        <w:rPr>
          <w:spacing w:val="-4"/>
          <w:lang w:val="sq-AL"/>
        </w:rPr>
        <w:t>ç) Certifikatën e regjistrimit me numrin unik të identifikimit;</w:t>
      </w:r>
    </w:p>
    <w:p w:rsidR="006F732F" w:rsidRPr="00F221D4" w:rsidRDefault="006F732F" w:rsidP="006F732F">
      <w:pPr>
        <w:pStyle w:val="Paragrafi"/>
        <w:rPr>
          <w:spacing w:val="-4"/>
          <w:lang w:val="sq-AL"/>
        </w:rPr>
      </w:pPr>
      <w:r w:rsidRPr="00F221D4">
        <w:rPr>
          <w:spacing w:val="-4"/>
          <w:lang w:val="sq-AL"/>
        </w:rPr>
        <w:t>d) Vërtetim nga organi tatimor për shlyerjen e detyrimeve tatimore;</w:t>
      </w:r>
    </w:p>
    <w:p w:rsidR="006F732F" w:rsidRPr="00F221D4" w:rsidRDefault="006F732F" w:rsidP="006F732F">
      <w:pPr>
        <w:pStyle w:val="Paragrafi"/>
        <w:rPr>
          <w:spacing w:val="-4"/>
          <w:lang w:val="sq-AL"/>
        </w:rPr>
      </w:pPr>
      <w:r w:rsidRPr="00F221D4">
        <w:rPr>
          <w:spacing w:val="-4"/>
          <w:lang w:val="sq-AL"/>
        </w:rPr>
        <w:lastRenderedPageBreak/>
        <w:t>dh) Rregulloren në të cilën të jenë të parashikuara në mënyrë të detajuar mënyra e organizimit të lojës promocionale, kriteret që duhet të plotësojnë fituesit dhe çdo element tjetër që gjykohet i nevojshëm nga organizatori.</w:t>
      </w:r>
    </w:p>
    <w:p w:rsidR="006F732F" w:rsidRPr="00F221D4" w:rsidRDefault="006F732F" w:rsidP="006F732F">
      <w:pPr>
        <w:pStyle w:val="Paragrafi"/>
        <w:rPr>
          <w:spacing w:val="-4"/>
          <w:lang w:val="sq-AL"/>
        </w:rPr>
      </w:pPr>
      <w:r w:rsidRPr="00F221D4">
        <w:rPr>
          <w:spacing w:val="-4"/>
          <w:lang w:val="sq-AL"/>
        </w:rPr>
        <w:t>Përveç certifikatës së regjistrimit me NIUS-in, kriteret e sipërpërmendura vërtetohen nëpërmjet dokumenteve të lëshuara brenda 3 (tre) muajve të fundit nga data e miratimit/lëshimit të tyre nga organet përgjegjëse shtetërore dhe që duhet të jenë origjinale apo kopje të noterizuara.</w:t>
      </w:r>
    </w:p>
    <w:p w:rsidR="006F732F" w:rsidRPr="00F221D4" w:rsidRDefault="006F732F" w:rsidP="006F732F">
      <w:pPr>
        <w:pStyle w:val="Paragrafi"/>
        <w:rPr>
          <w:spacing w:val="-4"/>
          <w:lang w:val="sq-AL"/>
        </w:rPr>
      </w:pPr>
      <w:r w:rsidRPr="00F221D4">
        <w:rPr>
          <w:spacing w:val="-4"/>
          <w:lang w:val="sq-AL"/>
        </w:rPr>
        <w:t>10. Pas miratimit, AMLF-ja i përcjell një kopje të autorizimit organit tatimor, në juridiksionin e të cilit ndodhet subjekti organizator i lojës promocionale.</w:t>
      </w:r>
    </w:p>
    <w:p w:rsidR="006F732F" w:rsidRPr="00F221D4" w:rsidRDefault="006F732F" w:rsidP="006F732F">
      <w:pPr>
        <w:pStyle w:val="Paragrafi"/>
        <w:rPr>
          <w:spacing w:val="-4"/>
          <w:lang w:val="sq-AL"/>
        </w:rPr>
      </w:pPr>
      <w:r w:rsidRPr="00F221D4">
        <w:rPr>
          <w:spacing w:val="-4"/>
          <w:lang w:val="sq-AL"/>
        </w:rPr>
        <w:t>11. AMLF-ja merr në shqyrtim dhe vendos miratimin ose refuzimin e autorizimit brenda 20 (njëzet) ditëve pune nga data e paraqitjes së kërkesës së subjektit pranë AMLF-së.</w:t>
      </w:r>
    </w:p>
    <w:p w:rsidR="006F732F" w:rsidRPr="00F221D4" w:rsidRDefault="006F732F" w:rsidP="006F732F">
      <w:pPr>
        <w:pStyle w:val="Paragrafi"/>
        <w:rPr>
          <w:spacing w:val="-4"/>
          <w:lang w:val="sq-AL"/>
        </w:rPr>
      </w:pPr>
      <w:r w:rsidRPr="00F221D4">
        <w:rPr>
          <w:spacing w:val="-4"/>
          <w:lang w:val="sq-AL"/>
        </w:rPr>
        <w:t xml:space="preserve">12. Në rast mosplotësimi të njërit prej kushteve për pajisjen me autorizim sipas pikës 9, të këtij kreu, AMLF-ja vendos refuzimin e autorizimit, duke dhënë dhe arsyet përkatëse për këtë vendim. </w:t>
      </w:r>
    </w:p>
    <w:p w:rsidR="006F732F" w:rsidRPr="00F221D4" w:rsidRDefault="006F732F" w:rsidP="006F732F">
      <w:pPr>
        <w:pStyle w:val="Paragrafi"/>
        <w:rPr>
          <w:spacing w:val="-4"/>
          <w:lang w:val="sq-AL"/>
        </w:rPr>
      </w:pPr>
      <w:r w:rsidRPr="00F221D4">
        <w:rPr>
          <w:spacing w:val="-4"/>
          <w:lang w:val="sq-AL"/>
        </w:rPr>
        <w:t>13. Përveç sa më sipër, subjektet tregtare që organizojnë lojëra fati promocionale zbatojnë dispozitat e ligjit nr. 9902, datë 17.4.2008, “Për mbrojtjen e konsumatorit”, të ndryshuar, lidhur me ndalimin e praktikave tregtare të padrejta, të lidhura me kategorinë e lojërave të fatit promocionale.</w:t>
      </w:r>
    </w:p>
    <w:p w:rsidR="006F732F" w:rsidRPr="00F221D4" w:rsidRDefault="006F732F" w:rsidP="006F732F">
      <w:pPr>
        <w:pStyle w:val="Paragrafi"/>
        <w:rPr>
          <w:spacing w:val="-4"/>
          <w:lang w:val="sq-AL"/>
        </w:rPr>
      </w:pPr>
      <w:r w:rsidRPr="00F221D4">
        <w:rPr>
          <w:spacing w:val="-4"/>
          <w:lang w:val="sq-AL"/>
        </w:rPr>
        <w:t>II. MËNYRA DHE KRITERET E ORGANIZIMIT TË LOJËRAVE TË FATIT PROMOCIONALE</w:t>
      </w:r>
    </w:p>
    <w:p w:rsidR="006F732F" w:rsidRPr="00F221D4" w:rsidRDefault="006F732F" w:rsidP="006F732F">
      <w:pPr>
        <w:pStyle w:val="Paragrafi"/>
        <w:rPr>
          <w:spacing w:val="-4"/>
          <w:lang w:val="sq-AL"/>
        </w:rPr>
      </w:pPr>
      <w:r w:rsidRPr="00F221D4">
        <w:rPr>
          <w:spacing w:val="-4"/>
          <w:lang w:val="sq-AL"/>
        </w:rPr>
        <w:t>1. Mënyra e organizimit të lojës promocionale përcaktohet nga organizatori në rregulloren e lojës.</w:t>
      </w:r>
    </w:p>
    <w:p w:rsidR="006F732F" w:rsidRPr="00F221D4" w:rsidRDefault="006F732F" w:rsidP="006F732F">
      <w:pPr>
        <w:pStyle w:val="Paragrafi"/>
        <w:rPr>
          <w:spacing w:val="-4"/>
          <w:lang w:val="sq-AL"/>
        </w:rPr>
      </w:pPr>
      <w:r w:rsidRPr="00F221D4">
        <w:rPr>
          <w:spacing w:val="-4"/>
          <w:lang w:val="sq-AL"/>
        </w:rPr>
        <w:t>2. Kriteret, që duhet të plotësojë pjesëmarrësi në lojë, përcaktohen nga organizatori në rregulloren e lojës.</w:t>
      </w:r>
    </w:p>
    <w:p w:rsidR="006F732F" w:rsidRPr="00F221D4" w:rsidRDefault="006F732F" w:rsidP="006F732F">
      <w:pPr>
        <w:pStyle w:val="Paragrafi"/>
        <w:rPr>
          <w:spacing w:val="-4"/>
          <w:lang w:val="sq-AL"/>
        </w:rPr>
      </w:pPr>
      <w:r w:rsidRPr="00F221D4">
        <w:rPr>
          <w:spacing w:val="-4"/>
          <w:lang w:val="sq-AL"/>
        </w:rPr>
        <w:t>3. Rregullorja e lojës duhet të përmbajë këto të dhëna të detyrueshme për:</w:t>
      </w:r>
    </w:p>
    <w:p w:rsidR="006F732F" w:rsidRPr="00F221D4" w:rsidRDefault="006F732F" w:rsidP="006F732F">
      <w:pPr>
        <w:pStyle w:val="Paragrafi"/>
        <w:rPr>
          <w:spacing w:val="-4"/>
          <w:lang w:val="sq-AL"/>
        </w:rPr>
      </w:pPr>
      <w:r w:rsidRPr="00F221D4">
        <w:rPr>
          <w:spacing w:val="-4"/>
          <w:lang w:val="sq-AL"/>
        </w:rPr>
        <w:t>a) llojine lojës promocionale, që do të organizohet;</w:t>
      </w:r>
    </w:p>
    <w:p w:rsidR="006F732F" w:rsidRPr="00F221D4" w:rsidRDefault="006F732F" w:rsidP="006F732F">
      <w:pPr>
        <w:pStyle w:val="Paragrafi"/>
        <w:rPr>
          <w:spacing w:val="-4"/>
          <w:lang w:val="sq-AL"/>
        </w:rPr>
      </w:pPr>
      <w:r w:rsidRPr="00F221D4">
        <w:rPr>
          <w:spacing w:val="-4"/>
          <w:lang w:val="sq-AL"/>
        </w:rPr>
        <w:t>b) kohëzgjatjen e lojës, sipas parashikimit të organizatorit;</w:t>
      </w:r>
    </w:p>
    <w:p w:rsidR="006F732F" w:rsidRPr="00F221D4" w:rsidRDefault="006F732F" w:rsidP="006F732F">
      <w:pPr>
        <w:pStyle w:val="Paragrafi"/>
        <w:rPr>
          <w:spacing w:val="-4"/>
          <w:lang w:val="sq-AL"/>
        </w:rPr>
      </w:pPr>
      <w:r w:rsidRPr="00F221D4">
        <w:rPr>
          <w:spacing w:val="-4"/>
          <w:lang w:val="sq-AL"/>
        </w:rPr>
        <w:t>c) numrin dhe mënyrën e shpërblimit të fituesve;</w:t>
      </w:r>
    </w:p>
    <w:p w:rsidR="006F732F" w:rsidRPr="00F221D4" w:rsidRDefault="006F732F" w:rsidP="006F732F">
      <w:pPr>
        <w:pStyle w:val="Paragrafi"/>
        <w:rPr>
          <w:spacing w:val="-4"/>
          <w:lang w:val="sq-AL"/>
        </w:rPr>
      </w:pPr>
      <w:r w:rsidRPr="00F221D4">
        <w:rPr>
          <w:spacing w:val="-4"/>
          <w:lang w:val="sq-AL"/>
        </w:rPr>
        <w:t>ç)</w:t>
      </w:r>
      <w:r w:rsidRPr="00F221D4">
        <w:rPr>
          <w:spacing w:val="-4"/>
          <w:lang w:val="sq-AL"/>
        </w:rPr>
        <w:tab/>
        <w:t>vlerën monetare/çmimin, me dhe pa TVSH, që duhet të paguajë pjesëmarrësi në lojë, apo format e tjera të pagesës, në varësi të mënyrës së organizimit të lojës, në përputhje me përcaktimin e shkronjave “a” e “b”, të kësaj pike;</w:t>
      </w:r>
    </w:p>
    <w:p w:rsidR="006F732F" w:rsidRPr="00F221D4" w:rsidRDefault="006F732F" w:rsidP="006F732F">
      <w:pPr>
        <w:pStyle w:val="Paragrafi"/>
        <w:rPr>
          <w:spacing w:val="-4"/>
          <w:lang w:val="sq-AL"/>
        </w:rPr>
      </w:pPr>
      <w:r w:rsidRPr="00F221D4">
        <w:rPr>
          <w:spacing w:val="-4"/>
          <w:lang w:val="sq-AL"/>
        </w:rPr>
        <w:t>d) çmimin/bonusin që ofron organizatori i lojës, të konvertuar edhe në vlerë monetare;</w:t>
      </w:r>
    </w:p>
    <w:p w:rsidR="006F732F" w:rsidRPr="00F221D4" w:rsidRDefault="006F732F" w:rsidP="006F732F">
      <w:pPr>
        <w:pStyle w:val="Paragrafi"/>
        <w:rPr>
          <w:spacing w:val="-4"/>
          <w:lang w:val="sq-AL"/>
        </w:rPr>
      </w:pPr>
      <w:r w:rsidRPr="00F221D4">
        <w:rPr>
          <w:spacing w:val="-4"/>
          <w:lang w:val="sq-AL"/>
        </w:rPr>
        <w:t>dh) numrin e parashikuar të pjesëmarrësve në lojë;</w:t>
      </w:r>
    </w:p>
    <w:p w:rsidR="006F732F" w:rsidRPr="00F221D4" w:rsidRDefault="006F732F" w:rsidP="006F732F">
      <w:pPr>
        <w:pStyle w:val="Paragrafi"/>
        <w:rPr>
          <w:spacing w:val="-4"/>
          <w:lang w:val="sq-AL"/>
        </w:rPr>
      </w:pPr>
      <w:r w:rsidRPr="00F221D4">
        <w:rPr>
          <w:spacing w:val="-4"/>
          <w:lang w:val="sq-AL"/>
        </w:rPr>
        <w:t>e) pjesëmarrësit që kanë të drejtë të marrin pjesë në lojë;</w:t>
      </w:r>
    </w:p>
    <w:p w:rsidR="006F732F" w:rsidRPr="00F221D4" w:rsidRDefault="006F732F" w:rsidP="006F732F">
      <w:pPr>
        <w:pStyle w:val="Paragrafi"/>
        <w:rPr>
          <w:spacing w:val="-4"/>
          <w:lang w:val="sq-AL"/>
        </w:rPr>
      </w:pPr>
      <w:r w:rsidRPr="00F221D4">
        <w:rPr>
          <w:spacing w:val="-4"/>
          <w:lang w:val="sq-AL"/>
        </w:rPr>
        <w:t>ë)</w:t>
      </w:r>
      <w:r w:rsidRPr="00F221D4">
        <w:rPr>
          <w:spacing w:val="-4"/>
          <w:lang w:val="sq-AL"/>
        </w:rPr>
        <w:tab/>
        <w:t xml:space="preserve">mënyrën e përzgjedhjes së fituesve dhe vendin ku do të bëhet përzgjedhja; </w:t>
      </w:r>
    </w:p>
    <w:p w:rsidR="006F732F" w:rsidRPr="00F221D4" w:rsidRDefault="006F732F" w:rsidP="006F732F">
      <w:pPr>
        <w:pStyle w:val="Paragrafi"/>
        <w:rPr>
          <w:spacing w:val="-4"/>
          <w:lang w:val="sq-AL"/>
        </w:rPr>
      </w:pPr>
      <w:r w:rsidRPr="00F221D4">
        <w:rPr>
          <w:spacing w:val="-4"/>
          <w:lang w:val="sq-AL"/>
        </w:rPr>
        <w:t>f) mënyrën e njoftimit të fituesve;</w:t>
      </w:r>
    </w:p>
    <w:p w:rsidR="006F732F" w:rsidRPr="00F221D4" w:rsidRDefault="006F732F" w:rsidP="006F732F">
      <w:pPr>
        <w:pStyle w:val="Paragrafi"/>
        <w:rPr>
          <w:spacing w:val="-4"/>
          <w:lang w:val="sq-AL"/>
        </w:rPr>
      </w:pPr>
      <w:r w:rsidRPr="00F221D4">
        <w:rPr>
          <w:spacing w:val="-4"/>
          <w:lang w:val="sq-AL"/>
        </w:rPr>
        <w:t>g) informacion të plotë dhe të saktë lidhur me mekanizmin e lojës promocionale.</w:t>
      </w:r>
    </w:p>
    <w:p w:rsidR="006F732F" w:rsidRPr="00F221D4" w:rsidRDefault="006F732F" w:rsidP="006F732F">
      <w:pPr>
        <w:pStyle w:val="Paragrafi"/>
        <w:rPr>
          <w:spacing w:val="-4"/>
          <w:lang w:val="sq-AL"/>
        </w:rPr>
      </w:pPr>
      <w:r w:rsidRPr="00F221D4">
        <w:rPr>
          <w:spacing w:val="-4"/>
          <w:lang w:val="sq-AL"/>
        </w:rPr>
        <w:t xml:space="preserve"> Organizatori mund të përfshijë në rregullore çdo të dhënë tjetër që vlerësohet e nevojshme nga ana e tij.</w:t>
      </w:r>
    </w:p>
    <w:p w:rsidR="006F732F" w:rsidRPr="00F221D4" w:rsidRDefault="006F732F" w:rsidP="006F732F">
      <w:pPr>
        <w:pStyle w:val="Paragrafi"/>
        <w:rPr>
          <w:spacing w:val="-4"/>
          <w:lang w:val="sq-AL"/>
        </w:rPr>
      </w:pPr>
      <w:r w:rsidRPr="00F221D4">
        <w:rPr>
          <w:spacing w:val="-4"/>
          <w:lang w:val="sq-AL"/>
        </w:rPr>
        <w:t>4. Pjesëmarrësit në lojë duhet të jenë persona të identifikueshëm nga organizatori i lojës dhe detyrohen që në çastin e marrjes së çmimit të paraqesin pranë organizatorit të lojës dokumentin identifikues, kartë identiteti ose pasaportë.</w:t>
      </w:r>
    </w:p>
    <w:p w:rsidR="006F732F" w:rsidRPr="00F221D4" w:rsidRDefault="006F732F" w:rsidP="006F732F">
      <w:pPr>
        <w:pStyle w:val="Paragrafi"/>
        <w:rPr>
          <w:spacing w:val="-4"/>
          <w:lang w:val="sq-AL"/>
        </w:rPr>
      </w:pPr>
      <w:r w:rsidRPr="00F221D4">
        <w:rPr>
          <w:spacing w:val="-4"/>
          <w:lang w:val="sq-AL"/>
        </w:rPr>
        <w:t>5. Për kategoritë e lojërave promocionale, të përcaktuara më poshtë, organizatori, në varësi të llojit të lojës, duhet të plotësojë kriteret e mëposhtme:</w:t>
      </w:r>
    </w:p>
    <w:p w:rsidR="006F732F" w:rsidRPr="00F221D4" w:rsidRDefault="006F732F" w:rsidP="006F732F">
      <w:pPr>
        <w:pStyle w:val="Paragrafi"/>
        <w:rPr>
          <w:spacing w:val="-4"/>
          <w:lang w:val="sq-AL"/>
        </w:rPr>
      </w:pPr>
      <w:r w:rsidRPr="00F221D4">
        <w:rPr>
          <w:spacing w:val="-4"/>
          <w:lang w:val="sq-AL"/>
        </w:rPr>
        <w:t xml:space="preserve">a)Për lojën promocionale me anë të mesazheve (SMS), organizatori duhet të deklarojë për pjesëmarrësit në lojë informacionin e mëposhtëm: </w:t>
      </w:r>
    </w:p>
    <w:p w:rsidR="006F732F" w:rsidRPr="00F221D4" w:rsidRDefault="006F732F" w:rsidP="006F732F">
      <w:pPr>
        <w:pStyle w:val="Paragrafi"/>
        <w:rPr>
          <w:spacing w:val="-4"/>
          <w:lang w:val="sq-AL"/>
        </w:rPr>
      </w:pPr>
      <w:r w:rsidRPr="00F221D4">
        <w:rPr>
          <w:spacing w:val="-4"/>
          <w:lang w:val="sq-AL"/>
        </w:rPr>
        <w:t>i)Koston e një mesazhi telefonik, me ose pa TVSH, e cila nuk mund të kalojë vlerën 100 (njëqind) lekë me TVSH;</w:t>
      </w:r>
    </w:p>
    <w:p w:rsidR="006F732F" w:rsidRPr="00F221D4" w:rsidRDefault="006F732F" w:rsidP="006F732F">
      <w:pPr>
        <w:pStyle w:val="Paragrafi"/>
        <w:rPr>
          <w:spacing w:val="-4"/>
          <w:lang w:val="sq-AL"/>
        </w:rPr>
      </w:pPr>
      <w:r w:rsidRPr="00F221D4">
        <w:rPr>
          <w:spacing w:val="-4"/>
          <w:lang w:val="sq-AL"/>
        </w:rPr>
        <w:t>ii)numrin, ku duhet të dërgohet mesazhi;</w:t>
      </w:r>
    </w:p>
    <w:p w:rsidR="006F732F" w:rsidRPr="00F221D4" w:rsidRDefault="006F732F" w:rsidP="006F732F">
      <w:pPr>
        <w:pStyle w:val="Paragrafi"/>
        <w:rPr>
          <w:spacing w:val="-4"/>
          <w:lang w:val="sq-AL"/>
        </w:rPr>
      </w:pPr>
      <w:r w:rsidRPr="00F221D4">
        <w:rPr>
          <w:spacing w:val="-4"/>
          <w:lang w:val="sq-AL"/>
        </w:rPr>
        <w:t>iii)operatorin, që do të ofrojë shërbimin.</w:t>
      </w:r>
    </w:p>
    <w:p w:rsidR="006F732F" w:rsidRPr="00F221D4" w:rsidRDefault="006F732F" w:rsidP="006F732F">
      <w:pPr>
        <w:pStyle w:val="Paragrafi"/>
        <w:rPr>
          <w:spacing w:val="-4"/>
          <w:lang w:val="sq-AL"/>
        </w:rPr>
      </w:pPr>
      <w:r w:rsidRPr="00F221D4">
        <w:rPr>
          <w:spacing w:val="-4"/>
          <w:lang w:val="sq-AL"/>
        </w:rPr>
        <w:t>b) Për lojën promocionale me telefonata, organizatori duhet të deklarojë për pjesëmarrësit në lojë informacionin e mëposhtëm:</w:t>
      </w:r>
    </w:p>
    <w:p w:rsidR="006F732F" w:rsidRPr="00F221D4" w:rsidRDefault="006F732F" w:rsidP="006F732F">
      <w:pPr>
        <w:pStyle w:val="Paragrafi"/>
        <w:rPr>
          <w:spacing w:val="-4"/>
          <w:lang w:val="sq-AL"/>
        </w:rPr>
      </w:pPr>
      <w:r w:rsidRPr="00F221D4">
        <w:rPr>
          <w:spacing w:val="-4"/>
          <w:lang w:val="sq-AL"/>
        </w:rPr>
        <w:lastRenderedPageBreak/>
        <w:t>i)koston e një telefonate, me ose pa TVSH, e cila nuk mund të jetë më e lartë se 200 (dyqind) lekë/telefonata, pa TVSH;</w:t>
      </w:r>
    </w:p>
    <w:p w:rsidR="006F732F" w:rsidRPr="00F221D4" w:rsidRDefault="006F732F" w:rsidP="006F732F">
      <w:pPr>
        <w:pStyle w:val="Paragrafi"/>
        <w:rPr>
          <w:spacing w:val="-4"/>
          <w:lang w:val="sq-AL"/>
        </w:rPr>
      </w:pPr>
      <w:r w:rsidRPr="00F221D4">
        <w:rPr>
          <w:spacing w:val="-4"/>
          <w:lang w:val="sq-AL"/>
        </w:rPr>
        <w:t>ii)numrin, ku duhet të dërgohet;</w:t>
      </w:r>
    </w:p>
    <w:p w:rsidR="006F732F" w:rsidRPr="00F221D4" w:rsidRDefault="006F732F" w:rsidP="006F732F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i</w:t>
      </w:r>
      <w:r w:rsidRPr="00F221D4">
        <w:rPr>
          <w:spacing w:val="-4"/>
          <w:lang w:val="sq-AL"/>
        </w:rPr>
        <w:t>ii)operatorin, që ofron shërbimin.</w:t>
      </w:r>
    </w:p>
    <w:p w:rsidR="006F732F" w:rsidRPr="00F221D4" w:rsidRDefault="006F732F" w:rsidP="006F732F">
      <w:pPr>
        <w:pStyle w:val="Paragrafi"/>
        <w:rPr>
          <w:spacing w:val="-4"/>
          <w:lang w:val="sq-AL"/>
        </w:rPr>
      </w:pPr>
      <w:r w:rsidRPr="00F221D4">
        <w:rPr>
          <w:spacing w:val="-4"/>
          <w:lang w:val="sq-AL"/>
        </w:rPr>
        <w:t>Të dhënat e parashikuara në shkronjat “a” dhe “b”, të kësaj pike, janë pjesë e rregullores së lojës.</w:t>
      </w:r>
    </w:p>
    <w:p w:rsidR="006F732F" w:rsidRPr="00F221D4" w:rsidRDefault="006F732F" w:rsidP="006F732F">
      <w:pPr>
        <w:pStyle w:val="Paragrafi"/>
        <w:rPr>
          <w:spacing w:val="-4"/>
          <w:lang w:val="sq-AL"/>
        </w:rPr>
      </w:pPr>
      <w:r w:rsidRPr="00F221D4">
        <w:rPr>
          <w:spacing w:val="-4"/>
          <w:lang w:val="sq-AL"/>
        </w:rPr>
        <w:t>c) Fituesit e çmimeve të ofruara përzgjidhen sipas mënyrës/ave, që detyrimisht përmbajnë elementin rastësor.</w:t>
      </w:r>
    </w:p>
    <w:p w:rsidR="006F732F" w:rsidRPr="00F221D4" w:rsidRDefault="006F732F" w:rsidP="006F732F">
      <w:pPr>
        <w:pStyle w:val="Paragrafi"/>
        <w:rPr>
          <w:spacing w:val="-4"/>
          <w:lang w:val="sq-AL"/>
        </w:rPr>
      </w:pPr>
      <w:r w:rsidRPr="00F221D4">
        <w:rPr>
          <w:spacing w:val="-4"/>
          <w:lang w:val="sq-AL"/>
        </w:rPr>
        <w:t>ç)</w:t>
      </w:r>
      <w:r w:rsidRPr="00F221D4">
        <w:rPr>
          <w:spacing w:val="-4"/>
          <w:lang w:val="sq-AL"/>
        </w:rPr>
        <w:tab/>
        <w:t>Për marrjen e autorizimit, subjekti duhet të paguajë paraprakisht tarifën prej 200 000 (dyqind mijë) lekësh. Në rast refuzimi të autorizimit, shuma e paguar është e kthyeshme nga AMLF-ja, brenda 20 (njëzet) ditëve pune nga data e refuzimit të autorizimit.</w:t>
      </w:r>
    </w:p>
    <w:p w:rsidR="006F732F" w:rsidRPr="00F221D4" w:rsidRDefault="006F732F" w:rsidP="006F732F">
      <w:pPr>
        <w:pStyle w:val="Paragrafi"/>
        <w:rPr>
          <w:spacing w:val="-4"/>
          <w:lang w:val="sq-AL"/>
        </w:rPr>
      </w:pPr>
      <w:r w:rsidRPr="00F221D4">
        <w:rPr>
          <w:spacing w:val="-4"/>
          <w:lang w:val="sq-AL"/>
        </w:rPr>
        <w:t>Të ardhurat nga tarifa e pajisjes me autorizim për lojë promocionale fati derdhen 100 për qind në buxhetin e shtetit.</w:t>
      </w:r>
    </w:p>
    <w:p w:rsidR="006F732F" w:rsidRPr="00F221D4" w:rsidRDefault="006F732F" w:rsidP="006F732F">
      <w:pPr>
        <w:pStyle w:val="Paragrafi"/>
        <w:rPr>
          <w:spacing w:val="-4"/>
          <w:lang w:val="sq-AL"/>
        </w:rPr>
      </w:pPr>
      <w:r w:rsidRPr="00F221D4">
        <w:rPr>
          <w:spacing w:val="-4"/>
          <w:lang w:val="sq-AL"/>
        </w:rPr>
        <w:t>d) Çmimi/bonusi i ofruar nga organizatori i lojës së fatit, i konvertuar në vlerë monetare, nuk duhet të jetë më i vogël se 80 për qind e shumës së akumuluar prej pjesëmarrësve në lojë për lojërat e organizuara nëpërmjet mesazheve (SMS) apo të telefonatave.</w:t>
      </w:r>
    </w:p>
    <w:p w:rsidR="006F732F" w:rsidRPr="00F221D4" w:rsidRDefault="006F732F" w:rsidP="006F732F">
      <w:pPr>
        <w:pStyle w:val="Paragrafi"/>
        <w:rPr>
          <w:spacing w:val="-4"/>
          <w:lang w:val="sq-AL"/>
        </w:rPr>
      </w:pPr>
      <w:r w:rsidRPr="00F221D4">
        <w:rPr>
          <w:spacing w:val="-4"/>
          <w:lang w:val="sq-AL"/>
        </w:rPr>
        <w:t>dh) Për tipat e tjerë të lojërave promocionale, organizatori duhet të deklarojë në rregulloren e lojës së fatit çmimin, që do të ofrojë, të konvertuar edhe në vlerë monetare.</w:t>
      </w:r>
    </w:p>
    <w:p w:rsidR="006F732F" w:rsidRPr="00F221D4" w:rsidRDefault="006F732F" w:rsidP="006F732F">
      <w:pPr>
        <w:pStyle w:val="Paragrafi"/>
        <w:rPr>
          <w:spacing w:val="-4"/>
          <w:lang w:val="sq-AL"/>
        </w:rPr>
      </w:pPr>
      <w:r w:rsidRPr="00F221D4">
        <w:rPr>
          <w:spacing w:val="-4"/>
          <w:lang w:val="sq-AL"/>
        </w:rPr>
        <w:t xml:space="preserve">e) Tërheqja e çmimit bëhet në kohën, vendin dhe mënyrën e publikuar nga organizatori. Në çastin e hedhjes së shorteut dhe ndarjes së çmimeve merr pjesë një përfaqësues nga AMLF-ja dhe një përfaqësues nga organi tatimor, ku subjekti është i regjistruar, të cilët mbajnë procesverbalin përkatës dhe e depozitojnë në institucionin të cilin përfaqësojnë. </w:t>
      </w:r>
    </w:p>
    <w:p w:rsidR="006F732F" w:rsidRPr="00F221D4" w:rsidRDefault="006F732F" w:rsidP="006F732F">
      <w:pPr>
        <w:pStyle w:val="Paragrafi"/>
        <w:rPr>
          <w:spacing w:val="-4"/>
          <w:lang w:val="sq-AL"/>
        </w:rPr>
      </w:pPr>
      <w:r w:rsidRPr="00F221D4">
        <w:rPr>
          <w:spacing w:val="-4"/>
          <w:lang w:val="sq-AL"/>
        </w:rPr>
        <w:t>ë)</w:t>
      </w:r>
      <w:r w:rsidRPr="00F221D4">
        <w:rPr>
          <w:spacing w:val="-4"/>
          <w:lang w:val="sq-AL"/>
        </w:rPr>
        <w:tab/>
        <w:t>Organizatori i lojës, 20 (njëzet) ditë përpara datës së ndarjes së çmimeve, duhet të depozitojë pranë Autoritetit të Mbikëqyrjes së Lojërave të Fatit dhe organit tatimor ku subjekti është i regjistruar njoftimin për datën dhe orën e ndarjes së çmimeve.</w:t>
      </w:r>
    </w:p>
    <w:p w:rsidR="006F732F" w:rsidRPr="00F221D4" w:rsidRDefault="006F732F" w:rsidP="006F732F">
      <w:pPr>
        <w:pStyle w:val="Paragrafi"/>
        <w:rPr>
          <w:spacing w:val="-4"/>
          <w:lang w:val="sq-AL"/>
        </w:rPr>
      </w:pPr>
      <w:r w:rsidRPr="00F221D4">
        <w:rPr>
          <w:spacing w:val="-4"/>
          <w:lang w:val="sq-AL"/>
        </w:rPr>
        <w:t xml:space="preserve">f) Titullarët e organeve të parashikuara në pikën 10, të këtij kreu, pajisin me autorizim përfaqësuesit e tyre për të asistuar në ndarjen e çmimeve. Në rast mosparaqitjeje pa shkaqe të arsyeshme të përfaqësuesve të autorizuar gjatë ndarjes së çmimeve në rast depozitimi të kërkesës, organizatori informon titullarin e organit përkatës dhe vijon me procesin e ndarjes së çmimeve. </w:t>
      </w:r>
    </w:p>
    <w:p w:rsidR="006F732F" w:rsidRPr="00F221D4" w:rsidRDefault="006F732F" w:rsidP="006F732F">
      <w:pPr>
        <w:pStyle w:val="Paragrafi"/>
        <w:rPr>
          <w:spacing w:val="-4"/>
          <w:lang w:val="sq-AL"/>
        </w:rPr>
      </w:pPr>
      <w:r w:rsidRPr="00F221D4">
        <w:rPr>
          <w:spacing w:val="-4"/>
          <w:lang w:val="sq-AL"/>
        </w:rPr>
        <w:t>g) Në rast se organizatori kryen ndarjen e çmimeve pa njoftuar organet e parashikuara në pikën 10, të këtij kreu, organizatorit i hiqet e drejta për pajisje me autorizim, për një periudhë 3-vjeçare, pas përfundimit të afatit të autorizimit të lëshuar.</w:t>
      </w:r>
    </w:p>
    <w:p w:rsidR="006F732F" w:rsidRPr="00F221D4" w:rsidRDefault="006F732F" w:rsidP="006F732F">
      <w:pPr>
        <w:pStyle w:val="Paragrafi"/>
        <w:rPr>
          <w:spacing w:val="-4"/>
          <w:lang w:val="sq-AL"/>
        </w:rPr>
      </w:pPr>
      <w:r w:rsidRPr="00F221D4">
        <w:rPr>
          <w:spacing w:val="-4"/>
          <w:lang w:val="sq-AL"/>
        </w:rPr>
        <w:t>gj) Organizatori i lojës duhet të ruajë, për një periudhë jo më pak se 6 (gjashtë) vjet nga data e përfundimit të lojës, të gjithë dokumentacionin e përdorur për organizimin e lojës promocionale të fatit, konkretisht, por pa u kufizuar në: mënyrën e zhvillimit të lojës, numrin e pjesëmarrësve, çmimet e shpërndara, emrat dhe adresat e fituesve.</w:t>
      </w:r>
    </w:p>
    <w:p w:rsidR="006F732F" w:rsidRPr="00F221D4" w:rsidRDefault="006F732F" w:rsidP="006F732F">
      <w:pPr>
        <w:pStyle w:val="Paragrafi"/>
        <w:rPr>
          <w:spacing w:val="-4"/>
          <w:lang w:val="sq-AL"/>
        </w:rPr>
      </w:pPr>
      <w:r w:rsidRPr="00F221D4">
        <w:rPr>
          <w:spacing w:val="-4"/>
          <w:lang w:val="sq-AL"/>
        </w:rPr>
        <w:t>III. DISPOZITA TË FUNDIT</w:t>
      </w:r>
    </w:p>
    <w:p w:rsidR="006F732F" w:rsidRPr="00F221D4" w:rsidRDefault="006F732F" w:rsidP="006F732F">
      <w:pPr>
        <w:pStyle w:val="Paragrafi"/>
        <w:rPr>
          <w:spacing w:val="-4"/>
          <w:lang w:val="sq-AL"/>
        </w:rPr>
      </w:pPr>
      <w:r w:rsidRPr="00F221D4">
        <w:rPr>
          <w:spacing w:val="-4"/>
          <w:lang w:val="sq-AL"/>
        </w:rPr>
        <w:t xml:space="preserve">1. Autoriteti i Mbikëqyrjes së Lojërave të Fatit raporton pranë ministrit të Financave brenda tremujorit të parë të çdo viti dhe sa herë që kërkohet prej tij për çështjet e lidhura me zbatimin e këtij vendimi. </w:t>
      </w:r>
    </w:p>
    <w:p w:rsidR="006F732F" w:rsidRPr="00F221D4" w:rsidRDefault="006F732F" w:rsidP="006F732F">
      <w:pPr>
        <w:pStyle w:val="Paragrafi"/>
        <w:rPr>
          <w:spacing w:val="-4"/>
          <w:lang w:val="sq-AL"/>
        </w:rPr>
      </w:pPr>
      <w:r w:rsidRPr="00F221D4">
        <w:rPr>
          <w:spacing w:val="-4"/>
          <w:lang w:val="sq-AL"/>
        </w:rPr>
        <w:t>2. Ngarkohen Autoritetit i Mbikëqyrjes së Lojërave të Fatit, strukturat e kontrollit të Drejtorisë së Përgjithshme të Tatimeve dhe drejtorive rajonale tatimore dhe organizatorët e lojërave të fatit promocionale për zbatimin e këtij vendimi.</w:t>
      </w:r>
    </w:p>
    <w:p w:rsidR="006F732F" w:rsidRPr="00F221D4" w:rsidRDefault="006F732F" w:rsidP="006F732F">
      <w:pPr>
        <w:pStyle w:val="Paragrafi"/>
        <w:rPr>
          <w:spacing w:val="-4"/>
          <w:lang w:val="sq-AL"/>
        </w:rPr>
      </w:pPr>
      <w:r w:rsidRPr="00F221D4">
        <w:rPr>
          <w:spacing w:val="-4"/>
          <w:lang w:val="sq-AL"/>
        </w:rPr>
        <w:t>3. Vendimi nr. 770, datë 15.7.2009, i Këshillit të Ministrave, “Për përcaktimin e mënyrave, të formave, kritereve dhe të rregullave shtesë për organizimin e lojërave të fatit promocionale”, shfuqizohet.</w:t>
      </w:r>
    </w:p>
    <w:p w:rsidR="006F732F" w:rsidRPr="00F221D4" w:rsidRDefault="006F732F" w:rsidP="006F732F">
      <w:pPr>
        <w:pStyle w:val="Paragrafi"/>
        <w:rPr>
          <w:spacing w:val="-4"/>
          <w:lang w:val="sq-AL"/>
        </w:rPr>
      </w:pPr>
      <w:r w:rsidRPr="00F221D4">
        <w:rPr>
          <w:spacing w:val="-4"/>
          <w:lang w:val="sq-AL"/>
        </w:rPr>
        <w:t xml:space="preserve">Ky vendim hyn në fuqi pas botimit në Fletoren Zyrtare. </w:t>
      </w:r>
    </w:p>
    <w:p w:rsidR="006F732F" w:rsidRPr="003A694B" w:rsidRDefault="006F732F" w:rsidP="006F732F">
      <w:pPr>
        <w:pStyle w:val="Paragrafi"/>
        <w:jc w:val="right"/>
        <w:rPr>
          <w:spacing w:val="-4"/>
          <w:sz w:val="12"/>
          <w:lang w:val="sq-AL"/>
        </w:rPr>
      </w:pPr>
    </w:p>
    <w:p w:rsidR="006F732F" w:rsidRPr="00F221D4" w:rsidRDefault="006F732F" w:rsidP="006F732F">
      <w:pPr>
        <w:pStyle w:val="Paragrafi"/>
        <w:jc w:val="right"/>
        <w:rPr>
          <w:spacing w:val="-4"/>
          <w:lang w:val="sq-AL"/>
        </w:rPr>
      </w:pPr>
      <w:r w:rsidRPr="00F221D4">
        <w:rPr>
          <w:spacing w:val="-4"/>
          <w:lang w:val="sq-AL"/>
        </w:rPr>
        <w:t>KRYEMINISTRI</w:t>
      </w:r>
    </w:p>
    <w:p w:rsidR="006F732F" w:rsidRPr="00F221D4" w:rsidRDefault="006F732F" w:rsidP="006F732F">
      <w:pPr>
        <w:pStyle w:val="Paragrafi"/>
        <w:jc w:val="right"/>
        <w:rPr>
          <w:b/>
          <w:spacing w:val="-4"/>
          <w:lang w:val="sq-AL"/>
        </w:rPr>
      </w:pPr>
      <w:r w:rsidRPr="00F221D4">
        <w:rPr>
          <w:b/>
          <w:spacing w:val="-4"/>
          <w:lang w:val="sq-AL"/>
        </w:rPr>
        <w:t>EdiRama</w:t>
      </w:r>
    </w:p>
    <w:p w:rsidR="006F732F" w:rsidRPr="003A694B" w:rsidRDefault="006F732F" w:rsidP="006F732F">
      <w:pPr>
        <w:rPr>
          <w:spacing w:val="-4"/>
          <w:sz w:val="8"/>
          <w:lang w:val="sq-AL"/>
        </w:rPr>
      </w:pPr>
    </w:p>
    <w:p w:rsidR="00586206" w:rsidRDefault="00586206"/>
    <w:sectPr w:rsidR="005862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6F732F"/>
    <w:rsid w:val="00586206"/>
    <w:rsid w:val="006F732F"/>
    <w:rsid w:val="00E95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6F732F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6F732F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6F732F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6F732F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6F732F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6F732F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1498</Words>
  <Characters>8542</Characters>
  <Application>Microsoft Office Word</Application>
  <DocSecurity>0</DocSecurity>
  <Lines>71</Lines>
  <Paragraphs>20</Paragraphs>
  <ScaleCrop>false</ScaleCrop>
  <Company>Hewlett-Packard Company</Company>
  <LinksUpToDate>false</LinksUpToDate>
  <CharactersWithSpaces>10020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Entela.Suli</dc:creator>
  <cp:keywords/>
  <dc:description/>
  <cp:lastModifiedBy>bruna.aliaj</cp:lastModifiedBy>
  <cp:revision>3</cp:revision>
  <dcterms:created xsi:type="dcterms:W3CDTF">2017-03-24T09:05:00Z</dcterms:created>
  <dcterms:modified xsi:type="dcterms:W3CDTF">2018-01-29T09:25:00Z</dcterms:modified>
</cp:coreProperties>
</file>