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D51" w:rsidRPr="00BA398C" w:rsidRDefault="00F11D51" w:rsidP="00F11D51">
      <w:pPr>
        <w:pStyle w:val="Paragrafi"/>
        <w:ind w:firstLine="0"/>
        <w:jc w:val="center"/>
        <w:rPr>
          <w:b/>
          <w:lang w:val="sq-AL"/>
        </w:rPr>
      </w:pPr>
      <w:bookmarkStart w:id="0" w:name="_GoBack"/>
    </w:p>
    <w:p w:rsidR="00F11D51" w:rsidRDefault="00F11D51" w:rsidP="00F11D51">
      <w:pPr>
        <w:pStyle w:val="NeniTitull"/>
        <w:jc w:val="left"/>
        <w:rPr>
          <w:spacing w:val="-4"/>
          <w:lang w:val="sq-AL"/>
        </w:rPr>
        <w:sectPr w:rsidR="00F11D51" w:rsidSect="007B14C0"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F11D51" w:rsidRPr="00FB51CF" w:rsidRDefault="00F11D51" w:rsidP="00F11D51">
      <w:pPr>
        <w:pStyle w:val="NeniTitull"/>
      </w:pPr>
      <w:r w:rsidRPr="00FB51CF">
        <w:lastRenderedPageBreak/>
        <w:t>VENDIM</w:t>
      </w:r>
    </w:p>
    <w:p w:rsidR="00F11D51" w:rsidRPr="00FB51CF" w:rsidRDefault="00F11D51" w:rsidP="00F11D51">
      <w:pPr>
        <w:pStyle w:val="NeniTitull"/>
      </w:pPr>
      <w:r w:rsidRPr="00FB51CF">
        <w:t xml:space="preserve">Nr. 225, </w:t>
      </w:r>
      <w:proofErr w:type="spellStart"/>
      <w:r w:rsidRPr="00FB51CF">
        <w:t>datë</w:t>
      </w:r>
      <w:proofErr w:type="spellEnd"/>
      <w:r w:rsidRPr="00FB51CF">
        <w:t xml:space="preserve"> 21.3.2017</w:t>
      </w:r>
    </w:p>
    <w:p w:rsidR="00F11D51" w:rsidRPr="00093AD5" w:rsidRDefault="00F11D51" w:rsidP="00F11D51">
      <w:pPr>
        <w:pStyle w:val="NeniTitull"/>
        <w:rPr>
          <w:sz w:val="14"/>
        </w:rPr>
      </w:pPr>
    </w:p>
    <w:p w:rsidR="00F11D51" w:rsidRDefault="00F11D51" w:rsidP="00F11D51">
      <w:pPr>
        <w:pStyle w:val="NeniTitull"/>
      </w:pPr>
      <w:r w:rsidRPr="00FB51CF">
        <w:t xml:space="preserve">PËR DISA NDRYSHIME NË VENDIMIN NR. 432, DATË 13.7.2007, TË KËSHILLIT TË MINISTRAVE, “PËR KLASIFIKIMIN E FUNKSIONEVE, TRAJTIMIN ME PAGË DHE SHTESA MBI PAGË PËR PUNONJËSIT NË SHËRBIMIN INFORMATIV TË SHTETIT”, </w:t>
      </w:r>
    </w:p>
    <w:p w:rsidR="00F11D51" w:rsidRPr="00FB51CF" w:rsidRDefault="00F11D51" w:rsidP="00F11D51">
      <w:pPr>
        <w:pStyle w:val="NeniTitull"/>
      </w:pPr>
      <w:r w:rsidRPr="00FB51CF">
        <w:t>TË NDRYSHUAR</w:t>
      </w:r>
    </w:p>
    <w:p w:rsidR="00F11D51" w:rsidRPr="00FB51CF" w:rsidRDefault="00F11D51" w:rsidP="00F11D51">
      <w:pPr>
        <w:pStyle w:val="Hapesira7"/>
        <w:jc w:val="left"/>
        <w:rPr>
          <w:lang w:val="sq-AL"/>
        </w:rPr>
      </w:pPr>
    </w:p>
    <w:p w:rsidR="00F11D51" w:rsidRPr="00FB51CF" w:rsidRDefault="00F11D51" w:rsidP="00F11D51">
      <w:pPr>
        <w:pStyle w:val="Paragrafi"/>
        <w:rPr>
          <w:spacing w:val="-4"/>
          <w:lang w:val="sq-AL"/>
        </w:rPr>
      </w:pPr>
      <w:r w:rsidRPr="00FB51CF">
        <w:rPr>
          <w:spacing w:val="-4"/>
          <w:lang w:val="sq-AL"/>
        </w:rPr>
        <w:t>Në mbështetje të nenit 100 të Kushtetutës, të pikës 2 të nenit 4, të ligjit nr. 10405, datë 24.3.2011, “Për kompetencat për caktimin e pagave dhe të shpërblimeve”, të neneve 8 e 22 të ligjit nr. 9357, datë 17.3.2005 “Për statusin e punonjësit të Shërbimit Informativ të Shtetit” dhe të ligjit nr. 130/2016, “Për buxhetin e vitit 2017”, me propozimin e ministrit të Shtetit për Inovacionin dhe Administratën Publike dhe ministrit të Financave, Këshilli i Ministrave</w:t>
      </w:r>
    </w:p>
    <w:p w:rsidR="00F11D51" w:rsidRPr="00FB51CF" w:rsidRDefault="00F11D51" w:rsidP="00F11D51">
      <w:pPr>
        <w:pStyle w:val="Hapesira7"/>
        <w:jc w:val="left"/>
        <w:rPr>
          <w:lang w:val="sq-AL"/>
        </w:rPr>
      </w:pPr>
    </w:p>
    <w:p w:rsidR="00F11D51" w:rsidRPr="00FB51CF" w:rsidRDefault="00F11D51" w:rsidP="00F11D51">
      <w:pPr>
        <w:pStyle w:val="NeniNr"/>
        <w:rPr>
          <w:lang w:val="sq-AL"/>
        </w:rPr>
      </w:pPr>
      <w:r w:rsidRPr="00093AD5">
        <w:t>VENDOSI</w:t>
      </w:r>
      <w:r w:rsidRPr="00FB51CF">
        <w:rPr>
          <w:lang w:val="sq-AL"/>
        </w:rPr>
        <w:t xml:space="preserve">: </w:t>
      </w:r>
    </w:p>
    <w:p w:rsidR="00F11D51" w:rsidRPr="00FB51CF" w:rsidRDefault="00F11D51" w:rsidP="00F11D51">
      <w:pPr>
        <w:pStyle w:val="Hapesira7"/>
        <w:jc w:val="left"/>
        <w:rPr>
          <w:lang w:val="sq-AL"/>
        </w:rPr>
      </w:pPr>
    </w:p>
    <w:p w:rsidR="00F11D51" w:rsidRPr="00FB51CF" w:rsidRDefault="00F11D51" w:rsidP="00F11D51">
      <w:pPr>
        <w:pStyle w:val="Paragrafi"/>
        <w:rPr>
          <w:spacing w:val="-4"/>
          <w:lang w:val="sq-AL"/>
        </w:rPr>
      </w:pPr>
      <w:r w:rsidRPr="00FB51CF">
        <w:rPr>
          <w:spacing w:val="-4"/>
          <w:lang w:val="sq-AL"/>
        </w:rPr>
        <w:t>1.</w:t>
      </w:r>
      <w:r w:rsidRPr="00FB51CF">
        <w:rPr>
          <w:spacing w:val="-4"/>
          <w:lang w:val="sq-AL"/>
        </w:rPr>
        <w:tab/>
        <w:t>Në vendimin nr. 432, datë 13.7.2007, të Këshillit të Ministrave, bëhen këto ndryshime:</w:t>
      </w:r>
    </w:p>
    <w:p w:rsidR="00F11D51" w:rsidRPr="00FB51CF" w:rsidRDefault="00F11D51" w:rsidP="00F11D51">
      <w:pPr>
        <w:pStyle w:val="Paragrafi"/>
        <w:rPr>
          <w:spacing w:val="-4"/>
          <w:lang w:val="sq-AL"/>
        </w:rPr>
      </w:pPr>
      <w:r w:rsidRPr="00FB51CF">
        <w:rPr>
          <w:spacing w:val="-4"/>
          <w:lang w:val="sq-AL"/>
        </w:rPr>
        <w:t xml:space="preserve">a) Lidhja nr. 2, “Struktura dhe nivelet e pagave, sipas klasifikimit të funksioneve, për punonjësit në Shërbimin Informativ të Shtetit”, zëvendësohet me lidhjen me të njëjtin numër dhe titull, që i bashkëlidhet këtij vendimi dhe është pjesë përbërëse e tij. </w:t>
      </w:r>
    </w:p>
    <w:p w:rsidR="00F11D51" w:rsidRPr="00FB51CF" w:rsidRDefault="00F11D51" w:rsidP="00F11D51">
      <w:pPr>
        <w:pStyle w:val="Paragrafi"/>
        <w:rPr>
          <w:spacing w:val="-4"/>
          <w:lang w:val="sq-AL"/>
        </w:rPr>
      </w:pPr>
      <w:r w:rsidRPr="00FB51CF">
        <w:rPr>
          <w:spacing w:val="-4"/>
          <w:lang w:val="sq-AL"/>
        </w:rPr>
        <w:t>b) Pika 7 riformulohet, si më poshtë vijon:</w:t>
      </w:r>
    </w:p>
    <w:p w:rsidR="00F11D51" w:rsidRPr="00FB51CF" w:rsidRDefault="00F11D51" w:rsidP="00F11D51">
      <w:pPr>
        <w:pStyle w:val="Paragrafi"/>
        <w:rPr>
          <w:spacing w:val="-4"/>
          <w:lang w:val="sq-AL"/>
        </w:rPr>
      </w:pPr>
      <w:r w:rsidRPr="00FB51CF">
        <w:rPr>
          <w:spacing w:val="-4"/>
          <w:lang w:val="sq-AL"/>
        </w:rPr>
        <w:t>“7. Punonjësve të Shërbimit Informativ të Shtetit, që marrin pagën sipas niveleve të klasifikimit të këtij vendimi, u jepet shtesë për vështirësi vendi dhe zone:</w:t>
      </w:r>
    </w:p>
    <w:p w:rsidR="00F11D51" w:rsidRPr="00FB51CF" w:rsidRDefault="00F11D51" w:rsidP="00F11D51">
      <w:pPr>
        <w:pStyle w:val="Paragrafi"/>
        <w:rPr>
          <w:spacing w:val="-4"/>
          <w:lang w:val="sq-AL"/>
        </w:rPr>
      </w:pPr>
      <w:r w:rsidRPr="00FB51CF">
        <w:rPr>
          <w:spacing w:val="-4"/>
          <w:lang w:val="sq-AL"/>
        </w:rPr>
        <w:t xml:space="preserve"> a) Për punonjësit e klasave 1.1 deri 1.4, të nivelit I, të lidhjes nr. 1, në masën deri në 30% të pagës bazë mujore; </w:t>
      </w:r>
    </w:p>
    <w:p w:rsidR="00F11D51" w:rsidRPr="00FB51CF" w:rsidRDefault="00F11D51" w:rsidP="00F11D51">
      <w:pPr>
        <w:pStyle w:val="Paragrafi"/>
        <w:rPr>
          <w:spacing w:val="-4"/>
          <w:lang w:val="sq-AL"/>
        </w:rPr>
      </w:pPr>
      <w:r w:rsidRPr="00FB51CF">
        <w:rPr>
          <w:spacing w:val="-4"/>
          <w:lang w:val="sq-AL"/>
        </w:rPr>
        <w:t xml:space="preserve">b) Për punonjësit e klasave 1.5 dhe 1.6 të nivelit I, si dhe për punonjësit e niveleve II, III dhe IV, të lidhjes nr. 1, në masën deri në 50% të pagës bazë mujore. </w:t>
      </w:r>
    </w:p>
    <w:p w:rsidR="00F11D51" w:rsidRPr="00FB51CF" w:rsidRDefault="00F11D51" w:rsidP="00F11D51">
      <w:pPr>
        <w:pStyle w:val="Paragrafi"/>
        <w:rPr>
          <w:spacing w:val="-4"/>
          <w:lang w:val="sq-AL"/>
        </w:rPr>
      </w:pPr>
      <w:r w:rsidRPr="00FB51CF">
        <w:rPr>
          <w:spacing w:val="-4"/>
          <w:lang w:val="sq-AL"/>
        </w:rPr>
        <w:t xml:space="preserve">Masa e shtesës për çdo vend pune brenda kufijve si më sipër, vështirësia e funksionit si dhe kriteret për përfitimin e shtesës mbi pagë përcaktohen me urdhër të drejtorit të Shërbimit Informativ të Shtetit.”. </w:t>
      </w:r>
    </w:p>
    <w:p w:rsidR="00F11D51" w:rsidRPr="00FB51CF" w:rsidRDefault="00F11D51" w:rsidP="00F11D51">
      <w:pPr>
        <w:pStyle w:val="Paragrafi"/>
        <w:rPr>
          <w:spacing w:val="-4"/>
          <w:lang w:val="sq-AL"/>
        </w:rPr>
      </w:pPr>
      <w:r w:rsidRPr="00FB51CF">
        <w:rPr>
          <w:spacing w:val="-4"/>
          <w:lang w:val="sq-AL"/>
        </w:rPr>
        <w:t>2.</w:t>
      </w:r>
      <w:r w:rsidRPr="00FB51CF">
        <w:rPr>
          <w:spacing w:val="-4"/>
          <w:lang w:val="sq-AL"/>
        </w:rPr>
        <w:tab/>
        <w:t xml:space="preserve">Efektet financiare të këtij vendimi, për shkak të politikës për rritjen e pagave, të përballohen nga fondet e miratuara në ligjin 130/2016 , “Për buxhetin e vitit 2017”, për politikat e reja të pagave. </w:t>
      </w:r>
    </w:p>
    <w:p w:rsidR="00F11D51" w:rsidRPr="00FB51CF" w:rsidRDefault="00F11D51" w:rsidP="00F11D51">
      <w:pPr>
        <w:pStyle w:val="Paragrafi"/>
        <w:rPr>
          <w:spacing w:val="-4"/>
          <w:lang w:val="sq-AL"/>
        </w:rPr>
      </w:pPr>
      <w:r w:rsidRPr="00FB51CF">
        <w:rPr>
          <w:spacing w:val="-4"/>
          <w:lang w:val="sq-AL"/>
        </w:rPr>
        <w:t>Ky vendim hyn në fuqi pas botimit në Fletoren Zyrtare dhe i shtrin efektet financiare nga data 1 mars 2017.</w:t>
      </w:r>
    </w:p>
    <w:p w:rsidR="00F11D51" w:rsidRPr="00FB51CF" w:rsidRDefault="00F11D51" w:rsidP="00F11D51">
      <w:pPr>
        <w:pStyle w:val="Paragrafi"/>
        <w:jc w:val="right"/>
        <w:rPr>
          <w:spacing w:val="-4"/>
          <w:lang w:val="sq-AL"/>
        </w:rPr>
      </w:pPr>
      <w:r w:rsidRPr="00FB51CF">
        <w:rPr>
          <w:spacing w:val="-4"/>
          <w:lang w:val="sq-AL"/>
        </w:rPr>
        <w:t>KRYEMINISTRI</w:t>
      </w:r>
    </w:p>
    <w:p w:rsidR="00F11D51" w:rsidRPr="00BA398C" w:rsidRDefault="00F11D51" w:rsidP="00F11D51">
      <w:pPr>
        <w:pStyle w:val="Paragrafi"/>
        <w:jc w:val="right"/>
        <w:rPr>
          <w:b/>
          <w:lang w:val="sq-AL"/>
        </w:rPr>
      </w:pPr>
      <w:r w:rsidRPr="00FB51CF">
        <w:rPr>
          <w:b/>
          <w:spacing w:val="-4"/>
          <w:lang w:val="sq-AL"/>
        </w:rPr>
        <w:t>Edi Rama</w:t>
      </w:r>
    </w:p>
    <w:p w:rsidR="00F11D51" w:rsidRDefault="00F11D51" w:rsidP="00F11D51">
      <w:pPr>
        <w:pStyle w:val="NeniNr"/>
        <w:rPr>
          <w:szCs w:val="24"/>
          <w:lang w:val="sq-AL"/>
        </w:rPr>
      </w:pPr>
    </w:p>
    <w:p w:rsidR="00F11D51" w:rsidRPr="00093AD5" w:rsidRDefault="00F11D51" w:rsidP="00F11D51">
      <w:pPr>
        <w:rPr>
          <w:lang w:val="sq-AL"/>
        </w:rPr>
        <w:sectPr w:rsidR="00F11D51" w:rsidRPr="00093AD5" w:rsidSect="007B14C0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F11D51" w:rsidRDefault="00F11D51" w:rsidP="00F11D51">
      <w:pPr>
        <w:pStyle w:val="NeniNr"/>
        <w:rPr>
          <w:szCs w:val="24"/>
          <w:lang w:val="sq-AL"/>
        </w:rPr>
      </w:pPr>
    </w:p>
    <w:p w:rsidR="00F11D51" w:rsidRPr="00BA398C" w:rsidRDefault="00F11D51" w:rsidP="00F11D51">
      <w:pPr>
        <w:pStyle w:val="NeniNr"/>
        <w:rPr>
          <w:szCs w:val="24"/>
          <w:lang w:val="sq-AL"/>
        </w:rPr>
      </w:pPr>
      <w:r w:rsidRPr="00BA398C">
        <w:rPr>
          <w:szCs w:val="24"/>
          <w:lang w:val="sq-AL"/>
        </w:rPr>
        <w:t>LIDHJA NR. 2</w:t>
      </w:r>
    </w:p>
    <w:p w:rsidR="00F11D51" w:rsidRPr="00BA398C" w:rsidRDefault="00F11D51" w:rsidP="00F11D51">
      <w:pPr>
        <w:pStyle w:val="NeniNr"/>
        <w:rPr>
          <w:szCs w:val="24"/>
          <w:lang w:val="sq-AL"/>
        </w:rPr>
      </w:pPr>
      <w:r w:rsidRPr="00BA398C">
        <w:rPr>
          <w:szCs w:val="24"/>
          <w:lang w:val="sq-AL"/>
        </w:rPr>
        <w:t>STRUKTURA DHE NIVELET E PAGAVE SIPAS KLASIFIKIMIT TË FUNKSIONEVE, PËR PUNONJËSIT NË SHËRBIMIN INFORMATIV TË SHTETIT</w:t>
      </w:r>
    </w:p>
    <w:p w:rsidR="00F11D51" w:rsidRPr="00D030CC" w:rsidRDefault="00F11D51" w:rsidP="00F11D51">
      <w:pPr>
        <w:spacing w:after="0" w:line="240" w:lineRule="auto"/>
        <w:ind w:firstLine="0"/>
        <w:jc w:val="center"/>
        <w:rPr>
          <w:rFonts w:ascii="Garamond" w:hAnsi="Garamond"/>
          <w:b/>
          <w:szCs w:val="20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57"/>
        <w:gridCol w:w="2610"/>
        <w:gridCol w:w="1535"/>
        <w:gridCol w:w="1415"/>
        <w:gridCol w:w="1229"/>
        <w:gridCol w:w="1147"/>
      </w:tblGrid>
      <w:tr w:rsidR="00F11D51" w:rsidRPr="00BA398C" w:rsidTr="004F5E38">
        <w:trPr>
          <w:jc w:val="center"/>
        </w:trPr>
        <w:tc>
          <w:tcPr>
            <w:tcW w:w="1457" w:type="dxa"/>
            <w:vAlign w:val="center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Nivelet e klasifikimit</w:t>
            </w:r>
          </w:p>
        </w:tc>
        <w:tc>
          <w:tcPr>
            <w:tcW w:w="2610" w:type="dxa"/>
            <w:vAlign w:val="center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Klasifikimi i punonjësve sipas niveleve</w:t>
            </w:r>
          </w:p>
        </w:tc>
        <w:tc>
          <w:tcPr>
            <w:tcW w:w="1535" w:type="dxa"/>
            <w:vAlign w:val="center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Klasa për çdo nivel klasifikimi</w:t>
            </w:r>
          </w:p>
        </w:tc>
        <w:tc>
          <w:tcPr>
            <w:tcW w:w="1415" w:type="dxa"/>
            <w:vAlign w:val="center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Paga bazë mujore për klasë në lekë</w:t>
            </w:r>
          </w:p>
        </w:tc>
        <w:tc>
          <w:tcPr>
            <w:tcW w:w="1229" w:type="dxa"/>
            <w:vAlign w:val="center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Shtesa për Vjetërsi në %</w:t>
            </w:r>
          </w:p>
        </w:tc>
        <w:tc>
          <w:tcPr>
            <w:tcW w:w="1147" w:type="dxa"/>
            <w:vAlign w:val="center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Shtesa për gradë në %</w:t>
            </w:r>
          </w:p>
        </w:tc>
      </w:tr>
      <w:tr w:rsidR="00F11D51" w:rsidRPr="00BA398C" w:rsidTr="004F5E38">
        <w:trPr>
          <w:jc w:val="center"/>
        </w:trPr>
        <w:tc>
          <w:tcPr>
            <w:tcW w:w="1457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1</w:t>
            </w:r>
          </w:p>
        </w:tc>
        <w:tc>
          <w:tcPr>
            <w:tcW w:w="2610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2</w:t>
            </w:r>
          </w:p>
        </w:tc>
        <w:tc>
          <w:tcPr>
            <w:tcW w:w="1535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3</w:t>
            </w:r>
          </w:p>
        </w:tc>
        <w:tc>
          <w:tcPr>
            <w:tcW w:w="1415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4</w:t>
            </w:r>
          </w:p>
        </w:tc>
        <w:tc>
          <w:tcPr>
            <w:tcW w:w="1229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5</w:t>
            </w:r>
          </w:p>
        </w:tc>
        <w:tc>
          <w:tcPr>
            <w:tcW w:w="1147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6</w:t>
            </w:r>
          </w:p>
        </w:tc>
      </w:tr>
      <w:tr w:rsidR="00F11D51" w:rsidRPr="00BA398C" w:rsidTr="004F5E38">
        <w:trPr>
          <w:jc w:val="center"/>
        </w:trPr>
        <w:tc>
          <w:tcPr>
            <w:tcW w:w="1457" w:type="dxa"/>
            <w:vMerge w:val="restart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I</w:t>
            </w:r>
          </w:p>
        </w:tc>
        <w:tc>
          <w:tcPr>
            <w:tcW w:w="2610" w:type="dxa"/>
            <w:vMerge w:val="restart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sz w:val="20"/>
                <w:szCs w:val="20"/>
                <w:lang w:val="sq-AL"/>
              </w:rPr>
              <w:t>Punonjës mbështetës</w:t>
            </w:r>
          </w:p>
        </w:tc>
        <w:tc>
          <w:tcPr>
            <w:tcW w:w="1535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I.1</w:t>
            </w:r>
          </w:p>
        </w:tc>
        <w:tc>
          <w:tcPr>
            <w:tcW w:w="1415" w:type="dxa"/>
            <w:vAlign w:val="bottom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right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30000</w:t>
            </w:r>
          </w:p>
        </w:tc>
        <w:tc>
          <w:tcPr>
            <w:tcW w:w="1229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sz w:val="20"/>
                <w:szCs w:val="20"/>
                <w:lang w:val="sq-AL"/>
              </w:rPr>
              <w:t>1%</w:t>
            </w:r>
          </w:p>
        </w:tc>
        <w:tc>
          <w:tcPr>
            <w:tcW w:w="1147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sz w:val="20"/>
                <w:szCs w:val="20"/>
                <w:lang w:val="sq-AL"/>
              </w:rPr>
              <w:t>2%</w:t>
            </w:r>
          </w:p>
        </w:tc>
      </w:tr>
      <w:tr w:rsidR="00F11D51" w:rsidRPr="00BA398C" w:rsidTr="004F5E38">
        <w:trPr>
          <w:jc w:val="center"/>
        </w:trPr>
        <w:tc>
          <w:tcPr>
            <w:tcW w:w="1457" w:type="dxa"/>
            <w:vMerge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2610" w:type="dxa"/>
            <w:vMerge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535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I.2</w:t>
            </w:r>
          </w:p>
        </w:tc>
        <w:tc>
          <w:tcPr>
            <w:tcW w:w="1415" w:type="dxa"/>
            <w:vAlign w:val="bottom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right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31600</w:t>
            </w:r>
          </w:p>
        </w:tc>
        <w:tc>
          <w:tcPr>
            <w:tcW w:w="1229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sz w:val="20"/>
                <w:szCs w:val="20"/>
                <w:lang w:val="sq-AL"/>
              </w:rPr>
              <w:t>1%</w:t>
            </w:r>
          </w:p>
        </w:tc>
        <w:tc>
          <w:tcPr>
            <w:tcW w:w="1147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sz w:val="20"/>
                <w:szCs w:val="20"/>
                <w:lang w:val="sq-AL"/>
              </w:rPr>
              <w:t>2%</w:t>
            </w:r>
          </w:p>
        </w:tc>
      </w:tr>
      <w:tr w:rsidR="00F11D51" w:rsidRPr="00BA398C" w:rsidTr="004F5E38">
        <w:trPr>
          <w:jc w:val="center"/>
        </w:trPr>
        <w:tc>
          <w:tcPr>
            <w:tcW w:w="1457" w:type="dxa"/>
            <w:vMerge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2610" w:type="dxa"/>
            <w:vMerge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535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I.3</w:t>
            </w:r>
          </w:p>
        </w:tc>
        <w:tc>
          <w:tcPr>
            <w:tcW w:w="1415" w:type="dxa"/>
            <w:vAlign w:val="bottom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right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35000</w:t>
            </w:r>
          </w:p>
        </w:tc>
        <w:tc>
          <w:tcPr>
            <w:tcW w:w="1229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sz w:val="20"/>
                <w:szCs w:val="20"/>
                <w:lang w:val="sq-AL"/>
              </w:rPr>
              <w:t>1%</w:t>
            </w:r>
          </w:p>
        </w:tc>
        <w:tc>
          <w:tcPr>
            <w:tcW w:w="1147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sz w:val="20"/>
                <w:szCs w:val="20"/>
                <w:lang w:val="sq-AL"/>
              </w:rPr>
              <w:t>3%</w:t>
            </w:r>
          </w:p>
        </w:tc>
      </w:tr>
      <w:tr w:rsidR="00F11D51" w:rsidRPr="00BA398C" w:rsidTr="004F5E38">
        <w:trPr>
          <w:jc w:val="center"/>
        </w:trPr>
        <w:tc>
          <w:tcPr>
            <w:tcW w:w="1457" w:type="dxa"/>
            <w:vMerge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2610" w:type="dxa"/>
            <w:vMerge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535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I.4</w:t>
            </w:r>
          </w:p>
        </w:tc>
        <w:tc>
          <w:tcPr>
            <w:tcW w:w="1415" w:type="dxa"/>
            <w:vAlign w:val="bottom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right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38500</w:t>
            </w:r>
          </w:p>
        </w:tc>
        <w:tc>
          <w:tcPr>
            <w:tcW w:w="1229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sz w:val="20"/>
                <w:szCs w:val="20"/>
                <w:lang w:val="sq-AL"/>
              </w:rPr>
              <w:t>1%</w:t>
            </w:r>
          </w:p>
        </w:tc>
        <w:tc>
          <w:tcPr>
            <w:tcW w:w="1147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sz w:val="20"/>
                <w:szCs w:val="20"/>
                <w:lang w:val="sq-AL"/>
              </w:rPr>
              <w:t>5%</w:t>
            </w:r>
          </w:p>
        </w:tc>
      </w:tr>
      <w:tr w:rsidR="00F11D51" w:rsidRPr="00BA398C" w:rsidTr="004F5E38">
        <w:trPr>
          <w:jc w:val="center"/>
        </w:trPr>
        <w:tc>
          <w:tcPr>
            <w:tcW w:w="1457" w:type="dxa"/>
            <w:vMerge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2610" w:type="dxa"/>
            <w:vMerge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535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I.5</w:t>
            </w:r>
          </w:p>
        </w:tc>
        <w:tc>
          <w:tcPr>
            <w:tcW w:w="1415" w:type="dxa"/>
            <w:vAlign w:val="bottom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right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43600</w:t>
            </w:r>
          </w:p>
        </w:tc>
        <w:tc>
          <w:tcPr>
            <w:tcW w:w="1229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sz w:val="20"/>
                <w:szCs w:val="20"/>
                <w:lang w:val="sq-AL"/>
              </w:rPr>
              <w:t>1%</w:t>
            </w:r>
          </w:p>
        </w:tc>
        <w:tc>
          <w:tcPr>
            <w:tcW w:w="1147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sz w:val="20"/>
                <w:szCs w:val="20"/>
                <w:lang w:val="sq-AL"/>
              </w:rPr>
              <w:t>6%</w:t>
            </w:r>
          </w:p>
        </w:tc>
      </w:tr>
      <w:tr w:rsidR="00F11D51" w:rsidRPr="00BA398C" w:rsidTr="004F5E38">
        <w:trPr>
          <w:jc w:val="center"/>
        </w:trPr>
        <w:tc>
          <w:tcPr>
            <w:tcW w:w="1457" w:type="dxa"/>
            <w:vMerge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2610" w:type="dxa"/>
            <w:vMerge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535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1.6</w:t>
            </w:r>
          </w:p>
        </w:tc>
        <w:tc>
          <w:tcPr>
            <w:tcW w:w="1415" w:type="dxa"/>
            <w:vAlign w:val="bottom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right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45000</w:t>
            </w:r>
          </w:p>
        </w:tc>
        <w:tc>
          <w:tcPr>
            <w:tcW w:w="1229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sz w:val="20"/>
                <w:szCs w:val="20"/>
                <w:lang w:val="sq-AL"/>
              </w:rPr>
              <w:t>1%</w:t>
            </w:r>
          </w:p>
        </w:tc>
        <w:tc>
          <w:tcPr>
            <w:tcW w:w="1147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sz w:val="20"/>
                <w:szCs w:val="20"/>
                <w:lang w:val="sq-AL"/>
              </w:rPr>
              <w:t>6%</w:t>
            </w:r>
          </w:p>
        </w:tc>
      </w:tr>
      <w:tr w:rsidR="00F11D51" w:rsidRPr="00BA398C" w:rsidTr="004F5E38">
        <w:trPr>
          <w:jc w:val="center"/>
        </w:trPr>
        <w:tc>
          <w:tcPr>
            <w:tcW w:w="1457" w:type="dxa"/>
            <w:vMerge w:val="restart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II</w:t>
            </w:r>
          </w:p>
        </w:tc>
        <w:tc>
          <w:tcPr>
            <w:tcW w:w="2610" w:type="dxa"/>
            <w:vMerge w:val="restart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sz w:val="20"/>
                <w:szCs w:val="20"/>
                <w:lang w:val="sq-AL"/>
              </w:rPr>
              <w:t>Punonjës të nivelit zbatues</w:t>
            </w:r>
          </w:p>
        </w:tc>
        <w:tc>
          <w:tcPr>
            <w:tcW w:w="1535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II.1</w:t>
            </w:r>
          </w:p>
        </w:tc>
        <w:tc>
          <w:tcPr>
            <w:tcW w:w="1415" w:type="dxa"/>
            <w:vAlign w:val="bottom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right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48000</w:t>
            </w:r>
          </w:p>
        </w:tc>
        <w:tc>
          <w:tcPr>
            <w:tcW w:w="1229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sz w:val="20"/>
                <w:szCs w:val="20"/>
                <w:lang w:val="sq-AL"/>
              </w:rPr>
              <w:t>1%</w:t>
            </w:r>
          </w:p>
        </w:tc>
        <w:tc>
          <w:tcPr>
            <w:tcW w:w="1147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sz w:val="20"/>
                <w:szCs w:val="20"/>
                <w:lang w:val="sq-AL"/>
              </w:rPr>
              <w:t>8%</w:t>
            </w:r>
          </w:p>
        </w:tc>
      </w:tr>
      <w:tr w:rsidR="00F11D51" w:rsidRPr="00BA398C" w:rsidTr="004F5E38">
        <w:trPr>
          <w:jc w:val="center"/>
        </w:trPr>
        <w:tc>
          <w:tcPr>
            <w:tcW w:w="1457" w:type="dxa"/>
            <w:vMerge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2610" w:type="dxa"/>
            <w:vMerge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535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II.2</w:t>
            </w:r>
          </w:p>
        </w:tc>
        <w:tc>
          <w:tcPr>
            <w:tcW w:w="1415" w:type="dxa"/>
            <w:vAlign w:val="bottom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right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52000</w:t>
            </w:r>
          </w:p>
        </w:tc>
        <w:tc>
          <w:tcPr>
            <w:tcW w:w="1229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sz w:val="20"/>
                <w:szCs w:val="20"/>
                <w:lang w:val="sq-AL"/>
              </w:rPr>
              <w:t>1%</w:t>
            </w:r>
          </w:p>
        </w:tc>
        <w:tc>
          <w:tcPr>
            <w:tcW w:w="1147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sz w:val="20"/>
                <w:szCs w:val="20"/>
                <w:lang w:val="sq-AL"/>
              </w:rPr>
              <w:t>12%</w:t>
            </w:r>
          </w:p>
        </w:tc>
      </w:tr>
      <w:tr w:rsidR="00F11D51" w:rsidRPr="00BA398C" w:rsidTr="004F5E38">
        <w:trPr>
          <w:trHeight w:val="251"/>
          <w:jc w:val="center"/>
        </w:trPr>
        <w:tc>
          <w:tcPr>
            <w:tcW w:w="1457" w:type="dxa"/>
            <w:vMerge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2610" w:type="dxa"/>
            <w:vMerge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535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II.3</w:t>
            </w:r>
          </w:p>
        </w:tc>
        <w:tc>
          <w:tcPr>
            <w:tcW w:w="1415" w:type="dxa"/>
            <w:vAlign w:val="bottom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right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54000</w:t>
            </w:r>
          </w:p>
        </w:tc>
        <w:tc>
          <w:tcPr>
            <w:tcW w:w="1229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sz w:val="20"/>
                <w:szCs w:val="20"/>
                <w:lang w:val="sq-AL"/>
              </w:rPr>
              <w:t>1%</w:t>
            </w:r>
          </w:p>
        </w:tc>
        <w:tc>
          <w:tcPr>
            <w:tcW w:w="1147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sz w:val="20"/>
                <w:szCs w:val="20"/>
                <w:lang w:val="sq-AL"/>
              </w:rPr>
              <w:t>12%</w:t>
            </w:r>
          </w:p>
        </w:tc>
      </w:tr>
      <w:tr w:rsidR="00F11D51" w:rsidRPr="00BA398C" w:rsidTr="004F5E38">
        <w:trPr>
          <w:jc w:val="center"/>
        </w:trPr>
        <w:tc>
          <w:tcPr>
            <w:tcW w:w="1457" w:type="dxa"/>
            <w:vMerge w:val="restart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III</w:t>
            </w:r>
          </w:p>
        </w:tc>
        <w:tc>
          <w:tcPr>
            <w:tcW w:w="2610" w:type="dxa"/>
            <w:vMerge w:val="restart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sz w:val="20"/>
                <w:szCs w:val="20"/>
                <w:lang w:val="sq-AL"/>
              </w:rPr>
              <w:t>Punonjës të nivelit të mesëm drejtues</w:t>
            </w:r>
          </w:p>
        </w:tc>
        <w:tc>
          <w:tcPr>
            <w:tcW w:w="1535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III.1</w:t>
            </w:r>
          </w:p>
        </w:tc>
        <w:tc>
          <w:tcPr>
            <w:tcW w:w="1415" w:type="dxa"/>
            <w:vAlign w:val="bottom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right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57000</w:t>
            </w:r>
          </w:p>
        </w:tc>
        <w:tc>
          <w:tcPr>
            <w:tcW w:w="1229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sz w:val="20"/>
                <w:szCs w:val="20"/>
                <w:lang w:val="sq-AL"/>
              </w:rPr>
              <w:t>1%</w:t>
            </w:r>
          </w:p>
        </w:tc>
        <w:tc>
          <w:tcPr>
            <w:tcW w:w="1147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sz w:val="20"/>
                <w:szCs w:val="20"/>
                <w:lang w:val="sq-AL"/>
              </w:rPr>
              <w:t>14%</w:t>
            </w:r>
          </w:p>
        </w:tc>
      </w:tr>
      <w:tr w:rsidR="00F11D51" w:rsidRPr="00BA398C" w:rsidTr="004F5E38">
        <w:trPr>
          <w:jc w:val="center"/>
        </w:trPr>
        <w:tc>
          <w:tcPr>
            <w:tcW w:w="1457" w:type="dxa"/>
            <w:vMerge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2610" w:type="dxa"/>
            <w:vMerge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535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III.2</w:t>
            </w:r>
          </w:p>
        </w:tc>
        <w:tc>
          <w:tcPr>
            <w:tcW w:w="1415" w:type="dxa"/>
            <w:vAlign w:val="bottom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right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59000</w:t>
            </w:r>
          </w:p>
        </w:tc>
        <w:tc>
          <w:tcPr>
            <w:tcW w:w="1229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sz w:val="20"/>
                <w:szCs w:val="20"/>
                <w:lang w:val="sq-AL"/>
              </w:rPr>
              <w:t>1%</w:t>
            </w:r>
          </w:p>
        </w:tc>
        <w:tc>
          <w:tcPr>
            <w:tcW w:w="1147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sz w:val="20"/>
                <w:szCs w:val="20"/>
                <w:lang w:val="sq-AL"/>
              </w:rPr>
              <w:t>16%</w:t>
            </w:r>
          </w:p>
        </w:tc>
      </w:tr>
      <w:tr w:rsidR="00F11D51" w:rsidRPr="00BA398C" w:rsidTr="004F5E38">
        <w:trPr>
          <w:jc w:val="center"/>
        </w:trPr>
        <w:tc>
          <w:tcPr>
            <w:tcW w:w="1457" w:type="dxa"/>
            <w:vMerge w:val="restart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IV</w:t>
            </w:r>
          </w:p>
        </w:tc>
        <w:tc>
          <w:tcPr>
            <w:tcW w:w="2610" w:type="dxa"/>
            <w:vMerge w:val="restart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sz w:val="20"/>
                <w:szCs w:val="20"/>
                <w:lang w:val="sq-AL"/>
              </w:rPr>
              <w:t>Punonjës të nivelit të lartë drejtues</w:t>
            </w:r>
          </w:p>
        </w:tc>
        <w:tc>
          <w:tcPr>
            <w:tcW w:w="1535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IV.1</w:t>
            </w:r>
          </w:p>
        </w:tc>
        <w:tc>
          <w:tcPr>
            <w:tcW w:w="1415" w:type="dxa"/>
            <w:vAlign w:val="bottom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right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63000</w:t>
            </w:r>
          </w:p>
        </w:tc>
        <w:tc>
          <w:tcPr>
            <w:tcW w:w="1229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sz w:val="20"/>
                <w:szCs w:val="20"/>
                <w:lang w:val="sq-AL"/>
              </w:rPr>
              <w:t>1%</w:t>
            </w:r>
          </w:p>
        </w:tc>
        <w:tc>
          <w:tcPr>
            <w:tcW w:w="1147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sz w:val="20"/>
                <w:szCs w:val="20"/>
                <w:lang w:val="sq-AL"/>
              </w:rPr>
              <w:t>20%</w:t>
            </w:r>
          </w:p>
        </w:tc>
      </w:tr>
      <w:tr w:rsidR="00F11D51" w:rsidRPr="00BA398C" w:rsidTr="004F5E38">
        <w:trPr>
          <w:jc w:val="center"/>
        </w:trPr>
        <w:tc>
          <w:tcPr>
            <w:tcW w:w="1457" w:type="dxa"/>
            <w:vMerge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2610" w:type="dxa"/>
            <w:vMerge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535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IV.2</w:t>
            </w:r>
          </w:p>
        </w:tc>
        <w:tc>
          <w:tcPr>
            <w:tcW w:w="1415" w:type="dxa"/>
            <w:vAlign w:val="bottom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right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68100</w:t>
            </w:r>
          </w:p>
        </w:tc>
        <w:tc>
          <w:tcPr>
            <w:tcW w:w="1229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sz w:val="20"/>
                <w:szCs w:val="20"/>
                <w:lang w:val="sq-AL"/>
              </w:rPr>
              <w:t>1%</w:t>
            </w:r>
          </w:p>
        </w:tc>
        <w:tc>
          <w:tcPr>
            <w:tcW w:w="1147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sz w:val="20"/>
                <w:szCs w:val="20"/>
                <w:lang w:val="sq-AL"/>
              </w:rPr>
              <w:t>20%</w:t>
            </w:r>
          </w:p>
        </w:tc>
      </w:tr>
      <w:tr w:rsidR="00F11D51" w:rsidRPr="00BA398C" w:rsidTr="004F5E38">
        <w:trPr>
          <w:jc w:val="center"/>
        </w:trPr>
        <w:tc>
          <w:tcPr>
            <w:tcW w:w="1457" w:type="dxa"/>
            <w:shd w:val="clear" w:color="auto" w:fill="auto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Jashtë klasifikimit</w:t>
            </w:r>
          </w:p>
        </w:tc>
        <w:tc>
          <w:tcPr>
            <w:tcW w:w="2610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 xml:space="preserve">Inspektor i Përgjithshëm </w:t>
            </w:r>
          </w:p>
          <w:p w:rsidR="00F11D51" w:rsidRPr="00D077D0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 xml:space="preserve">në </w:t>
            </w:r>
            <w:r w:rsidRPr="00BA398C"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SHISH</w:t>
            </w:r>
          </w:p>
        </w:tc>
        <w:tc>
          <w:tcPr>
            <w:tcW w:w="1535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1415" w:type="dxa"/>
            <w:vAlign w:val="bottom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right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b/>
                <w:sz w:val="20"/>
                <w:szCs w:val="20"/>
                <w:lang w:val="sq-AL"/>
              </w:rPr>
              <w:t>134000</w:t>
            </w:r>
          </w:p>
        </w:tc>
        <w:tc>
          <w:tcPr>
            <w:tcW w:w="1229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sz w:val="20"/>
                <w:szCs w:val="20"/>
                <w:lang w:val="sq-AL"/>
              </w:rPr>
              <w:t>0%</w:t>
            </w:r>
          </w:p>
        </w:tc>
        <w:tc>
          <w:tcPr>
            <w:tcW w:w="1147" w:type="dxa"/>
          </w:tcPr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:rsidR="00F11D51" w:rsidRPr="00BA398C" w:rsidRDefault="00F11D51" w:rsidP="004F5E38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A398C">
              <w:rPr>
                <w:rFonts w:ascii="Garamond" w:hAnsi="Garamond"/>
                <w:sz w:val="20"/>
                <w:szCs w:val="20"/>
                <w:lang w:val="sq-AL"/>
              </w:rPr>
              <w:t>0%</w:t>
            </w:r>
          </w:p>
        </w:tc>
      </w:tr>
      <w:bookmarkEnd w:id="0"/>
    </w:tbl>
    <w:p w:rsidR="004F59B3" w:rsidRDefault="004F59B3"/>
    <w:sectPr w:rsidR="004F59B3" w:rsidSect="007B14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9D2"/>
    <w:rsid w:val="004F59B3"/>
    <w:rsid w:val="007B14C0"/>
    <w:rsid w:val="008D39D2"/>
    <w:rsid w:val="00F11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D51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11D5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11D5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11D5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11D5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11D5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11D5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D51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11D5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11D5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11D5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11D5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11D5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11D5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2500</Characters>
  <Application>Microsoft Office Word</Application>
  <DocSecurity>0</DocSecurity>
  <Lines>20</Lines>
  <Paragraphs>5</Paragraphs>
  <ScaleCrop>false</ScaleCrop>
  <Company/>
  <LinksUpToDate>false</LinksUpToDate>
  <CharactersWithSpaces>2933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3</cp:revision>
  <dcterms:created xsi:type="dcterms:W3CDTF">2017-03-30T09:21:00Z</dcterms:created>
  <dcterms:modified xsi:type="dcterms:W3CDTF">2018-01-29T10:46:00Z</dcterms:modified>
</cp:coreProperties>
</file>