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A90" w:rsidRPr="004A0B3D" w:rsidRDefault="00B91A90" w:rsidP="00B91A90">
      <w:pPr>
        <w:tabs>
          <w:tab w:val="left" w:pos="540"/>
          <w:tab w:val="left" w:pos="720"/>
        </w:tabs>
        <w:spacing w:after="0" w:line="240" w:lineRule="auto"/>
        <w:ind w:firstLine="288"/>
        <w:jc w:val="center"/>
        <w:rPr>
          <w:rFonts w:ascii="Garamond" w:eastAsia="Times New Roman" w:hAnsi="Garamond"/>
          <w:b/>
          <w:color w:val="000000"/>
          <w:sz w:val="24"/>
          <w:szCs w:val="24"/>
          <w:lang w:val="sq-AL"/>
        </w:rPr>
      </w:pPr>
      <w:bookmarkStart w:id="0" w:name="_GoBack"/>
      <w:r w:rsidRPr="004A0B3D">
        <w:rPr>
          <w:rFonts w:ascii="Garamond" w:eastAsia="Times New Roman" w:hAnsi="Garamond"/>
          <w:b/>
          <w:color w:val="000000"/>
          <w:sz w:val="24"/>
          <w:szCs w:val="24"/>
          <w:lang w:val="sq-AL"/>
        </w:rPr>
        <w:t>VENDIM</w:t>
      </w:r>
    </w:p>
    <w:p w:rsidR="00B91A90" w:rsidRPr="004A0B3D" w:rsidRDefault="00B91A90" w:rsidP="00B91A90">
      <w:pPr>
        <w:tabs>
          <w:tab w:val="left" w:pos="540"/>
          <w:tab w:val="left" w:pos="720"/>
        </w:tabs>
        <w:autoSpaceDE w:val="0"/>
        <w:autoSpaceDN w:val="0"/>
        <w:adjustRightInd w:val="0"/>
        <w:spacing w:after="0" w:line="240" w:lineRule="auto"/>
        <w:ind w:firstLine="288"/>
        <w:jc w:val="center"/>
        <w:rPr>
          <w:rFonts w:ascii="Garamond" w:eastAsia="Times New Roman" w:hAnsi="Garamond"/>
          <w:b/>
          <w:sz w:val="24"/>
          <w:szCs w:val="24"/>
          <w:lang w:val="sq-AL"/>
        </w:rPr>
      </w:pPr>
      <w:r w:rsidRPr="004A0B3D">
        <w:rPr>
          <w:rFonts w:ascii="Garamond" w:eastAsia="Times New Roman" w:hAnsi="Garamond"/>
          <w:b/>
          <w:bCs/>
          <w:sz w:val="24"/>
          <w:szCs w:val="24"/>
          <w:lang w:val="sq-AL"/>
        </w:rPr>
        <w:t>Nr. 248</w:t>
      </w:r>
      <w:r w:rsidRPr="004A0B3D">
        <w:rPr>
          <w:rFonts w:ascii="Garamond" w:eastAsia="Times New Roman" w:hAnsi="Garamond"/>
          <w:b/>
          <w:sz w:val="24"/>
          <w:szCs w:val="24"/>
          <w:lang w:val="sq-AL"/>
        </w:rPr>
        <w:t>, d</w:t>
      </w:r>
      <w:r w:rsidRPr="004A0B3D">
        <w:rPr>
          <w:rFonts w:ascii="Garamond" w:eastAsia="Times New Roman" w:hAnsi="Garamond"/>
          <w:b/>
          <w:bCs/>
          <w:sz w:val="24"/>
          <w:szCs w:val="24"/>
          <w:lang w:val="sq-AL"/>
        </w:rPr>
        <w:t>atë 29.3.2017</w:t>
      </w:r>
    </w:p>
    <w:p w:rsidR="00B91A90" w:rsidRPr="004A0B3D" w:rsidRDefault="00B91A90" w:rsidP="00B91A90">
      <w:pPr>
        <w:tabs>
          <w:tab w:val="left" w:pos="540"/>
          <w:tab w:val="left" w:pos="720"/>
        </w:tabs>
        <w:autoSpaceDE w:val="0"/>
        <w:autoSpaceDN w:val="0"/>
        <w:adjustRightInd w:val="0"/>
        <w:spacing w:after="0" w:line="240" w:lineRule="auto"/>
        <w:ind w:firstLine="288"/>
        <w:jc w:val="center"/>
        <w:rPr>
          <w:rFonts w:ascii="Garamond" w:eastAsia="Times New Roman" w:hAnsi="Garamond"/>
          <w:b/>
          <w:sz w:val="14"/>
          <w:szCs w:val="14"/>
          <w:lang w:val="sq-AL"/>
        </w:rPr>
      </w:pPr>
    </w:p>
    <w:p w:rsidR="00B91A90" w:rsidRPr="004A0B3D" w:rsidRDefault="00B91A90" w:rsidP="00B91A90">
      <w:pPr>
        <w:tabs>
          <w:tab w:val="left" w:pos="540"/>
          <w:tab w:val="left" w:pos="720"/>
        </w:tabs>
        <w:spacing w:after="0" w:line="240" w:lineRule="auto"/>
        <w:ind w:firstLine="288"/>
        <w:jc w:val="center"/>
        <w:rPr>
          <w:rFonts w:ascii="Garamond" w:hAnsi="Garamond"/>
          <w:b/>
          <w:sz w:val="24"/>
          <w:szCs w:val="24"/>
          <w:u w:val="single"/>
          <w:lang w:val="sq-AL"/>
        </w:rPr>
      </w:pPr>
      <w:r w:rsidRPr="004A0B3D">
        <w:rPr>
          <w:rFonts w:ascii="Garamond" w:eastAsia="MS Mincho" w:hAnsi="Garamond"/>
          <w:b/>
          <w:sz w:val="24"/>
          <w:szCs w:val="24"/>
          <w:lang w:val="sq-AL"/>
        </w:rPr>
        <w:t xml:space="preserve">PËR </w:t>
      </w:r>
      <w:r w:rsidRPr="004A0B3D">
        <w:rPr>
          <w:rFonts w:ascii="Garamond" w:hAnsi="Garamond"/>
          <w:b/>
          <w:sz w:val="24"/>
          <w:szCs w:val="24"/>
          <w:lang w:val="sq-AL"/>
        </w:rPr>
        <w:t>MIRATIMIN E PLANIT TË VEPRIMIT KUNDËR KULTIVIMIT DHE TRAFIKIMIT TË KANABISIT 2017–2020</w:t>
      </w:r>
    </w:p>
    <w:p w:rsidR="00B91A90" w:rsidRPr="004A0B3D" w:rsidRDefault="00B91A90" w:rsidP="00B91A90">
      <w:pPr>
        <w:tabs>
          <w:tab w:val="left" w:pos="540"/>
          <w:tab w:val="left" w:pos="720"/>
        </w:tabs>
        <w:spacing w:after="0" w:line="240" w:lineRule="auto"/>
        <w:ind w:firstLine="288"/>
        <w:jc w:val="center"/>
        <w:rPr>
          <w:rFonts w:ascii="Garamond" w:hAnsi="Garamond"/>
          <w:b/>
          <w:sz w:val="14"/>
          <w:szCs w:val="14"/>
          <w:u w:val="single"/>
          <w:lang w:val="sq-AL"/>
        </w:rPr>
      </w:pP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mbështetje të nenit 100 të Kushtetutës, me propozimin e ministrit të Punëve të Brendshme, ministrit të Drejtësisë, ministrit të Mirëqenies Sociale dhe Rinisë dhe të ministrit të Bujqësisë, Zhvillimit Rural dhe Administrimit të Ujërave, Këshilli i Ministrave</w:t>
      </w:r>
    </w:p>
    <w:p w:rsidR="00B91A90" w:rsidRPr="004A0B3D" w:rsidRDefault="00B91A90" w:rsidP="00B91A90">
      <w:pPr>
        <w:tabs>
          <w:tab w:val="left" w:pos="540"/>
          <w:tab w:val="left" w:pos="720"/>
        </w:tabs>
        <w:spacing w:after="0" w:line="240" w:lineRule="auto"/>
        <w:ind w:firstLine="288"/>
        <w:rPr>
          <w:rFonts w:ascii="Garamond" w:hAnsi="Garamond"/>
          <w:sz w:val="14"/>
          <w:szCs w:val="24"/>
          <w:lang w:val="sq-AL"/>
        </w:rPr>
      </w:pPr>
    </w:p>
    <w:p w:rsidR="00B91A90" w:rsidRPr="004A0B3D" w:rsidRDefault="00B91A90" w:rsidP="00B91A90">
      <w:pPr>
        <w:tabs>
          <w:tab w:val="left" w:pos="540"/>
          <w:tab w:val="left" w:pos="720"/>
        </w:tabs>
        <w:spacing w:after="0" w:line="240" w:lineRule="auto"/>
        <w:ind w:firstLine="288"/>
        <w:jc w:val="center"/>
        <w:rPr>
          <w:rFonts w:ascii="Garamond" w:eastAsia="MS Mincho" w:hAnsi="Garamond"/>
          <w:sz w:val="24"/>
          <w:szCs w:val="24"/>
          <w:lang w:val="sq-AL"/>
        </w:rPr>
      </w:pPr>
    </w:p>
    <w:p w:rsidR="00B91A90" w:rsidRPr="004A0B3D" w:rsidRDefault="00B91A90" w:rsidP="00B91A90">
      <w:pPr>
        <w:tabs>
          <w:tab w:val="left" w:pos="540"/>
          <w:tab w:val="left" w:pos="720"/>
        </w:tabs>
        <w:spacing w:after="0" w:line="240" w:lineRule="auto"/>
        <w:ind w:firstLine="288"/>
        <w:jc w:val="center"/>
        <w:rPr>
          <w:rFonts w:ascii="Garamond" w:eastAsia="MS Mincho" w:hAnsi="Garamond"/>
          <w:sz w:val="24"/>
          <w:szCs w:val="24"/>
          <w:lang w:val="sq-AL"/>
        </w:rPr>
      </w:pPr>
      <w:r w:rsidRPr="004A0B3D">
        <w:rPr>
          <w:rFonts w:ascii="Garamond" w:eastAsia="MS Mincho" w:hAnsi="Garamond"/>
          <w:sz w:val="24"/>
          <w:szCs w:val="24"/>
          <w:lang w:val="sq-AL"/>
        </w:rPr>
        <w:t>VENDOSI:</w:t>
      </w:r>
    </w:p>
    <w:p w:rsidR="00B91A90" w:rsidRPr="004A0B3D" w:rsidRDefault="00B91A90" w:rsidP="00B91A90">
      <w:pPr>
        <w:tabs>
          <w:tab w:val="left" w:pos="540"/>
          <w:tab w:val="left" w:pos="720"/>
        </w:tabs>
        <w:spacing w:after="0" w:line="240" w:lineRule="auto"/>
        <w:ind w:firstLine="288"/>
        <w:jc w:val="center"/>
        <w:rPr>
          <w:rFonts w:ascii="Garamond" w:eastAsia="MS Mincho" w:hAnsi="Garamond"/>
          <w:b/>
          <w:sz w:val="14"/>
          <w:szCs w:val="14"/>
          <w:lang w:val="sq-AL"/>
        </w:rPr>
      </w:pPr>
    </w:p>
    <w:p w:rsidR="00B91A90" w:rsidRPr="004A0B3D" w:rsidRDefault="00B91A90" w:rsidP="00B91A90">
      <w:pPr>
        <w:pStyle w:val="ListParagraph"/>
        <w:tabs>
          <w:tab w:val="left" w:pos="540"/>
          <w:tab w:val="left" w:pos="720"/>
        </w:tabs>
        <w:spacing w:after="0" w:line="240" w:lineRule="auto"/>
        <w:ind w:left="0" w:firstLine="288"/>
        <w:jc w:val="both"/>
        <w:rPr>
          <w:rFonts w:ascii="Garamond" w:hAnsi="Garamond"/>
          <w:sz w:val="24"/>
          <w:szCs w:val="24"/>
          <w:lang w:val="sq-AL"/>
        </w:rPr>
      </w:pPr>
      <w:r w:rsidRPr="004A0B3D">
        <w:rPr>
          <w:rFonts w:ascii="Garamond" w:eastAsia="MS Mincho" w:hAnsi="Garamond"/>
          <w:sz w:val="24"/>
          <w:szCs w:val="24"/>
          <w:lang w:val="sq-AL"/>
        </w:rPr>
        <w:t>1. Miratimin e Planit të Veprimit kundër Kultivimit dhe Trafikimit të Kanabisit 2017</w:t>
      </w:r>
      <w:r w:rsidRPr="004A0B3D">
        <w:rPr>
          <w:rFonts w:ascii="Garamond" w:hAnsi="Garamond"/>
          <w:sz w:val="24"/>
          <w:szCs w:val="24"/>
          <w:lang w:val="sq-AL"/>
        </w:rPr>
        <w:t>–</w:t>
      </w:r>
      <w:r w:rsidRPr="004A0B3D">
        <w:rPr>
          <w:rFonts w:ascii="Garamond" w:eastAsia="MS Mincho" w:hAnsi="Garamond"/>
          <w:sz w:val="24"/>
          <w:szCs w:val="24"/>
          <w:lang w:val="sq-AL"/>
        </w:rPr>
        <w:t>2020, sipas tekstit që i bashkëlidhet këtij vendimi dhe është pjesë përbërëse e tij.</w:t>
      </w:r>
    </w:p>
    <w:p w:rsidR="00B91A90" w:rsidRPr="004A0B3D" w:rsidRDefault="00B91A90" w:rsidP="00B91A90">
      <w:pPr>
        <w:pStyle w:val="ListParagraph"/>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2. Ngarkohen të gjitha ministritë dhe institucionet qendrore, për të cilat në Planin e Veprimit janë përcaktuar detyra të veçanta, për zbatimin e këtij vendimi.</w:t>
      </w:r>
    </w:p>
    <w:p w:rsidR="00B91A90" w:rsidRPr="004A0B3D" w:rsidRDefault="00B91A90" w:rsidP="00B91A90">
      <w:pPr>
        <w:tabs>
          <w:tab w:val="left" w:pos="540"/>
          <w:tab w:val="left" w:pos="720"/>
        </w:tabs>
        <w:spacing w:after="0" w:line="240" w:lineRule="auto"/>
        <w:ind w:firstLine="288"/>
        <w:rPr>
          <w:rFonts w:ascii="Garamond" w:eastAsia="MS Mincho" w:hAnsi="Garamond"/>
          <w:sz w:val="24"/>
          <w:szCs w:val="24"/>
          <w:lang w:val="sq-AL"/>
        </w:rPr>
      </w:pPr>
      <w:r w:rsidRPr="004A0B3D">
        <w:rPr>
          <w:rFonts w:ascii="Garamond" w:eastAsia="MS Mincho" w:hAnsi="Garamond"/>
          <w:sz w:val="24"/>
          <w:szCs w:val="24"/>
          <w:lang w:val="sq-AL"/>
        </w:rPr>
        <w:t>Ky vendim hyn në fuqi pas botimit në Fletoren Zyrtare.</w:t>
      </w:r>
    </w:p>
    <w:p w:rsidR="00B91A90" w:rsidRPr="004A0B3D" w:rsidRDefault="00B91A90" w:rsidP="00B91A90">
      <w:pPr>
        <w:tabs>
          <w:tab w:val="left" w:pos="540"/>
          <w:tab w:val="left" w:pos="720"/>
        </w:tabs>
        <w:autoSpaceDE w:val="0"/>
        <w:autoSpaceDN w:val="0"/>
        <w:adjustRightInd w:val="0"/>
        <w:spacing w:after="0" w:line="240" w:lineRule="auto"/>
        <w:ind w:firstLine="288"/>
        <w:jc w:val="center"/>
        <w:rPr>
          <w:rFonts w:ascii="Garamond" w:eastAsia="Times New Roman" w:hAnsi="Garamond"/>
          <w:b/>
          <w:sz w:val="14"/>
          <w:szCs w:val="14"/>
          <w:lang w:val="sq-AL"/>
        </w:rPr>
      </w:pPr>
    </w:p>
    <w:p w:rsidR="00B91A90" w:rsidRPr="004A0B3D" w:rsidRDefault="00B91A90" w:rsidP="00B91A90">
      <w:pPr>
        <w:tabs>
          <w:tab w:val="left" w:pos="540"/>
          <w:tab w:val="left" w:pos="720"/>
        </w:tabs>
        <w:spacing w:after="0" w:line="240" w:lineRule="auto"/>
        <w:ind w:firstLine="288"/>
        <w:jc w:val="right"/>
        <w:rPr>
          <w:rFonts w:ascii="Garamond" w:hAnsi="Garamond"/>
          <w:sz w:val="24"/>
          <w:szCs w:val="24"/>
          <w:lang w:val="sq-AL"/>
        </w:rPr>
      </w:pPr>
      <w:r w:rsidRPr="004A0B3D">
        <w:rPr>
          <w:rFonts w:ascii="Garamond" w:hAnsi="Garamond"/>
          <w:sz w:val="24"/>
          <w:szCs w:val="24"/>
          <w:lang w:val="sq-AL"/>
        </w:rPr>
        <w:t>ZËVENDËSKRYEMINISTRI</w:t>
      </w:r>
    </w:p>
    <w:p w:rsidR="00B91A90" w:rsidRPr="004A0B3D" w:rsidRDefault="00B91A90" w:rsidP="00B91A90">
      <w:pPr>
        <w:tabs>
          <w:tab w:val="left" w:pos="540"/>
          <w:tab w:val="left" w:pos="720"/>
        </w:tabs>
        <w:spacing w:after="0" w:line="240" w:lineRule="auto"/>
        <w:ind w:firstLine="288"/>
        <w:jc w:val="right"/>
        <w:rPr>
          <w:rFonts w:ascii="Garamond" w:hAnsi="Garamond"/>
          <w:b/>
          <w:sz w:val="24"/>
          <w:szCs w:val="24"/>
          <w:lang w:val="sq-AL"/>
        </w:rPr>
        <w:sectPr w:rsidR="00B91A90" w:rsidRPr="004A0B3D" w:rsidSect="00B91A90">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cols w:space="720"/>
          <w:docGrid w:linePitch="360"/>
        </w:sectPr>
      </w:pPr>
      <w:r w:rsidRPr="004A0B3D">
        <w:rPr>
          <w:rFonts w:ascii="Garamond" w:hAnsi="Garamond"/>
          <w:b/>
          <w:sz w:val="24"/>
          <w:szCs w:val="24"/>
          <w:lang w:val="sq-AL"/>
        </w:rPr>
        <w:t>Niko Peleshi</w:t>
      </w:r>
    </w:p>
    <w:bookmarkEnd w:id="0"/>
    <w:p w:rsidR="00B91A90" w:rsidRDefault="00B91A90" w:rsidP="00B91A90">
      <w:pPr>
        <w:tabs>
          <w:tab w:val="left" w:pos="540"/>
          <w:tab w:val="left" w:pos="720"/>
        </w:tabs>
        <w:spacing w:after="0" w:line="240" w:lineRule="auto"/>
        <w:rPr>
          <w:rFonts w:ascii="Garamond" w:hAnsi="Garamond"/>
          <w:b/>
          <w:sz w:val="24"/>
          <w:szCs w:val="24"/>
          <w:lang w:val="sq-AL"/>
        </w:rPr>
        <w:sectPr w:rsidR="00B91A9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pPr>
    </w:p>
    <w:p w:rsidR="00B91A90" w:rsidRPr="004A0B3D" w:rsidRDefault="00B91A90" w:rsidP="00B91A90">
      <w:pPr>
        <w:tabs>
          <w:tab w:val="left" w:pos="540"/>
          <w:tab w:val="left" w:pos="720"/>
        </w:tabs>
        <w:spacing w:after="0" w:line="240" w:lineRule="auto"/>
        <w:rPr>
          <w:rFonts w:ascii="Garamond" w:hAnsi="Garamond"/>
          <w:b/>
          <w:sz w:val="24"/>
          <w:szCs w:val="24"/>
          <w:lang w:val="sq-AL"/>
        </w:rPr>
      </w:pPr>
      <w:r w:rsidRPr="004A0B3D">
        <w:rPr>
          <w:rFonts w:ascii="Garamond" w:hAnsi="Garamond"/>
          <w:b/>
          <w:sz w:val="24"/>
          <w:szCs w:val="24"/>
          <w:lang w:val="sq-AL"/>
        </w:rPr>
        <w:lastRenderedPageBreak/>
        <w:t xml:space="preserve">PLANI I VEPRIMIT KUNDËR KULTIVIMIT DHE TRAFIKIMIT TË KANABISIT </w:t>
      </w:r>
    </w:p>
    <w:p w:rsidR="00B91A90" w:rsidRPr="004A0B3D" w:rsidRDefault="00B91A90" w:rsidP="00B91A90">
      <w:pPr>
        <w:tabs>
          <w:tab w:val="left" w:pos="540"/>
          <w:tab w:val="left" w:pos="720"/>
        </w:tabs>
        <w:spacing w:after="0" w:line="240" w:lineRule="auto"/>
        <w:ind w:firstLine="288"/>
        <w:jc w:val="center"/>
        <w:rPr>
          <w:rFonts w:ascii="Garamond" w:hAnsi="Garamond"/>
          <w:sz w:val="24"/>
          <w:szCs w:val="24"/>
          <w:lang w:val="sq-AL"/>
        </w:rPr>
      </w:pPr>
      <w:r w:rsidRPr="004A0B3D">
        <w:rPr>
          <w:rFonts w:ascii="Garamond" w:hAnsi="Garamond"/>
          <w:sz w:val="24"/>
          <w:szCs w:val="24"/>
          <w:lang w:val="sq-AL"/>
        </w:rPr>
        <w:t>2017–2020</w:t>
      </w:r>
    </w:p>
    <w:p w:rsidR="00B91A90" w:rsidRPr="004A0B3D" w:rsidRDefault="00B91A90" w:rsidP="00B91A90">
      <w:pPr>
        <w:tabs>
          <w:tab w:val="left" w:pos="540"/>
          <w:tab w:val="left" w:pos="720"/>
        </w:tabs>
        <w:spacing w:after="0" w:line="240" w:lineRule="auto"/>
        <w:ind w:firstLine="288"/>
        <w:jc w:val="center"/>
        <w:rPr>
          <w:rFonts w:ascii="Garamond" w:hAnsi="Garamond"/>
          <w:sz w:val="24"/>
          <w:szCs w:val="24"/>
          <w:lang w:val="sq-AL"/>
        </w:rPr>
      </w:pPr>
      <w:r w:rsidRPr="004A0B3D">
        <w:rPr>
          <w:rFonts w:ascii="Garamond" w:hAnsi="Garamond"/>
          <w:sz w:val="24"/>
          <w:szCs w:val="24"/>
          <w:lang w:val="sq-AL"/>
        </w:rPr>
        <w:t>SHKURT 2017</w:t>
      </w:r>
    </w:p>
    <w:p w:rsidR="00B91A90" w:rsidRPr="004A0B3D" w:rsidRDefault="00B91A90" w:rsidP="00B91A90">
      <w:pPr>
        <w:tabs>
          <w:tab w:val="left" w:pos="540"/>
          <w:tab w:val="left" w:pos="720"/>
        </w:tabs>
        <w:spacing w:after="0" w:line="240" w:lineRule="auto"/>
        <w:ind w:firstLine="288"/>
        <w:jc w:val="center"/>
        <w:rPr>
          <w:rFonts w:ascii="Garamond" w:hAnsi="Garamond"/>
          <w:b/>
          <w:sz w:val="12"/>
          <w:szCs w:val="24"/>
          <w:lang w:val="sq-AL"/>
        </w:rPr>
      </w:pP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818"/>
      </w:tblGrid>
      <w:tr w:rsidR="00B91A90" w:rsidRPr="004A0B3D" w:rsidTr="00D849E6">
        <w:tc>
          <w:tcPr>
            <w:tcW w:w="9378" w:type="dxa"/>
            <w:gridSpan w:val="2"/>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b/>
                <w:sz w:val="23"/>
                <w:szCs w:val="23"/>
                <w:lang w:val="sq-AL"/>
              </w:rPr>
              <w:t>AKRONIMET DHE SHKURTIMET</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ALUIZNI</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Agjencia e Legalizimit, Urbanizimit, Integrimit të Zonave/Ndërtimeve Informale</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BE</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Bashkimi Evropian</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DAR</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Drejtoria Rajonale Arsimore</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DPD</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Drejtoria e Përgjithshme e Doganave</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EMCDDA</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European Monitoring Centre for Drugs and Drug Addiction</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ERICP</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European Reporting Instrument for sites related to Cannabis Production</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EUROPOL</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The European Police Office</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FA</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Forcat e Armatosura të Republikës së Shqipërisë</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ISHP</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Instituti i Shëndetit Publik</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IZHA</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Instituti i Zhvillimit Arsimor</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KN</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Komiteti Ndërministror</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MAS</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Ministria e Arsimit dhe Sportit</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MBZHRAU</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Ministria e Bujqësisë, Zhvillimit Rural dhe Administrimit të Ujërave</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MD</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Ministria e Drejtësisë</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MF</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Ministria e Financave</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MM</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Ministria e Mbrojtjes</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MMJ</w:t>
            </w:r>
            <w:r w:rsidRPr="004A0B3D">
              <w:rPr>
                <w:rFonts w:ascii="Garamond" w:hAnsi="Garamond"/>
                <w:sz w:val="23"/>
                <w:szCs w:val="23"/>
                <w:lang w:val="sq-AL"/>
              </w:rPr>
              <w:tab/>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Ministria e Mjedisit</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MMSR</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Ministria e Mirëqenies Sociale dhe Rinisë</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MPB</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Ministria e Punëve të Brendshme</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MSH</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Ministria e Shëndetësisë</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MSHÇV</w:t>
            </w:r>
            <w:r w:rsidRPr="004A0B3D">
              <w:rPr>
                <w:rFonts w:ascii="Garamond" w:hAnsi="Garamond"/>
                <w:sz w:val="23"/>
                <w:szCs w:val="23"/>
                <w:lang w:val="sq-AL"/>
              </w:rPr>
              <w:tab/>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Ministër Shteti për Çështjet Vendore</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OJF</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Organizata jofitimprurëse</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PKKK</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Plani Kombëtar Kundër Kanabisit</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PSH</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Policia e Shtetit</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SIVHD</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Sistemi i Integruar i Vëzhgimit të Hapësirës Detare</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SHISH</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Shërbimi Informativ i Shtetit</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TFQ</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Task-Forca Qendrore</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TFV</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Task-Forca Vendore</w:t>
            </w:r>
          </w:p>
        </w:tc>
      </w:tr>
      <w:tr w:rsidR="00B91A90" w:rsidRPr="004A0B3D" w:rsidTr="00D849E6">
        <w:tc>
          <w:tcPr>
            <w:tcW w:w="1560"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UNODC</w:t>
            </w:r>
          </w:p>
        </w:tc>
        <w:tc>
          <w:tcPr>
            <w:tcW w:w="7818" w:type="dxa"/>
          </w:tcPr>
          <w:p w:rsidR="00B91A90" w:rsidRPr="004A0B3D" w:rsidRDefault="00B91A90" w:rsidP="00D849E6">
            <w:pPr>
              <w:tabs>
                <w:tab w:val="left" w:pos="540"/>
                <w:tab w:val="left" w:pos="720"/>
                <w:tab w:val="left" w:pos="1824"/>
              </w:tabs>
              <w:rPr>
                <w:rFonts w:ascii="Garamond" w:hAnsi="Garamond"/>
                <w:sz w:val="23"/>
                <w:szCs w:val="23"/>
                <w:lang w:val="sq-AL"/>
              </w:rPr>
            </w:pPr>
            <w:r w:rsidRPr="004A0B3D">
              <w:rPr>
                <w:rFonts w:ascii="Garamond" w:hAnsi="Garamond"/>
                <w:sz w:val="23"/>
                <w:szCs w:val="23"/>
                <w:lang w:val="sq-AL"/>
              </w:rPr>
              <w:t>United Nations Office on Drugs and Crime</w:t>
            </w:r>
          </w:p>
        </w:tc>
      </w:tr>
    </w:tbl>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ab/>
        <w:t xml:space="preserve"> </w:t>
      </w:r>
    </w:p>
    <w:p w:rsidR="00B91A90" w:rsidRPr="004A0B3D" w:rsidRDefault="00B91A90" w:rsidP="00B91A90">
      <w:pPr>
        <w:tabs>
          <w:tab w:val="left" w:pos="540"/>
          <w:tab w:val="left" w:pos="720"/>
        </w:tabs>
        <w:spacing w:after="0" w:line="240" w:lineRule="auto"/>
        <w:ind w:firstLine="288"/>
        <w:rPr>
          <w:rFonts w:ascii="Garamond" w:hAnsi="Garamond"/>
          <w:b/>
          <w:color w:val="2E74B5"/>
          <w:sz w:val="24"/>
          <w:szCs w:val="24"/>
          <w:lang w:val="sq-AL"/>
        </w:rPr>
      </w:pPr>
      <w:bookmarkStart w:id="1" w:name="_Toc475635969"/>
    </w:p>
    <w:p w:rsidR="00B91A90" w:rsidRPr="004A0B3D" w:rsidRDefault="00B91A90" w:rsidP="00B91A90">
      <w:pPr>
        <w:tabs>
          <w:tab w:val="left" w:pos="540"/>
          <w:tab w:val="left" w:pos="720"/>
        </w:tabs>
        <w:spacing w:after="0" w:line="240" w:lineRule="auto"/>
        <w:ind w:firstLine="288"/>
        <w:rPr>
          <w:rFonts w:ascii="Garamond" w:hAnsi="Garamond"/>
          <w:b/>
          <w:color w:val="2E74B5"/>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color w:val="2E74B5"/>
          <w:sz w:val="24"/>
          <w:szCs w:val="24"/>
          <w:lang w:val="sq-AL"/>
        </w:rPr>
      </w:pPr>
      <w:r w:rsidRPr="004A0B3D">
        <w:rPr>
          <w:rFonts w:ascii="Garamond" w:hAnsi="Garamond"/>
          <w:b/>
          <w:color w:val="2E74B5"/>
          <w:sz w:val="24"/>
          <w:szCs w:val="24"/>
          <w:lang w:val="sq-AL"/>
        </w:rPr>
        <w:t>Përmbledhje ekzekutive</w:t>
      </w:r>
      <w:bookmarkEnd w:id="1"/>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Hartimi i një plani të ri kombëtar kundër kultivimit dhe trafikimit të kanabisit është diktuar nga nevoja për parandalimin, goditjen dhe shkatërrimin e kësaj dukurie, e cila me gjithë punën e bërë, ende vijon të jetë e pranishme.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Progres Raporti i Komisionit Evropian i vitit 2016, thekson se Shqipëria e ka intensifikuar luftën kundër kultivimit të drogës (kryesisht kundër kanabis sativa), por ajo ende mbetet një sfidë serioze.</w:t>
      </w:r>
      <w:r w:rsidRPr="004A0B3D">
        <w:rPr>
          <w:rStyle w:val="FootnoteReference"/>
          <w:szCs w:val="24"/>
          <w:lang w:val="sq-AL"/>
        </w:rPr>
        <w:footnoteReference w:id="1"/>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lastRenderedPageBreak/>
        <w:t>Nëpërmjet këtij plani, qeveria shqiptare, parashikon marrjen e të gjitha masave të nevojshme për goditjen dhe shkatërrimin e kultivimit dhe trafikimit të kanabisit në vend, duke angazhuar të gjitha burimet e nevojshme njerëzore materiale dhe financiare.</w:t>
      </w:r>
    </w:p>
    <w:p w:rsidR="00B91A90" w:rsidRPr="004A0B3D" w:rsidRDefault="00B91A90" w:rsidP="00B91A90">
      <w:pPr>
        <w:tabs>
          <w:tab w:val="left" w:pos="540"/>
          <w:tab w:val="left" w:pos="720"/>
        </w:tabs>
        <w:spacing w:after="0" w:line="240" w:lineRule="auto"/>
        <w:ind w:firstLine="288"/>
        <w:rPr>
          <w:rFonts w:ascii="Garamond" w:eastAsia="MS Mincho" w:hAnsi="Garamond"/>
          <w:sz w:val="24"/>
          <w:szCs w:val="24"/>
          <w:lang w:val="sq-AL"/>
        </w:rPr>
      </w:pPr>
      <w:r w:rsidRPr="004A0B3D">
        <w:rPr>
          <w:rFonts w:ascii="Garamond" w:eastAsia="MS Mincho" w:hAnsi="Garamond"/>
          <w:sz w:val="24"/>
          <w:szCs w:val="24"/>
          <w:lang w:val="sq-AL"/>
        </w:rPr>
        <w:t>Kultivimi dhe trafikimi i kanabisit është evidentuar si fenomen në Shqipëri që në vitin 1991. Vitet në vijim, kanë shënjuar një duel të pandërprerë mes institucioneve ligjzbatuese dhe rrjeteve e grupeve të trafikimit. Kultivimi i kanabisit ka marrë trajta shqetësuese sidomos nga  viti 1997 dhe më tej. Tolerimi i rrezikshëm i kultivimit të hapur të kanabisit në komunën e Lazaratit të qarkut Gjirokastër krijoi kushte të favorshme për grupet kriminale, të cilat, për më shumë se një dekadë, arritën të konsolidojnë financat, rrjetet, tregjet dhe lidhjet politike. Modeli negativ i krijuar në Lazarat ndikoi shumë, jo vetëm në fuqizimin e shumanshëm të grupeve dhe rrjeteve kriminale, por edhe në inkurajimin e kultivimit të kanabisit në rajone të tjera të vendit, si dhe në përkeqësimin e imazhit ndërkombëtar të Shqipërisë.</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Goditja e suksesshme kundër grupeve dhe rrjeteve kriminale në Lazarat në vitin 2014, nxori në dritë edhe përmasat e tjera që kishte marrë fenomeni pothuajse në të gjitha qarqet e vendit. Kjo goditje e fortë solli si pasojë që energjitë kriminale të përqendruara në këtë rajon të shpërndahen në drejtime të tjera në të gjithë vendin.</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Analiza e zbatimit të Strategjisë Kombëtare Kundër Drogës 2012-2016 ka treguar se ajo ishte një qasje e pjesshme, rezultatet e së cilës mbeten jo në nivelin e pritshmërive dhe të mundësive.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vend të hartimit të një strategjie të re, Qeveria shqiptare ka vendosur të miratojë dhe të zbatojë Planin Kombëtar Kundër Kultivimit dhe Trafikimit të Kanabisit, ose shkurt Planin Kombëtar Kundër Kanabisit (PKKK).</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PKKK-ja mban në konsideratë faktorët bazë që nxisin kultivimin dhe trafikimin e kanabisit në vend ndër të cilat mund të përmendim: kushtet ende të vështira social-ekonomike, kërkesën ndërkombëtare përherë në rritje, zbatimin e standardeve të ndryshme ligjore në vendet e destinacionit për konsumin e drogës, bashkëpunimin e ngushtë të rrjeteve kriminale në vend me rrjetet kriminale të Bashkimit Evropian, si dhe fuqinë financiare të këtyre grupeve.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Theksi kryesor i PKKK-së është përpjekja e përbashkët ndërinstitucionale për goditjen e gjithanshme/ frontale që ka për qëllim identifikimin, zbulimin dhe shkatërrimin e grupeve dhe rrjeteve kriminale që janë aktive në fushën e kultivimit dhe të trafikimit të kanabisit.</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Një tjetër risi e rëndësishme e PKKK-së është mënyra se si matet suksesi i institucioneve dhe strukturave të ngarkuara me parandalimin dhe goditjen e fenomenit të kultivimit dhe përdorimit kanabisit në vend. Indikatorët kryesorë matin kryesisht suksesin në identifikimin, zbulimin, ndalimin dhe vënien përpara drejtësisë të financuesve dhe drejtuesve të grupeve dhe rrjeteve kriminale.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eastAsia="Times New Roman" w:hAnsi="Garamond"/>
          <w:sz w:val="24"/>
          <w:szCs w:val="24"/>
          <w:lang w:val="sq-AL"/>
        </w:rPr>
        <w:t>Në ndryshim nga qasjet e mëparshme strategjike dhe nga praktika e ndjekur nga organet e ligjzbatimit, PKKK-ja e orienton përpjekjen e institucioneve në fazat e hershme të ciklit të kultivimit të kanabisit, duke synuar që suksesi të arrihet duke parandaluar futjen e farërave në vend dhe duke goditur bimët në fazën kur ato janë fidanë, në mjedise të mbyllura, në sipërfaqe relativisht të vogla dhe kryesisht pranë zonave të banuara.</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Identifikimi dhe sekuestrimi i aseteve të krijuara nga veprimtaritë kriminale është një tjetër kriter i rëndësishëm për të matur shkallën e suksesit në përballjen me fenomenin e kanabisit.</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PKKK-ja nuk konsideron sukses shkatërrimin e parcelave në fazën e vonë të ciklit të kultivimit, kur bimët janë të pjekura për korrje, por njeh si sukses parandalimin e mbjelljes së tyre si kriter optimal ose shkatërrimin kur ato janë ende fidanë, si kriter i pranueshëm. Zbulimi dhe asgjësimi i bimëve narkotike në fazën e fundit të ciklit konsiderohet si një situatë ekstreme, e cila, i ngarkon me përgjegjësi të lartë të gjithë autoritetet përgjegjëse. </w:t>
      </w:r>
    </w:p>
    <w:p w:rsidR="00B91A90" w:rsidRPr="004A0B3D" w:rsidRDefault="00B91A90" w:rsidP="00B91A90">
      <w:pPr>
        <w:tabs>
          <w:tab w:val="left" w:pos="540"/>
          <w:tab w:val="left" w:pos="720"/>
        </w:tabs>
        <w:spacing w:after="0" w:line="240" w:lineRule="auto"/>
        <w:ind w:firstLine="288"/>
        <w:rPr>
          <w:rFonts w:ascii="Garamond" w:eastAsia="Times New Roman" w:hAnsi="Garamond"/>
          <w:sz w:val="24"/>
          <w:szCs w:val="24"/>
          <w:lang w:val="sq-AL"/>
        </w:rPr>
      </w:pPr>
      <w:r w:rsidRPr="004A0B3D">
        <w:rPr>
          <w:rFonts w:ascii="Garamond" w:hAnsi="Garamond"/>
          <w:sz w:val="24"/>
          <w:szCs w:val="24"/>
          <w:lang w:val="sq-AL"/>
        </w:rPr>
        <w:t xml:space="preserve">Përveç theksit të fortë goditës kundër grupeve, rrjeteve dhe financave kriminale që nxisin dhe organizojnë kultivimin dhe trafikimin e kanabisit, </w:t>
      </w:r>
      <w:r w:rsidRPr="004A0B3D">
        <w:rPr>
          <w:rFonts w:ascii="Garamond" w:eastAsia="Times New Roman" w:hAnsi="Garamond"/>
          <w:sz w:val="24"/>
          <w:szCs w:val="24"/>
          <w:lang w:val="sq-AL"/>
        </w:rPr>
        <w:t xml:space="preserve">PKKK-ja i kushton një rëndësi të veçantë masave që kontribuojnë në shkurajimin e qytetarëve për t’u përfshirë në veprimtari të paligjshme në këtë </w:t>
      </w:r>
      <w:r w:rsidRPr="004A0B3D">
        <w:rPr>
          <w:rFonts w:ascii="Garamond" w:eastAsia="Times New Roman" w:hAnsi="Garamond"/>
          <w:sz w:val="24"/>
          <w:szCs w:val="24"/>
          <w:lang w:val="sq-AL"/>
        </w:rPr>
        <w:lastRenderedPageBreak/>
        <w:t>fushë. Një paketë shumë e gjerë masash që synojnë ndërgjegjësimin publik, nxitjen dhe mbështetjen e veprimtarisë ekonomike të ligjshme në zonat dhe komunitetet e prekura, lehtësimin e barrës fiskale dhe mbështetjen sociale për individët dhe komunitetet nën risk është përcaktuar në PKKK.</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Intensifikimi i komunikimit publik në interes të ndërgjegjësimit të qytetarëve, reduktimit të përdorimit të kanabisit dhe të bashkëpunimit të gjerë qytetar në përpjekjen e përbashkët kundër kanabisit është një prioritet i rëndësishëm i këtij plani.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Koordinimi dhe bashkëveprimi ndërinstitucional dhe ndërkombëtar konsiderohet si një ndër risitë më të rëndësishme të PKKK-së. Për këtë qëllim, parashikohet ngritja dhe funksionimi i strukturave të përbashkëta (Task-Forcë) si në nivelin qendror ashtu edhe atë lokal.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Një komitet ndërministror i kryesuar nga </w:t>
      </w:r>
      <w:r>
        <w:rPr>
          <w:rFonts w:ascii="Garamond" w:hAnsi="Garamond"/>
          <w:sz w:val="24"/>
          <w:szCs w:val="24"/>
          <w:lang w:val="sq-AL"/>
        </w:rPr>
        <w:t>z</w:t>
      </w:r>
      <w:r w:rsidRPr="004A0B3D">
        <w:rPr>
          <w:rFonts w:ascii="Garamond" w:hAnsi="Garamond"/>
          <w:sz w:val="24"/>
          <w:szCs w:val="24"/>
          <w:lang w:val="sq-AL"/>
        </w:rPr>
        <w:t>ëvendës</w:t>
      </w:r>
      <w:r>
        <w:rPr>
          <w:rFonts w:ascii="Garamond" w:hAnsi="Garamond"/>
          <w:sz w:val="24"/>
          <w:szCs w:val="24"/>
          <w:lang w:val="sq-AL"/>
        </w:rPr>
        <w:t>k</w:t>
      </w:r>
      <w:r w:rsidRPr="004A0B3D">
        <w:rPr>
          <w:rFonts w:ascii="Garamond" w:hAnsi="Garamond"/>
          <w:sz w:val="24"/>
          <w:szCs w:val="24"/>
          <w:lang w:val="sq-AL"/>
        </w:rPr>
        <w:t xml:space="preserve">ryeministri, një Task-Forcë qendrore dhe Task-Forca vendore pranë çdo prefekture përbëjnë strukturën drejtuese që do të drejtojë, koordinojë dhe kontrollojë punën e institucioneve për zbatimin e PKKK-së.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PKKK-ja vlerëson se përballimi i suksesshëm i kultivimit të kanabisit nuk mund të bëhet vetëm me forcat e policisë dhe të organeve të tjera ligjzbatuese. Përveç angazhimit të ri e më të fortë të tyre, parashikohet një bashkëveprim i ngushtë i shumë aktorëve të tjerë shtetërorë, ku rol të veçantë do të marrin ato të bujqësisë, të mjedisit, të çështjeve sociale, të shëndetësisë, të arsimit dhe sidomos, ato të autoriteteve të pushtetit vendor.</w:t>
      </w:r>
    </w:p>
    <w:p w:rsidR="00B91A90" w:rsidRPr="004A0B3D" w:rsidRDefault="00B91A90" w:rsidP="00B91A90">
      <w:pPr>
        <w:tabs>
          <w:tab w:val="left" w:pos="540"/>
          <w:tab w:val="left" w:pos="720"/>
        </w:tabs>
        <w:spacing w:after="0" w:line="240" w:lineRule="auto"/>
        <w:ind w:firstLine="288"/>
        <w:rPr>
          <w:rFonts w:ascii="Garamond" w:eastAsia="Times New Roman" w:hAnsi="Garamond"/>
          <w:sz w:val="24"/>
          <w:szCs w:val="24"/>
          <w:lang w:val="sq-AL"/>
        </w:rPr>
      </w:pPr>
      <w:r w:rsidRPr="004A0B3D">
        <w:rPr>
          <w:rFonts w:ascii="Garamond" w:eastAsia="Times New Roman" w:hAnsi="Garamond"/>
          <w:sz w:val="24"/>
          <w:szCs w:val="24"/>
          <w:lang w:val="sq-AL"/>
        </w:rPr>
        <w:t>Bashkëpunimi ndërkombëtar konsiderohet si një prioritet tjetër i rëndësishëm për suksesin e përpjekjes kundër kanabisit. Reduktimi i kërkesës ndërkombëtare, shkëmbimi i informacionit dhe i përvojës, organizimi i operacioneve të përbashkëta dhe mbështetja logjistike dhe financiare nga partnerët janë drejtime të rëndësishme për t’u ndjekur.</w:t>
      </w:r>
    </w:p>
    <w:p w:rsidR="00B91A90" w:rsidRPr="004A0B3D" w:rsidRDefault="00B91A90" w:rsidP="00B91A90">
      <w:pPr>
        <w:tabs>
          <w:tab w:val="left" w:pos="540"/>
          <w:tab w:val="left" w:pos="720"/>
        </w:tabs>
        <w:spacing w:after="0" w:line="240" w:lineRule="auto"/>
        <w:ind w:firstLine="288"/>
        <w:rPr>
          <w:rFonts w:ascii="Garamond" w:eastAsia="Times New Roman" w:hAnsi="Garamond"/>
          <w:b/>
          <w:color w:val="2E74B5"/>
          <w:sz w:val="24"/>
          <w:szCs w:val="24"/>
          <w:lang w:val="sq-AL"/>
        </w:rPr>
      </w:pPr>
    </w:p>
    <w:p w:rsidR="00B91A90" w:rsidRPr="004A0B3D" w:rsidRDefault="00B91A90" w:rsidP="00B91A90">
      <w:pPr>
        <w:pStyle w:val="Heading1"/>
        <w:tabs>
          <w:tab w:val="left" w:pos="540"/>
          <w:tab w:val="left" w:pos="720"/>
        </w:tabs>
        <w:spacing w:before="0"/>
        <w:ind w:firstLine="288"/>
        <w:jc w:val="center"/>
        <w:rPr>
          <w:rFonts w:ascii="Garamond" w:hAnsi="Garamond"/>
          <w:b w:val="0"/>
          <w:sz w:val="24"/>
          <w:szCs w:val="24"/>
          <w:lang w:val="sq-AL"/>
        </w:rPr>
      </w:pPr>
      <w:bookmarkStart w:id="2" w:name="_Toc475635970"/>
      <w:r w:rsidRPr="004A0B3D">
        <w:rPr>
          <w:rFonts w:ascii="Garamond" w:hAnsi="Garamond"/>
          <w:b w:val="0"/>
          <w:sz w:val="24"/>
          <w:szCs w:val="24"/>
          <w:lang w:val="sq-AL"/>
        </w:rPr>
        <w:t>KAPITULLI I</w:t>
      </w:r>
    </w:p>
    <w:p w:rsidR="00B91A90" w:rsidRPr="004A0B3D" w:rsidRDefault="00B91A90" w:rsidP="00B91A90">
      <w:pPr>
        <w:pStyle w:val="Heading1"/>
        <w:tabs>
          <w:tab w:val="left" w:pos="540"/>
          <w:tab w:val="left" w:pos="720"/>
        </w:tabs>
        <w:spacing w:before="0"/>
        <w:ind w:firstLine="288"/>
        <w:jc w:val="center"/>
        <w:rPr>
          <w:rFonts w:ascii="Garamond" w:hAnsi="Garamond"/>
          <w:b w:val="0"/>
          <w:sz w:val="24"/>
          <w:szCs w:val="24"/>
          <w:lang w:val="sq-AL"/>
        </w:rPr>
      </w:pPr>
      <w:r w:rsidRPr="004A0B3D">
        <w:rPr>
          <w:rFonts w:ascii="Garamond" w:hAnsi="Garamond"/>
          <w:b w:val="0"/>
          <w:sz w:val="24"/>
          <w:szCs w:val="24"/>
          <w:lang w:val="sq-AL"/>
        </w:rPr>
        <w:t>VËSHTRIM I PËRGJITHSHËM PËR GJENDJEN</w:t>
      </w:r>
      <w:bookmarkEnd w:id="2"/>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1"/>
        <w:keepLines/>
        <w:numPr>
          <w:ilvl w:val="0"/>
          <w:numId w:val="45"/>
        </w:numPr>
        <w:tabs>
          <w:tab w:val="left" w:pos="540"/>
          <w:tab w:val="left" w:pos="720"/>
        </w:tabs>
        <w:spacing w:before="0" w:after="0"/>
        <w:ind w:left="0" w:firstLine="288"/>
        <w:rPr>
          <w:rFonts w:ascii="Garamond" w:hAnsi="Garamond"/>
          <w:b w:val="0"/>
          <w:sz w:val="24"/>
          <w:szCs w:val="24"/>
          <w:lang w:val="sq-AL"/>
        </w:rPr>
      </w:pPr>
      <w:bookmarkStart w:id="3" w:name="_Toc475635971"/>
      <w:r w:rsidRPr="004A0B3D">
        <w:rPr>
          <w:rFonts w:ascii="Garamond" w:hAnsi="Garamond"/>
          <w:b w:val="0"/>
          <w:sz w:val="24"/>
          <w:szCs w:val="24"/>
          <w:lang w:val="sq-AL"/>
        </w:rPr>
        <w:t>Hyrje</w:t>
      </w:r>
      <w:bookmarkEnd w:id="3"/>
    </w:p>
    <w:p w:rsidR="00B91A90" w:rsidRPr="004A0B3D" w:rsidRDefault="00B91A90" w:rsidP="00B91A90">
      <w:pPr>
        <w:pStyle w:val="Heading1"/>
        <w:keepLines/>
        <w:numPr>
          <w:ilvl w:val="1"/>
          <w:numId w:val="45"/>
        </w:numPr>
        <w:tabs>
          <w:tab w:val="left" w:pos="540"/>
          <w:tab w:val="left" w:pos="720"/>
        </w:tabs>
        <w:spacing w:before="0" w:after="0"/>
        <w:ind w:left="0" w:firstLine="288"/>
        <w:rPr>
          <w:rFonts w:ascii="Garamond" w:hAnsi="Garamond"/>
          <w:b w:val="0"/>
          <w:sz w:val="24"/>
          <w:szCs w:val="24"/>
          <w:lang w:val="sq-AL"/>
        </w:rPr>
      </w:pPr>
      <w:bookmarkStart w:id="4" w:name="_Toc475635972"/>
      <w:r w:rsidRPr="004A0B3D">
        <w:rPr>
          <w:rFonts w:ascii="Garamond" w:hAnsi="Garamond"/>
          <w:b w:val="0"/>
          <w:sz w:val="24"/>
          <w:szCs w:val="24"/>
          <w:lang w:val="sq-AL"/>
        </w:rPr>
        <w:t>Kuadri ligjor dhe strategjik në fuqi</w:t>
      </w:r>
      <w:bookmarkEnd w:id="4"/>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Shqipëria ka një kuadër të gjerë ligjor dhe nënligjor, si dhe një bazë të konsiderueshme dokumentesh strategjike që adresojnë çështjet e narkotikëve.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Aktualisht, legjislacioni penal në fuqi është thuajse i plotë. Vendi ka aderuar në Konventat e Kombeve të Bashkuara: “Kundër trafikut të paligjshëm të drogave narkotike dhe të lëndëve psikotrope” të vitit 1998,, “Për substancat psikotrope” të vitit 1971, dhe në “Konventën e vetme kundër drogave narkotike” të vitit 1961.</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Kodi Penal ka pësuar ndryshime të herëpashershme dhe janë miratuar konventa dhe ligje  specifike, akte nënligjore, si dhe janë hartuar dokumente strategjike e programe, duke krijuar bazën e nevojshme rregullatore në luftën kundër kultivimit dhe trafikimit të lëndëve narkotike.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Synimi i këtij plani është të krijojë kushtet për zbatimin efektiv të dokumenteve që adresojnë kultivimin dhe trafikimin e lëndëve narkotike, duke u fokusuar në krijimin e instrumenteve efikase dhe marrjen e masave të nevojshme.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Lista e dokumenteve kryesore, të cilave u referohet ky plan gjendet në </w:t>
      </w:r>
      <w:r>
        <w:rPr>
          <w:rFonts w:ascii="Garamond" w:hAnsi="Garamond"/>
          <w:sz w:val="24"/>
          <w:szCs w:val="24"/>
          <w:lang w:val="sq-AL"/>
        </w:rPr>
        <w:t>s</w:t>
      </w:r>
      <w:r w:rsidRPr="004A0B3D">
        <w:rPr>
          <w:rFonts w:ascii="Garamond" w:hAnsi="Garamond"/>
          <w:sz w:val="24"/>
          <w:szCs w:val="24"/>
          <w:lang w:val="sq-AL"/>
        </w:rPr>
        <w:t>htojcën 1.</w:t>
      </w:r>
    </w:p>
    <w:p w:rsidR="00B91A90" w:rsidRPr="004A0B3D" w:rsidRDefault="00B91A90" w:rsidP="00B91A90">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bookmarkStart w:id="5" w:name="_Toc475635973"/>
      <w:r w:rsidRPr="004A0B3D">
        <w:rPr>
          <w:rFonts w:ascii="Garamond" w:hAnsi="Garamond"/>
          <w:b w:val="0"/>
          <w:sz w:val="24"/>
          <w:szCs w:val="24"/>
          <w:lang w:val="sq-AL"/>
        </w:rPr>
        <w:t>Vështrim i përgjithshëm</w:t>
      </w:r>
      <w:bookmarkEnd w:id="5"/>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Pavarësisht përpjekjeve të vazhdueshme për goditjen e kultivimit të bimëve dhe trafikimit të lëndëve narkotike, Shqipëria ende përballet me praninë e këtij fenomeni të dëmshëm për rendin publik, shëndetin, mirëqenien sociale, ekonominë dhe zhvillimin e qëndrueshëm të vendit.</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Kushtet socio-ekonomike, pozicioni gjeografik, kushtet klimaterike, veprimtaria e rrjeteve kriminale dhe kërkesa e lartë, kryesisht në tregun e jashtëm, krijojnë premisa që kultivimi dhe trafikimi i lëndëve narkotike të konsiderohet si një veprimtari fitimprurëse.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lastRenderedPageBreak/>
        <w:t xml:space="preserve">Rritja e fuqisë goditëse të institucioneve ligjzbatuese dhe përmirësimi i kontrollit të hapësirës tokësore e detare ka bërë që grupet kriminale të zhvendosin kultivimin e bimëve narkotike në zona të thella, apo në mjedise të mbyllura dhe të diversifikojnë rrugët e trafikimit, duke përfshirë edhe ato më komplekset, siç është përdorimi i avionëve sportivë dhe i motorëve të ujit.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Bimët narkotike kultivohen kryesisht në pyje dhe kullota të largëta në pronësi publike në shumicën e qarqeve të vendit. Disa ndër faktorët që mundësojnë kultivimin janë pamjaftueshmëria e kontrollit efektiv të territorit dhe mungesa e informacionit të plotë, veçanërisht në fazat e para të ciklit të zhvillimit të bimëve narkotike (kur ato janë në sera, magazina, depo, tunele të pa administruara etj.).</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Mungesa e informacioneve për fazën e parë të kultivimit të bimëve narkotike, për personat që sigurojnë farën e kanabisit, për ata që  përgatisin e fidanët dhe për personat që blejnë pesticide për këto bimë në farmacitë bujqësore, pengon organet ligjzbatuese për kapjen në flagrancë të autorëve ndërkohë që kryejnë shërbimet, si: mbjellje, ujitje, plehërim dhe pastrim të bimës narkotike.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Dobësitë në bashkëpunimin ndërinstitucional kanë sjellë mungesën e analizave dhe vlerësimeve të përbashkëta të gjendjes në terren. Organizimi vertikal i strukturave të Policisë së Shtetit, pengon integrimin e informacioneve dhe kontributeve që vijnë nga sektorë të caktuar policorë, si: qarkullimi rrugor, kontrolli i kufirit, patrulla e përgjithshme duke sjellë kufizime në vlerësimin e situatës në nivel vendor (komisariati).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Mungesa e bashkëpunimit të strukturuar dhe të formalizuar ndërmjet strukturave vendore të Policisë, të prokurorisë dhe institucioneve të tjera shtetërore, si: shërbimi pyjor, strukturat e bujqësisë, strukturat arsimore, autoritetet tatimore dhe doganore, shërbimet inteligjente dhe strukturat e pushtetit vendor, vështirëson kontrollin efektiv të territorit, krijimin e një tabloje të plotë e të qartë të gjendjes, si dhe reagimin efektiv për parandalimin e kultivimit, goditjen dhe trafikimin e narkotikëve.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Gjithashtu, mungesa e menaxhimit efikas të burimeve njerëzore dhe të kapaciteteve teknike nga strukturat vendore të policisë për përdorimin e metodave speciale të hetimit për zbulimin dhe goditjen e fenomenit të kultivimit të bimëve narkotike ngadalëson reagimin e duhur institucional.</w:t>
      </w:r>
    </w:p>
    <w:p w:rsidR="00B91A90" w:rsidRPr="004A0B3D" w:rsidRDefault="00B91A90" w:rsidP="00B91A90">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bookmarkStart w:id="6" w:name="_Toc475635974"/>
      <w:r w:rsidRPr="004A0B3D">
        <w:rPr>
          <w:rFonts w:ascii="Garamond" w:hAnsi="Garamond"/>
          <w:b w:val="0"/>
          <w:sz w:val="24"/>
          <w:szCs w:val="24"/>
          <w:lang w:val="sq-AL"/>
        </w:rPr>
        <w:t>Gjendja aktuale</w:t>
      </w:r>
      <w:bookmarkEnd w:id="6"/>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Kultivimi i kanabisit në Shqipëri e ka zanafillën në vitin 1991. Fenomeni i trafikimit të lëndëve narkotike nga grupet e krimit të organizuar u intensifikua gjatë dhe pas vitit 1997, si pasojë e mosfunksionimit të institucioneve shtetërore, kryesisht atyre të sigurisë e të inteligjencës. Me gjithë masat e marra nga organet ligjzbatuese, ky aktivitet kriminal vijon të jetë prezent në vendin tonë.</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Emigracioni, mundësoi njohjen dhe lidhjen e grupeve kriminale të vendit me grupet e krimit të organizuar në vendet e Evropës perëndimore, për trafikimin e narkotikëve. Si rrjedhojë, ka lindur nevoja që strukturat e luftës ndaj krimit të organizuar dhe shërbimet e kontrollit të kufirit, të bashkëpunojnë me strukturat përkatëse të vendeve të rajonit dhe të Bashkimit Evropian (BE) për të identifikuar dhe goditur grupet kriminale.</w:t>
      </w:r>
    </w:p>
    <w:p w:rsidR="00B91A90" w:rsidRPr="004A0B3D" w:rsidRDefault="00B91A90" w:rsidP="00B91A90">
      <w:pPr>
        <w:tabs>
          <w:tab w:val="left" w:pos="540"/>
          <w:tab w:val="left" w:pos="720"/>
        </w:tabs>
        <w:spacing w:after="0" w:line="240" w:lineRule="auto"/>
        <w:ind w:firstLine="288"/>
        <w:rPr>
          <w:rFonts w:ascii="Garamond" w:eastAsia="Times New Roman" w:hAnsi="Garamond"/>
          <w:sz w:val="24"/>
          <w:szCs w:val="24"/>
          <w:lang w:val="sq-AL"/>
        </w:rPr>
      </w:pPr>
      <w:r w:rsidRPr="004A0B3D">
        <w:rPr>
          <w:rFonts w:ascii="Garamond" w:eastAsia="Times New Roman" w:hAnsi="Garamond"/>
          <w:sz w:val="24"/>
          <w:szCs w:val="24"/>
          <w:lang w:val="sq-AL"/>
        </w:rPr>
        <w:t>Si pasojë e luftës kundër kultivimit dhe trafikimit janë arritur këto rezultate:</w:t>
      </w:r>
    </w:p>
    <w:p w:rsidR="00B91A90" w:rsidRPr="004A0B3D" w:rsidRDefault="00B91A90" w:rsidP="00B91A90">
      <w:pPr>
        <w:pStyle w:val="ListParagraph"/>
        <w:numPr>
          <w:ilvl w:val="0"/>
          <w:numId w:val="1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në vitin 2015, janë identifikuar dhe asgjësuar rreth 797 mijë bimë narkotike kanabis sativa ose 31% më shumë se gjatë vitit 2014.</w:t>
      </w:r>
    </w:p>
    <w:p w:rsidR="00B91A90" w:rsidRPr="004A0B3D" w:rsidRDefault="00B91A90" w:rsidP="00B91A90">
      <w:pPr>
        <w:pStyle w:val="ListParagraph"/>
        <w:numPr>
          <w:ilvl w:val="0"/>
          <w:numId w:val="1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Në vitin 2016, janë identifikuar dhe asgjësuar rreth 2.5 milionë bimë narkotike, ose 3 herë më shumë se gjatë vitit 2015.</w:t>
      </w:r>
    </w:p>
    <w:p w:rsidR="00B91A90" w:rsidRPr="004A0B3D" w:rsidRDefault="00B91A90" w:rsidP="00B91A90">
      <w:pPr>
        <w:pStyle w:val="ListParagraph"/>
        <w:numPr>
          <w:ilvl w:val="0"/>
          <w:numId w:val="1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Në vitin 2015 është kapur një sasi prej rreth 11.352 kg dhe në vitin 2016 një sasi prej rreth 30,014 kg marijuanë.</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periudhën 2015–2016, strukturat ligjzbatuese kanë:</w:t>
      </w:r>
    </w:p>
    <w:p w:rsidR="00B91A90" w:rsidRPr="004A0B3D" w:rsidRDefault="00B91A90" w:rsidP="00B91A90">
      <w:pPr>
        <w:pStyle w:val="ListParagraph"/>
        <w:numPr>
          <w:ilvl w:val="0"/>
          <w:numId w:val="1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evidentuar 2,869 raste kultivimi të bimëve narkotike,</w:t>
      </w:r>
    </w:p>
    <w:p w:rsidR="00B91A90" w:rsidRPr="004A0B3D" w:rsidRDefault="00B91A90" w:rsidP="00B91A90">
      <w:pPr>
        <w:pStyle w:val="ListParagraph"/>
        <w:numPr>
          <w:ilvl w:val="0"/>
          <w:numId w:val="1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identifikuar/asgjësuar rreth 3.3 milionë bimë narkotike,</w:t>
      </w:r>
    </w:p>
    <w:p w:rsidR="00B91A90" w:rsidRPr="004A0B3D" w:rsidRDefault="00B91A90" w:rsidP="00B91A90">
      <w:pPr>
        <w:pStyle w:val="ListParagraph"/>
        <w:numPr>
          <w:ilvl w:val="0"/>
          <w:numId w:val="1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proceduar penalisht 997 persona.</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Në vitin 2016, numri i procedimeve të filluara është rritur me 43%, krahasuar me vitin 2015. Për veprat penale të parashikuara nga neni 283 “Prodhimi dhe shitja e narkotikëve”, neni 283/a  “Trafikimi i narkotikëve” dhe neni 284 i Kodit Penal “Kultivimi i bimëve narkotikëve”, janë regjistruar përkatësisht 39 %, 18,3 % dhe 48,7 % më shumë procedime, krahasuar me një vit më parë.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Gjatë vitit 2016, në Prokurorinë pranë Gjykatës së Shkallës së Parë për Krime të Rënda është regjistruar një procedim për veprën penale të parashikuar nga neni 333 “Organizata Kriminale” dhe 29 procedime për atë të parashikuar nga neni 333/a i Kodit Penal “Grupi i strukturuar kriminal”. Ndërkohë, 2 çështje janë gjykuar dhe janë dënuar 5 persona.</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2 vitet e fundit, dënimet e dhëna nga gjykata, në pjesën më të madhe të rasteve, kanë rezultuar në mesataren e kufijve të masës së dënimit të parashikuar në ligj.</w:t>
      </w:r>
    </w:p>
    <w:p w:rsidR="00B91A90" w:rsidRPr="004A0B3D" w:rsidRDefault="00B91A90" w:rsidP="00B91A90">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bookmarkStart w:id="7" w:name="_Toc475635975"/>
      <w:r w:rsidRPr="004A0B3D">
        <w:rPr>
          <w:rFonts w:ascii="Garamond" w:hAnsi="Garamond"/>
          <w:b w:val="0"/>
          <w:sz w:val="24"/>
          <w:szCs w:val="24"/>
          <w:lang w:val="sq-AL"/>
        </w:rPr>
        <w:t>Kultivimi i kanabisit</w:t>
      </w:r>
      <w:bookmarkEnd w:id="7"/>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Institucioni, i cili mban barrën kryesore në parandalimin dhe goditjen e veprimtarisë kriminale në fushën e narkotikëve është Policia e Shtetit (PSH). Pavarësisht se PSH zhvillon veprimtari gjithëvjetore, ajo përqendron forcat dhe mjetet në periudhën qershor-shtator. Kjo periudhë përkon edhe me sezonin turistik për garantimin e rendit publik dhe të sigurisë në të gjithë plazhet dhe zonat turistike të vendit. Përveç kësaj, punonjësit e PSH angazhohen edhe në veprimtari të tjera për sigurinë publike si: në aktivitete sportive, kulturore e politike (zgjedhjet) etj.</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Veprimtaria e PSH shoqërohet me kosto të lartë financiare. Gjatë vitit 2015, shpenzimet e policisë për luftën kundër kanabisit llogariten rreth 3 milion dollarë. Gjatë vitit 2016, shpenzimet e policisë arritën afërsisht në 5 milion dollarë. Strukturat e PSH janë ballafaquar me mungesa të automjeteve të speciale, të cilat janë të domosdoshme për kontrollin e zonave malore dhe tepër malore, si dhe të pajisjeve të tjera speciale për vrojtimin dhe monitorimin e territorit në distanca të largëta ditën dhe natën.</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Kontribut në identifikimin e sipërfaqeve të kultivuara më bimë narkotike gjatë 2015–2016 ka dhënë edhe Ministria e Brendshme Italiane në bazë të marrëveshjes</w:t>
      </w:r>
      <w:r w:rsidRPr="004A0B3D">
        <w:rPr>
          <w:rStyle w:val="FootnoteReference"/>
          <w:szCs w:val="24"/>
          <w:lang w:val="sq-AL"/>
        </w:rPr>
        <w:footnoteReference w:id="2"/>
      </w:r>
      <w:r w:rsidRPr="004A0B3D">
        <w:rPr>
          <w:rFonts w:ascii="Garamond" w:hAnsi="Garamond"/>
          <w:sz w:val="24"/>
          <w:szCs w:val="24"/>
          <w:lang w:val="sq-AL"/>
        </w:rPr>
        <w:t xml:space="preserve"> dypalëshe për monitorimin ajror të territorit të vendit tonë me avion special. Nga monitorimi i vitit 2016 janë identifikuar rreth 738 mijë bimë kanabis, ose 3 herë më shumë se një vit më parë.</w:t>
      </w:r>
    </w:p>
    <w:p w:rsidR="00B91A90" w:rsidRPr="004A0B3D" w:rsidRDefault="00B91A90" w:rsidP="00B91A90">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bookmarkStart w:id="8" w:name="_Toc475635976"/>
      <w:r w:rsidRPr="004A0B3D">
        <w:rPr>
          <w:rFonts w:ascii="Garamond" w:hAnsi="Garamond"/>
          <w:b w:val="0"/>
          <w:sz w:val="24"/>
          <w:szCs w:val="24"/>
          <w:lang w:val="sq-AL"/>
        </w:rPr>
        <w:t>Kërkesa ndërkombëtare për kanabis</w:t>
      </w:r>
      <w:bookmarkEnd w:id="8"/>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Kërkesa ndërkombëtare vlerësohet si elementi bazë, që motivon grupet kriminale </w:t>
      </w:r>
      <w:r>
        <w:rPr>
          <w:rFonts w:ascii="Garamond" w:hAnsi="Garamond"/>
          <w:sz w:val="24"/>
          <w:szCs w:val="24"/>
          <w:lang w:val="sq-AL"/>
        </w:rPr>
        <w:t>vendës</w:t>
      </w:r>
      <w:r w:rsidRPr="004A0B3D">
        <w:rPr>
          <w:rFonts w:ascii="Garamond" w:hAnsi="Garamond"/>
          <w:sz w:val="24"/>
          <w:szCs w:val="24"/>
          <w:lang w:val="sq-AL"/>
        </w:rPr>
        <w:t>e dhe të huaja për t’u përfshirë në këtë aktivitet kriminal. Tregues që provon peshën specifike të kërkesës ndërkombëtare është shpërpjesëtimi i dukshëm midis sasisë që prodhohet dhe përdoret në vend dhe sasisë që trafikohet jashtë. Standardet që aplikohen në vende të ndryshme për përdorimin e kanabisit dhe ndërlidhja e ngushtë e grupeve kriminale janë faktorë që ndikojnë në tendencën, në rritje, të kërkesës ndërkombëtare. Kryesisht, kjo kërkesë vjen nga Italia e Greqia, por dhe nga Maqedonia, Kosova e Mali i Zi, që shërbejnë si destinacion apo tranzit për në vendet e BE</w:t>
      </w:r>
      <w:r>
        <w:rPr>
          <w:rFonts w:ascii="Garamond" w:hAnsi="Garamond"/>
          <w:sz w:val="24"/>
          <w:szCs w:val="24"/>
          <w:lang w:val="sq-AL"/>
        </w:rPr>
        <w:t>-së</w:t>
      </w:r>
      <w:r w:rsidRPr="004A0B3D">
        <w:rPr>
          <w:rFonts w:ascii="Garamond" w:hAnsi="Garamond"/>
          <w:sz w:val="24"/>
          <w:szCs w:val="24"/>
          <w:lang w:val="sq-AL"/>
        </w:rPr>
        <w:t xml:space="preserve">.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Është vënë re diversiteti i rrugëve të trafikimit, me tendencë zgjerimin e atyre ekzistuese (tokësore e detare) dhe tentativave për trafikim nëpërmjet rrugëve ajrore, të papërdorura më parë. Përballë presionit përherë në rritje të organeve ligjzbatuese për të goditur fort trafikimin e lëndëve narkotike, grupet kriminale po adaptojnë linja të tjera trafikimi. Trafikantët kanë filluar përdorimin e mjeteve të reja</w:t>
      </w:r>
      <w:r>
        <w:rPr>
          <w:rFonts w:ascii="Garamond" w:hAnsi="Garamond"/>
          <w:sz w:val="24"/>
          <w:szCs w:val="24"/>
          <w:lang w:val="sq-AL"/>
        </w:rPr>
        <w:t>,</w:t>
      </w:r>
      <w:r w:rsidRPr="004A0B3D">
        <w:rPr>
          <w:rFonts w:ascii="Garamond" w:hAnsi="Garamond"/>
          <w:sz w:val="24"/>
          <w:szCs w:val="24"/>
          <w:lang w:val="sq-AL"/>
        </w:rPr>
        <w:t xml:space="preserve"> si avionë sportivë dhe motorë uji.</w:t>
      </w:r>
    </w:p>
    <w:p w:rsidR="00B91A90" w:rsidRPr="004A0B3D" w:rsidRDefault="00B91A90" w:rsidP="00B91A90">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bookmarkStart w:id="9" w:name="_Toc475635977"/>
      <w:r w:rsidRPr="004A0B3D">
        <w:rPr>
          <w:rFonts w:ascii="Garamond" w:hAnsi="Garamond"/>
          <w:b w:val="0"/>
          <w:sz w:val="24"/>
          <w:szCs w:val="24"/>
          <w:lang w:val="sq-AL"/>
        </w:rPr>
        <w:t>Përdorimi i kanabisit</w:t>
      </w:r>
      <w:bookmarkEnd w:id="9"/>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Ndonëse shumë herë më e vogël se kërkesa ndërkombëtare, edhe kërkesa e brendshme për përdorimin e kanabisit ka njohur rritje, kryesisht te të rinjtë, në klubet e natës, në mjediset turistike, në lokalet luksoze, por dhe në institucionet arsimore.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lastRenderedPageBreak/>
        <w:t xml:space="preserve">Statistikat tregojnë rritjen e numrit të përdoruesve që kanë përdorur drogë, të paktën një herë gjatë gjithë jetës. Afërsisht 6.6% e nxënësve e kanë provuar marijuanën të paktën një herë në jetë, krahasuar me 4.4% që ishin në vitin 2011. Nga anketimet, apo studimet e pjesshme (deri më tani nuk ka pasur akoma një studim në rang kombëtar) rezulton se numri i përdoruesve të drogave ka një rritje të ndjeshme. Në vitin 1995 numri i personave (15–65 vjeç) që të paktën një herë kanë provuar një lloj droge rezultonte rreth 5,000; në 1998 rreth 20,000, ndërkohë që aktualisht ky numër luhatet mes 50,000–60,000, ku rreth 7,000 nga të cilët konsiderohen përdorues problematikë.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Përvoja e përballjes më pasojat e përdorimit të narkotikëve në vend ka evidentuar disa probleme që adresohen nga PKK-ja:</w:t>
      </w:r>
    </w:p>
    <w:p w:rsidR="00B91A90" w:rsidRPr="004A0B3D" w:rsidRDefault="00B91A90" w:rsidP="00B91A90">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Mungesa e strukturave ambulatore publike, shërbimeve ditore dhe shërbimeve komunitare me akomodim për trajtimin e problemeve të drogave; </w:t>
      </w:r>
    </w:p>
    <w:p w:rsidR="00B91A90" w:rsidRPr="004A0B3D" w:rsidRDefault="00B91A90" w:rsidP="00B91A90">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shërbimeve sociale të specializuara që mundësojnë riintegrimin në shoqëri të personave, të trajtuar nga shërbimet e specializuara;</w:t>
      </w:r>
    </w:p>
    <w:p w:rsidR="00B91A90" w:rsidRPr="004A0B3D" w:rsidRDefault="00B91A90" w:rsidP="00B91A90">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Pamjaftueshmëria e personelit të specializuar për trajtimin e problematikave të drogave dhe pasojave që krijohen në vijimësi nga varësia ndaj drogave;</w:t>
      </w:r>
    </w:p>
    <w:p w:rsidR="00B91A90" w:rsidRPr="004A0B3D" w:rsidRDefault="00B91A90" w:rsidP="00B91A90">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Mungesa e një sistemi kualifikimi për personelin shëndetësor në lidhje me trajtimin e drogave, </w:t>
      </w:r>
    </w:p>
    <w:p w:rsidR="00B91A90" w:rsidRPr="004A0B3D" w:rsidRDefault="00B91A90" w:rsidP="00B91A90">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Shkëputja e aktiviteteve të aktorëve të tjerë të organizatave jofitimprurëse (OJF) nga shërbimi i specializuar i Adiktologjisë të Qendrës Universitare, i cili është shërbimi i vetëm shkencor i specializuar për trajtimin e problematikave të varësisë ndaj drogave;</w:t>
      </w:r>
    </w:p>
    <w:p w:rsidR="00B91A90" w:rsidRPr="004A0B3D" w:rsidRDefault="00B91A90" w:rsidP="00B91A90">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barnave në shërbimet shëndetësore për trajtimin e abuzimit me substancat narkotike;</w:t>
      </w:r>
    </w:p>
    <w:p w:rsidR="00B91A90" w:rsidRPr="004A0B3D" w:rsidRDefault="00B91A90" w:rsidP="00B91A90">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Mbivendosja e aktiviteteve në fushën e edukimit dhe ndërgjegjësimit të publikut, si dhe paqëndrueshmëria e tyre për shkak të varësisë nga donatorët;</w:t>
      </w:r>
    </w:p>
    <w:p w:rsidR="00B91A90" w:rsidRPr="004A0B3D" w:rsidRDefault="00B91A90" w:rsidP="00B91A90">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një njësie të specializuar në nivel qendror që t’i kushtohet vetëm trajtimit të drogave dhe përgatitjes së strategjive;</w:t>
      </w:r>
    </w:p>
    <w:p w:rsidR="00B91A90" w:rsidRPr="004A0B3D" w:rsidRDefault="00B91A90" w:rsidP="00B91A90">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profilizimit të personelit shëndetësor për të dalluar vdekjet e ardhura si pasojë e përdorimit të drogave (mbidozë etj.) me vdekjet e shkaktuara nga arsye të tjera (kardiake, cerebrale etj.); mungesa e bashkëpunimit të strukturave shëndetësore me ato informative përkatëse për të informuar mbi rastet e vdekjeve të shkaktuara nga droga;</w:t>
      </w:r>
    </w:p>
    <w:p w:rsidR="00B91A90" w:rsidRPr="004A0B3D" w:rsidRDefault="00B91A90" w:rsidP="00B91A90">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Mospërfshirja sa duhet i Laboratorit Toksikologjik të Institutit të Mjekësisë Ligjore për vërtetimin e rasteve të vdekjeve të shkaktuara nga përdorimi i drogave.</w:t>
      </w:r>
    </w:p>
    <w:p w:rsidR="00B91A90" w:rsidRPr="004A0B3D" w:rsidRDefault="00B91A90" w:rsidP="00B91A90">
      <w:pPr>
        <w:pStyle w:val="Heading1"/>
        <w:keepLines/>
        <w:numPr>
          <w:ilvl w:val="0"/>
          <w:numId w:val="45"/>
        </w:numPr>
        <w:tabs>
          <w:tab w:val="left" w:pos="540"/>
          <w:tab w:val="left" w:pos="720"/>
        </w:tabs>
        <w:spacing w:before="0" w:after="0"/>
        <w:ind w:left="0" w:firstLine="288"/>
        <w:rPr>
          <w:rFonts w:ascii="Garamond" w:hAnsi="Garamond"/>
          <w:b w:val="0"/>
          <w:sz w:val="24"/>
          <w:szCs w:val="24"/>
          <w:lang w:val="sq-AL"/>
        </w:rPr>
      </w:pPr>
      <w:bookmarkStart w:id="10" w:name="_Toc475635978"/>
      <w:r w:rsidRPr="004A0B3D">
        <w:rPr>
          <w:rFonts w:ascii="Garamond" w:hAnsi="Garamond"/>
          <w:b w:val="0"/>
          <w:sz w:val="24"/>
          <w:szCs w:val="24"/>
          <w:lang w:val="sq-AL"/>
        </w:rPr>
        <w:t>Sfidat</w:t>
      </w:r>
      <w:bookmarkEnd w:id="10"/>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Disa nga sfidat kryesore mund të përmendim: rritjen e ndërgjegjësimit, zbatimin e legjislacionit, bashkëpunimin, forcimin e kapaciteteve, korrupsionin, kultivimin dhe trafikimin e lëndëve narkotike, si dhe dëmet e shkaktuara prej tyre.</w:t>
      </w:r>
    </w:p>
    <w:p w:rsidR="00B91A90" w:rsidRPr="004A0B3D" w:rsidRDefault="00B91A90" w:rsidP="00B91A90">
      <w:pPr>
        <w:pStyle w:val="Heading2"/>
        <w:keepNext/>
        <w:keepLines/>
        <w:numPr>
          <w:ilvl w:val="1"/>
          <w:numId w:val="45"/>
        </w:numPr>
        <w:tabs>
          <w:tab w:val="left" w:pos="630"/>
          <w:tab w:val="left" w:pos="720"/>
        </w:tabs>
        <w:spacing w:before="0"/>
        <w:ind w:left="0" w:firstLine="288"/>
        <w:rPr>
          <w:rFonts w:ascii="Garamond" w:hAnsi="Garamond"/>
          <w:b w:val="0"/>
          <w:sz w:val="24"/>
          <w:szCs w:val="24"/>
          <w:lang w:val="sq-AL"/>
        </w:rPr>
      </w:pPr>
      <w:bookmarkStart w:id="11" w:name="_Toc475635979"/>
      <w:r w:rsidRPr="004A0B3D">
        <w:rPr>
          <w:rFonts w:ascii="Garamond" w:hAnsi="Garamond"/>
          <w:b w:val="0"/>
          <w:sz w:val="24"/>
          <w:szCs w:val="24"/>
          <w:lang w:val="sq-AL"/>
        </w:rPr>
        <w:t xml:space="preserve"> Ndërgjegjësimi</w:t>
      </w:r>
      <w:bookmarkEnd w:id="11"/>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Si problematikat më kryesore në fushën e ndërgjegjësimit konsiderohen:</w:t>
      </w:r>
    </w:p>
    <w:p w:rsidR="00B91A90" w:rsidRPr="004A0B3D" w:rsidRDefault="00B91A90" w:rsidP="00B91A90">
      <w:pPr>
        <w:pStyle w:val="ListParagraph"/>
        <w:numPr>
          <w:ilvl w:val="0"/>
          <w:numId w:val="4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Pamjaftueshmëria e fushatave të ndërgjegjësimit për dëmet dhe pasojat e lidhura me kultivimin;</w:t>
      </w:r>
    </w:p>
    <w:p w:rsidR="00B91A90" w:rsidRPr="004A0B3D" w:rsidRDefault="00B91A90" w:rsidP="00B91A90">
      <w:pPr>
        <w:pStyle w:val="ListParagraph"/>
        <w:numPr>
          <w:ilvl w:val="0"/>
          <w:numId w:val="4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Angazhimi i pamjaftueshëm i njësive vendore mbi ndërgjegjësimin dhe orientimin e fermerëve drejt kultivimit të kulturave bujqësore apo prodhimeve blegtorale të ligjshme, të qëndrueshme e fitimprurëse;</w:t>
      </w:r>
    </w:p>
    <w:p w:rsidR="00B91A90" w:rsidRPr="004A0B3D" w:rsidRDefault="00B91A90" w:rsidP="00B91A90">
      <w:pPr>
        <w:pStyle w:val="ListParagraph"/>
        <w:numPr>
          <w:ilvl w:val="0"/>
          <w:numId w:val="4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Mosofrimi i mundësive të përshtatshme nga platformat ekzistuese të raportimit për qytetarët që duan të sinjalizojnë rastet e kultivimit apo trafikimit të lëndëve narkotike. </w:t>
      </w:r>
    </w:p>
    <w:p w:rsidR="00B91A90" w:rsidRPr="004A0B3D" w:rsidRDefault="00B91A90" w:rsidP="00B91A90">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bookmarkStart w:id="12" w:name="_Toc475635980"/>
      <w:r w:rsidRPr="004A0B3D">
        <w:rPr>
          <w:rFonts w:ascii="Garamond" w:hAnsi="Garamond"/>
          <w:b w:val="0"/>
          <w:sz w:val="24"/>
          <w:szCs w:val="24"/>
          <w:lang w:val="sq-AL"/>
        </w:rPr>
        <w:t>Zbatimi i legjislacionit</w:t>
      </w:r>
      <w:bookmarkEnd w:id="12"/>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Zbatimi i kuadrit ligjor në fuqi konsiderohet si një ndër sfidat e rëndësishme në përballjen me kultivimin dhe trafikimin e lëndëve narkotike. Veçanërisht problematike paraqitet shkalla e zbatimit </w:t>
      </w:r>
      <w:r w:rsidRPr="004A0B3D">
        <w:rPr>
          <w:rFonts w:ascii="Garamond" w:hAnsi="Garamond"/>
          <w:sz w:val="24"/>
          <w:szCs w:val="24"/>
          <w:lang w:val="sq-AL"/>
        </w:rPr>
        <w:lastRenderedPageBreak/>
        <w:t>të ligjit që parashikon përgjegjësi për autoritetet vendore</w:t>
      </w:r>
      <w:r>
        <w:rPr>
          <w:rFonts w:ascii="Garamond" w:hAnsi="Garamond"/>
          <w:sz w:val="24"/>
          <w:szCs w:val="24"/>
          <w:lang w:val="sq-AL"/>
        </w:rPr>
        <w:t>,</w:t>
      </w:r>
      <w:r w:rsidRPr="004A0B3D">
        <w:rPr>
          <w:rFonts w:ascii="Garamond" w:hAnsi="Garamond"/>
          <w:sz w:val="24"/>
          <w:szCs w:val="24"/>
          <w:lang w:val="sq-AL"/>
        </w:rPr>
        <w:t xml:space="preserve"> si: ligji “Për barnat narkotike dhe lëndët psikotrope” </w:t>
      </w:r>
      <w:r w:rsidRPr="004A0B3D">
        <w:rPr>
          <w:rStyle w:val="FootnoteReference"/>
          <w:szCs w:val="24"/>
          <w:lang w:val="sq-AL"/>
        </w:rPr>
        <w:footnoteReference w:id="3"/>
      </w:r>
      <w:r w:rsidRPr="004A0B3D">
        <w:rPr>
          <w:rFonts w:ascii="Garamond" w:hAnsi="Garamond"/>
          <w:sz w:val="24"/>
          <w:szCs w:val="24"/>
          <w:lang w:val="sq-AL"/>
        </w:rPr>
        <w:t xml:space="preserve"> dhe ligji “Për parandalimin dhe goditjen e krimit të organizuar dhe trafikimit nëpërmjet masave parandaluese kundër pasurisë”</w:t>
      </w:r>
      <w:r w:rsidRPr="004A0B3D">
        <w:rPr>
          <w:rStyle w:val="FootnoteReference"/>
          <w:szCs w:val="24"/>
          <w:lang w:val="sq-AL"/>
        </w:rPr>
        <w:footnoteReference w:id="4"/>
      </w:r>
      <w:r w:rsidRPr="004A0B3D">
        <w:rPr>
          <w:rFonts w:ascii="Garamond" w:hAnsi="Garamond"/>
          <w:sz w:val="24"/>
          <w:szCs w:val="24"/>
          <w:lang w:val="sq-AL"/>
        </w:rPr>
        <w:t>. Moszbatimi korrekt i ligjit ka sjellë neglizhencë të autoriteteve vendore kundër dukurisë së kultivimit dhe trafikimit të lëndëve narkotike, si dhe pamjaftueshmëri të fuqisë goditëse mbi asetet kriminale të përftuara nga kjo veprimtari.</w:t>
      </w:r>
    </w:p>
    <w:p w:rsidR="00B91A90" w:rsidRPr="004A0B3D" w:rsidRDefault="00B91A90" w:rsidP="00B91A90">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bookmarkStart w:id="13" w:name="_Toc475635981"/>
      <w:r w:rsidRPr="004A0B3D">
        <w:rPr>
          <w:rFonts w:ascii="Garamond" w:hAnsi="Garamond"/>
          <w:b w:val="0"/>
          <w:sz w:val="24"/>
          <w:szCs w:val="24"/>
          <w:lang w:val="sq-AL"/>
        </w:rPr>
        <w:t>Bashkëpunimi</w:t>
      </w:r>
      <w:bookmarkEnd w:id="13"/>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Pamjaftueshmëria e bashkëpunimit ndërinstitucional në nivel qendror, lokal dhe ndërkombëtar konsiderohet si një ndër problemet dhe sfidat kryesore që qëndrojnë prapa përmasave dhe shtrirjes së dukurisë të kultivimit.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Si aspektet më të rëndësishme në këtë fushë renditen:</w:t>
      </w:r>
    </w:p>
    <w:p w:rsidR="00B91A90" w:rsidRPr="004A0B3D" w:rsidRDefault="00B91A90" w:rsidP="00B91A90">
      <w:pPr>
        <w:pStyle w:val="ListParagraph"/>
        <w:numPr>
          <w:ilvl w:val="0"/>
          <w:numId w:val="5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Mangësitë në koordinimin e bashkëpunimit ndërmjet ministrive të linjës dhe ndërmjet institucioneve e agjencive të tjera me përgjegjësi në këtë fushë;</w:t>
      </w:r>
    </w:p>
    <w:p w:rsidR="00B91A90" w:rsidRPr="004A0B3D" w:rsidRDefault="00B91A90" w:rsidP="00B91A90">
      <w:pPr>
        <w:pStyle w:val="ListParagraph"/>
        <w:numPr>
          <w:ilvl w:val="0"/>
          <w:numId w:val="5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Pamjaftueshmëria e strukturave të dedikuara për koordinimin dhe bashkëpunimin ndërinstitucional në nivel qendror dhe lokal;</w:t>
      </w:r>
    </w:p>
    <w:p w:rsidR="00B91A90" w:rsidRPr="004A0B3D" w:rsidRDefault="00B91A90" w:rsidP="00B91A90">
      <w:pPr>
        <w:pStyle w:val="ListParagraph"/>
        <w:numPr>
          <w:ilvl w:val="0"/>
          <w:numId w:val="5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Orientimi i kufizuar i projekteve sociale, kulturore, arsimore e bujqësore, drejt zonave të prekura;</w:t>
      </w:r>
    </w:p>
    <w:p w:rsidR="00B91A90" w:rsidRPr="004A0B3D" w:rsidRDefault="00B91A90" w:rsidP="00B91A90">
      <w:pPr>
        <w:pStyle w:val="ListParagraph"/>
        <w:numPr>
          <w:ilvl w:val="0"/>
          <w:numId w:val="5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Niveli i ulët në shkëmbimin reciprok të informacionit midis strukturave përgjegjëse në nivel vendor;</w:t>
      </w:r>
    </w:p>
    <w:p w:rsidR="00B91A90" w:rsidRPr="004A0B3D" w:rsidRDefault="00B91A90" w:rsidP="00B91A90">
      <w:pPr>
        <w:pStyle w:val="ListParagraph"/>
        <w:numPr>
          <w:ilvl w:val="0"/>
          <w:numId w:val="5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Angazhimi i pamjaftueshëm i institucionit të prefektit në rolin koordinues midis institucioneve në nivel vendor;</w:t>
      </w:r>
    </w:p>
    <w:p w:rsidR="00B91A90" w:rsidRPr="004A0B3D" w:rsidRDefault="00B91A90" w:rsidP="00B91A90">
      <w:pPr>
        <w:pStyle w:val="ListParagraph"/>
        <w:numPr>
          <w:ilvl w:val="0"/>
          <w:numId w:val="5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Pamjaftueshmëria e programeve të bashkëpunimit ndërkombëtar në këtë fushë. </w:t>
      </w:r>
    </w:p>
    <w:p w:rsidR="00B91A90" w:rsidRPr="004A0B3D" w:rsidRDefault="00B91A90" w:rsidP="00B91A90">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r w:rsidRPr="004A0B3D">
        <w:rPr>
          <w:rFonts w:ascii="Garamond" w:hAnsi="Garamond"/>
          <w:b w:val="0"/>
          <w:sz w:val="24"/>
          <w:szCs w:val="24"/>
          <w:lang w:val="sq-AL"/>
        </w:rPr>
        <w:t xml:space="preserve"> </w:t>
      </w:r>
      <w:bookmarkStart w:id="14" w:name="_Toc475635982"/>
      <w:r w:rsidRPr="004A0B3D">
        <w:rPr>
          <w:rFonts w:ascii="Garamond" w:hAnsi="Garamond"/>
          <w:b w:val="0"/>
          <w:sz w:val="24"/>
          <w:szCs w:val="24"/>
          <w:lang w:val="sq-AL"/>
        </w:rPr>
        <w:t>Kapacitetet</w:t>
      </w:r>
      <w:bookmarkEnd w:id="14"/>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Kapacitetet e kufizuara njerëzore, materiale dhe financiare konsiderohen si një ndër sfidat kryesore, ndaj në këtë kontekst, shtimi i tyre ndihmon në arritjen e suksesit kundër dukurisë së kultivimit dhe trafikimit të lëndëve narkotike.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Si problematika kryesore në këtë fushë mund të renditim:</w:t>
      </w:r>
    </w:p>
    <w:p w:rsidR="00B91A90" w:rsidRPr="004A0B3D" w:rsidRDefault="00B91A90" w:rsidP="00B91A90">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një strukture përgjegjëse dhe të dedikuar për identifikimin dhe vlerësimin e rreziqeve që burojnë nga veprimtari veçanërisht të lidhura me prodhimin dhe trafikimin e lëndëve narkotike, si dhe për drejtimin dhe koordinimin e përgjigjes së përbashkët ndërinstitucionale;</w:t>
      </w:r>
    </w:p>
    <w:p w:rsidR="00B91A90" w:rsidRPr="004A0B3D" w:rsidRDefault="00B91A90" w:rsidP="00B91A90">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Pamjaftueshmëria e monitorimit dhe kontrollit efikas mbi qarkullimin e parasë fizike, përmes kufijve të vendit;</w:t>
      </w:r>
    </w:p>
    <w:p w:rsidR="00B91A90" w:rsidRPr="004A0B3D" w:rsidRDefault="00B91A90" w:rsidP="00B91A90">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Mungesa e menaxhimit dhe përdorimit efektiv të aseteve kriminale të sekuestruara/konfiskuara; </w:t>
      </w:r>
    </w:p>
    <w:p w:rsidR="00B91A90" w:rsidRPr="004A0B3D" w:rsidRDefault="00B91A90" w:rsidP="00B91A90">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Kufizimet e burimeve njerëzore, kryesisht në radhët e prokurorisë, policisë dhe shëndetësisë;</w:t>
      </w:r>
    </w:p>
    <w:p w:rsidR="00B91A90" w:rsidRPr="004A0B3D" w:rsidRDefault="00B91A90" w:rsidP="00B91A90">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Specializimi i pamjaftueshëm i prokurorëve, punonjësve të policisë dhe të shëndetësisë në çështjet specifike që lidhen me narkotikët;</w:t>
      </w:r>
    </w:p>
    <w:p w:rsidR="00B91A90" w:rsidRPr="004A0B3D" w:rsidRDefault="00B91A90" w:rsidP="00B91A90">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Kapacitete aktuale të kufizuara për trajtimin e përdoruesve;</w:t>
      </w:r>
    </w:p>
    <w:p w:rsidR="00B91A90" w:rsidRPr="004A0B3D" w:rsidRDefault="00B91A90" w:rsidP="00B91A90">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Pamjaftueshmëria e mjeteve të skanimit, në pikat e kontrollit doganor;</w:t>
      </w:r>
    </w:p>
    <w:p w:rsidR="00B91A90" w:rsidRPr="004A0B3D" w:rsidRDefault="00B91A90" w:rsidP="00B91A90">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mjeteve të kalueshmërisë së lartë, mjeteve të vëzhgimit dhe mjeteve të tjera speciale;</w:t>
      </w:r>
    </w:p>
    <w:p w:rsidR="00B91A90" w:rsidRPr="004A0B3D" w:rsidRDefault="00B91A90" w:rsidP="00B91A90">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Kapacitete të kufizuara për monitorimin efektiv të hapësirës tokësore detare, ajrore;</w:t>
      </w:r>
    </w:p>
    <w:p w:rsidR="00B91A90" w:rsidRPr="004A0B3D" w:rsidRDefault="00B91A90" w:rsidP="00B91A90">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kapaciteteve të specializuara për trajnimin e strukturave reaguese në fushën e narkotikëve.</w:t>
      </w:r>
    </w:p>
    <w:p w:rsidR="00B91A90" w:rsidRPr="004A0B3D" w:rsidRDefault="00B91A90" w:rsidP="00B91A90">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r w:rsidRPr="004A0B3D">
        <w:rPr>
          <w:rFonts w:ascii="Garamond" w:hAnsi="Garamond"/>
          <w:b w:val="0"/>
          <w:sz w:val="24"/>
          <w:szCs w:val="24"/>
          <w:lang w:val="sq-AL"/>
        </w:rPr>
        <w:lastRenderedPageBreak/>
        <w:t xml:space="preserve"> </w:t>
      </w:r>
      <w:bookmarkStart w:id="15" w:name="_Toc475635983"/>
      <w:r w:rsidRPr="004A0B3D">
        <w:rPr>
          <w:rFonts w:ascii="Garamond" w:hAnsi="Garamond"/>
          <w:b w:val="0"/>
          <w:sz w:val="24"/>
          <w:szCs w:val="24"/>
          <w:lang w:val="sq-AL"/>
        </w:rPr>
        <w:t>Korrupsioni</w:t>
      </w:r>
      <w:bookmarkEnd w:id="15"/>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përhapjen e fenomenit të kultivimit/trafikimit të kanabisit kanë ndikuar edhe praktikat korruptive të nëpunësve dhe funksionarëve publikë, të cilët me veprimet, ose mosveprimet e tyre, kanë favorizuar kultivimin dhe të trafikimin e lëndëve narkotike. Dyshime për raste korruptive janë ngritur edhe në fushën e goditjes së financave dhe të aseteve kriminale që rrjedhin nga ato.</w:t>
      </w:r>
    </w:p>
    <w:p w:rsidR="00B91A90" w:rsidRPr="004A0B3D" w:rsidRDefault="00B91A90" w:rsidP="00B91A90">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r w:rsidRPr="004A0B3D">
        <w:rPr>
          <w:rFonts w:ascii="Garamond" w:hAnsi="Garamond"/>
          <w:b w:val="0"/>
          <w:sz w:val="24"/>
          <w:szCs w:val="24"/>
          <w:lang w:val="sq-AL"/>
        </w:rPr>
        <w:t xml:space="preserve"> </w:t>
      </w:r>
      <w:bookmarkStart w:id="16" w:name="_Toc475635984"/>
      <w:r w:rsidRPr="004A0B3D">
        <w:rPr>
          <w:rFonts w:ascii="Garamond" w:hAnsi="Garamond"/>
          <w:b w:val="0"/>
          <w:sz w:val="24"/>
          <w:szCs w:val="24"/>
          <w:lang w:val="sq-AL"/>
        </w:rPr>
        <w:t>Kultivimi i kanabisit</w:t>
      </w:r>
      <w:bookmarkEnd w:id="16"/>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Reduktimi i prodhimit të kanabisit përbën një nga sfidat kryesore, në funksion të përmbushjes së objektivave dhe qëllimeve prioritare të këtij plani.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këtë aspekt janë evidentuar disa nga faktorët që ndikojnë dhe krijojnë kushte të favorshme për kultivimin e bimëve narkotike si më poshtë:</w:t>
      </w:r>
    </w:p>
    <w:p w:rsidR="00B91A90" w:rsidRPr="004A0B3D" w:rsidRDefault="00B91A90" w:rsidP="00B91A90">
      <w:pPr>
        <w:pStyle w:val="ListParagraph"/>
        <w:numPr>
          <w:ilvl w:val="0"/>
          <w:numId w:val="5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Kërkesa e lartë në tregjet ndërkombëtare për kanabis;</w:t>
      </w:r>
    </w:p>
    <w:p w:rsidR="00B91A90" w:rsidRPr="004A0B3D" w:rsidRDefault="00B91A90" w:rsidP="00B91A90">
      <w:pPr>
        <w:pStyle w:val="ListParagraph"/>
        <w:numPr>
          <w:ilvl w:val="0"/>
          <w:numId w:val="5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Përfitimet e shpejta financiare dhe mundësitë e mëdha financuese nga grupet kriminale;</w:t>
      </w:r>
    </w:p>
    <w:p w:rsidR="00B91A90" w:rsidRPr="004A0B3D" w:rsidRDefault="00B91A90" w:rsidP="00B91A90">
      <w:pPr>
        <w:pStyle w:val="ListParagraph"/>
        <w:numPr>
          <w:ilvl w:val="0"/>
          <w:numId w:val="5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Faktorët ekonomikë, socialë dhe kulturorë, si: varfëria, papunësia, niveli i ulët arsimor;</w:t>
      </w:r>
    </w:p>
    <w:p w:rsidR="00B91A90" w:rsidRPr="004A0B3D" w:rsidRDefault="00B91A90" w:rsidP="00B91A90">
      <w:pPr>
        <w:pStyle w:val="ListParagraph"/>
        <w:numPr>
          <w:ilvl w:val="0"/>
          <w:numId w:val="5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programeve zhvillimore alternative;</w:t>
      </w:r>
    </w:p>
    <w:p w:rsidR="00B91A90" w:rsidRPr="004A0B3D" w:rsidRDefault="00B91A90" w:rsidP="00B91A90">
      <w:pPr>
        <w:pStyle w:val="ListParagraph"/>
        <w:numPr>
          <w:ilvl w:val="0"/>
          <w:numId w:val="5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Pamundësia për kontrollin e plotë të territorit;</w:t>
      </w:r>
    </w:p>
    <w:p w:rsidR="00B91A90" w:rsidRPr="004A0B3D" w:rsidRDefault="00B91A90" w:rsidP="00B91A90">
      <w:pPr>
        <w:pStyle w:val="ListParagraph"/>
        <w:numPr>
          <w:ilvl w:val="0"/>
          <w:numId w:val="52"/>
        </w:numPr>
        <w:tabs>
          <w:tab w:val="left" w:pos="540"/>
          <w:tab w:val="left" w:pos="720"/>
        </w:tabs>
        <w:spacing w:after="0" w:line="240" w:lineRule="auto"/>
        <w:ind w:left="0" w:firstLine="288"/>
        <w:jc w:val="both"/>
        <w:rPr>
          <w:rFonts w:ascii="Garamond" w:hAnsi="Garamond"/>
          <w:b/>
          <w:sz w:val="24"/>
          <w:szCs w:val="24"/>
          <w:lang w:val="sq-AL"/>
        </w:rPr>
      </w:pPr>
      <w:r w:rsidRPr="004A0B3D">
        <w:rPr>
          <w:rFonts w:ascii="Garamond" w:hAnsi="Garamond"/>
          <w:sz w:val="24"/>
          <w:szCs w:val="24"/>
          <w:lang w:val="sq-AL"/>
        </w:rPr>
        <w:t>Kushtet e favorshme klimaterike dhe gjeografike.</w:t>
      </w:r>
    </w:p>
    <w:p w:rsidR="00B91A90" w:rsidRPr="004A0B3D" w:rsidRDefault="00B91A90" w:rsidP="00B91A90">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r w:rsidRPr="004A0B3D">
        <w:rPr>
          <w:rFonts w:ascii="Garamond" w:hAnsi="Garamond"/>
          <w:b w:val="0"/>
          <w:sz w:val="24"/>
          <w:szCs w:val="24"/>
          <w:lang w:val="sq-AL"/>
        </w:rPr>
        <w:t xml:space="preserve"> </w:t>
      </w:r>
      <w:bookmarkStart w:id="17" w:name="_Toc475635985"/>
      <w:r w:rsidRPr="004A0B3D">
        <w:rPr>
          <w:rFonts w:ascii="Garamond" w:hAnsi="Garamond"/>
          <w:b w:val="0"/>
          <w:sz w:val="24"/>
          <w:szCs w:val="24"/>
          <w:lang w:val="sq-AL"/>
        </w:rPr>
        <w:t>Trafikimi i kanabisit</w:t>
      </w:r>
      <w:bookmarkEnd w:id="17"/>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kuadër të proceseve integruese dhe të përmbushjes së angazhimeve në luftën kundër krimit të organizuar dhe trafiqeve të paligjshme, sfidë e rëndësishme mbetet dhe goditja e trafikimit të lëndëve narkotike.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Si faktorë që favorizojnë trafikimin e lëndëve narkotike konsiderohen elementët e mëposhtëm:</w:t>
      </w:r>
    </w:p>
    <w:p w:rsidR="00B91A90" w:rsidRPr="004A0B3D" w:rsidRDefault="00B91A90" w:rsidP="00B91A90">
      <w:pPr>
        <w:pStyle w:val="ListParagraph"/>
        <w:numPr>
          <w:ilvl w:val="0"/>
          <w:numId w:val="5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Pozicioni i favorshëm gjeografik i vendit;</w:t>
      </w:r>
    </w:p>
    <w:p w:rsidR="00B91A90" w:rsidRPr="004A0B3D" w:rsidRDefault="00B91A90" w:rsidP="00B91A90">
      <w:pPr>
        <w:pStyle w:val="ListParagraph"/>
        <w:numPr>
          <w:ilvl w:val="0"/>
          <w:numId w:val="5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shkëmbimit të informacionit të plotë mbi aktivitetet e grupeve të fuqishme kriminale;</w:t>
      </w:r>
    </w:p>
    <w:p w:rsidR="00B91A90" w:rsidRPr="004A0B3D" w:rsidRDefault="00B91A90" w:rsidP="00B91A90">
      <w:pPr>
        <w:pStyle w:val="ListParagraph"/>
        <w:numPr>
          <w:ilvl w:val="0"/>
          <w:numId w:val="5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Pamjaftueshmëria e koordinimit ndërinstitucional në evidentimin dhe ndjekjen e grupeve kriminale;</w:t>
      </w:r>
    </w:p>
    <w:p w:rsidR="00B91A90" w:rsidRPr="004A0B3D" w:rsidRDefault="00B91A90" w:rsidP="00B91A90">
      <w:pPr>
        <w:pStyle w:val="ListParagraph"/>
        <w:numPr>
          <w:ilvl w:val="0"/>
          <w:numId w:val="5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Ndikimi i aktivitetit të grupeve të organizuara kriminale ndërkombëtare, të pajisura me mjete teknologjike të avancuara dhe me kapacitete financiare të konsiderueshme.</w:t>
      </w:r>
    </w:p>
    <w:p w:rsidR="00B91A90" w:rsidRPr="004A0B3D" w:rsidRDefault="00B91A90" w:rsidP="00B91A90">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r w:rsidRPr="004A0B3D">
        <w:rPr>
          <w:rFonts w:ascii="Garamond" w:hAnsi="Garamond"/>
          <w:b w:val="0"/>
          <w:sz w:val="24"/>
          <w:szCs w:val="24"/>
          <w:lang w:val="sq-AL"/>
        </w:rPr>
        <w:t xml:space="preserve"> </w:t>
      </w:r>
      <w:bookmarkStart w:id="18" w:name="_Toc475635986"/>
      <w:r w:rsidRPr="004A0B3D">
        <w:rPr>
          <w:rFonts w:ascii="Garamond" w:hAnsi="Garamond"/>
          <w:b w:val="0"/>
          <w:sz w:val="24"/>
          <w:szCs w:val="24"/>
          <w:lang w:val="sq-AL"/>
        </w:rPr>
        <w:t>Dëmet</w:t>
      </w:r>
      <w:bookmarkEnd w:id="18"/>
    </w:p>
    <w:p w:rsidR="00B91A90" w:rsidRPr="004A0B3D" w:rsidRDefault="00B91A90" w:rsidP="00B91A90">
      <w:pPr>
        <w:tabs>
          <w:tab w:val="left" w:pos="540"/>
          <w:tab w:val="left" w:pos="720"/>
        </w:tabs>
        <w:autoSpaceDE w:val="0"/>
        <w:autoSpaceDN w:val="0"/>
        <w:adjustRightInd w:val="0"/>
        <w:spacing w:after="0" w:line="240" w:lineRule="auto"/>
        <w:ind w:firstLine="288"/>
        <w:rPr>
          <w:rFonts w:ascii="Garamond" w:eastAsia="MS Mincho" w:hAnsi="Garamond"/>
          <w:sz w:val="24"/>
          <w:szCs w:val="24"/>
          <w:lang w:val="sq-AL"/>
        </w:rPr>
      </w:pPr>
      <w:r w:rsidRPr="004A0B3D">
        <w:rPr>
          <w:rFonts w:ascii="Garamond" w:eastAsia="MS Mincho" w:hAnsi="Garamond"/>
          <w:sz w:val="24"/>
          <w:szCs w:val="24"/>
          <w:lang w:val="sq-AL"/>
        </w:rPr>
        <w:t>Kultivimi dhe trafikimi i kanabisit ka ndikim negativ të konsiderueshëm në jetën ekonomike, shoqërore, politike, kulturore të vendit. Përveç dëmeve të mëdha që sjell për shëndetin e popullsisë, ky fenomen ndikon në cenimin e rendit dhe të sigurisë publike, në avancimin e zhvillimit ekonomik, prishjen e imazhit të vendit dhe ngadalësimin e procesit të integrimit në BE.</w:t>
      </w:r>
    </w:p>
    <w:p w:rsidR="00B91A90" w:rsidRPr="004A0B3D" w:rsidRDefault="00B91A90" w:rsidP="00B91A90">
      <w:pPr>
        <w:pStyle w:val="Heading1"/>
        <w:keepLines/>
        <w:numPr>
          <w:ilvl w:val="0"/>
          <w:numId w:val="45"/>
        </w:numPr>
        <w:tabs>
          <w:tab w:val="left" w:pos="540"/>
          <w:tab w:val="left" w:pos="720"/>
        </w:tabs>
        <w:spacing w:before="0" w:after="0"/>
        <w:ind w:left="0" w:firstLine="288"/>
        <w:rPr>
          <w:rFonts w:ascii="Garamond" w:hAnsi="Garamond"/>
          <w:b w:val="0"/>
          <w:sz w:val="24"/>
          <w:szCs w:val="24"/>
          <w:lang w:val="sq-AL"/>
        </w:rPr>
      </w:pPr>
      <w:bookmarkStart w:id="19" w:name="_Toc475635987"/>
      <w:r w:rsidRPr="004A0B3D">
        <w:rPr>
          <w:rFonts w:ascii="Garamond" w:hAnsi="Garamond"/>
          <w:b w:val="0"/>
          <w:sz w:val="24"/>
          <w:szCs w:val="24"/>
          <w:lang w:val="sq-AL"/>
        </w:rPr>
        <w:t>Procesi i hartimit të dokumentit dhe konsultimit</w:t>
      </w:r>
      <w:bookmarkEnd w:id="19"/>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Bazuar në urdhrin e Kryeministrit, nr. 170, datë 23.11.2016, është ngritur grupi i ekspertëve nga të gjitha institucionet përgjegjëse për hartimin e dokumentit strategjik. Hartimi i Planit të Veprimit është mbështetur nga ekspertë </w:t>
      </w:r>
      <w:r>
        <w:rPr>
          <w:rFonts w:ascii="Garamond" w:hAnsi="Garamond"/>
          <w:sz w:val="24"/>
          <w:szCs w:val="24"/>
          <w:lang w:val="sq-AL"/>
        </w:rPr>
        <w:t>vendës,</w:t>
      </w:r>
      <w:r w:rsidRPr="004A0B3D">
        <w:rPr>
          <w:rFonts w:ascii="Garamond" w:hAnsi="Garamond"/>
          <w:sz w:val="24"/>
          <w:szCs w:val="24"/>
          <w:lang w:val="sq-AL"/>
        </w:rPr>
        <w:t xml:space="preserve"> si dhe ekspertë ndërkombëtarë të Technical Assistance and Information Exchange Instrument on European Commission (TAIEX), Organisation for Security and Co-operation in Europe (OSCE), International Criminal Investigative Training Assistance Program (ICITAP), </w:t>
      </w:r>
      <w:r w:rsidRPr="004A0B3D">
        <w:rPr>
          <w:rFonts w:ascii="Garamond" w:hAnsi="Garamond"/>
          <w:color w:val="000000"/>
          <w:sz w:val="24"/>
          <w:szCs w:val="24"/>
          <w:shd w:val="clear" w:color="auto" w:fill="FFFFFF"/>
          <w:lang w:val="sq-AL"/>
        </w:rPr>
        <w:t>Police Assistance Mission of the European Community to Albania</w:t>
      </w:r>
      <w:r w:rsidRPr="004A0B3D">
        <w:rPr>
          <w:rFonts w:ascii="Garamond" w:hAnsi="Garamond"/>
          <w:color w:val="000000"/>
          <w:sz w:val="24"/>
          <w:szCs w:val="24"/>
          <w:lang w:val="sq-AL"/>
        </w:rPr>
        <w:br/>
      </w:r>
      <w:r w:rsidRPr="004A0B3D">
        <w:rPr>
          <w:rFonts w:ascii="Garamond" w:hAnsi="Garamond"/>
          <w:sz w:val="24"/>
          <w:szCs w:val="24"/>
          <w:lang w:val="sq-AL"/>
        </w:rPr>
        <w:t>(PAMECA IV) etj.</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Përveç grupit të ekspertëve, në këtë proces është përfshirë edhe një grup ndërministror nën drejtimin e </w:t>
      </w:r>
      <w:r>
        <w:rPr>
          <w:rFonts w:ascii="Garamond" w:hAnsi="Garamond"/>
          <w:sz w:val="24"/>
          <w:szCs w:val="24"/>
          <w:lang w:val="sq-AL"/>
        </w:rPr>
        <w:t>z</w:t>
      </w:r>
      <w:r w:rsidRPr="004A0B3D">
        <w:rPr>
          <w:rFonts w:ascii="Garamond" w:hAnsi="Garamond"/>
          <w:sz w:val="24"/>
          <w:szCs w:val="24"/>
          <w:lang w:val="sq-AL"/>
        </w:rPr>
        <w:t>ëvendëskryeministrit dhe me pjesëmarrjen e ministrave kryesorë të linjës. Grupi ndërministror ka mbajtur kontakte të rregullta edhe me ambasadorët e akredituar në Shqipëri, si dhe me përfaqësuesit e organizatave ndërkombëtare të pranishme në Shqipëri.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1"/>
        <w:tabs>
          <w:tab w:val="left" w:pos="540"/>
          <w:tab w:val="left" w:pos="720"/>
        </w:tabs>
        <w:spacing w:before="0" w:after="0"/>
        <w:ind w:firstLine="288"/>
        <w:jc w:val="center"/>
        <w:rPr>
          <w:rFonts w:ascii="Garamond" w:hAnsi="Garamond"/>
          <w:b w:val="0"/>
          <w:sz w:val="24"/>
          <w:szCs w:val="24"/>
          <w:lang w:val="sq-AL"/>
        </w:rPr>
      </w:pPr>
      <w:bookmarkStart w:id="20" w:name="_Toc475635988"/>
      <w:r w:rsidRPr="004A0B3D">
        <w:rPr>
          <w:rFonts w:ascii="Garamond" w:hAnsi="Garamond"/>
          <w:b w:val="0"/>
          <w:sz w:val="24"/>
          <w:szCs w:val="24"/>
          <w:lang w:val="sq-AL"/>
        </w:rPr>
        <w:lastRenderedPageBreak/>
        <w:t>KAPITULLI II</w:t>
      </w:r>
    </w:p>
    <w:p w:rsidR="00B91A90" w:rsidRPr="004A0B3D" w:rsidRDefault="00B91A90" w:rsidP="00B91A90">
      <w:pPr>
        <w:pStyle w:val="Heading1"/>
        <w:tabs>
          <w:tab w:val="left" w:pos="540"/>
          <w:tab w:val="left" w:pos="720"/>
        </w:tabs>
        <w:spacing w:before="0" w:after="0"/>
        <w:ind w:firstLine="288"/>
        <w:jc w:val="center"/>
        <w:rPr>
          <w:rFonts w:ascii="Garamond" w:hAnsi="Garamond"/>
          <w:b w:val="0"/>
          <w:sz w:val="24"/>
          <w:szCs w:val="24"/>
          <w:lang w:val="sq-AL"/>
        </w:rPr>
      </w:pPr>
      <w:r w:rsidRPr="004A0B3D">
        <w:rPr>
          <w:rFonts w:ascii="Garamond" w:hAnsi="Garamond"/>
          <w:b w:val="0"/>
          <w:sz w:val="24"/>
          <w:szCs w:val="24"/>
          <w:lang w:val="sq-AL"/>
        </w:rPr>
        <w:t>MISIONI DHE OBJEKTIVAT STRATEGJIK</w:t>
      </w:r>
      <w:bookmarkEnd w:id="20"/>
      <w:r w:rsidRPr="004A0B3D">
        <w:rPr>
          <w:rFonts w:ascii="Garamond" w:hAnsi="Garamond"/>
          <w:b w:val="0"/>
          <w:sz w:val="24"/>
          <w:szCs w:val="24"/>
          <w:lang w:val="sq-AL"/>
        </w:rPr>
        <w:t>Ë</w:t>
      </w:r>
    </w:p>
    <w:p w:rsidR="00B91A90" w:rsidRPr="004A0B3D" w:rsidRDefault="00B91A90" w:rsidP="00B91A90">
      <w:pPr>
        <w:spacing w:after="0"/>
        <w:rPr>
          <w:lang w:val="sq-AL"/>
        </w:rPr>
      </w:pPr>
    </w:p>
    <w:p w:rsidR="00B91A90" w:rsidRPr="004A0B3D" w:rsidRDefault="00B91A90" w:rsidP="00B91A90">
      <w:pPr>
        <w:pStyle w:val="Heading1"/>
        <w:keepLines/>
        <w:numPr>
          <w:ilvl w:val="0"/>
          <w:numId w:val="46"/>
        </w:numPr>
        <w:tabs>
          <w:tab w:val="left" w:pos="540"/>
          <w:tab w:val="left" w:pos="720"/>
        </w:tabs>
        <w:spacing w:before="0" w:after="0"/>
        <w:ind w:left="0" w:firstLine="288"/>
        <w:rPr>
          <w:rFonts w:ascii="Garamond" w:hAnsi="Garamond"/>
          <w:b w:val="0"/>
          <w:sz w:val="24"/>
          <w:szCs w:val="24"/>
          <w:lang w:val="sq-AL"/>
        </w:rPr>
      </w:pPr>
      <w:bookmarkStart w:id="21" w:name="_Toc475635989"/>
      <w:r w:rsidRPr="004A0B3D">
        <w:rPr>
          <w:rFonts w:ascii="Garamond" w:hAnsi="Garamond"/>
          <w:b w:val="0"/>
          <w:sz w:val="24"/>
          <w:szCs w:val="24"/>
          <w:lang w:val="sq-AL"/>
        </w:rPr>
        <w:t>Vizioni</w:t>
      </w:r>
      <w:bookmarkEnd w:id="21"/>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një Shqipëri të çliruar nga bimët narkotike, ku dinjiteti, mirëqenia dhe siguria e qytetarëve bazohen te puna e ndershme dhe respekti ndaj ligjit.</w:t>
      </w:r>
    </w:p>
    <w:p w:rsidR="00B91A90" w:rsidRPr="004A0B3D" w:rsidRDefault="00B91A90" w:rsidP="00B91A90">
      <w:pPr>
        <w:pStyle w:val="Heading1"/>
        <w:keepLines/>
        <w:numPr>
          <w:ilvl w:val="0"/>
          <w:numId w:val="46"/>
        </w:numPr>
        <w:tabs>
          <w:tab w:val="left" w:pos="540"/>
          <w:tab w:val="left" w:pos="720"/>
        </w:tabs>
        <w:spacing w:before="0" w:after="0"/>
        <w:ind w:left="0" w:firstLine="288"/>
        <w:rPr>
          <w:rFonts w:ascii="Garamond" w:hAnsi="Garamond"/>
          <w:b w:val="0"/>
          <w:sz w:val="24"/>
          <w:szCs w:val="24"/>
          <w:lang w:val="sq-AL"/>
        </w:rPr>
      </w:pPr>
      <w:bookmarkStart w:id="22" w:name="_Toc475635990"/>
      <w:r w:rsidRPr="004A0B3D">
        <w:rPr>
          <w:rFonts w:ascii="Garamond" w:hAnsi="Garamond"/>
          <w:b w:val="0"/>
          <w:sz w:val="24"/>
          <w:szCs w:val="24"/>
          <w:lang w:val="sq-AL"/>
        </w:rPr>
        <w:t>Misioni</w:t>
      </w:r>
      <w:bookmarkEnd w:id="22"/>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Goditja dhe shkatërrimi i rrjeteve të kultivimit dhe të trafikimit të lëndëve narkotike, si dhe krijimi i mundësive për zhvillim të qëndrueshëm në komunitetet dhe zonat e prekura. </w:t>
      </w:r>
    </w:p>
    <w:p w:rsidR="00B91A90" w:rsidRPr="004A0B3D" w:rsidRDefault="00B91A90" w:rsidP="00B91A90">
      <w:pPr>
        <w:pStyle w:val="Heading1"/>
        <w:keepLines/>
        <w:numPr>
          <w:ilvl w:val="0"/>
          <w:numId w:val="46"/>
        </w:numPr>
        <w:tabs>
          <w:tab w:val="left" w:pos="540"/>
          <w:tab w:val="left" w:pos="720"/>
        </w:tabs>
        <w:spacing w:before="0" w:after="0"/>
        <w:ind w:left="0" w:firstLine="288"/>
        <w:rPr>
          <w:rFonts w:ascii="Garamond" w:hAnsi="Garamond"/>
          <w:b w:val="0"/>
          <w:sz w:val="24"/>
          <w:szCs w:val="24"/>
          <w:lang w:val="sq-AL"/>
        </w:rPr>
      </w:pPr>
      <w:bookmarkStart w:id="23" w:name="_Toc475635991"/>
      <w:r w:rsidRPr="004A0B3D">
        <w:rPr>
          <w:rFonts w:ascii="Garamond" w:hAnsi="Garamond"/>
          <w:b w:val="0"/>
          <w:sz w:val="24"/>
          <w:szCs w:val="24"/>
          <w:lang w:val="sq-AL"/>
        </w:rPr>
        <w:t>Objektiva kryesor</w:t>
      </w:r>
      <w:bookmarkEnd w:id="23"/>
      <w:r w:rsidRPr="004A0B3D">
        <w:rPr>
          <w:rFonts w:ascii="Garamond" w:hAnsi="Garamond"/>
          <w:b w:val="0"/>
          <w:sz w:val="24"/>
          <w:szCs w:val="24"/>
          <w:lang w:val="sq-AL"/>
        </w:rPr>
        <w:t>ë</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Objektivat kryesorë të PKKK-së, janë: Goditja dhe reduktimi i kultivimit, goditja dhe shkatërrimi i rrjeteve të trafikimit, si dhe reduktimi i përdorimit të kanabisit.</w:t>
      </w:r>
    </w:p>
    <w:p w:rsidR="00B91A90" w:rsidRPr="004A0B3D" w:rsidRDefault="00B91A90" w:rsidP="00B91A90">
      <w:pPr>
        <w:pStyle w:val="ListParagraph"/>
        <w:numPr>
          <w:ilvl w:val="1"/>
          <w:numId w:val="46"/>
        </w:numPr>
        <w:tabs>
          <w:tab w:val="left" w:pos="540"/>
          <w:tab w:val="left" w:pos="630"/>
          <w:tab w:val="left" w:pos="720"/>
        </w:tabs>
        <w:spacing w:after="0" w:line="240" w:lineRule="auto"/>
        <w:ind w:left="0" w:firstLine="288"/>
        <w:jc w:val="both"/>
        <w:outlineLvl w:val="1"/>
        <w:rPr>
          <w:rFonts w:ascii="Garamond" w:hAnsi="Garamond"/>
          <w:color w:val="2E74B5"/>
          <w:sz w:val="24"/>
          <w:szCs w:val="24"/>
          <w:lang w:val="sq-AL"/>
        </w:rPr>
      </w:pPr>
      <w:r w:rsidRPr="004A0B3D">
        <w:rPr>
          <w:rFonts w:ascii="Garamond" w:hAnsi="Garamond"/>
          <w:b/>
          <w:color w:val="2E74B5"/>
          <w:sz w:val="24"/>
          <w:szCs w:val="24"/>
          <w:lang w:val="sq-AL"/>
        </w:rPr>
        <w:t xml:space="preserve"> </w:t>
      </w:r>
      <w:bookmarkStart w:id="24" w:name="_Toc475635992"/>
      <w:r w:rsidRPr="004A0B3D">
        <w:rPr>
          <w:rFonts w:ascii="Garamond" w:hAnsi="Garamond"/>
          <w:b/>
          <w:color w:val="2E74B5"/>
          <w:sz w:val="24"/>
          <w:szCs w:val="24"/>
          <w:lang w:val="sq-AL"/>
        </w:rPr>
        <w:t>Goditja dhe reduktimi i kultivimit</w:t>
      </w:r>
      <w:bookmarkEnd w:id="24"/>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Goditja dhe reduktimi i prodhimit konsiderohet si objektivi i parë që duhet arritur. Përmbushja e këtij objektivi ndikon në mënyrë të drejtpërdrejtë në përmbushjen e objektivave të tjerë.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Në planin afatshkurtër, synohet që, duke filluar nga gjysma e parë e vitit 2017, të parandalohet dhe të shkatërrohet cikli i kultivimit që në fillesën e tij, duke mbajtur në kontroll të rreptë të gjithë elementët e tij si: aktivizimi i burimeve financiare, rekrutimi i fuqisë punëtore, sigurimi i farërave dhe fidanëve, hapja apo punimi i tokave, ndërtimi i impianteve të ujitjes etj.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Realizmi i këtij objektivi do të kryhet me një kombinim masash, të cilat prekin të gjithë ciklin e kultivimit, të përdorimit dhe të trafikimit të lëndëve narkotike.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fazën e parë të ciklit, synohet që të mbahet nën monitorim të fortë dhe të goditet me efikasitet të lartë procesi i sigurimit të farërave</w:t>
      </w:r>
      <w:r>
        <w:rPr>
          <w:rFonts w:ascii="Garamond" w:hAnsi="Garamond"/>
          <w:sz w:val="24"/>
          <w:szCs w:val="24"/>
          <w:lang w:val="sq-AL"/>
        </w:rPr>
        <w:t>,</w:t>
      </w:r>
      <w:r w:rsidRPr="004A0B3D">
        <w:rPr>
          <w:rFonts w:ascii="Garamond" w:hAnsi="Garamond"/>
          <w:sz w:val="24"/>
          <w:szCs w:val="24"/>
          <w:lang w:val="sq-AL"/>
        </w:rPr>
        <w:t xml:space="preserve"> si dhe i prodhimit të fidanëve. Pavarësisht se në këtë fazë fenomeni është i vështirë të zbulohet, ai është shumë i lehtë për t’u goditur. Kultivimi fillestar i fidanëve në mjedise të mbyllura dhe në sipërfaqe të vogla, konsiderohet një fazë, gjatë së cilës sigurimi i informacionit është shumë i rëndësishëm. Strukturat e shërbimeve të inteligjencës, të luftës kundër krimit, të Forcave të Armatosura të Republikës së Shqipërisë (FA), të bujqësisë, të pyjeve, të doganave, të tatimeve, si dhe ato të pushtetit vendor dhe veçanërisht qytetarët, do të luajnë rol të rëndësishëm për sigurimin e informacionit të nevojshëm për goditjen e veprimtarisë kriminale.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Plani i Veprimit orienton që i gjithë reagimi institucional të përqendrohet në këtë fazë, pasi goditja e hershme e dukurisë, siguron rezultate të dukshme dhe të shpejta, duke parandaluar përhapjen e tij në territorin e vendit. Një qasje e tillë kursen edhe energjitë e mëdha që kërkohen për të goditur fenomenin kur ai ka dalë nga mjediset e mbyllura dhe sipërfaqet e vogla dhe është përhapur në zona të thella. Goditja e hershme parandalon, gjithashtu, kriminalizimin e qytetarëve që përfshihen në procesin e kultivimit në sipërfaqe të hapura.</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Objektiva specifikë për goditjen e kultivimit, janë: </w:t>
      </w:r>
    </w:p>
    <w:p w:rsidR="00B91A90" w:rsidRPr="004A0B3D" w:rsidRDefault="00B91A90" w:rsidP="00B91A90">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Goditja e financave të grupeve kriminale duke shenjëstruar, verifikuar, hetuar, sekuestruar dhe konfiskuar pasuritë dhe asetet e krijuara nga aktiviteti kriminal, duke u mbështetur veçanërisht në dispozitat ligjore që parashikon ligji “Antimafia”</w:t>
      </w:r>
      <w:r w:rsidRPr="004A0B3D">
        <w:rPr>
          <w:rStyle w:val="FootnoteReference"/>
          <w:rFonts w:eastAsia="MS Mincho"/>
          <w:szCs w:val="24"/>
          <w:lang w:val="sq-AL"/>
        </w:rPr>
        <w:footnoteReference w:id="5"/>
      </w:r>
      <w:r w:rsidRPr="004A0B3D">
        <w:rPr>
          <w:rFonts w:ascii="Garamond" w:hAnsi="Garamond"/>
          <w:sz w:val="24"/>
          <w:szCs w:val="24"/>
          <w:lang w:val="sq-AL"/>
        </w:rPr>
        <w:t>;</w:t>
      </w:r>
    </w:p>
    <w:p w:rsidR="00B91A90" w:rsidRPr="004A0B3D" w:rsidRDefault="00B91A90" w:rsidP="00B91A90">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Kontrolli efikas i territorit, nëpërmjet angazhimit të koordinuar të të gjitha strukturave përgjegjëse në nivel qendror dhe vendor të qeverisjes. </w:t>
      </w:r>
    </w:p>
    <w:p w:rsidR="00B91A90" w:rsidRPr="004A0B3D" w:rsidRDefault="00B91A90" w:rsidP="00B91A90">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i hartave të sipërfaqeve të tokave, të pyjeve e kullotave, ku janë kultivuar, ose potencialisht mund të kultivohen bimë narkotike. Për krijimin e këtyre hartave, të bazuara në evidencën historike të kultivimit dhe në mundësitë që lidhen më klimën, gjeografinë dhe përbërjen e tokës, do të angazhohen strukturat përgjegjëse të bujqësisë, të mjedisit, të autoriteteve vendore, të inteligjencës dhe të policisë.</w:t>
      </w:r>
    </w:p>
    <w:p w:rsidR="00B91A90" w:rsidRPr="004A0B3D" w:rsidRDefault="00B91A90" w:rsidP="00B91A90">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Forcimi i kontrollit kufitar për parandalimin dhe goditjen e trafikimit ndërkombëtar të drogave.</w:t>
      </w:r>
    </w:p>
    <w:p w:rsidR="00B91A90" w:rsidRPr="004A0B3D" w:rsidRDefault="00B91A90" w:rsidP="00B91A90">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Përfshirja e gjerë e publikut në procesin e informimit kundër kultivimit të bimëve narkotike nëpërmjet ndërgjegjësimit dhe krijimi i mundësive praktike për sigurimin e informacionit nga qytetarët.</w:t>
      </w:r>
    </w:p>
    <w:p w:rsidR="00B91A90" w:rsidRPr="004A0B3D" w:rsidRDefault="00B91A90" w:rsidP="00B91A90">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Shkurajimi i pjesëmarrjes së qytetarëve në kultivimin e bimëve narkotike nëpërmjet zbatimit të kombinuar të masave shtrënguese ligjore, krijimit të hapësirave për veprimtari të ligjshme dhe realizimit të programeve të nevojshme sociale.</w:t>
      </w:r>
    </w:p>
    <w:p w:rsidR="00B91A90" w:rsidRPr="004A0B3D" w:rsidRDefault="00B91A90" w:rsidP="00B91A90">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Diferencimi dhe proporcionaliteti i dënimeve penale në bazë të roleve të subjekteve në veprimtarinë kriminale.</w:t>
      </w:r>
    </w:p>
    <w:p w:rsidR="00B91A90" w:rsidRPr="004A0B3D" w:rsidRDefault="00B91A90" w:rsidP="00B91A90">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Forcimi i kapaciteteve të njësive të specializuara për luftën kundër drogës nëpërmjet trajnimit e pajisjes së tyre me mjetet e nevojshme.</w:t>
      </w:r>
    </w:p>
    <w:p w:rsidR="00B91A90" w:rsidRPr="004A0B3D" w:rsidRDefault="00B91A90" w:rsidP="00B91A90">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Rishikimi i kritereve dhe përforcimi i kontrolleve ndaj integritetit dhe të personalitetit të zyrtarëve shtetërorë të ngarkuar me detyra në fushën e narkotikëve, të gjitha niveleve, me qëllim verifikimin e plotë të gjithë zyrtarëve të angazhuar kundër fenomenit. Analiza e sukseseve dhe e problemeve të evidentuara gjatë ushtrimit të detyrës, pasuria, lidhjet eventuale me persona të inkriminuar, kapacitetet profesionale, familjarizimi me gjendjen problematike janë kritere ku do të bazohet kontrolli.</w:t>
      </w:r>
    </w:p>
    <w:p w:rsidR="00B91A90" w:rsidRPr="004A0B3D" w:rsidRDefault="00B91A90" w:rsidP="00B91A90">
      <w:pPr>
        <w:pStyle w:val="ListParagraph"/>
        <w:numPr>
          <w:ilvl w:val="0"/>
          <w:numId w:val="54"/>
        </w:numPr>
        <w:tabs>
          <w:tab w:val="left" w:pos="63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Angazhimi i drejtpërdrejtë i drejtorive të bujqësisë, të mjedisit dhe të pyjeve në qarqe për evidentimin e sipërfaqeve të mundshme për t’u mbjellë, të dyshuara për një veprimtari të tillë apo të mbjella me bimë narkotike, si dhe raportimi në mënyrë të vazhdueshme për gjendjen e sipërfaqeve që janë nën përgjegjësinë e tyre.</w:t>
      </w:r>
    </w:p>
    <w:p w:rsidR="00B91A90" w:rsidRPr="004A0B3D" w:rsidRDefault="00B91A90" w:rsidP="00B91A90">
      <w:pPr>
        <w:pStyle w:val="ListParagraph"/>
        <w:numPr>
          <w:ilvl w:val="0"/>
          <w:numId w:val="54"/>
        </w:numPr>
        <w:tabs>
          <w:tab w:val="left" w:pos="63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Përmirësimi dhe fuqizimi i kapaciteteve, si dhe ngritja e një laboratori për analizën e përmbajtjes së cannabidiolit, cannabionolit dhe tetrahidrocannabinolit (THC).</w:t>
      </w:r>
    </w:p>
    <w:p w:rsidR="00B91A90" w:rsidRPr="004A0B3D" w:rsidRDefault="00B91A90" w:rsidP="00B91A90">
      <w:pPr>
        <w:pStyle w:val="Heading2"/>
        <w:keepNext/>
        <w:keepLines/>
        <w:numPr>
          <w:ilvl w:val="1"/>
          <w:numId w:val="46"/>
        </w:numPr>
        <w:tabs>
          <w:tab w:val="left" w:pos="540"/>
          <w:tab w:val="left" w:pos="720"/>
        </w:tabs>
        <w:spacing w:before="0"/>
        <w:ind w:left="0" w:firstLine="288"/>
        <w:rPr>
          <w:rFonts w:ascii="Garamond" w:hAnsi="Garamond"/>
          <w:b w:val="0"/>
          <w:sz w:val="24"/>
          <w:szCs w:val="24"/>
          <w:lang w:val="sq-AL"/>
        </w:rPr>
      </w:pPr>
      <w:r w:rsidRPr="004A0B3D">
        <w:rPr>
          <w:rFonts w:ascii="Garamond" w:hAnsi="Garamond"/>
          <w:b w:val="0"/>
          <w:sz w:val="24"/>
          <w:szCs w:val="24"/>
          <w:lang w:val="sq-AL"/>
        </w:rPr>
        <w:t xml:space="preserve"> </w:t>
      </w:r>
      <w:bookmarkStart w:id="25" w:name="_Toc475635993"/>
      <w:r w:rsidRPr="004A0B3D">
        <w:rPr>
          <w:rFonts w:ascii="Garamond" w:hAnsi="Garamond"/>
          <w:b w:val="0"/>
          <w:sz w:val="24"/>
          <w:szCs w:val="24"/>
          <w:lang w:val="sq-AL"/>
        </w:rPr>
        <w:t>Goditja dhe shkatërrimi i rrjeteve të trafikimit</w:t>
      </w:r>
      <w:bookmarkEnd w:id="25"/>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Goditja e vendosur dhe shkatërrimi i rrjeteve kriminale të përfshira në trafikimin e lëndëve narkotike është objektivi më i rëndësishëm strategjik i këtij plani. Ky objektiv përbën dhe gurin themeltar të luftës kundër kanabisit. Përmbushja me sukses e tij ndikon në përmbushjen me sukses dhe të objektivave të tjerë. Nëpërmjet tij synohet që të shtohen dhe identifikohen masat shtrënguese dhe goditëse ligjore nga të gjitha drejtimet dhe në të gjitha nivelet.</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Objektiva specifik</w:t>
      </w:r>
      <w:r>
        <w:rPr>
          <w:rFonts w:ascii="Garamond" w:hAnsi="Garamond"/>
          <w:sz w:val="24"/>
          <w:szCs w:val="24"/>
          <w:lang w:val="sq-AL"/>
        </w:rPr>
        <w:t>ë</w:t>
      </w:r>
      <w:r w:rsidRPr="004A0B3D">
        <w:rPr>
          <w:rFonts w:ascii="Garamond" w:hAnsi="Garamond"/>
          <w:sz w:val="24"/>
          <w:szCs w:val="24"/>
          <w:lang w:val="sq-AL"/>
        </w:rPr>
        <w:t xml:space="preserve"> për goditjen dhe shkatërrimin e trafikimit janë: </w:t>
      </w:r>
    </w:p>
    <w:p w:rsidR="00B91A90" w:rsidRPr="004A0B3D" w:rsidRDefault="00B91A90" w:rsidP="00B91A90">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vigjilencës dhe shtimi i kapaciteteve të strukturave doganore, tatimore dhe bujqësore për një kontroll më rigoroz për parandalimin e trafikimit të lëndëve narkotike.</w:t>
      </w:r>
    </w:p>
    <w:p w:rsidR="00B91A90" w:rsidRPr="004A0B3D" w:rsidRDefault="00B91A90" w:rsidP="00B91A90">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Bashkëpunimi i hershëm i shërbimeve inteligjente dhe policore me strukturat homologe të vendeve të origjinës së farërave.</w:t>
      </w:r>
    </w:p>
    <w:p w:rsidR="00B91A90" w:rsidRPr="004A0B3D" w:rsidRDefault="00B91A90" w:rsidP="00B91A90">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Përmirësimi dhe intensifikimi i kontrollit kufitar nëpërmjet rritjes së bashkëpunimit të strukturave përgjegjëse për kufirin, shtimit të kapaciteteve të skanimit, rishikimit të kritereve të përcaktimit të riskut dhe kontrollit elektronik e fizik.</w:t>
      </w:r>
    </w:p>
    <w:p w:rsidR="00B91A90" w:rsidRPr="004A0B3D" w:rsidRDefault="00B91A90" w:rsidP="00B91A90">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Përmirësimi i procedurave për kontrollin e qarkullimit të parasë në pikat kufitare.</w:t>
      </w:r>
    </w:p>
    <w:p w:rsidR="00B91A90" w:rsidRPr="004A0B3D" w:rsidRDefault="00B91A90" w:rsidP="00B91A90">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Vlerësimi ndërinstitucional i riskut për mjetet e transportit në pikat kufitare, nëpërmjet përfshirjes në këtë proces të të gjithë aktorëve shtetërorë përgjegjës. Përfshirja e strukturave doganore, tatimore, policore, bujqësore, mjedisore, dhe atyre të inteligjencës në vlerësimin e riskut në transportin tokësor, detar dhe ajror ndërkombëtar</w:t>
      </w:r>
      <w:r>
        <w:rPr>
          <w:rFonts w:ascii="Garamond" w:hAnsi="Garamond"/>
          <w:sz w:val="24"/>
          <w:szCs w:val="24"/>
          <w:lang w:val="sq-AL"/>
        </w:rPr>
        <w:t>,</w:t>
      </w:r>
      <w:r w:rsidRPr="004A0B3D">
        <w:rPr>
          <w:rFonts w:ascii="Garamond" w:hAnsi="Garamond"/>
          <w:sz w:val="24"/>
          <w:szCs w:val="24"/>
          <w:lang w:val="sq-AL"/>
        </w:rPr>
        <w:t xml:space="preserve"> si dhe shtimi i konsiderueshëm i kapaciteteve dhe i frekuencës së kontrolleve fizike dhe të skanimit.</w:t>
      </w:r>
    </w:p>
    <w:p w:rsidR="00B91A90" w:rsidRPr="004A0B3D" w:rsidRDefault="00B91A90" w:rsidP="00B91A90">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Rritja e kapaciteteve operacionale njerëzore, logjistike dhe financiare i të gjitha strukturave qendrore dhe vendore të angazhuara kundër kultivimit, përdorimit dhe trafikimit të lëndëve narkotike. </w:t>
      </w:r>
    </w:p>
    <w:p w:rsidR="00B91A90" w:rsidRPr="004A0B3D" w:rsidRDefault="00B91A90" w:rsidP="00B91A90">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 xml:space="preserve">Shtimi i kapaciteteve njerëzore të strukturave të ngarkuara me kontrollin e territorit, nëpërmjet përforcimit dhe mbështetjes së kapaciteteve policore edhe nga strukturat ushtarake, të angazhuara në kontrollin e territorit në përputhje me përcaktimet përkatëse ligjore. </w:t>
      </w:r>
    </w:p>
    <w:p w:rsidR="00B91A90" w:rsidRPr="004A0B3D" w:rsidRDefault="00B91A90" w:rsidP="00B91A90">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kapaciteteve teknike të Policisë së Shtetit dhe të strukturave të tjera kryesisht me automjete të kalueshmërisë të lartë, mjete zbulimi në distanca të largëta për ditën dhe natën.</w:t>
      </w:r>
    </w:p>
    <w:p w:rsidR="00B91A90" w:rsidRPr="004A0B3D" w:rsidRDefault="00B91A90" w:rsidP="00B91A90">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Angazhimi i Autoritetit Kombëtar të Ushqimit në fushën e inspektimit të tregut të farave dhe fidanëve për parandalimin e trafikimit të farërave.</w:t>
      </w:r>
    </w:p>
    <w:p w:rsidR="00B91A90" w:rsidRPr="004A0B3D" w:rsidRDefault="00B91A90" w:rsidP="00B91A90">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dhe fuqizimi i kapaciteteve të specializuara të vëzhgimit satelitor ajror dhe detar për rritjen dhe përmirësimin e kontrollin e territorit.</w:t>
      </w:r>
    </w:p>
    <w:p w:rsidR="00B91A90" w:rsidRPr="004A0B3D" w:rsidRDefault="00B91A90" w:rsidP="00B91A90">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Bashkëpunimi me partnerë ndërkombëtarë për fuqizimin e kontrollit kufitar dhe atij të territorit nëpërmjet zgjerimit të partneriteteve ekzistuese (marrëveshjeve dy ose shumëpalëshe).</w:t>
      </w:r>
    </w:p>
    <w:p w:rsidR="00B91A90" w:rsidRPr="004A0B3D" w:rsidRDefault="00B91A90" w:rsidP="00B91A90">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përgjegjësisë dhe i kapaciteteve të Sistemit të Integruar të Vëzhgimit të Hapësirës Detare (SIVHD) për përmirësimin e monitorimit të hapësirës detare dhe shkëmbimin e informacionit.</w:t>
      </w:r>
    </w:p>
    <w:p w:rsidR="00B91A90" w:rsidRPr="004A0B3D" w:rsidRDefault="00B91A90" w:rsidP="00B91A90">
      <w:pPr>
        <w:pStyle w:val="Heading2"/>
        <w:keepNext/>
        <w:keepLines/>
        <w:numPr>
          <w:ilvl w:val="1"/>
          <w:numId w:val="47"/>
        </w:numPr>
        <w:tabs>
          <w:tab w:val="left" w:pos="540"/>
          <w:tab w:val="left" w:pos="720"/>
        </w:tabs>
        <w:spacing w:before="0"/>
        <w:ind w:left="0" w:firstLine="288"/>
        <w:rPr>
          <w:rFonts w:ascii="Garamond" w:hAnsi="Garamond"/>
          <w:b w:val="0"/>
          <w:sz w:val="24"/>
          <w:szCs w:val="24"/>
          <w:lang w:val="sq-AL"/>
        </w:rPr>
      </w:pPr>
      <w:bookmarkStart w:id="26" w:name="_Toc475635994"/>
      <w:r w:rsidRPr="004A0B3D">
        <w:rPr>
          <w:rFonts w:ascii="Garamond" w:hAnsi="Garamond"/>
          <w:b w:val="0"/>
          <w:sz w:val="24"/>
          <w:szCs w:val="24"/>
          <w:lang w:val="sq-AL"/>
        </w:rPr>
        <w:t>Reduktimi i përdorimit</w:t>
      </w:r>
      <w:bookmarkEnd w:id="26"/>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Objektivi i tretë madhor kundër fenomenit të kanabisit mbetet reduktimi i përdorimit të tij kryesisht nëpërmjet programeve informuese, ndërgjegjësuese dhe edukuese duke shënjuar grupet më të ekspozuara ndaj këtij fenomeni. Përgjigjja me masa konkrete ndaj shtimit të ofertës së drogave në shkolla, përbën një sfidë, jo vetëm për institucionet shtetërore, por edhe për të gjithë shoqërinë shqiptare për të mbrojtur grup-moshat më delikate.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Objektiva specifikë për reduktimin e përdorimit të kanabisit, janë: </w:t>
      </w:r>
    </w:p>
    <w:p w:rsidR="00B91A90" w:rsidRPr="004A0B3D" w:rsidRDefault="00B91A90" w:rsidP="00B91A90">
      <w:pPr>
        <w:pStyle w:val="ListParagraph"/>
        <w:numPr>
          <w:ilvl w:val="0"/>
          <w:numId w:val="5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Zgjerimi i programeve të informimit, ndërgjegjësimit dhe edukimit parandalues ndaj përdorimit të lëndëve narkotike në të gjithë sistemin shkollor parauniversitar, duke filluar që nga klasa e pestë;</w:t>
      </w:r>
    </w:p>
    <w:p w:rsidR="00B91A90" w:rsidRPr="004A0B3D" w:rsidRDefault="00B91A90" w:rsidP="00B91A90">
      <w:pPr>
        <w:pStyle w:val="ListParagraph"/>
        <w:numPr>
          <w:ilvl w:val="0"/>
          <w:numId w:val="5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Përforcimi i kontrolleve në shkolla, konvikte, qendra sociale dhe mjedise publike me frekuentim të lartë nga rinia;</w:t>
      </w:r>
    </w:p>
    <w:p w:rsidR="00B91A90" w:rsidRPr="004A0B3D" w:rsidRDefault="00B91A90" w:rsidP="00B91A90">
      <w:pPr>
        <w:pStyle w:val="ListParagraph"/>
        <w:numPr>
          <w:ilvl w:val="0"/>
          <w:numId w:val="5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Përforcimi i strukturave publike ambulatore, shërbimeve ditore dhe shërbimeve komunitare për trajtimin e problemeve të drogave; </w:t>
      </w:r>
    </w:p>
    <w:p w:rsidR="00B91A90" w:rsidRPr="004A0B3D" w:rsidRDefault="00B91A90" w:rsidP="00B91A90">
      <w:pPr>
        <w:pStyle w:val="ListParagraph"/>
        <w:numPr>
          <w:ilvl w:val="0"/>
          <w:numId w:val="5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Ngritja e strukturave të specializuara për trajtimin e përdoruesve të substancave narkotike dhe përmirësimi i furnizimit me barna;</w:t>
      </w:r>
    </w:p>
    <w:p w:rsidR="00B91A90" w:rsidRPr="004A0B3D" w:rsidRDefault="00B91A90" w:rsidP="00B91A90">
      <w:pPr>
        <w:pStyle w:val="ListParagraph"/>
        <w:numPr>
          <w:ilvl w:val="0"/>
          <w:numId w:val="5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Forcimi i shërbimeve sociale të specializuara për riintegrimin në shoqëri të personave të cilët janë trajtuar nga shërbimet përkatëse;</w:t>
      </w:r>
    </w:p>
    <w:p w:rsidR="00B91A90" w:rsidRPr="004A0B3D" w:rsidRDefault="00B91A90" w:rsidP="00B91A90">
      <w:pPr>
        <w:pStyle w:val="ListParagraph"/>
        <w:numPr>
          <w:ilvl w:val="0"/>
          <w:numId w:val="5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i një sistemi kualifikimi dhe shtimi i personelit të specializuar për trajtimin e problematikave të drogave dhe atyre të varësisë;</w:t>
      </w:r>
    </w:p>
    <w:p w:rsidR="00B91A90" w:rsidRPr="004A0B3D" w:rsidRDefault="00B91A90" w:rsidP="00B91A90">
      <w:pPr>
        <w:pStyle w:val="ListParagraph"/>
        <w:numPr>
          <w:ilvl w:val="0"/>
          <w:numId w:val="5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Ndërhyrje ligjore që brenda kësaj kategorie të diferencohen fëmijët, ndaj të cilëve duhet të veprojnë mekanizma mbrojtëse. Rastet e tyre duhet të konsiderohen si raste të punës së fëmijëve dhe të trajtohen nga mekanizmat e mbrojtjes së fëmijëve. Përfshirja e fëmijëve, sidomos atyre nën 16 vjeç duhet të konsiderohet si rrethanë rënduese në caktimin e dënimit për trafikantët.</w:t>
      </w:r>
    </w:p>
    <w:p w:rsidR="00B91A90" w:rsidRPr="004A0B3D" w:rsidRDefault="00B91A90" w:rsidP="00B91A90">
      <w:pPr>
        <w:pStyle w:val="Heading1"/>
        <w:keepLines/>
        <w:numPr>
          <w:ilvl w:val="0"/>
          <w:numId w:val="44"/>
        </w:numPr>
        <w:tabs>
          <w:tab w:val="left" w:pos="540"/>
          <w:tab w:val="left" w:pos="720"/>
        </w:tabs>
        <w:spacing w:before="0" w:after="0"/>
        <w:ind w:left="0" w:firstLine="288"/>
        <w:rPr>
          <w:rFonts w:ascii="Garamond" w:hAnsi="Garamond"/>
          <w:b w:val="0"/>
          <w:sz w:val="24"/>
          <w:szCs w:val="24"/>
          <w:lang w:val="sq-AL"/>
        </w:rPr>
      </w:pPr>
      <w:bookmarkStart w:id="27" w:name="_Toc475635995"/>
      <w:r w:rsidRPr="004A0B3D">
        <w:rPr>
          <w:rFonts w:ascii="Garamond" w:hAnsi="Garamond"/>
          <w:b w:val="0"/>
          <w:sz w:val="24"/>
          <w:szCs w:val="24"/>
          <w:lang w:val="sq-AL"/>
        </w:rPr>
        <w:t>Objektiva të përgjithshëm</w:t>
      </w:r>
      <w:bookmarkEnd w:id="27"/>
    </w:p>
    <w:p w:rsidR="00B91A90" w:rsidRPr="005B6C1E" w:rsidRDefault="00B91A90" w:rsidP="00B91A90">
      <w:pPr>
        <w:pStyle w:val="Heading3"/>
        <w:keepNext/>
        <w:keepLines/>
        <w:numPr>
          <w:ilvl w:val="1"/>
          <w:numId w:val="44"/>
        </w:numPr>
        <w:tabs>
          <w:tab w:val="left" w:pos="540"/>
          <w:tab w:val="left" w:pos="720"/>
        </w:tabs>
        <w:spacing w:before="0" w:line="240" w:lineRule="auto"/>
        <w:ind w:left="0" w:firstLine="288"/>
        <w:rPr>
          <w:rFonts w:ascii="Garamond" w:hAnsi="Garamond"/>
          <w:color w:val="2E74B5"/>
          <w:lang w:val="sq-AL"/>
        </w:rPr>
      </w:pPr>
      <w:bookmarkStart w:id="28" w:name="_Toc475635996"/>
      <w:r w:rsidRPr="005B6C1E">
        <w:rPr>
          <w:rFonts w:ascii="Garamond" w:hAnsi="Garamond"/>
          <w:color w:val="2E74B5"/>
          <w:lang w:val="sq-AL"/>
        </w:rPr>
        <w:t>Informimi dhe komunikimi</w:t>
      </w:r>
      <w:bookmarkEnd w:id="28"/>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Informimi dhe ndërgjegjësimi i publikut rreth rreziqeve, dëmeve dhe pasojave individuale, familjare dhe shoqërore që sjell indiferenca apo përfshirja në veprimtaritë kriminale të përdorimit, kultivimit, apo trafikimit të lëndëve narkotike është një objektiv i rëndësishëm i këtij plani.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Përdorimi i kombinuar i mediave tradicionale dhe bashkëkohore në një proces të mirorganizuar për informimin publik është një mjet i rëndësishëm për ndërgjegjësimin e shoqërisë. Krahas përdorimit të mediave tradicionale, rëndësi të veçantë ka përdorimi i mediave bashkëkohore si mjete të përshtatshme për të përcjellë informacionin te të rinjtë, me qëllim mbajtjen e tyre larg kultivimit, trafikimit dhe përdorimit të lëndëve narkotike.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lastRenderedPageBreak/>
        <w:t>Mediat të përdoren jo vetëm, si mjete për të përcjellë informacione të dobishme për informimin, ndërgjegjësimin dhe edukimin publik, por edhe për sigurimin e informacioneve nga qytetarët për goditjen e fenomenit.</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Portale të dedikuara të ofrojnë informacione dhe programe edukimi kundër lëndëve narkotike, me qëllim që të rinjtë të gjejnë informacion të dobishëm për t’u mbrojtur nga efektet dhe pasojat e përdorimit të tyre.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Nëpërmjet mediave të inkurajohet angazhimi në fushatat e ndërgjegjësimit, të informimit dhe të edukimit i zërave të rëndësishëm publikë dhe i ekspertëve të edukimit, shëndetësisë, artit, sportit, policisë etj.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Rritja e pranisë së policisë në rrjetet dhe mediat sociale është një masë e rëndësishme, përmes të cilës do të rriten mundësitë e komunikimit të saj me qytetarët dhe veçanërisht me të rinjtë.</w:t>
      </w:r>
    </w:p>
    <w:p w:rsidR="00B91A90" w:rsidRPr="002D5C82" w:rsidRDefault="00B91A90" w:rsidP="00B91A90">
      <w:pPr>
        <w:pStyle w:val="Heading3"/>
        <w:keepNext/>
        <w:keepLines/>
        <w:numPr>
          <w:ilvl w:val="1"/>
          <w:numId w:val="44"/>
        </w:numPr>
        <w:tabs>
          <w:tab w:val="left" w:pos="540"/>
          <w:tab w:val="left" w:pos="720"/>
        </w:tabs>
        <w:spacing w:before="0" w:line="240" w:lineRule="auto"/>
        <w:ind w:left="0" w:firstLine="288"/>
        <w:rPr>
          <w:rFonts w:ascii="Garamond" w:hAnsi="Garamond"/>
          <w:lang w:val="sq-AL"/>
        </w:rPr>
      </w:pPr>
      <w:bookmarkStart w:id="29" w:name="_Toc475635997"/>
      <w:r w:rsidRPr="002D5C82">
        <w:rPr>
          <w:rFonts w:ascii="Garamond" w:hAnsi="Garamond"/>
          <w:color w:val="2E74B5"/>
          <w:lang w:val="sq-AL"/>
        </w:rPr>
        <w:t>Bashkëpunimi dhe koordinimi</w:t>
      </w:r>
      <w:bookmarkEnd w:id="29"/>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Në krye të përpjekjes shtetërore për parandalimin dhe goditjen e kultivimit, përdorimit dhe trafikimit të lëndëve narkotike është Komiteti Ndërministror (KN) me pjesëmarrjen e ministrave dhe zyrtarëve të tjerë të lartë. Misioni i këtij komiteti është miratimi i politikave dhe vendimeve të rëndësishme, përcaktimi i përparësive, akordimi i burimeve financiare dhe materiale, si dhe drejtimi i veprimtarisë së Task-Forcës Qendrore (TFQ).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TFQ-ja është një strukturë operacionale në nivel qendror e cila koordinon, orienton dhe kontrollon veprimtarinë e strukturave qendrore dhe vendore të ngarkuara me zbatimin e këtij plani. TQF funksionon përgjatë gjithë kohës së vlefshmërisë së këtij plani.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Detyrat e TFQ përfshijnë koordinimin operacional në nivel qendror, analizat e përbashkëta të gjendjes, matjen dhe vlerësimin e suksesit të strukturave të ngarkuara me zbatimit të këtij plani, si dhe mbështetjen e tyre me mjetet e nevojshme. Në përbërje të TFQ janë përfaqësues të Policisë së Shtetit, të Prokurorisë, të Shërbimit Informativ të Shtetit, të Drejtorisë së Përgjithshme të Parandalimit të Pastrimit të Parave, të Drejtorisë së Hetimit Doganor, të Drejtorisë së Përgjithshme të Tatimeve (DPT), të Shtabit të Përgjithshëm të FA dhe të strukturave të tjera që kanë detyrime në kuadër të këtij plani.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nivel vendor ngrihen dhe funksionojnë Task-Forcat vendore (TFV) në përbërje të të cilave janë përfaqësues lokalë të institucioneve të përfaqësuar në TFQ, përfaqësues të pushtetit vendor dhe të bashkive.</w:t>
      </w:r>
    </w:p>
    <w:p w:rsidR="00B91A90" w:rsidRPr="004A0B3D" w:rsidRDefault="00B91A90" w:rsidP="00B91A90">
      <w:pPr>
        <w:tabs>
          <w:tab w:val="left" w:pos="540"/>
          <w:tab w:val="left" w:pos="720"/>
        </w:tabs>
        <w:spacing w:after="0" w:line="240" w:lineRule="auto"/>
        <w:ind w:firstLine="288"/>
        <w:rPr>
          <w:rFonts w:ascii="Garamond" w:hAnsi="Garamond"/>
          <w:b/>
          <w:lang w:val="sq-AL"/>
        </w:rPr>
      </w:pPr>
      <w:r w:rsidRPr="004A0B3D">
        <w:rPr>
          <w:rFonts w:ascii="Garamond" w:hAnsi="Garamond"/>
          <w:sz w:val="24"/>
          <w:szCs w:val="24"/>
          <w:lang w:val="sq-AL"/>
        </w:rPr>
        <w:t>Krijimi i një fondi qeveritar për të financuar programet mbështetëse për banorët e zonave rurale të rrezikuara nga përfshirja në veprimtari të paligjshme, është instrumenti që mundëson jetësimin e objektivave të kësaj strategjie. Fondi të krijohet nga kontributi i qeverisë, i autoriteteve vendore dhe i donatorëve.</w:t>
      </w:r>
    </w:p>
    <w:p w:rsidR="00B91A90" w:rsidRPr="004A0B3D" w:rsidRDefault="00B91A90" w:rsidP="00B91A90">
      <w:pPr>
        <w:pStyle w:val="Heading1"/>
        <w:tabs>
          <w:tab w:val="left" w:pos="540"/>
          <w:tab w:val="left" w:pos="720"/>
        </w:tabs>
        <w:spacing w:before="0" w:after="0"/>
        <w:ind w:firstLine="288"/>
        <w:rPr>
          <w:rFonts w:ascii="Garamond" w:hAnsi="Garamond"/>
          <w:b w:val="0"/>
          <w:sz w:val="24"/>
          <w:szCs w:val="24"/>
          <w:lang w:val="sq-AL"/>
        </w:rPr>
      </w:pPr>
      <w:bookmarkStart w:id="30" w:name="_Toc475635998"/>
    </w:p>
    <w:p w:rsidR="00B91A90" w:rsidRPr="004A0B3D" w:rsidRDefault="00B91A90" w:rsidP="00B91A90">
      <w:pPr>
        <w:pStyle w:val="Heading1"/>
        <w:tabs>
          <w:tab w:val="left" w:pos="540"/>
          <w:tab w:val="left" w:pos="720"/>
        </w:tabs>
        <w:spacing w:before="0" w:after="0"/>
        <w:ind w:firstLine="288"/>
        <w:jc w:val="center"/>
        <w:rPr>
          <w:rFonts w:ascii="Garamond" w:hAnsi="Garamond"/>
          <w:b w:val="0"/>
          <w:sz w:val="24"/>
          <w:szCs w:val="24"/>
          <w:lang w:val="sq-AL"/>
        </w:rPr>
      </w:pPr>
      <w:r w:rsidRPr="004A0B3D">
        <w:rPr>
          <w:rFonts w:ascii="Garamond" w:hAnsi="Garamond"/>
          <w:b w:val="0"/>
          <w:sz w:val="24"/>
          <w:szCs w:val="24"/>
          <w:lang w:val="sq-AL"/>
        </w:rPr>
        <w:t>KAPITULLI III</w:t>
      </w:r>
    </w:p>
    <w:p w:rsidR="00B91A90" w:rsidRPr="004A0B3D" w:rsidRDefault="00B91A90" w:rsidP="00B91A90">
      <w:pPr>
        <w:pStyle w:val="Heading1"/>
        <w:tabs>
          <w:tab w:val="left" w:pos="540"/>
          <w:tab w:val="left" w:pos="720"/>
        </w:tabs>
        <w:spacing w:before="0" w:after="0"/>
        <w:ind w:firstLine="288"/>
        <w:jc w:val="center"/>
        <w:rPr>
          <w:rFonts w:ascii="Garamond" w:hAnsi="Garamond"/>
          <w:b w:val="0"/>
          <w:sz w:val="24"/>
          <w:szCs w:val="24"/>
          <w:lang w:val="sq-AL"/>
        </w:rPr>
      </w:pPr>
      <w:r w:rsidRPr="004A0B3D">
        <w:rPr>
          <w:rFonts w:ascii="Garamond" w:hAnsi="Garamond"/>
          <w:b w:val="0"/>
          <w:sz w:val="24"/>
          <w:szCs w:val="24"/>
          <w:lang w:val="sq-AL"/>
        </w:rPr>
        <w:t>PLANI I VEPRIMIT</w:t>
      </w:r>
      <w:bookmarkEnd w:id="30"/>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1"/>
        <w:tabs>
          <w:tab w:val="left" w:pos="540"/>
          <w:tab w:val="left" w:pos="720"/>
        </w:tabs>
        <w:spacing w:before="0" w:after="0"/>
        <w:ind w:firstLine="288"/>
        <w:rPr>
          <w:rFonts w:ascii="Garamond" w:hAnsi="Garamond"/>
          <w:b w:val="0"/>
          <w:sz w:val="24"/>
          <w:szCs w:val="24"/>
          <w:lang w:val="sq-AL"/>
        </w:rPr>
      </w:pPr>
      <w:bookmarkStart w:id="31" w:name="_Toc475635999"/>
      <w:r w:rsidRPr="004A0B3D">
        <w:rPr>
          <w:rFonts w:ascii="Garamond" w:hAnsi="Garamond"/>
          <w:b w:val="0"/>
          <w:sz w:val="24"/>
          <w:szCs w:val="24"/>
          <w:lang w:val="sq-AL"/>
        </w:rPr>
        <w:t>Objektivi A: Goditja dhe shkatërrimi i kultivimit të kanabisit</w:t>
      </w:r>
      <w:bookmarkEnd w:id="31"/>
    </w:p>
    <w:p w:rsidR="00B91A90" w:rsidRPr="004A0B3D" w:rsidRDefault="00B91A90" w:rsidP="00B91A90">
      <w:pPr>
        <w:tabs>
          <w:tab w:val="left" w:pos="540"/>
          <w:tab w:val="left" w:pos="720"/>
        </w:tabs>
        <w:spacing w:after="0" w:line="240" w:lineRule="auto"/>
        <w:ind w:firstLine="288"/>
        <w:rPr>
          <w:rFonts w:ascii="Garamond" w:hAnsi="Garamond"/>
          <w:color w:val="2E74B5"/>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32" w:name="_Toc475636000"/>
      <w:r w:rsidRPr="004A0B3D">
        <w:rPr>
          <w:rFonts w:ascii="Garamond" w:hAnsi="Garamond"/>
          <w:b w:val="0"/>
          <w:sz w:val="24"/>
          <w:szCs w:val="24"/>
          <w:u w:val="single"/>
          <w:lang w:val="sq-AL"/>
        </w:rPr>
        <w:t>Masa A.1: Shënjimi dhe shkatërrimi i grupeve të krimit të organizuar të përfshira në prodhimin e kanabisit</w:t>
      </w:r>
      <w:bookmarkEnd w:id="32"/>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Identifikimi, parandalimi, zbulimi, dokumentimi, goditja dhe shkatërrimi i grupeve kriminale.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Përditësimi dhe analizimi i të dhënave të organeve ligjzbatuese, përdorimi i informacionit të siguruar nga partnerët ndërkombëtarë, intensifikimi i hetimeve komplekse dhe të përbashkëta, duke </w:t>
      </w:r>
      <w:r w:rsidRPr="004A0B3D">
        <w:rPr>
          <w:rFonts w:ascii="Garamond" w:hAnsi="Garamond"/>
          <w:sz w:val="24"/>
          <w:szCs w:val="24"/>
          <w:lang w:val="sq-AL"/>
        </w:rPr>
        <w:lastRenderedPageBreak/>
        <w:t>përfshirë edhe aplikimin e metodave speciale të hetimit, mundëson zbulimin dhe goditjen e grupeve kriminale (financuesve, organizatorëve, trafikantëve, ndërlidhës, kultivues dhe shpërndarës).</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Financuesit konsiderohen si kategoria më e rrezikshme në të gjithë aktivitetin kriminal të kultivimit, përdorimit dhe të trafikimit të lëndëve narkotike dhe për këtë arsye, identifikimi dhe goditja e tyre është prioritet i dorës së parë.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goditjen efikase të financave që mundësojnë kultivimin dhe trafikimin e lëndëve narkotike të merren masat e mëposhtme:</w:t>
      </w:r>
    </w:p>
    <w:p w:rsidR="00B91A90" w:rsidRPr="004A0B3D" w:rsidRDefault="00B91A90" w:rsidP="00B91A90">
      <w:pPr>
        <w:pStyle w:val="ListParagraph"/>
        <w:numPr>
          <w:ilvl w:val="0"/>
          <w:numId w:val="5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Njësia e inteligjencës financiare shtetërore, Drejtoria e Përgjithshme e Parandalimit të Pastrimit të Parave (DPPP), strukturat e inteligjencës, të prokurorisë, të policisë, të hetimit tatimor dhe doganor të ndërtojnë njësi të përbashkëta dhe në bashkëpunim me struktura partnere homologe ndërkombëtare, të mbledhin dhe të analizojnë informacionin për të arritur hetimin kompleks dhe procedimit penal të suksesshëm.</w:t>
      </w:r>
    </w:p>
    <w:p w:rsidR="00B91A90" w:rsidRPr="004A0B3D" w:rsidRDefault="00B91A90" w:rsidP="00B91A90">
      <w:pPr>
        <w:pStyle w:val="ListParagraph"/>
        <w:numPr>
          <w:ilvl w:val="0"/>
          <w:numId w:val="5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DPPP dhe njësitë e përbashkëta hetimore të financave të intensifikojnë bashkëpunimin dhe inspektimet e bazuara në subjekte që kanë detyrim të evidentojnë transaksionet financiare si: institucionet bankare, zyrat noteriale, shoqëritë e transfertave monetare, Zyra Qendrore e Regjistrimit të Pasurive të Paluajtshme, zyrat e këmbimit valutor, ekspertë kontabël dhe kontabilistë të miratuar, kompanitë e sigurimeve, subjekte të lojërave të fatit, shoqëritë e qiradhënies financiare (Leasing) etj.</w:t>
      </w:r>
    </w:p>
    <w:p w:rsidR="00B91A90" w:rsidRPr="004A0B3D" w:rsidRDefault="00B91A90" w:rsidP="00B91A90">
      <w:pPr>
        <w:pStyle w:val="ListParagraph"/>
        <w:numPr>
          <w:ilvl w:val="0"/>
          <w:numId w:val="5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rishikohet legjislacioni penal për të diferencuar dënimet penale në përpjesëtim me sasitë e lëndës narkotike të kultivuar/konsumuar/trafikuar.</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2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Lista e grupeve kriminale të identifikuara dhe të proceduar;</w:t>
      </w:r>
    </w:p>
    <w:p w:rsidR="00B91A90" w:rsidRPr="004A0B3D" w:rsidRDefault="00B91A90" w:rsidP="00B91A90">
      <w:pPr>
        <w:pStyle w:val="ListParagraph"/>
        <w:numPr>
          <w:ilvl w:val="0"/>
          <w:numId w:val="2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Lista e grupeve kriminale të goditura/shkatërruara;</w:t>
      </w:r>
    </w:p>
    <w:p w:rsidR="00B91A90" w:rsidRPr="004A0B3D" w:rsidRDefault="00B91A90" w:rsidP="00B91A90">
      <w:pPr>
        <w:pStyle w:val="ListParagraph"/>
        <w:numPr>
          <w:ilvl w:val="0"/>
          <w:numId w:val="2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Lista e personave të dënuar;</w:t>
      </w:r>
    </w:p>
    <w:p w:rsidR="00B91A90" w:rsidRPr="004A0B3D" w:rsidRDefault="00B91A90" w:rsidP="00B91A90">
      <w:pPr>
        <w:pStyle w:val="ListParagraph"/>
        <w:numPr>
          <w:ilvl w:val="0"/>
          <w:numId w:val="2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Ndryshime të legjislacionit.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Institucioni përgjegjës </w:t>
      </w:r>
    </w:p>
    <w:p w:rsidR="00B91A90" w:rsidRPr="004A0B3D" w:rsidRDefault="00B91A90" w:rsidP="00B91A90">
      <w:pPr>
        <w:pStyle w:val="ListParagraph"/>
        <w:numPr>
          <w:ilvl w:val="0"/>
          <w:numId w:val="2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r>
        <w:rPr>
          <w:rFonts w:ascii="Garamond" w:hAnsi="Garamond"/>
          <w:sz w:val="24"/>
          <w:szCs w:val="24"/>
          <w:lang w:val="sq-AL"/>
        </w:rPr>
        <w: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2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Financave (MF);</w:t>
      </w:r>
    </w:p>
    <w:p w:rsidR="00B91A90" w:rsidRPr="004A0B3D" w:rsidRDefault="00B91A90" w:rsidP="00B91A90">
      <w:pPr>
        <w:pStyle w:val="ListParagraph"/>
        <w:numPr>
          <w:ilvl w:val="0"/>
          <w:numId w:val="2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Prokuroria;</w:t>
      </w:r>
    </w:p>
    <w:p w:rsidR="00B91A90" w:rsidRPr="004A0B3D" w:rsidRDefault="00B91A90" w:rsidP="00B91A90">
      <w:pPr>
        <w:pStyle w:val="ListParagraph"/>
        <w:numPr>
          <w:ilvl w:val="0"/>
          <w:numId w:val="2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Shërbimet e Inteligjencës; </w:t>
      </w:r>
    </w:p>
    <w:p w:rsidR="00B91A90" w:rsidRPr="004A0B3D" w:rsidRDefault="00B91A90" w:rsidP="00B91A90">
      <w:pPr>
        <w:pStyle w:val="ListParagraph"/>
        <w:numPr>
          <w:ilvl w:val="0"/>
          <w:numId w:val="2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Ministria e Bujqësisë, Zhvillimit Rural dhe Administrimit të Ujërave (MBZHRAU); </w:t>
      </w:r>
    </w:p>
    <w:p w:rsidR="00B91A90" w:rsidRPr="004A0B3D" w:rsidRDefault="00B91A90" w:rsidP="00B91A90">
      <w:pPr>
        <w:pStyle w:val="ListParagraph"/>
        <w:numPr>
          <w:ilvl w:val="0"/>
          <w:numId w:val="2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Mjedisit (MMJ);</w:t>
      </w:r>
    </w:p>
    <w:p w:rsidR="00B91A90" w:rsidRPr="004A0B3D" w:rsidRDefault="00B91A90" w:rsidP="00B91A90">
      <w:pPr>
        <w:pStyle w:val="ListParagraph"/>
        <w:numPr>
          <w:ilvl w:val="0"/>
          <w:numId w:val="2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Organet e qeverisjes vendore.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Indikatorë të matshëm </w:t>
      </w:r>
    </w:p>
    <w:p w:rsidR="00B91A90" w:rsidRPr="004A0B3D" w:rsidRDefault="00B91A90" w:rsidP="00B91A90">
      <w:pPr>
        <w:pStyle w:val="ListParagraph"/>
        <w:numPr>
          <w:ilvl w:val="0"/>
          <w:numId w:val="3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grupeve kriminale të identifikuara;</w:t>
      </w:r>
    </w:p>
    <w:p w:rsidR="00B91A90" w:rsidRPr="004A0B3D" w:rsidRDefault="00B91A90" w:rsidP="00B91A90">
      <w:pPr>
        <w:pStyle w:val="ListParagraph"/>
        <w:numPr>
          <w:ilvl w:val="0"/>
          <w:numId w:val="3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grupeve kriminale të goditura/shkatërruara;</w:t>
      </w:r>
    </w:p>
    <w:p w:rsidR="00B91A90" w:rsidRPr="004A0B3D" w:rsidRDefault="00B91A90" w:rsidP="00B91A90">
      <w:pPr>
        <w:pStyle w:val="ListParagraph"/>
        <w:numPr>
          <w:ilvl w:val="0"/>
          <w:numId w:val="3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Vlera e aseteve kriminale të zbuluara dhe të sekuestruara;</w:t>
      </w:r>
    </w:p>
    <w:p w:rsidR="00B91A90" w:rsidRPr="004A0B3D" w:rsidRDefault="00B91A90" w:rsidP="00B91A90">
      <w:pPr>
        <w:pStyle w:val="ListParagraph"/>
        <w:numPr>
          <w:ilvl w:val="0"/>
          <w:numId w:val="3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çështjeve të referuara në prokurori;</w:t>
      </w:r>
    </w:p>
    <w:p w:rsidR="00B91A90" w:rsidRPr="004A0B3D" w:rsidRDefault="00B91A90" w:rsidP="00B91A90">
      <w:pPr>
        <w:pStyle w:val="ListParagraph"/>
        <w:numPr>
          <w:ilvl w:val="0"/>
          <w:numId w:val="3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personave të dënuar.</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33" w:name="_Toc475636001"/>
      <w:r w:rsidRPr="004A0B3D">
        <w:rPr>
          <w:rFonts w:ascii="Garamond" w:hAnsi="Garamond"/>
          <w:b w:val="0"/>
          <w:sz w:val="24"/>
          <w:szCs w:val="24"/>
          <w:u w:val="single"/>
          <w:lang w:val="sq-AL"/>
        </w:rPr>
        <w:t>Masa A.2: Shkurajimi i pjesëmarrjes së qytetarëve në kultivimin e bimëve narkotike dhe nxitja e veprimtarive të ligjshme ekonomike</w:t>
      </w:r>
      <w:bookmarkEnd w:id="33"/>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lastRenderedPageBreak/>
        <w:t>Parandalimi i përfshirjes së qytetarëve në kultivimin e kanabisit, nëpërmjet përdorimit të kombinuar të masave shtrënguese ligjore dhe programeve të zhvillimit ekonomik.</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Kategoria e “punëtorëve” është më e madhja në numër në aktivitetin kriminal të kultivimit. Kultivuesit e kanabisit paguhen kryesisht vetëm për punën e krahut, ndaj parandalimi i përfshirjes së tyre në këtë aktivitet kriminal është një mundësi reale. Punëtorët e krahut rekrutohen nga radhët e qytetarëve të zonave periferike apo rurale, kryesisht të papunë dhe me kushte ekonomike e sociale të vështira.</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përmbushjen e qëllimit të merren masat e mëposhtme:</w:t>
      </w:r>
    </w:p>
    <w:p w:rsidR="00B91A90" w:rsidRPr="004A0B3D" w:rsidRDefault="00B91A90" w:rsidP="00B91A90">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ndërgjegjësohen qytetarët për pasojat ligjore për përfshirjen në veprimtarinë kriminale të kultivimit të kanabisit. </w:t>
      </w:r>
    </w:p>
    <w:p w:rsidR="00B91A90" w:rsidRPr="004A0B3D" w:rsidRDefault="00B91A90" w:rsidP="00B91A90">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nxitet vetëpunësimi, përmes lehtësimit të skemave të financimit dhe krijimit të alternativave të ligjshme të punësimit për qytetarët me risk. </w:t>
      </w:r>
    </w:p>
    <w:p w:rsidR="00B91A90" w:rsidRPr="004A0B3D" w:rsidRDefault="00B91A90" w:rsidP="00B91A90">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realizohet shtrirja e programeve të ndihmës ekonomike për familjet në nevojë, në zonat e rriskuara, duke synuar mbështetje ekonomike për familjet, që nuk mund të angazhohen në programet e vetëpunësimit.</w:t>
      </w:r>
    </w:p>
    <w:p w:rsidR="00B91A90" w:rsidRPr="004A0B3D" w:rsidRDefault="00B91A90" w:rsidP="00B91A90">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realizohet shtrirja e programeve të strehimit edhe në zona rurale, duke synuar mbështetjen e familjeve në pamundësi absolute për të zgjidhur vetë çështjen e strehimit. </w:t>
      </w:r>
    </w:p>
    <w:p w:rsidR="00B91A90" w:rsidRPr="004A0B3D" w:rsidRDefault="00B91A90" w:rsidP="00B91A90">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mbulohen shpenzimet për shkollim dhe strehim të fëmijëve të familjeve në nevojë, të zonave të thella malore dhe rurale duke synuar shkollimin e përshtatshëm të tyre në qendra urbane. </w:t>
      </w:r>
    </w:p>
    <w:p w:rsidR="00B91A90" w:rsidRPr="004A0B3D" w:rsidRDefault="00B91A90" w:rsidP="00B91A90">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ofrohen tekste shkollore falas për fëmijët e familjeve në nevojë, në zonat e identifikuara si problematike, duke iu mundësuar këtyre fëmijëve frekuentimin e shkollës.</w:t>
      </w:r>
    </w:p>
    <w:p w:rsidR="00B91A90" w:rsidRPr="004A0B3D" w:rsidRDefault="00B91A90" w:rsidP="00B91A90">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adaptohen programe të trajnimit profesional për banorët e zonave me risk, me qëllim rritjen e mundësive të punësimit dhe të vetëpunësimit për të rinjtë dhe gratë. </w:t>
      </w:r>
    </w:p>
    <w:p w:rsidR="00B91A90" w:rsidRPr="004A0B3D" w:rsidRDefault="00B91A90" w:rsidP="00B91A90">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krijohen lehtësira fiskale, të hiqen disa taksa të papërshtatshme dhe të falen detyrimet e prapambetura nga taksat mbi tokën, për banorët e zonave me risk. </w:t>
      </w:r>
    </w:p>
    <w:p w:rsidR="00B91A90" w:rsidRPr="004A0B3D" w:rsidRDefault="00B91A90" w:rsidP="00B91A90">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riorientohen programet e mbështetjes bujqësore drejt fermerëve të rriskuar duke synuar mbështetjen e tyre financiare. Në kuadër të këtyre programeve të posaçme, çdo vit të vihen në dispozicion të kësaj kategorie rreth 10% e buxhetit të parashikuar për mbështetjen e prodhimit bujqësor.</w:t>
      </w:r>
    </w:p>
    <w:p w:rsidR="00B91A90" w:rsidRPr="004A0B3D" w:rsidRDefault="00B91A90" w:rsidP="00B91A90">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zhvillohen programe për të motivuar, nxitur dhe mbështetur kultivimin e bimëve mjekësore, apo të kulturave të tjera të ligjshme bujqësore, prej të cilave sigurohen po aq përfitime sa nga kultivimi.</w:t>
      </w:r>
    </w:p>
    <w:p w:rsidR="00B91A90" w:rsidRPr="004A0B3D" w:rsidRDefault="00B91A90" w:rsidP="00B91A90">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nxiten dhe mbështeten studime shkencore për të gjetur rrugë të reja të zhvillimit bujqësor (zëvendësimi i produkteve) duke inkuadruar, angazhuar universitetet, United Nations Office on Drugs and Crime (UNODC). </w:t>
      </w:r>
    </w:p>
    <w:p w:rsidR="00B91A90" w:rsidRPr="004A0B3D" w:rsidRDefault="00B91A90" w:rsidP="00B91A90">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zhvillohen projekte/programe të reja për blegtorinë. </w:t>
      </w:r>
    </w:p>
    <w:p w:rsidR="00B91A90" w:rsidRPr="004A0B3D" w:rsidRDefault="00B91A90" w:rsidP="00B91A90">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color w:val="000000"/>
          <w:sz w:val="24"/>
          <w:szCs w:val="24"/>
          <w:lang w:val="sq-AL"/>
        </w:rPr>
        <w:t xml:space="preserve">Të përfshihen me prioritet, në programet e posaçme të nxitjes së punësimit, grupet e rriskuara </w:t>
      </w:r>
      <w:r w:rsidRPr="004A0B3D">
        <w:rPr>
          <w:rFonts w:ascii="Garamond" w:hAnsi="Garamond"/>
          <w:sz w:val="24"/>
          <w:szCs w:val="24"/>
          <w:lang w:val="sq-AL"/>
        </w:rPr>
        <w:t>për përfshirjen në veprimtarinë kriminale të kultivimit të kanabisit</w:t>
      </w:r>
      <w:r w:rsidRPr="004A0B3D">
        <w:rPr>
          <w:rFonts w:ascii="Garamond" w:hAnsi="Garamond"/>
          <w:color w:val="000000"/>
          <w:sz w:val="24"/>
          <w:szCs w:val="24"/>
          <w:lang w:val="sq-AL"/>
        </w:rPr>
        <w:t xml:space="preserve">, siç janë personat me aftësi të kufizuar, jetimët, gratë kryefamiljare, të rinjtë, pjesëtarë të komuniteteve të margjinalizuara etj. </w:t>
      </w:r>
    </w:p>
    <w:p w:rsidR="00B91A90" w:rsidRPr="004A0B3D" w:rsidRDefault="00B91A90" w:rsidP="00B91A90">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krijohet një fond i posaçëm në buxhetin e shtetit, i cili alokon mjetet e nevojshme financiare nëpërmjet përdorimit të të ardhurave të buxhetit të shtetit dhe kontributeve të partnerëve ndërkombëtarë e donatorëve.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8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Reduktimi progresiv vjetor i sipërfaqeve të pa kultivuara dhe mbjellja e tyre me bimë bujqësore;</w:t>
      </w:r>
    </w:p>
    <w:p w:rsidR="00B91A90" w:rsidRPr="004A0B3D" w:rsidRDefault="00B91A90" w:rsidP="00B91A90">
      <w:pPr>
        <w:pStyle w:val="ListParagraph"/>
        <w:numPr>
          <w:ilvl w:val="0"/>
          <w:numId w:val="8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Rritja e niveleve të punësimit në zonat rurale;</w:t>
      </w:r>
    </w:p>
    <w:p w:rsidR="00B91A90" w:rsidRPr="004A0B3D" w:rsidRDefault="00B91A90" w:rsidP="00B91A90">
      <w:pPr>
        <w:pStyle w:val="ListParagraph"/>
        <w:numPr>
          <w:ilvl w:val="0"/>
          <w:numId w:val="8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Zgjerimi i sipërfaqeve bujqësore të kultivuara me kultura alternative </w:t>
      </w:r>
    </w:p>
    <w:p w:rsidR="00B91A90" w:rsidRPr="004A0B3D" w:rsidRDefault="00B91A90" w:rsidP="00B91A90">
      <w:pPr>
        <w:pStyle w:val="ListParagraph"/>
        <w:numPr>
          <w:ilvl w:val="0"/>
          <w:numId w:val="8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Zhvillimi i programeve socio-ekonomike.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B91A90" w:rsidRPr="004A0B3D" w:rsidRDefault="00B91A90" w:rsidP="00B91A90">
      <w:pPr>
        <w:pStyle w:val="ListParagraph"/>
        <w:numPr>
          <w:ilvl w:val="0"/>
          <w:numId w:val="8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MBZHRAU.</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Institucione të tjera </w:t>
      </w:r>
    </w:p>
    <w:p w:rsidR="00B91A90" w:rsidRPr="004A0B3D" w:rsidRDefault="00B91A90" w:rsidP="00B91A90">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MF; </w:t>
      </w:r>
    </w:p>
    <w:p w:rsidR="00B91A90" w:rsidRPr="004A0B3D" w:rsidRDefault="00B91A90" w:rsidP="00B91A90">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Mirëqenies Sociale dhe Rinisë (MMSR);</w:t>
      </w:r>
    </w:p>
    <w:p w:rsidR="00B91A90" w:rsidRPr="004A0B3D" w:rsidRDefault="00B91A90" w:rsidP="00B91A90">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Ministria e Integrimit; </w:t>
      </w:r>
    </w:p>
    <w:p w:rsidR="00B91A90" w:rsidRPr="004A0B3D" w:rsidRDefault="00B91A90" w:rsidP="00B91A90">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Arsimit dhe Sportit (MAS);</w:t>
      </w:r>
    </w:p>
    <w:p w:rsidR="00B91A90" w:rsidRPr="004A0B3D" w:rsidRDefault="00B91A90" w:rsidP="00B91A90">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Drejtësisë (MD);</w:t>
      </w:r>
    </w:p>
    <w:p w:rsidR="00B91A90" w:rsidRPr="004A0B3D" w:rsidRDefault="00B91A90" w:rsidP="00B91A90">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Shërbimi Social Shtetëror; </w:t>
      </w:r>
    </w:p>
    <w:p w:rsidR="00B91A90" w:rsidRPr="004A0B3D" w:rsidRDefault="00B91A90" w:rsidP="00B91A90">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Organet e qeverisjes vendore;</w:t>
      </w:r>
    </w:p>
    <w:p w:rsidR="00B91A90" w:rsidRPr="004A0B3D" w:rsidRDefault="00B91A90" w:rsidP="00B91A90">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Universitetet;</w:t>
      </w:r>
    </w:p>
    <w:p w:rsidR="00B91A90" w:rsidRPr="004A0B3D" w:rsidRDefault="00B91A90" w:rsidP="00B91A90">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UNODC; </w:t>
      </w:r>
    </w:p>
    <w:p w:rsidR="00B91A90" w:rsidRPr="004A0B3D" w:rsidRDefault="00B91A90" w:rsidP="00B91A90">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BE.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9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programeve të zhvilluara, ekzistuese dhe të zbatuara; </w:t>
      </w:r>
    </w:p>
    <w:p w:rsidR="00B91A90" w:rsidRPr="004A0B3D" w:rsidRDefault="00B91A90" w:rsidP="00B91A90">
      <w:pPr>
        <w:pStyle w:val="ListParagraph"/>
        <w:numPr>
          <w:ilvl w:val="0"/>
          <w:numId w:val="9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individëve që kanë përfituar nga programet sociale;</w:t>
      </w:r>
    </w:p>
    <w:p w:rsidR="00B91A90" w:rsidRPr="004A0B3D" w:rsidRDefault="00B91A90" w:rsidP="00B91A90">
      <w:pPr>
        <w:pStyle w:val="ListParagraph"/>
        <w:numPr>
          <w:ilvl w:val="0"/>
          <w:numId w:val="9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individëve që kanë përfituar nga </w:t>
      </w:r>
      <w:r w:rsidRPr="004A0B3D">
        <w:rPr>
          <w:rFonts w:ascii="Garamond" w:hAnsi="Garamond"/>
          <w:color w:val="000000"/>
          <w:sz w:val="24"/>
          <w:szCs w:val="24"/>
          <w:lang w:val="sq-AL"/>
        </w:rPr>
        <w:t>programet e posaçme të nxitjes së punësimit;</w:t>
      </w:r>
    </w:p>
    <w:p w:rsidR="00B91A90" w:rsidRPr="004A0B3D" w:rsidRDefault="00B91A90" w:rsidP="00B91A90">
      <w:pPr>
        <w:pStyle w:val="ListParagraph"/>
        <w:numPr>
          <w:ilvl w:val="0"/>
          <w:numId w:val="9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Buxheti dhe burimet e akorduara;</w:t>
      </w:r>
    </w:p>
    <w:p w:rsidR="00B91A90" w:rsidRPr="004A0B3D" w:rsidRDefault="00B91A90" w:rsidP="00B91A90">
      <w:pPr>
        <w:pStyle w:val="ListParagraph"/>
        <w:numPr>
          <w:ilvl w:val="0"/>
          <w:numId w:val="9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Sipërfaqet e mbjella me produkte bujqësore të ligjshme;</w:t>
      </w:r>
    </w:p>
    <w:p w:rsidR="00B91A90" w:rsidRPr="004A0B3D" w:rsidRDefault="00B91A90" w:rsidP="00B91A90">
      <w:pPr>
        <w:pStyle w:val="ListParagraph"/>
        <w:numPr>
          <w:ilvl w:val="0"/>
          <w:numId w:val="9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personave të punësuar/vetëpunësuar në zonat rurale të rriskuara; </w:t>
      </w:r>
    </w:p>
    <w:p w:rsidR="00B91A90" w:rsidRPr="004A0B3D" w:rsidRDefault="00B91A90" w:rsidP="00B91A90">
      <w:pPr>
        <w:pStyle w:val="ListParagraph"/>
        <w:numPr>
          <w:ilvl w:val="0"/>
          <w:numId w:val="9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studimeve bujqësore, shkencore, të realizuara në zonat e rriskuara.</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34" w:name="_Toc475636002"/>
      <w:r w:rsidRPr="004A0B3D">
        <w:rPr>
          <w:rFonts w:ascii="Garamond" w:hAnsi="Garamond"/>
          <w:b w:val="0"/>
          <w:sz w:val="24"/>
          <w:szCs w:val="24"/>
          <w:u w:val="single"/>
          <w:lang w:val="sq-AL"/>
        </w:rPr>
        <w:t>Masa A.3: Krijimi i një mekanizmi eficient për grumbullimin, përpunimin, analizimin dhe raportimin në çdo kohë të të dhënave</w:t>
      </w:r>
      <w:bookmarkEnd w:id="34"/>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Qëllimi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Njohja dhe raportimi në kohë i situatës lidhur me kultivimin e kanabisit.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Në vijim të përpjekjeve të bëra, për të mundësuar formulimin e shpejtë dhe cilësor të raporteve, që lidhen me kultivimin e kanabisit, parashikohet krijimi i një mekanizmi të posaçëm për mbledhjen, administrimin, vlerësimin dhe përdorimin e informacionit.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krijimin e këtij mekanizmi të merren masat e mëposhtme:</w:t>
      </w:r>
    </w:p>
    <w:p w:rsidR="00B91A90" w:rsidRPr="004A0B3D" w:rsidRDefault="00B91A90" w:rsidP="00B91A90">
      <w:pPr>
        <w:pStyle w:val="ListParagraph"/>
        <w:numPr>
          <w:ilvl w:val="0"/>
          <w:numId w:val="5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krijohet një bazë të dhënash e dedikuar për kultivimin e bimëve kanabis, në bashkëpunim me: The European Police Office (EUROPOL), European Monitoring Centre for drugs and drug addicition (EMCDDA). Implementimi dhe përdorimi i instrumentit: European Reporting Instrument for sites related to Cannabis Production (ERICP) është element mbështetës për zbatimin e kësaj mase;</w:t>
      </w:r>
    </w:p>
    <w:p w:rsidR="00B91A90" w:rsidRPr="004A0B3D" w:rsidRDefault="00B91A90" w:rsidP="00B91A90">
      <w:pPr>
        <w:pStyle w:val="ListParagraph"/>
        <w:numPr>
          <w:ilvl w:val="0"/>
          <w:numId w:val="5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përditësohet baza e të dhënave me informacione nga të gjitha burimet e mundshme </w:t>
      </w:r>
      <w:r>
        <w:rPr>
          <w:rFonts w:ascii="Garamond" w:hAnsi="Garamond"/>
          <w:sz w:val="24"/>
          <w:szCs w:val="24"/>
          <w:lang w:val="sq-AL"/>
        </w:rPr>
        <w:t>vendës</w:t>
      </w:r>
      <w:r w:rsidRPr="004A0B3D">
        <w:rPr>
          <w:rFonts w:ascii="Garamond" w:hAnsi="Garamond"/>
          <w:sz w:val="24"/>
          <w:szCs w:val="24"/>
          <w:lang w:val="sq-AL"/>
        </w:rPr>
        <w:t>e dhe të huaja</w:t>
      </w:r>
      <w:r>
        <w:rPr>
          <w:rFonts w:ascii="Garamond" w:hAnsi="Garamond"/>
          <w:sz w:val="24"/>
          <w:szCs w:val="24"/>
          <w:lang w:val="sq-AL"/>
        </w:rPr>
        <w:t>,</w:t>
      </w:r>
      <w:r w:rsidRPr="004A0B3D">
        <w:rPr>
          <w:rFonts w:ascii="Garamond" w:hAnsi="Garamond"/>
          <w:sz w:val="24"/>
          <w:szCs w:val="24"/>
          <w:lang w:val="sq-AL"/>
        </w:rPr>
        <w:t xml:space="preserve"> si dhe të raportohen në kohë problematikat që lidhen me kanabisin;</w:t>
      </w:r>
    </w:p>
    <w:p w:rsidR="00B91A90" w:rsidRPr="004A0B3D" w:rsidRDefault="00B91A90" w:rsidP="00B91A90">
      <w:pPr>
        <w:pStyle w:val="ListParagraph"/>
        <w:numPr>
          <w:ilvl w:val="0"/>
          <w:numId w:val="5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hartohen raporte periodike në vijimësi për vlerësimin dhe njohjen sa më të plotë të gjendjes nga të gjitha institucionet e përfaqësuara në TFQ;</w:t>
      </w:r>
    </w:p>
    <w:p w:rsidR="00B91A90" w:rsidRPr="004A0B3D" w:rsidRDefault="00B91A90" w:rsidP="00B91A90">
      <w:pPr>
        <w:pStyle w:val="ListParagraph"/>
        <w:numPr>
          <w:ilvl w:val="0"/>
          <w:numId w:val="5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mbahen statistika të rregullta për problematikat e PKKK-së.</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lastRenderedPageBreak/>
        <w:t xml:space="preserve">Rezultate të pritshme </w:t>
      </w:r>
    </w:p>
    <w:p w:rsidR="00B91A90" w:rsidRPr="004A0B3D" w:rsidRDefault="00B91A90" w:rsidP="00B91A90">
      <w:pPr>
        <w:pStyle w:val="ListParagraph"/>
        <w:numPr>
          <w:ilvl w:val="0"/>
          <w:numId w:val="6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Një bazë e avancuar të dhënash për kultivimin e kanabis;</w:t>
      </w:r>
    </w:p>
    <w:p w:rsidR="00B91A90" w:rsidRPr="004A0B3D" w:rsidRDefault="00B91A90" w:rsidP="00B91A90">
      <w:pPr>
        <w:pStyle w:val="ListParagraph"/>
        <w:numPr>
          <w:ilvl w:val="0"/>
          <w:numId w:val="6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Implementimi i sistemit ERICP;</w:t>
      </w:r>
    </w:p>
    <w:p w:rsidR="00B91A90" w:rsidRPr="004A0B3D" w:rsidRDefault="00B91A90" w:rsidP="00B91A90">
      <w:pPr>
        <w:pStyle w:val="ListParagraph"/>
        <w:numPr>
          <w:ilvl w:val="0"/>
          <w:numId w:val="6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Raporte periodike për gjendjen;</w:t>
      </w:r>
    </w:p>
    <w:p w:rsidR="00B91A90" w:rsidRPr="004A0B3D" w:rsidRDefault="00B91A90" w:rsidP="00B91A90">
      <w:pPr>
        <w:pStyle w:val="ListParagraph"/>
        <w:numPr>
          <w:ilvl w:val="0"/>
          <w:numId w:val="6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Përditësimi i të dhënave;</w:t>
      </w:r>
    </w:p>
    <w:p w:rsidR="00B91A90" w:rsidRPr="004A0B3D" w:rsidRDefault="00B91A90" w:rsidP="00B91A90">
      <w:pPr>
        <w:pStyle w:val="ListParagraph"/>
        <w:numPr>
          <w:ilvl w:val="0"/>
          <w:numId w:val="6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dhëna statistikore për gjendjen.</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Institucioni përgjegjës </w:t>
      </w:r>
    </w:p>
    <w:p w:rsidR="00B91A90" w:rsidRPr="004A0B3D" w:rsidRDefault="00B91A90" w:rsidP="00B91A90">
      <w:pPr>
        <w:pStyle w:val="ListParagraph"/>
        <w:numPr>
          <w:ilvl w:val="0"/>
          <w:numId w:val="3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Punëve të Brendshme (MPB).</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3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Institucionet e përfaqësuara në TFQ;</w:t>
      </w:r>
    </w:p>
    <w:p w:rsidR="00B91A90" w:rsidRPr="004A0B3D" w:rsidRDefault="00B91A90" w:rsidP="00B91A90">
      <w:pPr>
        <w:pStyle w:val="ListParagraph"/>
        <w:numPr>
          <w:ilvl w:val="0"/>
          <w:numId w:val="3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EUROPOL;</w:t>
      </w:r>
    </w:p>
    <w:p w:rsidR="00B91A90" w:rsidRPr="004A0B3D" w:rsidRDefault="00B91A90" w:rsidP="00B91A90">
      <w:pPr>
        <w:pStyle w:val="ListParagraph"/>
        <w:numPr>
          <w:ilvl w:val="0"/>
          <w:numId w:val="3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EMCDDA.</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6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informacioneve të vlefshme të administruara;</w:t>
      </w:r>
    </w:p>
    <w:p w:rsidR="00B91A90" w:rsidRPr="004A0B3D" w:rsidRDefault="00B91A90" w:rsidP="00B91A90">
      <w:pPr>
        <w:pStyle w:val="ListParagraph"/>
        <w:numPr>
          <w:ilvl w:val="0"/>
          <w:numId w:val="6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raporteve të hartuara;</w:t>
      </w:r>
    </w:p>
    <w:p w:rsidR="00B91A90" w:rsidRPr="004A0B3D" w:rsidRDefault="00B91A90" w:rsidP="00B91A90">
      <w:pPr>
        <w:pStyle w:val="ListParagraph"/>
        <w:numPr>
          <w:ilvl w:val="0"/>
          <w:numId w:val="6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analizave të kryera;</w:t>
      </w:r>
    </w:p>
    <w:p w:rsidR="00B91A90" w:rsidRPr="004A0B3D" w:rsidRDefault="00B91A90" w:rsidP="00B91A90">
      <w:pPr>
        <w:pStyle w:val="ListParagraph"/>
        <w:numPr>
          <w:ilvl w:val="0"/>
          <w:numId w:val="6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raporteve të shkëmbyera me partnerët.</w:t>
      </w:r>
    </w:p>
    <w:p w:rsidR="00B91A90" w:rsidRPr="004A0B3D" w:rsidRDefault="00B91A90" w:rsidP="00B91A90">
      <w:pPr>
        <w:tabs>
          <w:tab w:val="left" w:pos="540"/>
          <w:tab w:val="left" w:pos="720"/>
        </w:tabs>
        <w:spacing w:after="0" w:line="240" w:lineRule="auto"/>
        <w:ind w:firstLine="288"/>
        <w:rPr>
          <w:rFonts w:ascii="Garamond" w:hAnsi="Garamond"/>
          <w:b/>
          <w:sz w:val="24"/>
          <w:szCs w:val="24"/>
          <w:u w:val="single"/>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35" w:name="_Toc475636003"/>
      <w:r w:rsidRPr="004A0B3D">
        <w:rPr>
          <w:rFonts w:ascii="Garamond" w:hAnsi="Garamond"/>
          <w:b w:val="0"/>
          <w:sz w:val="24"/>
          <w:szCs w:val="24"/>
          <w:u w:val="single"/>
          <w:lang w:val="sq-AL"/>
        </w:rPr>
        <w:t>Masa A.4: Dhënia me qira e pronave publike për përdorim privat të ligjshëm</w:t>
      </w:r>
      <w:bookmarkEnd w:id="35"/>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Shtimi i sipërfaqes së mbjellë me bimë bujqësore që përshtaten me kushtet e zonave të rriskuara, zgjerimi i aktiviteteve të tjera të ligjshme dhe rritja e numrit të të punësuarve, duke zvogëluar njëkohësisht mundësinë e shfrytëzimit të tyre për qëllime kriminale.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Kultivimi i bimëve narkotike është kryer kryesisht në toka në pronësi publike, toka joproduktive, toka në pronësi të fermerëve larg zonave të banuara, si dhe në pyje e kullota. Për të reduktuar mundësinë e keqpërdorimit të aseteve publike, tokat dhe asetet e tjera publike të lira, t’u jepen në përdorim banorëve të zonave rurale të rriskuara, kundrejt skemave favorizuese (kultivim me bimë medicinale të përshtatshme për këto kategori tokash etj.). Kjo masë synon të shtojë sipërfaqet e tokës, të pyjeve dhe kullotave dhe aseteve të tjera në disponim të fermerëve dhe të familjeve në nevojë, duke u siguruar atyre mundësi shtesë për punë të ndershme.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mundësimin e dhënies me qira të tokave bujqësore në pronësi pronave publike të merren këto masa:</w:t>
      </w:r>
    </w:p>
    <w:p w:rsidR="00B91A90" w:rsidRDefault="00B91A90" w:rsidP="00B91A90">
      <w:pPr>
        <w:tabs>
          <w:tab w:val="left" w:pos="540"/>
          <w:tab w:val="left" w:pos="720"/>
        </w:tabs>
        <w:spacing w:after="0" w:line="240" w:lineRule="auto"/>
        <w:ind w:firstLine="288"/>
        <w:rPr>
          <w:rFonts w:ascii="Garamond" w:hAnsi="Garamond"/>
          <w:sz w:val="24"/>
          <w:szCs w:val="24"/>
          <w:lang w:val="sq-AL"/>
        </w:rPr>
      </w:pPr>
    </w:p>
    <w:p w:rsidR="00B91A90" w:rsidRDefault="00B91A90" w:rsidP="00B91A90">
      <w:pPr>
        <w:tabs>
          <w:tab w:val="left" w:pos="540"/>
          <w:tab w:val="left" w:pos="720"/>
        </w:tabs>
        <w:spacing w:after="0" w:line="240" w:lineRule="auto"/>
        <w:ind w:firstLine="288"/>
        <w:rPr>
          <w:rFonts w:ascii="Garamond" w:hAnsi="Garamond"/>
          <w:sz w:val="24"/>
          <w:szCs w:val="24"/>
          <w:lang w:val="sq-AL"/>
        </w:rPr>
      </w:pPr>
    </w:p>
    <w:p w:rsidR="00B91A90" w:rsidRDefault="00B91A90" w:rsidP="00B91A90">
      <w:pPr>
        <w:tabs>
          <w:tab w:val="left" w:pos="540"/>
          <w:tab w:val="left" w:pos="720"/>
        </w:tabs>
        <w:spacing w:after="0" w:line="240" w:lineRule="auto"/>
        <w:ind w:firstLine="288"/>
        <w:rPr>
          <w:rFonts w:ascii="Garamond" w:hAnsi="Garamond"/>
          <w:sz w:val="24"/>
          <w:szCs w:val="24"/>
          <w:lang w:val="sq-AL"/>
        </w:rPr>
      </w:pPr>
    </w:p>
    <w:p w:rsidR="00B91A90" w:rsidRDefault="00B91A90" w:rsidP="00B91A90">
      <w:pPr>
        <w:tabs>
          <w:tab w:val="left" w:pos="540"/>
          <w:tab w:val="left" w:pos="720"/>
        </w:tabs>
        <w:spacing w:after="0" w:line="240" w:lineRule="auto"/>
        <w:ind w:firstLine="288"/>
        <w:rPr>
          <w:rFonts w:ascii="Garamond" w:hAnsi="Garamond"/>
          <w:sz w:val="24"/>
          <w:szCs w:val="24"/>
          <w:lang w:val="sq-AL"/>
        </w:rPr>
      </w:pPr>
    </w:p>
    <w:p w:rsidR="00B91A90"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mundësimin e dhënies me qira të pronave publike të merren këto masa:</w:t>
      </w:r>
    </w:p>
    <w:p w:rsidR="00B91A90" w:rsidRPr="004A0B3D" w:rsidRDefault="00B91A90" w:rsidP="00B91A90">
      <w:pPr>
        <w:pStyle w:val="ListParagraph"/>
        <w:numPr>
          <w:ilvl w:val="0"/>
          <w:numId w:val="6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kryhet rishikimi i ligjeve që parashikojnë qiramarrjen e tokës</w:t>
      </w:r>
      <w:r w:rsidRPr="004A0B3D">
        <w:rPr>
          <w:rStyle w:val="FootnoteReference"/>
          <w:rFonts w:eastAsia="MS Mincho"/>
          <w:szCs w:val="24"/>
          <w:lang w:val="sq-AL"/>
        </w:rPr>
        <w:footnoteReference w:id="6"/>
      </w:r>
      <w:r w:rsidRPr="004A0B3D">
        <w:rPr>
          <w:rFonts w:ascii="Garamond" w:hAnsi="Garamond"/>
          <w:sz w:val="24"/>
          <w:szCs w:val="24"/>
          <w:lang w:val="sq-AL"/>
        </w:rPr>
        <w:t>;</w:t>
      </w:r>
    </w:p>
    <w:p w:rsidR="00B91A90" w:rsidRPr="004A0B3D" w:rsidRDefault="00B91A90" w:rsidP="00B91A90">
      <w:pPr>
        <w:pStyle w:val="ListParagraph"/>
        <w:numPr>
          <w:ilvl w:val="0"/>
          <w:numId w:val="6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Të ndërgjegjësohen dhe nxiten qytetarët për mundësinë e marrjes me qira të pronave publike;</w:t>
      </w:r>
    </w:p>
    <w:p w:rsidR="00B91A90" w:rsidRPr="004A0B3D" w:rsidRDefault="00B91A90" w:rsidP="00B91A90">
      <w:pPr>
        <w:pStyle w:val="ListParagraph"/>
        <w:numPr>
          <w:ilvl w:val="0"/>
          <w:numId w:val="6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krijohen lehtësira ligjore/financiare për nxitjen e qiramarrjes së tokës nga ana e fermerëve;</w:t>
      </w:r>
    </w:p>
    <w:p w:rsidR="00B91A90" w:rsidRPr="004A0B3D" w:rsidRDefault="00B91A90" w:rsidP="00B91A90">
      <w:pPr>
        <w:pStyle w:val="ListParagraph"/>
        <w:numPr>
          <w:ilvl w:val="0"/>
          <w:numId w:val="6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angazhohen strukturat e administrimit të tokës, të konsulencës për bujqësinë dhe blegtorinë, të administrimit të pyjeve dhe kullotave në bashki për lehtësimin e procesit të qiramarrjes;</w:t>
      </w:r>
    </w:p>
    <w:p w:rsidR="00B91A90" w:rsidRPr="004A0B3D" w:rsidRDefault="00B91A90" w:rsidP="00B91A90">
      <w:pPr>
        <w:pStyle w:val="ListParagraph"/>
        <w:numPr>
          <w:ilvl w:val="0"/>
          <w:numId w:val="6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kryhet inventarizimi i plotë i tuneleve dhe strehimeve nëntokësore, që janë jashtë administrimit të FA-së dhe të bëhet administrimi i tyre përmes dhënies në përdorim/qira.</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6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përfituesve të qiramarrjes të aseteve publike;</w:t>
      </w:r>
    </w:p>
    <w:p w:rsidR="00B91A90" w:rsidRPr="004A0B3D" w:rsidRDefault="00B91A90" w:rsidP="00B91A90">
      <w:pPr>
        <w:pStyle w:val="ListParagraph"/>
        <w:numPr>
          <w:ilvl w:val="0"/>
          <w:numId w:val="6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sipërfaqes së tokës të marrë me qira;</w:t>
      </w:r>
    </w:p>
    <w:p w:rsidR="00B91A90" w:rsidRPr="004A0B3D" w:rsidRDefault="00B91A90" w:rsidP="00B91A90">
      <w:pPr>
        <w:pStyle w:val="ListParagraph"/>
        <w:numPr>
          <w:ilvl w:val="0"/>
          <w:numId w:val="6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numrit të personave të vetëpunësuar/punësuar në zonat e rriskuara.</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 përgjegjës</w:t>
      </w:r>
    </w:p>
    <w:p w:rsidR="00B91A90" w:rsidRPr="004A0B3D" w:rsidRDefault="00B91A90" w:rsidP="00B91A90">
      <w:pPr>
        <w:pStyle w:val="ListParagraph"/>
        <w:numPr>
          <w:ilvl w:val="0"/>
          <w:numId w:val="9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MBZHRAU.</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6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Organet e qeverisjes vendore;</w:t>
      </w:r>
    </w:p>
    <w:p w:rsidR="00B91A90" w:rsidRPr="004A0B3D" w:rsidRDefault="00B91A90" w:rsidP="00B91A90">
      <w:pPr>
        <w:pStyle w:val="ListParagraph"/>
        <w:numPr>
          <w:ilvl w:val="0"/>
          <w:numId w:val="6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Mbrojtjes (MM)</w:t>
      </w:r>
      <w:r>
        <w:rPr>
          <w:rFonts w:ascii="Garamond" w:hAnsi="Garamond"/>
          <w:sz w:val="24"/>
          <w:szCs w:val="24"/>
          <w:lang w:val="sq-AL"/>
        </w:rPr>
        <w:t>;</w:t>
      </w:r>
    </w:p>
    <w:p w:rsidR="00B91A90" w:rsidRPr="004A0B3D" w:rsidRDefault="00B91A90" w:rsidP="00B91A90">
      <w:pPr>
        <w:pStyle w:val="ListParagraph"/>
        <w:numPr>
          <w:ilvl w:val="0"/>
          <w:numId w:val="6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MD.</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6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përfituesve të qiramarrjes;</w:t>
      </w:r>
    </w:p>
    <w:p w:rsidR="00B91A90" w:rsidRPr="004A0B3D" w:rsidRDefault="00B91A90" w:rsidP="00B91A90">
      <w:pPr>
        <w:pStyle w:val="ListParagraph"/>
        <w:numPr>
          <w:ilvl w:val="0"/>
          <w:numId w:val="6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Sasia e sipërfaqes së tokës të marrë me qira (ha);</w:t>
      </w:r>
    </w:p>
    <w:p w:rsidR="00B91A90" w:rsidRPr="004A0B3D" w:rsidRDefault="00B91A90" w:rsidP="00B91A90">
      <w:pPr>
        <w:pStyle w:val="ListParagraph"/>
        <w:numPr>
          <w:ilvl w:val="0"/>
          <w:numId w:val="6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personave të punësuar/vetëpunësuar.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36" w:name="_Toc475636004"/>
      <w:r w:rsidRPr="004A0B3D">
        <w:rPr>
          <w:rFonts w:ascii="Garamond" w:hAnsi="Garamond"/>
          <w:b w:val="0"/>
          <w:sz w:val="24"/>
          <w:szCs w:val="24"/>
          <w:u w:val="single"/>
          <w:lang w:val="sq-AL"/>
        </w:rPr>
        <w:t>Masa A.5: Hartimi i hartave të sipërfaqeve potenciale dhe aktuale që janë mbjellë dhe mund të mbillen me kanabis</w:t>
      </w:r>
      <w:bookmarkEnd w:id="36"/>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Identifikimi i sipërfaqeve të mbjella me kanabis dhe atyre potenciale për t’u mbjellë.</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Bimët kanabis, kultivohen kryesisht në pyje dhe kullota të largëta në pronësi publike në shumicën e qarqeve të vendit. Sipas vlerësimeve aktuale, rreth 20 mijë ha tokë konsiderohet si sipërfaqe potenciale që mund të përdoret për kultivimin e kanabisit.</w:t>
      </w:r>
      <w:r w:rsidRPr="004A0B3D">
        <w:rPr>
          <w:rStyle w:val="FootnoteReference"/>
          <w:szCs w:val="24"/>
          <w:lang w:val="sq-AL"/>
        </w:rPr>
        <w:footnoteReference w:id="7"/>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të mundësuar identifikimin e sipërfaqeve të tilla të merret kjo masë:</w:t>
      </w:r>
    </w:p>
    <w:p w:rsidR="00B91A90" w:rsidRPr="004A0B3D" w:rsidRDefault="00B91A90" w:rsidP="00B91A90">
      <w:pPr>
        <w:pStyle w:val="ListParagraph"/>
        <w:numPr>
          <w:ilvl w:val="0"/>
          <w:numId w:val="9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Krijimi i hartave të sipërfaqeve të tokave, të pyjeve e kullotave, ku janë kultivuar, ose potencialisht mund të kultivohen bimë narkotike lehtëson punën e organeve ligjzbatuese.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lastRenderedPageBreak/>
        <w:t>Krijimi i këtyre hartave, të cilat bazohen në evidencën historike të kultivimit dhe në mundësitë që lidhen më klimën, gjeografinë dhe përbërjen e tokës, të realizohet nga strukturat përgjegjëse të bujqësisë, të mjedisit, të autoriteteve vendore, të inteligjencës dhe të policisë.</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i hartës.</w:t>
      </w:r>
    </w:p>
    <w:p w:rsidR="00B91A90" w:rsidRPr="004A0B3D" w:rsidRDefault="00B91A90" w:rsidP="00B91A90">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Përditësimi periodik i hartës.</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 përgjegjës</w:t>
      </w:r>
    </w:p>
    <w:p w:rsidR="00B91A90" w:rsidRPr="004A0B3D" w:rsidRDefault="00B91A90" w:rsidP="00B91A90">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MBZHRAU. </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p>
    <w:p w:rsidR="00B91A90" w:rsidRPr="004A0B3D" w:rsidRDefault="00B91A90" w:rsidP="00B91A90">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Agjencia e Legalizimit, Urbanizimit, Integrimit të Zonave/Ndërtimeve Informale;</w:t>
      </w:r>
    </w:p>
    <w:p w:rsidR="00B91A90" w:rsidRPr="004A0B3D" w:rsidRDefault="00B91A90" w:rsidP="00B91A90">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MMJ;</w:t>
      </w:r>
    </w:p>
    <w:p w:rsidR="00B91A90" w:rsidRPr="004A0B3D" w:rsidRDefault="00B91A90" w:rsidP="00B91A90">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Zyra e Regjistrimit të Pasurive të Paluajtshme;</w:t>
      </w:r>
    </w:p>
    <w:p w:rsidR="00B91A90" w:rsidRPr="004A0B3D" w:rsidRDefault="00B91A90" w:rsidP="00B91A90">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Drejtoria e Administrimit dhe Mbrojtjes së Tokave në qarqe;</w:t>
      </w:r>
    </w:p>
    <w:p w:rsidR="00B91A90" w:rsidRPr="004A0B3D" w:rsidRDefault="00B91A90" w:rsidP="00B91A90">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Qendra e Transferimit të Teknologjive Bujqësore, Fushë-Krujë. </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1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Numri/shpeshtësia e përditësimeve;</w:t>
      </w:r>
    </w:p>
    <w:p w:rsidR="00B91A90" w:rsidRPr="004A0B3D" w:rsidRDefault="00B91A90" w:rsidP="00B91A90">
      <w:pPr>
        <w:pStyle w:val="ListParagraph"/>
        <w:numPr>
          <w:ilvl w:val="0"/>
          <w:numId w:val="1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Sipërfaqja e tokave të hartëzuara.</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37" w:name="_Toc475636005"/>
      <w:r w:rsidRPr="004A0B3D">
        <w:rPr>
          <w:rFonts w:ascii="Garamond" w:hAnsi="Garamond"/>
          <w:b w:val="0"/>
          <w:sz w:val="24"/>
          <w:szCs w:val="24"/>
          <w:u w:val="single"/>
          <w:lang w:val="sq-AL"/>
        </w:rPr>
        <w:t>Masa A.6: Verifikimi i pastërtisë së figurës së funksionarëve publikë përgjegjës</w:t>
      </w:r>
      <w:bookmarkEnd w:id="37"/>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Verifikimi i funksionarëve që rezultojnë se nuk kanë përmbushur në mënyrë të rregullt detyrën, për goditjen e kultivimit dhe trafikimit, i atyre që i janë nënshtruar gjendjes së paligjshmërisë nëpërmjet përfshirjes në këtë aktivitet dhe ndarjes së fitimeve të siguruara nga kjo veprimtari e paligjshme.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Kultivimi dhe trafikimi i kanabisit është i lidhur edhe me dobësitë dhe eficiencën e pamjaftueshme të personelit përgjegjës të angazhuar kundër këtij fenomeni. Një ndër shkaqet e ineficiencës është edhe korrupsioni, i cili është evidentuar në shumë raste. Në interes të goditjes së suksesshme të fenomenit, konsiderohet me shumë rëndësi goditja e vendosur e rasteve të korrupsionit në radhët e strukturave përgjegjëse. Verifikimi paraprak i përshtatshmërisë në detyrë për personelin e angazhuar kundër kanabisit është një hap i rëndësishëm në funksion të suksesit të këtij plani.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kryerjen e procesit të verifikimit të merren këto masa:</w:t>
      </w:r>
    </w:p>
    <w:p w:rsidR="00B91A90" w:rsidRPr="004A0B3D" w:rsidRDefault="00B91A90" w:rsidP="00B91A90">
      <w:pPr>
        <w:pStyle w:val="ListParagraph"/>
        <w:numPr>
          <w:ilvl w:val="0"/>
          <w:numId w:val="6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rishikohen kriteret dhe të përforcohen kontrollet ndaj integritetit dhe të personalitetit të zyrtarëve shtetërorë të ngarkuar me detyra në luftën kundër narkotikëve, në të gjitha nivelet.</w:t>
      </w:r>
    </w:p>
    <w:p w:rsidR="00B91A90" w:rsidRPr="004A0B3D" w:rsidRDefault="00B91A90" w:rsidP="00B91A90">
      <w:pPr>
        <w:pStyle w:val="ListParagraph"/>
        <w:numPr>
          <w:ilvl w:val="0"/>
          <w:numId w:val="6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verifikohet përshtatshmëria në detyrë e zyrtarëve të angazhuar në këtë fushë.</w:t>
      </w:r>
    </w:p>
    <w:p w:rsidR="00B91A90" w:rsidRPr="004A0B3D" w:rsidRDefault="00B91A90" w:rsidP="00B91A90">
      <w:pPr>
        <w:pStyle w:val="ListParagraph"/>
        <w:numPr>
          <w:ilvl w:val="0"/>
          <w:numId w:val="6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kryhen analizat e sukseseve dhe e problemeve të evidentuara gjatë ushtrimit të detyrës për zyrtarët e angazhuar.</w:t>
      </w:r>
    </w:p>
    <w:p w:rsidR="00B91A90" w:rsidRPr="004A0B3D" w:rsidRDefault="00B91A90" w:rsidP="00B91A90">
      <w:pPr>
        <w:pStyle w:val="ListParagraph"/>
        <w:numPr>
          <w:ilvl w:val="0"/>
          <w:numId w:val="6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kryhet verifikimi i pasurisë së zyrtarëve të cilët kanë rekorde problematike gjatë angazhimit kundër kanabisit.</w:t>
      </w:r>
    </w:p>
    <w:p w:rsidR="00B91A90" w:rsidRPr="004A0B3D" w:rsidRDefault="00B91A90" w:rsidP="00B91A90">
      <w:pPr>
        <w:pStyle w:val="ListParagraph"/>
        <w:numPr>
          <w:ilvl w:val="0"/>
          <w:numId w:val="6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kryhet verifikimi i lidhjeve eventuale me persona të inkriminuar. </w:t>
      </w:r>
    </w:p>
    <w:p w:rsidR="00B91A90" w:rsidRPr="004A0B3D" w:rsidRDefault="00B91A90" w:rsidP="00B91A90">
      <w:pPr>
        <w:pStyle w:val="ListParagraph"/>
        <w:numPr>
          <w:ilvl w:val="0"/>
          <w:numId w:val="6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kryhet verifikimi i kapaciteteve të tyre profesionale.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7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Evidentimi i lidhjeve të mundshme kriminale dhe pasurisë së paligjshme të aktorëve kryesore në këtë proces.</w:t>
      </w:r>
    </w:p>
    <w:p w:rsidR="00B91A90" w:rsidRPr="004A0B3D" w:rsidRDefault="00B91A90" w:rsidP="00B91A90">
      <w:pPr>
        <w:pStyle w:val="ListParagraph"/>
        <w:numPr>
          <w:ilvl w:val="0"/>
          <w:numId w:val="7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Identifikimi i nëpunësve që nuk kanë përmbushur detyrat ligjore të tyre, të përfshirë në veprimtari të paligjshme.</w:t>
      </w:r>
    </w:p>
    <w:p w:rsidR="00B91A90" w:rsidRPr="004A0B3D" w:rsidRDefault="00B91A90" w:rsidP="00B91A90">
      <w:pPr>
        <w:pStyle w:val="ListParagraph"/>
        <w:numPr>
          <w:ilvl w:val="0"/>
          <w:numId w:val="7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i një mekanizmi institucional për verifikimin fillestar dhe vazhdues të pastërtisë së figurës së nëpunësve të këtyre strukturave.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B91A90" w:rsidRPr="004A0B3D" w:rsidRDefault="00B91A90" w:rsidP="00B91A90">
      <w:pPr>
        <w:pStyle w:val="ListParagraph"/>
        <w:numPr>
          <w:ilvl w:val="0"/>
          <w:numId w:val="6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6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gjitha institucionet e përfaqësuara në TFQ;</w:t>
      </w:r>
    </w:p>
    <w:p w:rsidR="00B91A90" w:rsidRPr="004A0B3D" w:rsidRDefault="00B91A90" w:rsidP="00B91A90">
      <w:pPr>
        <w:pStyle w:val="ListParagraph"/>
        <w:numPr>
          <w:ilvl w:val="0"/>
          <w:numId w:val="6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Inspektorati i Lartë i Deklarimit dhe Kontrollit të Pasurive dhe Konfliktit të Interesave (ILDKPKI).</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Indikatorët e matshëm</w:t>
      </w:r>
    </w:p>
    <w:p w:rsidR="00B91A90" w:rsidRPr="004A0B3D" w:rsidRDefault="00B91A90" w:rsidP="00B91A90">
      <w:pPr>
        <w:pStyle w:val="ListParagraph"/>
        <w:numPr>
          <w:ilvl w:val="0"/>
          <w:numId w:val="6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personave të verifikuar;</w:t>
      </w:r>
    </w:p>
    <w:p w:rsidR="00B91A90" w:rsidRPr="004A0B3D" w:rsidRDefault="00B91A90" w:rsidP="00B91A90">
      <w:pPr>
        <w:pStyle w:val="ListParagraph"/>
        <w:numPr>
          <w:ilvl w:val="0"/>
          <w:numId w:val="6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personave të përjashtuar;</w:t>
      </w:r>
    </w:p>
    <w:p w:rsidR="00B91A90" w:rsidRPr="004A0B3D" w:rsidRDefault="00B91A90" w:rsidP="00B91A90">
      <w:pPr>
        <w:pStyle w:val="ListParagraph"/>
        <w:numPr>
          <w:ilvl w:val="0"/>
          <w:numId w:val="6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çështjeve.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38" w:name="_Toc475636006"/>
      <w:r w:rsidRPr="004A0B3D">
        <w:rPr>
          <w:rFonts w:ascii="Garamond" w:hAnsi="Garamond"/>
          <w:b w:val="0"/>
          <w:sz w:val="24"/>
          <w:szCs w:val="24"/>
          <w:u w:val="single"/>
          <w:lang w:val="sq-AL"/>
        </w:rPr>
        <w:t>Masa A.7: Goditja e kultivimit që në fazat e hershme të ciklit</w:t>
      </w:r>
      <w:bookmarkEnd w:id="38"/>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Përqendrimi i përpjekjeve kryesore te parandalimi i mbjelljes dhe shkatërrimi i fidanëve.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Përshkrim i shkurtër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Kultivimi paraprak i fidanëve në mjedise të mbyllura dhe në sipërfaqe të vogla, konsiderohet si një fazë gjatë së cilës merr rëndësi të veçantë gjetja e informacionit të nevojshëm. Strukturat e shërbimeve informative, të luftës kundër krimit, të FA-së, të bujqësisë, të pyjeve, të doganave, të tatimeve, ato të pushtetit vendor dhe posaçërisht qytetarët, do të luajnë rol të rëndësishëm në informimin e strukturave ligjzbatuese, të ngarkuara me goditjen e veprimtarisë kriminale.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Ky plan synon përqendrimin e reagimit institucional në këtë fazë, pasi duke e goditur herët fenomenin, parandalohet përhapja e tij në territor. Goditja e hershme parandalon gjithashtu kriminalizimin e qytetarëve që përfshihen në procesin e kultivimit në sipërfaqe të hapura.</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arritjen e suksesit në këtë fazë, të merren këto masa:</w:t>
      </w:r>
    </w:p>
    <w:p w:rsidR="00B91A90" w:rsidRPr="004A0B3D" w:rsidRDefault="00B91A90" w:rsidP="00B91A90">
      <w:pPr>
        <w:pStyle w:val="ListParagraph"/>
        <w:numPr>
          <w:ilvl w:val="0"/>
          <w:numId w:val="7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ushtrohet kontroll rigoroz i rrugëve të importit dhe pikave të shitjes së farërave nga Autoriteti Kombëtar i Ushqimit, doganat dhe tatimet për të parandaluar futjen e farërave të kanabisit në vend.</w:t>
      </w:r>
    </w:p>
    <w:p w:rsidR="00B91A90" w:rsidRPr="004A0B3D" w:rsidRDefault="00B91A90" w:rsidP="00B91A90">
      <w:pPr>
        <w:pStyle w:val="ListParagraph"/>
        <w:numPr>
          <w:ilvl w:val="0"/>
          <w:numId w:val="7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realizohet bashkëpunimi i hershëm i shërbimeve inteligjente dhe policore me strukturat homologe të vendeve të origjinës së farërave.</w:t>
      </w:r>
    </w:p>
    <w:p w:rsidR="00B91A90" w:rsidRPr="004A0B3D" w:rsidRDefault="00B91A90" w:rsidP="00B91A90">
      <w:pPr>
        <w:pStyle w:val="ListParagraph"/>
        <w:numPr>
          <w:ilvl w:val="0"/>
          <w:numId w:val="7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intensifikohen kontrollet në sera dhe mjedise të tjera të mbyllura ku mund të kultivohen fidanët; </w:t>
      </w:r>
    </w:p>
    <w:p w:rsidR="00B91A90" w:rsidRPr="004A0B3D" w:rsidRDefault="00B91A90" w:rsidP="00B91A90">
      <w:pPr>
        <w:pStyle w:val="ListParagraph"/>
        <w:numPr>
          <w:ilvl w:val="0"/>
          <w:numId w:val="7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identifikohen personat që zotërojnë fuqi ekonomike për të mbjellë kanabis. </w:t>
      </w:r>
    </w:p>
    <w:p w:rsidR="00B91A90" w:rsidRPr="004A0B3D" w:rsidRDefault="00B91A90" w:rsidP="00B91A90">
      <w:pPr>
        <w:pStyle w:val="ListParagraph"/>
        <w:numPr>
          <w:ilvl w:val="0"/>
          <w:numId w:val="7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angazhohen maksimalisht organet e qeverisjes vendore në fazën parandaluese.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7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Parandalimi i mbjelljes së fidanëve në mjedise të mbyllura.</w:t>
      </w:r>
    </w:p>
    <w:p w:rsidR="00B91A90" w:rsidRPr="004A0B3D" w:rsidRDefault="00B91A90" w:rsidP="00B91A90">
      <w:pPr>
        <w:pStyle w:val="ListParagraph"/>
        <w:numPr>
          <w:ilvl w:val="0"/>
          <w:numId w:val="7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Zbulimi dhe shkatërrimi i sipërfaqeve të mbjella me fidanë.</w:t>
      </w:r>
    </w:p>
    <w:p w:rsidR="00B91A90" w:rsidRPr="004A0B3D" w:rsidRDefault="00B91A90" w:rsidP="00B91A90">
      <w:pPr>
        <w:pStyle w:val="ListParagraph"/>
        <w:numPr>
          <w:ilvl w:val="0"/>
          <w:numId w:val="7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Identifikimi dhe procedimi i personave dhe rrjeteve të përfshira në kultivim dhe trafikim.</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Institucioni përgjegjës </w:t>
      </w:r>
    </w:p>
    <w:p w:rsidR="00B91A90" w:rsidRPr="004A0B3D" w:rsidRDefault="00B91A90" w:rsidP="00B91A90">
      <w:pPr>
        <w:pStyle w:val="ListParagraph"/>
        <w:numPr>
          <w:ilvl w:val="0"/>
          <w:numId w:val="2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2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gjitha institucionet e përfaqësuara në TFQ;</w:t>
      </w:r>
    </w:p>
    <w:p w:rsidR="00B91A90" w:rsidRPr="004A0B3D" w:rsidRDefault="00B91A90" w:rsidP="00B91A90">
      <w:pPr>
        <w:pStyle w:val="ListParagraph"/>
        <w:numPr>
          <w:ilvl w:val="0"/>
          <w:numId w:val="2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Partnerët ndërkombëtarë.</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Indikatorët e matshëm</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fidanëve të shkatërruar;</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zonave të identifikuara;</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personave të përfshirë/proceduar.</w:t>
      </w:r>
    </w:p>
    <w:p w:rsidR="00B91A90" w:rsidRPr="004A0B3D" w:rsidRDefault="00B91A90" w:rsidP="00B91A90">
      <w:pPr>
        <w:pStyle w:val="Heading1"/>
        <w:tabs>
          <w:tab w:val="left" w:pos="540"/>
          <w:tab w:val="left" w:pos="720"/>
        </w:tabs>
        <w:spacing w:before="0"/>
        <w:ind w:firstLine="288"/>
        <w:rPr>
          <w:rFonts w:ascii="Garamond" w:hAnsi="Garamond"/>
          <w:b w:val="0"/>
          <w:sz w:val="24"/>
          <w:szCs w:val="24"/>
          <w:lang w:val="sq-AL"/>
        </w:rPr>
      </w:pPr>
      <w:bookmarkStart w:id="39" w:name="_Toc475636007"/>
      <w:r w:rsidRPr="004A0B3D">
        <w:rPr>
          <w:rFonts w:ascii="Garamond" w:hAnsi="Garamond"/>
          <w:b w:val="0"/>
          <w:sz w:val="24"/>
          <w:szCs w:val="24"/>
          <w:lang w:val="sq-AL"/>
        </w:rPr>
        <w:t>Objektivi B: Goditja dhe shkatërrimi i trafikimit të kanabisit</w:t>
      </w:r>
      <w:bookmarkEnd w:id="39"/>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40" w:name="_Toc475636008"/>
      <w:r w:rsidRPr="004A0B3D">
        <w:rPr>
          <w:rFonts w:ascii="Garamond" w:hAnsi="Garamond"/>
          <w:b w:val="0"/>
          <w:sz w:val="24"/>
          <w:szCs w:val="24"/>
          <w:u w:val="single"/>
          <w:lang w:val="sq-AL"/>
        </w:rPr>
        <w:t>Masa B.1: Parandalimi, identifikimi, zbulimi, dokumentimi, goditja dhe shkatërrimi i grupeve kriminale të trafikimit</w:t>
      </w:r>
      <w:bookmarkEnd w:id="40"/>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Shënjimi dhe shkatërrimi i grupeve kriminale të organizuara, të përfshira në trafikimin e kanabisit (financuesit, organizatorët, trafikantët e drogës, ndërlidhësit, kultivuesit, shpërndarësit).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Përshkrim i shkurtër: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Trafikantët konsiderohen si kategoria e dytë më e rrezikshme e grupeve të organizuar kriminale, pas financuesve. Strukturat hetimore kanë përgjegjësi për goditjen efikase të grupeve kriminale që organizojnë dhe kryejnë trafikimin e lëndëve narkotike. Hetimet e përbashkëta kombëtare e ndërkombëtare dhe përdorimi i shtuar i metodave speciale të hetimit konsiderohen si mjete të rëndësishme në këtë proces.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goditjen dhe shkatërrimin e rrjeteve të trafikimit të merren këto masa:</w:t>
      </w:r>
    </w:p>
    <w:p w:rsidR="00B91A90" w:rsidRPr="004A0B3D" w:rsidRDefault="00B91A90" w:rsidP="00B91A90">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bëhet trajnim i posaçëm i personelit të policisë kriminale.</w:t>
      </w:r>
    </w:p>
    <w:p w:rsidR="00B91A90" w:rsidRPr="004A0B3D" w:rsidRDefault="00B91A90" w:rsidP="00B91A90">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shtohen kapacitetet logjistike të dedikuara.</w:t>
      </w:r>
    </w:p>
    <w:p w:rsidR="00B91A90" w:rsidRPr="004A0B3D" w:rsidRDefault="00B91A90" w:rsidP="00B91A90">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zgjerohet rrjeti i informatorëve të policisë kriminale.</w:t>
      </w:r>
    </w:p>
    <w:p w:rsidR="00B91A90" w:rsidRPr="004A0B3D" w:rsidRDefault="00B91A90" w:rsidP="00B91A90">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frenohen lëvizjet e shpeshta të personelit të aktivizuar në PKKK.</w:t>
      </w:r>
    </w:p>
    <w:p w:rsidR="00B91A90" w:rsidRPr="004A0B3D" w:rsidRDefault="00B91A90" w:rsidP="00B91A90">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organizohen operacione të përbashkëta kombëtare e ndërkombëtare.</w:t>
      </w:r>
    </w:p>
    <w:p w:rsidR="00B91A90" w:rsidRPr="004A0B3D" w:rsidRDefault="00B91A90" w:rsidP="00B91A90">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merret dhe shkëmbehet sa më shpejt dhe në mënyrë efikase informacioni dhe të vihet në eficiencë sistemi ERICP.</w:t>
      </w:r>
    </w:p>
    <w:p w:rsidR="00B91A90" w:rsidRPr="004A0B3D" w:rsidRDefault="00B91A90" w:rsidP="00B91A90">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intensifikohet kontrolli i territorit, përmes angazhimit të të gjitha strukturave kompetente: PSH, FA, Shërbimi Informativ i Shtetit (SHISH), vendorët, strukturat e bujqësisë, pyjeve, mjedisit, tatimeve dhe doganave.</w:t>
      </w:r>
    </w:p>
    <w:p w:rsidR="00B91A90" w:rsidRPr="004A0B3D" w:rsidRDefault="00B91A90" w:rsidP="00B91A90">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përmirësohet baza e të dhënave, nëpërmjet përditësimit cilësor të informacionit.</w:t>
      </w:r>
    </w:p>
    <w:p w:rsidR="00B91A90" w:rsidRPr="004A0B3D" w:rsidRDefault="00B91A90" w:rsidP="00B91A90">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fuqizohen kapacitetet analizuese, në funksion të njohjes së situatës kriminale. </w:t>
      </w:r>
    </w:p>
    <w:p w:rsidR="00B91A90" w:rsidRPr="004A0B3D" w:rsidRDefault="00B91A90" w:rsidP="00B91A90">
      <w:pPr>
        <w:pStyle w:val="ListParagraph"/>
        <w:numPr>
          <w:ilvl w:val="0"/>
          <w:numId w:val="73"/>
        </w:numPr>
        <w:tabs>
          <w:tab w:val="left" w:pos="540"/>
          <w:tab w:val="left" w:pos="63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shtohen hetimet pro-aktive dhe përdorimi i metodave speciale të hetimit, për sigurimin e provave ligjore dhe goditjen efektive të grupeve kriminale.</w:t>
      </w:r>
    </w:p>
    <w:p w:rsidR="00B91A90" w:rsidRPr="004A0B3D" w:rsidRDefault="00B91A90" w:rsidP="00B91A90">
      <w:pPr>
        <w:pStyle w:val="ListParagraph"/>
        <w:numPr>
          <w:ilvl w:val="0"/>
          <w:numId w:val="73"/>
        </w:numPr>
        <w:tabs>
          <w:tab w:val="left" w:pos="540"/>
          <w:tab w:val="left" w:pos="63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sekuestrohen e konfiskohen asetet kriminale.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Rezultatet e pritshme</w:t>
      </w:r>
    </w:p>
    <w:p w:rsidR="00B91A90" w:rsidRPr="004A0B3D" w:rsidRDefault="00B91A90" w:rsidP="00B91A90">
      <w:pPr>
        <w:pStyle w:val="ListParagraph"/>
        <w:numPr>
          <w:ilvl w:val="0"/>
          <w:numId w:val="6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Identifikimi dhe goditja e grupeve të krimit të organizuar.</w:t>
      </w:r>
    </w:p>
    <w:p w:rsidR="00B91A90" w:rsidRPr="004A0B3D" w:rsidRDefault="00B91A90" w:rsidP="00B91A90">
      <w:pPr>
        <w:pStyle w:val="ListParagraph"/>
        <w:numPr>
          <w:ilvl w:val="0"/>
          <w:numId w:val="6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numrit të referimeve në prokurori.</w:t>
      </w:r>
    </w:p>
    <w:p w:rsidR="00B91A90" w:rsidRPr="004A0B3D" w:rsidRDefault="00B91A90" w:rsidP="00B91A90">
      <w:pPr>
        <w:pStyle w:val="ListParagraph"/>
        <w:numPr>
          <w:ilvl w:val="0"/>
          <w:numId w:val="6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numrit të aseteve kriminale të identifikuara, sekuestruara apo konfiskuara.</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MF;</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Agjencia e Inteligjencës dhe Sigurisë së Mbrojtjes;</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SHISH; </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Shërbimet për Çështjet e Brendshme dhe Ankesat; </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 xml:space="preserve">Prokuroria; </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Partnerë të tjerë relevantë.</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Indikatorët e matshëm</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grupeve kriminale të identifikuara, proceduara penalisht;</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çështjeve të hetuara nga prokuroria dhe të dërguara për gjykim;</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çështjeve të përfunduara nga gjykata dhe i personave të dënuar;</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Vlera e aseteve të konfiskuara/sekuestruara me prejardhje kriminale.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41" w:name="_Toc475636009"/>
      <w:r w:rsidRPr="004A0B3D">
        <w:rPr>
          <w:rFonts w:ascii="Garamond" w:hAnsi="Garamond"/>
          <w:b w:val="0"/>
          <w:sz w:val="24"/>
          <w:szCs w:val="24"/>
          <w:u w:val="single"/>
          <w:lang w:val="sq-AL"/>
        </w:rPr>
        <w:t>Masa B.2: Përmirësimi i menaxhimit të kufijve</w:t>
      </w:r>
      <w:bookmarkEnd w:id="41"/>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Qëllimet</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kapaciteteve të kontrollit të kufirit për të parandaluar trafikimin e lëndëve narkotike;</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Intensifikimi i kontrolleve policore dhe doganore, për zbulimin e narkotikëve, përfshirë dhe farërat e kanabisit;</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Forcimi i bashkëpunimit ndërkombëtar me vendet e origjinës së farërave dhe destinacionit të narkotikëve;</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Adaptimi i një qasje specifike (zbulimi, teknikat, taktikat dhe procedurat) për luftën ndaj kontrabandës.</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Menaxhimi efektiv i kufijve është një kusht i rëndësishëm për suksesin kundër trafikimit të kanabisit. Suksesi në menaxhimin e kufijve lidhet ngushtë me përmirësimin e bashkëpunimit ndërinstitucional mes strukturave që kanë përgjegjësi në kontrollin e tyre, si dhe me zgjerimin e bashkëpunimit ndërkombëtar. Rritja e kontrolleve dhe e kapaciteteve përkatëse është një ndër prioritetet e këtij plani.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përmirësimin e menaxhimit të kufijve të merren këto masa:</w:t>
      </w:r>
    </w:p>
    <w:p w:rsidR="00B91A90" w:rsidRPr="004A0B3D" w:rsidRDefault="00B91A90" w:rsidP="00B91A90">
      <w:pPr>
        <w:pStyle w:val="ListParagraph"/>
        <w:numPr>
          <w:ilvl w:val="0"/>
          <w:numId w:val="7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krijohen mekanizma bashkëpunimi dhe shkëmbimi ndërkufitar të informacionit me Italinë, Greqinë, Malin e Zi, Kosovën dhe Maqedoninë, si: qendra dypalëshe, pika të përbashkëta kufitare, patrullime dhe operacione të përbashkëta kundër trafikut;</w:t>
      </w:r>
    </w:p>
    <w:p w:rsidR="00B91A90" w:rsidRPr="004A0B3D" w:rsidRDefault="00B91A90" w:rsidP="00B91A90">
      <w:pPr>
        <w:pStyle w:val="ListParagraph"/>
        <w:numPr>
          <w:ilvl w:val="0"/>
          <w:numId w:val="7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zgjerohet bashkëpunimi me strukturat ndërkombëtare, si: INTERPOL, EUROPOL, EMCDDA, në funksion të parandalimit dhe goditjes së trafikut ndërkombëtar;</w:t>
      </w:r>
    </w:p>
    <w:p w:rsidR="00B91A90" w:rsidRPr="004A0B3D" w:rsidRDefault="00B91A90" w:rsidP="00B91A90">
      <w:pPr>
        <w:pStyle w:val="ListParagraph"/>
        <w:numPr>
          <w:ilvl w:val="0"/>
          <w:numId w:val="7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hartohen dhe miratohen procedura standarde të veprimit mes PSH-së, Drejtoria e Përgjithshme e Doganave (DPD), autoriteteve portuale dhe aeroportuale, si dhe të kontrollit fito-sanitar, me qëllim kryerjen e kontrolleve të përbashkëta;</w:t>
      </w:r>
    </w:p>
    <w:p w:rsidR="00B91A90" w:rsidRPr="004A0B3D" w:rsidRDefault="00B91A90" w:rsidP="00B91A90">
      <w:pPr>
        <w:pStyle w:val="ListParagraph"/>
        <w:numPr>
          <w:ilvl w:val="0"/>
          <w:numId w:val="74"/>
        </w:numPr>
        <w:tabs>
          <w:tab w:val="left" w:pos="540"/>
          <w:tab w:val="left" w:pos="720"/>
        </w:tabs>
        <w:spacing w:after="0" w:line="240" w:lineRule="auto"/>
        <w:ind w:left="0" w:firstLine="288"/>
        <w:jc w:val="both"/>
        <w:rPr>
          <w:rFonts w:ascii="Garamond" w:hAnsi="Garamond"/>
          <w:strike/>
          <w:sz w:val="24"/>
          <w:szCs w:val="24"/>
          <w:lang w:val="sq-AL"/>
        </w:rPr>
      </w:pPr>
      <w:r w:rsidRPr="004A0B3D">
        <w:rPr>
          <w:rFonts w:ascii="Garamond" w:hAnsi="Garamond"/>
          <w:sz w:val="24"/>
          <w:szCs w:val="24"/>
          <w:lang w:val="sq-AL"/>
        </w:rPr>
        <w:t>Të krijohen kapacitete teknike e njerëzore për zbatimin e procedurave ligjore në pikat doganore për importimin e farave të bimëve bujqësore, për parandalimin e futjes në tregun e vendit tonë të farave të kanabisit;</w:t>
      </w:r>
    </w:p>
    <w:p w:rsidR="00B91A90" w:rsidRPr="004A0B3D" w:rsidRDefault="00B91A90" w:rsidP="00B91A90">
      <w:pPr>
        <w:pStyle w:val="ListParagraph"/>
        <w:numPr>
          <w:ilvl w:val="0"/>
          <w:numId w:val="7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kombinohen kontrollet fizike me metodat speciale të hetimit në pikat kufitare;</w:t>
      </w:r>
    </w:p>
    <w:p w:rsidR="00B91A90" w:rsidRPr="004A0B3D" w:rsidRDefault="00B91A90" w:rsidP="00B91A90">
      <w:pPr>
        <w:pStyle w:val="ListParagraph"/>
        <w:numPr>
          <w:ilvl w:val="0"/>
          <w:numId w:val="7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vendosen oficerë ndërlidhës me partnerët kryesorë;</w:t>
      </w:r>
    </w:p>
    <w:p w:rsidR="00B91A90" w:rsidRPr="004A0B3D" w:rsidRDefault="00B91A90" w:rsidP="00B91A90">
      <w:pPr>
        <w:pStyle w:val="ListParagraph"/>
        <w:numPr>
          <w:ilvl w:val="0"/>
          <w:numId w:val="7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sigurohet pjesëmarrja e policisë kufitare në njësitë e përbashkëta vendore kundër kultivimit dhe trafikimit të kanabisit;</w:t>
      </w:r>
    </w:p>
    <w:p w:rsidR="00B91A90" w:rsidRPr="004A0B3D" w:rsidRDefault="00B91A90" w:rsidP="00B91A90">
      <w:pPr>
        <w:pStyle w:val="ListParagraph"/>
        <w:numPr>
          <w:ilvl w:val="0"/>
          <w:numId w:val="7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rritet dhe përmirësohet kontrolli kufitar detar, përmes Rojës Bregdetare, SIVHD, Qendra Ndërinstitucionale Operacionale Detare;</w:t>
      </w:r>
    </w:p>
    <w:p w:rsidR="00B91A90" w:rsidRPr="004A0B3D" w:rsidRDefault="00B91A90" w:rsidP="00B91A90">
      <w:pPr>
        <w:pStyle w:val="ListParagraph"/>
        <w:numPr>
          <w:ilvl w:val="0"/>
          <w:numId w:val="7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rritet dhe përmirësohet kontrolli i kufirit tokësor, përmes rritjes së kapaciteteve ajrore.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numrit të veprimeve të përbashkëta hetimore dhe operacionale me partnerët ndërkombëtarë.</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kapaciteteve të skanimit të mjeteve në pikat e kalimit të kufirit.</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Lista e personave të arrestuar në pikat kufitare për vepra penale të lidhura me drogën.</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Sasia e drogës me origjinë nga Shqipëria, e konfiskuar në vendet fqinje. </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Raporte mbi mënyrën e kalimit të farërave të kanabisit në kufi, nga vendi i origjinës.</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Institucioni përgjegjës </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r>
        <w:rPr>
          <w:rFonts w:ascii="Garamond" w:hAnsi="Garamond"/>
          <w:sz w:val="24"/>
          <w:szCs w:val="24"/>
          <w:lang w:val="sq-AL"/>
        </w:rPr>
        <w: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MF; </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DPD;</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Prokuroria;</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MM; </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SHISH;</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Partnerë ndërkombëtarë.</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veprimeve/operacioneve hetimore të kryera në bashkëpunim me partnerët ndërkombëtarë;</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Sasia e automjeteve të skanuara në pikën kufitare;</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personave të kapur në pikat kufitare për drogë;</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Sasia e drogës me origjinë nga Shqipëria e konfiskuar në vendet fqinje.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42" w:name="_Toc475636010"/>
      <w:r w:rsidRPr="004A0B3D">
        <w:rPr>
          <w:rFonts w:ascii="Garamond" w:hAnsi="Garamond"/>
          <w:b w:val="0"/>
          <w:sz w:val="24"/>
          <w:szCs w:val="24"/>
          <w:u w:val="single"/>
          <w:lang w:val="sq-AL"/>
        </w:rPr>
        <w:t>Masa B.3: Përmirësimi i kapaciteteve të mbikëqyrjes ajrore</w:t>
      </w:r>
      <w:bookmarkEnd w:id="42"/>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Përmirësimi i kapaciteteve të mbikëqyrjes ajrore me qëllim monitorimin e territorit shqiptar dhe zbulimin e sipërfaqeve të mbjella me kanabis, në bashkëpunim të ngushtë me partnerët/agjencitë ndërkombëtare.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Kontrolli efektiv i territorit është një ndër parakushtet për goditjen e suksesshme të kultivimit dhe të trafikimit të kanabisit. Kapacitetet aktuale të vendit për kontrollin ajror janë të kufizuara. Zgjerimi i tyre nëpërmjet shtimit të aftësive të vëzhgimit ajror të flotës së helikopterëve të FA</w:t>
      </w:r>
      <w:r>
        <w:rPr>
          <w:rFonts w:ascii="Garamond" w:hAnsi="Garamond"/>
          <w:sz w:val="24"/>
          <w:szCs w:val="24"/>
          <w:lang w:val="sq-AL"/>
        </w:rPr>
        <w:t>-së</w:t>
      </w:r>
      <w:r w:rsidRPr="004A0B3D">
        <w:rPr>
          <w:rFonts w:ascii="Garamond" w:hAnsi="Garamond"/>
          <w:sz w:val="24"/>
          <w:szCs w:val="24"/>
          <w:lang w:val="sq-AL"/>
        </w:rPr>
        <w:t xml:space="preserve"> dhe PSH</w:t>
      </w:r>
      <w:r>
        <w:rPr>
          <w:rFonts w:ascii="Garamond" w:hAnsi="Garamond"/>
          <w:sz w:val="24"/>
          <w:szCs w:val="24"/>
          <w:lang w:val="sq-AL"/>
        </w:rPr>
        <w:t>-së</w:t>
      </w:r>
      <w:r w:rsidRPr="004A0B3D">
        <w:rPr>
          <w:rFonts w:ascii="Garamond" w:hAnsi="Garamond"/>
          <w:sz w:val="24"/>
          <w:szCs w:val="24"/>
          <w:lang w:val="sq-AL"/>
        </w:rPr>
        <w:t>, futja në përdorim e mjeteve ajrore të papilotuara</w:t>
      </w:r>
      <w:r>
        <w:rPr>
          <w:rFonts w:ascii="Garamond" w:hAnsi="Garamond"/>
          <w:sz w:val="24"/>
          <w:szCs w:val="24"/>
          <w:lang w:val="sq-AL"/>
        </w:rPr>
        <w:t>,</w:t>
      </w:r>
      <w:r w:rsidRPr="004A0B3D">
        <w:rPr>
          <w:rFonts w:ascii="Garamond" w:hAnsi="Garamond"/>
          <w:sz w:val="24"/>
          <w:szCs w:val="24"/>
          <w:lang w:val="sq-AL"/>
        </w:rPr>
        <w:t xml:space="preserve"> si dhe kontraktimi i shërbimeve satelitore të vëzhgimit ajror janë në funksion të përmirësimit të kontrollit të territorit.</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përmirësimin e kapaciteteve të mbikëqyrjes ajrore të merren këto masa:</w:t>
      </w:r>
    </w:p>
    <w:p w:rsidR="00B91A90" w:rsidRPr="004A0B3D" w:rsidRDefault="00B91A90" w:rsidP="00B91A90">
      <w:pPr>
        <w:pStyle w:val="ListParagraph"/>
        <w:numPr>
          <w:ilvl w:val="0"/>
          <w:numId w:val="3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vijojë monitorimit ajror nga Guardia di Finanzia në zbatim të marrëveshjes së përbashkët me qeverinë italiane.</w:t>
      </w:r>
    </w:p>
    <w:p w:rsidR="00B91A90" w:rsidRPr="004A0B3D" w:rsidRDefault="00B91A90" w:rsidP="00B91A90">
      <w:pPr>
        <w:pStyle w:val="ListParagraph"/>
        <w:numPr>
          <w:ilvl w:val="0"/>
          <w:numId w:val="3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kontraktohen shërbimet satelitore të vëzhgimit, për sigurimin e imazheve në kohë reale të sipërfaqeve të mbjella me kanabis.</w:t>
      </w:r>
    </w:p>
    <w:p w:rsidR="00B91A90" w:rsidRPr="004A0B3D" w:rsidRDefault="00B91A90" w:rsidP="00B91A90">
      <w:pPr>
        <w:pStyle w:val="ListParagraph"/>
        <w:numPr>
          <w:ilvl w:val="0"/>
          <w:numId w:val="3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shtohen kapacitetet e mbikëqyrjes ajrore nëpërmjet: </w:t>
      </w:r>
    </w:p>
    <w:p w:rsidR="00B91A90" w:rsidRPr="004A0B3D" w:rsidRDefault="00B91A90" w:rsidP="00B91A90">
      <w:pPr>
        <w:pStyle w:val="ListParagraph"/>
        <w:numPr>
          <w:ilvl w:val="0"/>
          <w:numId w:val="9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vendosjes së pajisjeve të vëzhgimit ajror në helikopterët ekzistues;</w:t>
      </w:r>
    </w:p>
    <w:p w:rsidR="00B91A90" w:rsidRPr="004A0B3D" w:rsidRDefault="00B91A90" w:rsidP="00B91A90">
      <w:pPr>
        <w:pStyle w:val="ListParagraph"/>
        <w:numPr>
          <w:ilvl w:val="0"/>
          <w:numId w:val="9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sigurimit të një helikopteri të posaçëm për vëzhgim; </w:t>
      </w:r>
    </w:p>
    <w:p w:rsidR="00B91A90" w:rsidRPr="004A0B3D" w:rsidRDefault="00B91A90" w:rsidP="00B91A90">
      <w:pPr>
        <w:pStyle w:val="ListParagraph"/>
        <w:numPr>
          <w:ilvl w:val="0"/>
          <w:numId w:val="9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pajisjes me dron</w:t>
      </w:r>
      <w:r>
        <w:rPr>
          <w:rFonts w:ascii="Garamond" w:hAnsi="Garamond"/>
          <w:sz w:val="24"/>
          <w:szCs w:val="24"/>
          <w:lang w:val="sq-AL"/>
        </w:rPr>
        <w:t>ë</w:t>
      </w:r>
      <w:r w:rsidRPr="004A0B3D">
        <w:rPr>
          <w:rFonts w:ascii="Garamond" w:hAnsi="Garamond"/>
          <w:sz w:val="24"/>
          <w:szCs w:val="24"/>
          <w:lang w:val="sq-AL"/>
        </w:rPr>
        <w: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7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Monitorimi i territorit nëpërmjet patrullimit dhe mbikëqyrjes ajrore;</w:t>
      </w:r>
    </w:p>
    <w:p w:rsidR="00B91A90" w:rsidRPr="004A0B3D" w:rsidRDefault="00B91A90" w:rsidP="00B91A90">
      <w:pPr>
        <w:pStyle w:val="ListParagraph"/>
        <w:numPr>
          <w:ilvl w:val="0"/>
          <w:numId w:val="7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Sigurimi i pamjeve vizuale nëpërmjet mjeteve vëzhguese satelitore/drone.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Institucioni përgjegjës </w:t>
      </w:r>
    </w:p>
    <w:p w:rsidR="00B91A90" w:rsidRPr="004A0B3D" w:rsidRDefault="00B91A90" w:rsidP="00B91A90">
      <w:pPr>
        <w:pStyle w:val="ListParagraph"/>
        <w:numPr>
          <w:ilvl w:val="0"/>
          <w:numId w:val="7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MM (Forcat Ajrore)</w:t>
      </w:r>
      <w:r>
        <w:rPr>
          <w:rFonts w:ascii="Garamond" w:hAnsi="Garamond"/>
          <w:sz w:val="24"/>
          <w:szCs w:val="24"/>
          <w:lang w:val="sq-AL"/>
        </w:rPr>
        <w: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7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 xml:space="preserve">PSH; </w:t>
      </w:r>
    </w:p>
    <w:p w:rsidR="00B91A90" w:rsidRPr="004A0B3D" w:rsidRDefault="00B91A90" w:rsidP="00B91A90">
      <w:pPr>
        <w:pStyle w:val="ListParagraph"/>
        <w:numPr>
          <w:ilvl w:val="0"/>
          <w:numId w:val="7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MF;</w:t>
      </w:r>
    </w:p>
    <w:p w:rsidR="00B91A90" w:rsidRPr="004A0B3D" w:rsidRDefault="00B91A90" w:rsidP="00B91A90">
      <w:pPr>
        <w:pStyle w:val="ListParagraph"/>
        <w:numPr>
          <w:ilvl w:val="0"/>
          <w:numId w:val="7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Struktura partnere ndërkombëtare.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7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orëve të fluturimit (të brendshme dhe ndërkombëtare); </w:t>
      </w:r>
    </w:p>
    <w:p w:rsidR="00B91A90" w:rsidRPr="004A0B3D" w:rsidRDefault="00B91A90" w:rsidP="00B91A90">
      <w:pPr>
        <w:pStyle w:val="ListParagraph"/>
        <w:numPr>
          <w:ilvl w:val="0"/>
          <w:numId w:val="7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pamjeve satelitore;</w:t>
      </w:r>
    </w:p>
    <w:p w:rsidR="00B91A90" w:rsidRPr="004A0B3D" w:rsidRDefault="00B91A90" w:rsidP="00B91A90">
      <w:pPr>
        <w:pStyle w:val="ListParagraph"/>
        <w:numPr>
          <w:ilvl w:val="0"/>
          <w:numId w:val="7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raporteve të mbikëqyrjes ajrore.</w:t>
      </w:r>
    </w:p>
    <w:p w:rsidR="00B91A90" w:rsidRDefault="00B91A90" w:rsidP="00B91A90">
      <w:pPr>
        <w:tabs>
          <w:tab w:val="left" w:pos="540"/>
          <w:tab w:val="left" w:pos="720"/>
        </w:tabs>
        <w:spacing w:after="0" w:line="240" w:lineRule="auto"/>
        <w:ind w:firstLine="288"/>
        <w:rPr>
          <w:rFonts w:ascii="Garamond" w:hAnsi="Garamond"/>
          <w:sz w:val="24"/>
          <w:szCs w:val="24"/>
          <w:lang w:val="sq-AL"/>
        </w:rPr>
      </w:pPr>
    </w:p>
    <w:p w:rsidR="00B91A90" w:rsidRDefault="00B91A90" w:rsidP="00B91A90">
      <w:pPr>
        <w:tabs>
          <w:tab w:val="left" w:pos="540"/>
          <w:tab w:val="left" w:pos="720"/>
        </w:tabs>
        <w:spacing w:after="0" w:line="240" w:lineRule="auto"/>
        <w:ind w:firstLine="288"/>
        <w:rPr>
          <w:rFonts w:ascii="Garamond" w:hAnsi="Garamond"/>
          <w:sz w:val="24"/>
          <w:szCs w:val="24"/>
          <w:lang w:val="sq-AL"/>
        </w:rPr>
      </w:pPr>
    </w:p>
    <w:p w:rsidR="00B91A90" w:rsidRDefault="00B91A90" w:rsidP="00B91A90">
      <w:pPr>
        <w:tabs>
          <w:tab w:val="left" w:pos="540"/>
          <w:tab w:val="left" w:pos="720"/>
        </w:tabs>
        <w:spacing w:after="0" w:line="240" w:lineRule="auto"/>
        <w:ind w:firstLine="288"/>
        <w:rPr>
          <w:rFonts w:ascii="Garamond" w:hAnsi="Garamond"/>
          <w:sz w:val="24"/>
          <w:szCs w:val="24"/>
          <w:lang w:val="sq-AL"/>
        </w:rPr>
      </w:pPr>
    </w:p>
    <w:p w:rsidR="00B91A90" w:rsidRDefault="00B91A90" w:rsidP="00B91A90">
      <w:pPr>
        <w:widowControl w:val="0"/>
        <w:tabs>
          <w:tab w:val="left" w:pos="540"/>
          <w:tab w:val="left" w:pos="720"/>
        </w:tabs>
        <w:spacing w:after="0" w:line="240" w:lineRule="auto"/>
        <w:ind w:firstLine="289"/>
        <w:rPr>
          <w:rFonts w:ascii="Garamond" w:hAnsi="Garamond"/>
          <w:sz w:val="24"/>
          <w:szCs w:val="24"/>
          <w:lang w:val="sq-AL"/>
        </w:rPr>
      </w:pPr>
    </w:p>
    <w:p w:rsidR="00B91A90" w:rsidRPr="007067FB" w:rsidRDefault="00B91A90" w:rsidP="00B91A90">
      <w:pPr>
        <w:pStyle w:val="Heading1"/>
        <w:keepNext w:val="0"/>
        <w:widowControl w:val="0"/>
        <w:tabs>
          <w:tab w:val="left" w:pos="540"/>
          <w:tab w:val="left" w:pos="720"/>
        </w:tabs>
        <w:spacing w:before="0"/>
        <w:ind w:left="357" w:firstLine="289"/>
        <w:rPr>
          <w:rFonts w:ascii="Garamond" w:hAnsi="Garamond"/>
          <w:b w:val="0"/>
          <w:sz w:val="2"/>
          <w:szCs w:val="24"/>
          <w:lang w:val="sq-AL"/>
        </w:rPr>
      </w:pPr>
      <w:bookmarkStart w:id="43" w:name="_Toc475636011"/>
    </w:p>
    <w:p w:rsidR="00B91A90" w:rsidRDefault="00B91A90" w:rsidP="00B91A90">
      <w:pPr>
        <w:pStyle w:val="Heading1"/>
        <w:keepNext w:val="0"/>
        <w:widowControl w:val="0"/>
        <w:tabs>
          <w:tab w:val="left" w:pos="540"/>
          <w:tab w:val="left" w:pos="720"/>
        </w:tabs>
        <w:spacing w:before="0"/>
        <w:ind w:left="357" w:firstLine="289"/>
        <w:rPr>
          <w:rFonts w:ascii="Garamond" w:hAnsi="Garamond"/>
          <w:b w:val="0"/>
          <w:sz w:val="24"/>
          <w:szCs w:val="24"/>
          <w:lang w:val="sq-AL"/>
        </w:rPr>
      </w:pPr>
    </w:p>
    <w:p w:rsidR="00B91A90" w:rsidRPr="004A0B3D" w:rsidRDefault="00B91A90" w:rsidP="00B91A90">
      <w:pPr>
        <w:pStyle w:val="Heading1"/>
        <w:tabs>
          <w:tab w:val="left" w:pos="540"/>
          <w:tab w:val="left" w:pos="720"/>
        </w:tabs>
        <w:spacing w:before="0"/>
        <w:ind w:firstLine="288"/>
        <w:rPr>
          <w:rFonts w:ascii="Garamond" w:hAnsi="Garamond"/>
          <w:b w:val="0"/>
          <w:sz w:val="24"/>
          <w:szCs w:val="24"/>
          <w:lang w:val="sq-AL"/>
        </w:rPr>
      </w:pPr>
      <w:r w:rsidRPr="004A0B3D">
        <w:rPr>
          <w:rFonts w:ascii="Garamond" w:hAnsi="Garamond"/>
          <w:b w:val="0"/>
          <w:sz w:val="24"/>
          <w:szCs w:val="24"/>
          <w:lang w:val="sq-AL"/>
        </w:rPr>
        <w:t>Objektivi C: Goditja dhe reduktimi i përdorimit të kanabisit</w:t>
      </w:r>
      <w:bookmarkEnd w:id="43"/>
    </w:p>
    <w:p w:rsidR="00B91A90" w:rsidRPr="004A0B3D" w:rsidRDefault="00B91A90" w:rsidP="00B91A90">
      <w:pPr>
        <w:tabs>
          <w:tab w:val="left" w:pos="540"/>
          <w:tab w:val="left" w:pos="720"/>
        </w:tabs>
        <w:spacing w:after="0" w:line="240" w:lineRule="auto"/>
        <w:ind w:firstLine="288"/>
        <w:rPr>
          <w:rFonts w:ascii="Garamond" w:hAnsi="Garamond"/>
          <w:color w:val="2E74B5"/>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44" w:name="_Toc475636012"/>
      <w:r w:rsidRPr="004A0B3D">
        <w:rPr>
          <w:rFonts w:ascii="Garamond" w:hAnsi="Garamond"/>
          <w:b w:val="0"/>
          <w:sz w:val="24"/>
          <w:szCs w:val="24"/>
          <w:u w:val="single"/>
          <w:lang w:val="sq-AL"/>
        </w:rPr>
        <w:t>Masa C.1: Përmirësimi i kapaciteteve të specializuara shëndetësore</w:t>
      </w:r>
      <w:bookmarkEnd w:id="44"/>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Rritja e kapaciteteve të specializuara shëndetësore me qëllim që t’u përgjigjen sa më mirë nevojave të pacientëve që trajtohen për problemet e varësisë nga droga. </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Përshkrim i shkurtër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Krijimi kapaciteteve spitalore dhe mjekësore për trajtimin e përdoruesve të drogës është një aspekt i rëndësishëm i PKKK-së. Përveç qendrës polivalente të trajtimit të personave me varësi nga droga, e cila ndodhet në Spitalin Universitar, nevojitet shtimi i kapaciteteve të reja edhe me qendra të tjera në Tiranë dhe në disa qarqe të vendit. Këto qendra, do t’i përgjigjen, jo vetëm numrit në rritje të atyre që kërkojnë trajtim, por edhe do të jenë më afër fizikisht komuniteteve në nevojë.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Kjo masë do të realizohet nëpërmjet: </w:t>
      </w:r>
    </w:p>
    <w:p w:rsidR="00B91A90" w:rsidRPr="004A0B3D" w:rsidRDefault="00B91A90" w:rsidP="00B91A90">
      <w:pPr>
        <w:pStyle w:val="ListParagraph"/>
        <w:numPr>
          <w:ilvl w:val="0"/>
          <w:numId w:val="3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Përforcimit dhe rritjes së kapaciteteve të qendrës polivalente të trajtimit të përdoruesve të narkotikëve.</w:t>
      </w:r>
    </w:p>
    <w:p w:rsidR="00B91A90" w:rsidRPr="004A0B3D" w:rsidRDefault="00B91A90" w:rsidP="00B91A90">
      <w:pPr>
        <w:pStyle w:val="ListParagraph"/>
        <w:numPr>
          <w:ilvl w:val="0"/>
          <w:numId w:val="3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Krijimit të shërbimeve rajonale në shërbim të komunitetit për përdoruesit e narkotikëve. </w:t>
      </w:r>
    </w:p>
    <w:p w:rsidR="00B91A90" w:rsidRPr="004A0B3D" w:rsidRDefault="00B91A90" w:rsidP="00B91A90">
      <w:pPr>
        <w:pStyle w:val="ListParagraph"/>
        <w:numPr>
          <w:ilvl w:val="0"/>
          <w:numId w:val="3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Vendosjes së shërbimeve specifike të trajtimit të drogave për grupet më të rriskuara.</w:t>
      </w:r>
    </w:p>
    <w:p w:rsidR="00B91A90" w:rsidRPr="004A0B3D" w:rsidRDefault="00B91A90" w:rsidP="00B91A90">
      <w:pPr>
        <w:pStyle w:val="ListParagraph"/>
        <w:numPr>
          <w:ilvl w:val="0"/>
          <w:numId w:val="3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Krijimit të shërbimeve për të ndërvarurit në sistemin penitenciar. </w:t>
      </w:r>
    </w:p>
    <w:p w:rsidR="00B91A90" w:rsidRPr="004A0B3D" w:rsidRDefault="00B91A90" w:rsidP="00B91A90">
      <w:pPr>
        <w:pStyle w:val="ListParagraph"/>
        <w:numPr>
          <w:ilvl w:val="0"/>
          <w:numId w:val="3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Trajnimit të trajnuesve (mësues, mjekë dhe punonjës të kujdesit shëndetësor parësor, punonjësve socialë, punonjësve policie etj.) që punojnë në fushën e parandalimit;</w:t>
      </w:r>
    </w:p>
    <w:p w:rsidR="00B91A90" w:rsidRPr="004A0B3D" w:rsidRDefault="00B91A90" w:rsidP="00B91A90">
      <w:pPr>
        <w:pStyle w:val="ListParagraph"/>
        <w:numPr>
          <w:ilvl w:val="0"/>
          <w:numId w:val="3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Krijimit të kurrikulave të unifikuara për trajnim.</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7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numrit të qendrave të trajtimit special të përdoruesve të drogës;</w:t>
      </w:r>
    </w:p>
    <w:p w:rsidR="00B91A90" w:rsidRPr="004A0B3D" w:rsidRDefault="00B91A90" w:rsidP="00B91A90">
      <w:pPr>
        <w:pStyle w:val="ListParagraph"/>
        <w:numPr>
          <w:ilvl w:val="0"/>
          <w:numId w:val="7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numrit të pacientëve të trajtuar;</w:t>
      </w:r>
    </w:p>
    <w:p w:rsidR="00B91A90" w:rsidRPr="004A0B3D" w:rsidRDefault="00B91A90" w:rsidP="00B91A90">
      <w:pPr>
        <w:pStyle w:val="ListParagraph"/>
        <w:numPr>
          <w:ilvl w:val="0"/>
          <w:numId w:val="7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specialistëve që trajtojnë pacientët e ndërvarur nga droga;</w:t>
      </w:r>
    </w:p>
    <w:p w:rsidR="00B91A90" w:rsidRPr="004A0B3D" w:rsidRDefault="00B91A90" w:rsidP="00B91A90">
      <w:pPr>
        <w:pStyle w:val="ListParagraph"/>
        <w:numPr>
          <w:ilvl w:val="0"/>
          <w:numId w:val="7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Kompletimi i sistemit penitenciar me shërbimin për të ndërvarurit;</w:t>
      </w:r>
    </w:p>
    <w:p w:rsidR="00B91A90" w:rsidRPr="004A0B3D" w:rsidRDefault="00B91A90" w:rsidP="00B91A90">
      <w:pPr>
        <w:pStyle w:val="ListParagraph"/>
        <w:numPr>
          <w:ilvl w:val="0"/>
          <w:numId w:val="7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personave të riintegruar.</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Shëndetësisë (MSH).</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MAS;</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MPB;</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 xml:space="preserve">MMSR; </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MD;</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OJF.</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2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qendrave të reja të specializuara;</w:t>
      </w:r>
    </w:p>
    <w:p w:rsidR="00B91A90" w:rsidRPr="004A0B3D" w:rsidRDefault="00B91A90" w:rsidP="00B91A90">
      <w:pPr>
        <w:pStyle w:val="ListParagraph"/>
        <w:numPr>
          <w:ilvl w:val="0"/>
          <w:numId w:val="2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pacientëve të ndërvarur që kanë nevojë për trajtim; </w:t>
      </w:r>
    </w:p>
    <w:p w:rsidR="00B91A90" w:rsidRPr="004A0B3D" w:rsidRDefault="00B91A90" w:rsidP="00B91A90">
      <w:pPr>
        <w:pStyle w:val="ListParagraph"/>
        <w:numPr>
          <w:ilvl w:val="0"/>
          <w:numId w:val="2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pacientëve që janë trajtuar;</w:t>
      </w:r>
    </w:p>
    <w:p w:rsidR="00B91A90" w:rsidRPr="004A0B3D" w:rsidRDefault="00B91A90" w:rsidP="00B91A90">
      <w:pPr>
        <w:pStyle w:val="ListParagraph"/>
        <w:numPr>
          <w:ilvl w:val="0"/>
          <w:numId w:val="2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personelit të trajnuar sipas specialiteteve.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45" w:name="_Toc475636013"/>
      <w:r w:rsidRPr="004A0B3D">
        <w:rPr>
          <w:rFonts w:ascii="Garamond" w:hAnsi="Garamond"/>
          <w:b w:val="0"/>
          <w:sz w:val="24"/>
          <w:szCs w:val="24"/>
          <w:u w:val="single"/>
          <w:lang w:val="sq-AL"/>
        </w:rPr>
        <w:t>Masa C.2: Përmirësimi i informacionit rreth kanabisit duke përditësuar kurrikulat e arsimit parauniversitar</w:t>
      </w:r>
      <w:bookmarkEnd w:id="45"/>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Qëllimi: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Përditësimi i njohurive të mësimdhënies/nxënies për çështjen e kanabisit nëpërmjet zgjerimit dhe kompletimit të kurrikulave.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Si mjet për parandalim, MAS</w:t>
      </w:r>
      <w:r>
        <w:rPr>
          <w:rFonts w:ascii="Garamond" w:hAnsi="Garamond"/>
          <w:sz w:val="24"/>
          <w:szCs w:val="24"/>
          <w:lang w:val="sq-AL"/>
        </w:rPr>
        <w:t>-i</w:t>
      </w:r>
      <w:r w:rsidRPr="004A0B3D">
        <w:rPr>
          <w:rFonts w:ascii="Garamond" w:hAnsi="Garamond"/>
          <w:sz w:val="24"/>
          <w:szCs w:val="24"/>
          <w:lang w:val="sq-AL"/>
        </w:rPr>
        <w:t>, përveç përditësimit të kurrikulës, përgatitjes së moduleve apo përmirësimit të teksteve, vëmendje të veçantë do t</w:t>
      </w:r>
      <w:r>
        <w:rPr>
          <w:rFonts w:ascii="Garamond" w:hAnsi="Garamond"/>
          <w:sz w:val="24"/>
          <w:szCs w:val="24"/>
          <w:lang w:val="sq-AL"/>
        </w:rPr>
        <w:t>’u</w:t>
      </w:r>
      <w:r w:rsidRPr="004A0B3D">
        <w:rPr>
          <w:rFonts w:ascii="Garamond" w:hAnsi="Garamond"/>
          <w:sz w:val="24"/>
          <w:szCs w:val="24"/>
          <w:lang w:val="sq-AL"/>
        </w:rPr>
        <w:t xml:space="preserve"> kushtojë edhe aktiviteteve ekstrakurrikulare, nëpërmjet shtrirjes së tyre në të gjitha klasat e arsimit parauniversitar.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Kjo masë realizohet nëpërmjet:</w:t>
      </w:r>
    </w:p>
    <w:p w:rsidR="00B91A90" w:rsidRPr="004A0B3D" w:rsidRDefault="00B91A90" w:rsidP="00B91A90">
      <w:pPr>
        <w:pStyle w:val="ListParagraph"/>
        <w:numPr>
          <w:ilvl w:val="0"/>
          <w:numId w:val="7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Zgjerimit dhe përditësimit të informacionit në kurrikulat e viteve të ndryshme shkollore;</w:t>
      </w:r>
    </w:p>
    <w:p w:rsidR="00B91A90" w:rsidRPr="004A0B3D" w:rsidRDefault="00B91A90" w:rsidP="00B91A90">
      <w:pPr>
        <w:pStyle w:val="ListParagraph"/>
        <w:numPr>
          <w:ilvl w:val="0"/>
          <w:numId w:val="7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Ofrimit të njohurive të nevojshme për nxënësit në lidhje me rreziqet e përdorimit të kanabisit;</w:t>
      </w:r>
    </w:p>
    <w:p w:rsidR="00B91A90" w:rsidRPr="004A0B3D" w:rsidRDefault="00B91A90" w:rsidP="00B91A90">
      <w:pPr>
        <w:pStyle w:val="ListParagraph"/>
        <w:numPr>
          <w:ilvl w:val="0"/>
          <w:numId w:val="7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Integrimit të njohurive, shprehive dhe qasjeve kurrikulare bashkëkohore, nga shtete me përvoja në këtë fushë;</w:t>
      </w:r>
    </w:p>
    <w:p w:rsidR="00B91A90" w:rsidRPr="004A0B3D" w:rsidRDefault="00B91A90" w:rsidP="00B91A90">
      <w:pPr>
        <w:pStyle w:val="ListParagraph"/>
        <w:numPr>
          <w:ilvl w:val="0"/>
          <w:numId w:val="7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Bashkërendimit të punës për parandalimin e fenomenit, duke krijuar një mjedis të shëndetshëm në shkollë dhe jashtë saj, me mbështetjen e vazhdueshme të punonjësve të policisë;</w:t>
      </w:r>
    </w:p>
    <w:p w:rsidR="00B91A90" w:rsidRPr="004A0B3D" w:rsidRDefault="00B91A90" w:rsidP="00B91A90">
      <w:pPr>
        <w:pStyle w:val="ListParagraph"/>
        <w:numPr>
          <w:ilvl w:val="0"/>
          <w:numId w:val="7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ndërgjegjësimit të prindërve nëpërmjet përdorimit më efektiv të këshillit të shkollës;</w:t>
      </w:r>
    </w:p>
    <w:p w:rsidR="00B91A90" w:rsidRPr="004A0B3D" w:rsidRDefault="00B91A90" w:rsidP="00B91A90">
      <w:pPr>
        <w:pStyle w:val="ListParagraph"/>
        <w:numPr>
          <w:ilvl w:val="0"/>
          <w:numId w:val="7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Rritjes së rolit të qeverisë së nxënësve, për organizimin e aktiviteteve për të trajtuar çështjen;</w:t>
      </w:r>
    </w:p>
    <w:p w:rsidR="00B91A90" w:rsidRPr="004A0B3D" w:rsidRDefault="00B91A90" w:rsidP="00B91A90">
      <w:pPr>
        <w:pStyle w:val="ListParagraph"/>
        <w:numPr>
          <w:ilvl w:val="0"/>
          <w:numId w:val="7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Reflektimit të konkluzioneve të raporteve të nxjerra nga strukturat e specializuara: Instituti i Zhvillimit Arsimor (IZHA) dhe Instituti i Shëndetit Publik (ISHP) në kurrikula. </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Programe mësimore të përmirësuara;</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Njohuri, shprehi dhe qasje kurrikulare bashkëkohore, të përafruara me praktikat e shteteve me përvojë në këtë fushë;</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Prania e rregullt e punonjësve të policisë në shkolla;</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Hartimi i moduleve kurrikulare;</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Hartimi i module të trajnimit;</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Shpërndarja e posterave dhe fletëpalosjeve dhe e materialeve të tjera informuese.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Institucioni përgjegjës </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MAS.</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Institucione të tjera </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IZHA; </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ISHP;</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Drejtoritë arsimore rajonale (DAR)/zyrat arsimore;</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Pushteti lokal;</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MMSR;</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Partnerët;</w:t>
      </w:r>
    </w:p>
    <w:p w:rsidR="00B91A90" w:rsidRPr="004A0B3D" w:rsidRDefault="00B91A90" w:rsidP="00B91A90">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DAR.</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2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orëve që i dedikohen edukimit kundër drogave;</w:t>
      </w:r>
    </w:p>
    <w:p w:rsidR="00B91A90" w:rsidRPr="004A0B3D" w:rsidRDefault="00B91A90" w:rsidP="00B91A90">
      <w:pPr>
        <w:pStyle w:val="ListParagraph"/>
        <w:numPr>
          <w:ilvl w:val="0"/>
          <w:numId w:val="2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shkollave/klasave të përfshira në programet edukative;</w:t>
      </w:r>
    </w:p>
    <w:p w:rsidR="00B91A90" w:rsidRPr="004A0B3D" w:rsidRDefault="00B91A90" w:rsidP="00B91A90">
      <w:pPr>
        <w:pStyle w:val="ListParagraph"/>
        <w:numPr>
          <w:ilvl w:val="0"/>
          <w:numId w:val="2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mësuesve të trajnuar;</w:t>
      </w:r>
    </w:p>
    <w:p w:rsidR="00B91A90" w:rsidRPr="004A0B3D" w:rsidRDefault="00B91A90" w:rsidP="00B91A90">
      <w:pPr>
        <w:pStyle w:val="ListParagraph"/>
        <w:numPr>
          <w:ilvl w:val="0"/>
          <w:numId w:val="2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moduleve të mësimdhënies/të trajnimit të përgatitura;</w:t>
      </w:r>
    </w:p>
    <w:p w:rsidR="00B91A90" w:rsidRPr="004A0B3D" w:rsidRDefault="00B91A90" w:rsidP="00B91A90">
      <w:pPr>
        <w:pStyle w:val="ListParagraph"/>
        <w:numPr>
          <w:ilvl w:val="0"/>
          <w:numId w:val="2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manualeve të trajnimit;</w:t>
      </w:r>
    </w:p>
    <w:p w:rsidR="00B91A90" w:rsidRPr="004A0B3D" w:rsidRDefault="00B91A90" w:rsidP="00B91A90">
      <w:pPr>
        <w:pStyle w:val="ListParagraph"/>
        <w:numPr>
          <w:ilvl w:val="0"/>
          <w:numId w:val="2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materialeve informuese, ndërgjegjësuese, përfshirë poster</w:t>
      </w:r>
      <w:r>
        <w:rPr>
          <w:rFonts w:ascii="Garamond" w:hAnsi="Garamond"/>
          <w:sz w:val="24"/>
          <w:szCs w:val="24"/>
          <w:lang w:val="sq-AL"/>
        </w:rPr>
        <w:t>ë</w:t>
      </w:r>
      <w:r w:rsidRPr="004A0B3D">
        <w:rPr>
          <w:rFonts w:ascii="Garamond" w:hAnsi="Garamond"/>
          <w:sz w:val="24"/>
          <w:szCs w:val="24"/>
          <w:lang w:val="sq-AL"/>
        </w:rPr>
        <w:t>, fletëpalosje, video të shkurtra, veprimtari sportive, spote etj.</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46" w:name="_Toc475636014"/>
      <w:r w:rsidRPr="004A0B3D">
        <w:rPr>
          <w:rFonts w:ascii="Garamond" w:hAnsi="Garamond"/>
          <w:b w:val="0"/>
          <w:sz w:val="24"/>
          <w:szCs w:val="24"/>
          <w:u w:val="single"/>
          <w:lang w:val="sq-AL"/>
        </w:rPr>
        <w:t>Masa C.3: Krijimi, sigurimi dhe përmirësimi i shërbimeve të ofruara nga interneti</w:t>
      </w:r>
      <w:bookmarkEnd w:id="46"/>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Mirorganizimi, menaxhimi dhe përdorimi i shërbimeve të ofruara nga interneti për përfshirjen më të gjerë të publikut në çështjen e luftës kundër kanabisit.</w:t>
      </w:r>
    </w:p>
    <w:p w:rsidR="00B91A90" w:rsidRDefault="00B91A90" w:rsidP="00B91A90">
      <w:pPr>
        <w:tabs>
          <w:tab w:val="left" w:pos="540"/>
          <w:tab w:val="left" w:pos="720"/>
        </w:tabs>
        <w:spacing w:after="0" w:line="240" w:lineRule="auto"/>
        <w:ind w:firstLine="288"/>
        <w:rPr>
          <w:rFonts w:ascii="Garamond" w:hAnsi="Garamond"/>
          <w:b/>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Përdorimi i internetit si platformë informimi dhe komunikimi është instrument shumë i rëndësishëm pasi informacioni i shpërndarë nëpërmjet internetit përcillet në një rrugë më të shkurtër dhe është më i aksesueshëm nga grupet me risk të lartë për t’u përfshirë në fenomen.</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sigurimin e zbatimit të kësaj mase të ndërmerren këto veprime:</w:t>
      </w:r>
    </w:p>
    <w:p w:rsidR="00B91A90" w:rsidRPr="004A0B3D" w:rsidRDefault="00B91A90" w:rsidP="00B91A90">
      <w:pPr>
        <w:pStyle w:val="ListParagraph"/>
        <w:numPr>
          <w:ilvl w:val="0"/>
          <w:numId w:val="3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Përdorimi i kombinuar i mediave moderne me ato tradicionale si mjete për të përcjellë informacione të dobishme për informimin, por dhe ndërgjegjësimin dhe edukimin publik;</w:t>
      </w:r>
    </w:p>
    <w:p w:rsidR="00B91A90" w:rsidRPr="004A0B3D" w:rsidRDefault="00B91A90" w:rsidP="00B91A90">
      <w:pPr>
        <w:pStyle w:val="ListParagraph"/>
        <w:numPr>
          <w:ilvl w:val="0"/>
          <w:numId w:val="3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Përdorimi i medias për marrjen e informacioneve nga qytetarët për goditjen e dukurisë;</w:t>
      </w:r>
    </w:p>
    <w:p w:rsidR="00B91A90" w:rsidRPr="004A0B3D" w:rsidRDefault="00B91A90" w:rsidP="00B91A90">
      <w:pPr>
        <w:pStyle w:val="ListParagraph"/>
        <w:numPr>
          <w:ilvl w:val="0"/>
          <w:numId w:val="3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Ndërtimi i faqeve të dedikuara, të cilat të ofrojnë informacion të dobishëm dhe programe edukimi për të rinjtë kundër lëndëve narkotike;</w:t>
      </w:r>
    </w:p>
    <w:p w:rsidR="00B91A90" w:rsidRPr="004A0B3D" w:rsidRDefault="00B91A90" w:rsidP="00B91A90">
      <w:pPr>
        <w:pStyle w:val="ListParagraph"/>
        <w:numPr>
          <w:ilvl w:val="0"/>
          <w:numId w:val="3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ndërveprimit të policisë në rrjetet dhe mediat sociale, për të shtuar mundësitë e komunikimit me qytetarët dhe veçanërisht me të rinjtë;</w:t>
      </w:r>
    </w:p>
    <w:p w:rsidR="00B91A90" w:rsidRPr="004A0B3D" w:rsidRDefault="00B91A90" w:rsidP="00B91A90">
      <w:pPr>
        <w:pStyle w:val="ListParagraph"/>
        <w:numPr>
          <w:ilvl w:val="0"/>
          <w:numId w:val="3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Përmirësimi i materialeve dhe informacioneve të disponueshme </w:t>
      </w:r>
      <w:r w:rsidRPr="00E64D76">
        <w:rPr>
          <w:rFonts w:ascii="Garamond" w:hAnsi="Garamond"/>
          <w:i/>
          <w:sz w:val="24"/>
          <w:szCs w:val="24"/>
          <w:lang w:val="sq-AL"/>
        </w:rPr>
        <w:t>online</w:t>
      </w:r>
      <w:r w:rsidRPr="004A0B3D">
        <w:rPr>
          <w:rFonts w:ascii="Garamond" w:hAnsi="Garamond"/>
          <w:sz w:val="24"/>
          <w:szCs w:val="24"/>
          <w:lang w:val="sq-AL"/>
        </w:rPr>
        <w:t xml:space="preserve">; </w:t>
      </w:r>
    </w:p>
    <w:p w:rsidR="00B91A90" w:rsidRPr="004A0B3D" w:rsidRDefault="00B91A90" w:rsidP="00B91A90">
      <w:pPr>
        <w:pStyle w:val="ListParagraph"/>
        <w:numPr>
          <w:ilvl w:val="0"/>
          <w:numId w:val="3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Kryerja e studimeve </w:t>
      </w:r>
      <w:r w:rsidRPr="00E64D76">
        <w:rPr>
          <w:rFonts w:ascii="Garamond" w:hAnsi="Garamond"/>
          <w:i/>
          <w:sz w:val="24"/>
          <w:szCs w:val="24"/>
          <w:lang w:val="sq-AL"/>
        </w:rPr>
        <w:t>online</w:t>
      </w:r>
      <w:r w:rsidRPr="004A0B3D">
        <w:rPr>
          <w:rFonts w:ascii="Garamond" w:hAnsi="Garamond"/>
          <w:sz w:val="24"/>
          <w:szCs w:val="24"/>
          <w:lang w:val="sq-AL"/>
        </w:rPr>
        <w:t xml:space="preserve"> dhe krijimi i mundësive për përfshirje në forume.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përmirësimi i shërbimeve të internetit;</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Përmirësimi i cilësisë së informacioneve, materialeve të ngarkuara </w:t>
      </w:r>
      <w:r w:rsidRPr="00E64D76">
        <w:rPr>
          <w:rFonts w:ascii="Garamond" w:hAnsi="Garamond"/>
          <w:i/>
          <w:sz w:val="24"/>
          <w:szCs w:val="24"/>
          <w:lang w:val="sq-AL"/>
        </w:rPr>
        <w:t>online</w:t>
      </w:r>
      <w:r>
        <w:rPr>
          <w:rFonts w:ascii="Garamond" w:hAnsi="Garamond"/>
          <w:i/>
          <w:sz w:val="24"/>
          <w:szCs w:val="24"/>
          <w:lang w:val="sq-AL"/>
        </w:rPr>
        <w:t>;</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Përdorimi i mediave sociale të destinuara veçanërisht për çështjen e narkotikëve;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Kryerja e vëzhgimeve </w:t>
      </w:r>
      <w:r w:rsidRPr="00E64D76">
        <w:rPr>
          <w:rFonts w:ascii="Garamond" w:hAnsi="Garamond"/>
          <w:i/>
          <w:sz w:val="24"/>
          <w:szCs w:val="24"/>
          <w:lang w:val="sq-AL"/>
        </w:rPr>
        <w:t>online</w:t>
      </w:r>
      <w:r w:rsidRPr="004A0B3D">
        <w:rPr>
          <w:rFonts w:ascii="Garamond" w:hAnsi="Garamond"/>
          <w:sz w:val="24"/>
          <w:szCs w:val="24"/>
          <w:lang w:val="sq-AL"/>
        </w:rPr>
        <w:t xml:space="preserve"> dhe pjesëmarrje e gjerë në forume.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MAS</w:t>
      </w:r>
      <w:r>
        <w:rPr>
          <w:rFonts w:ascii="Garamond" w:hAnsi="Garamond"/>
          <w:sz w:val="24"/>
          <w:szCs w:val="24"/>
          <w:lang w:val="sq-AL"/>
        </w:rPr>
        <w: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MMSR;</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MSH;</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Ministër Shteti për Inovacionin dhe Administratën Publike;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MPB;</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MSH;</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Agjencia Kombëtare e Shoqërisë së Informacionit;</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Universitetet;</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Partnerët. </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shërbimeve të internetit të aksesueshme;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përdoruesve të këtyre shërbimeve;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materialeve të ngarkuara </w:t>
      </w:r>
      <w:r w:rsidRPr="00E64D76">
        <w:rPr>
          <w:rFonts w:ascii="Garamond" w:hAnsi="Garamond"/>
          <w:i/>
          <w:sz w:val="24"/>
          <w:szCs w:val="24"/>
          <w:lang w:val="sq-AL"/>
        </w:rPr>
        <w:t>online</w:t>
      </w:r>
      <w:r w:rsidRPr="004A0B3D">
        <w:rPr>
          <w:rFonts w:ascii="Garamond" w:hAnsi="Garamond"/>
          <w:sz w:val="24"/>
          <w:szCs w:val="24"/>
          <w:lang w:val="sq-AL"/>
        </w:rPr>
        <w:t>.</w:t>
      </w:r>
    </w:p>
    <w:p w:rsidR="00B91A90" w:rsidRPr="004A0B3D" w:rsidRDefault="00B91A90" w:rsidP="00B91A90">
      <w:pPr>
        <w:tabs>
          <w:tab w:val="left" w:pos="540"/>
          <w:tab w:val="left" w:pos="720"/>
        </w:tabs>
        <w:spacing w:after="0" w:line="240" w:lineRule="auto"/>
        <w:ind w:firstLine="288"/>
        <w:rPr>
          <w:rFonts w:ascii="Garamond" w:hAnsi="Garamond"/>
          <w:color w:val="2E74B5"/>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47" w:name="_Toc475636015"/>
      <w:r w:rsidRPr="004A0B3D">
        <w:rPr>
          <w:rFonts w:ascii="Garamond" w:hAnsi="Garamond"/>
          <w:b w:val="0"/>
          <w:sz w:val="24"/>
          <w:szCs w:val="24"/>
          <w:u w:val="single"/>
          <w:lang w:val="sq-AL"/>
        </w:rPr>
        <w:t>Masa C.4: Reduktimi i kërkesës së brendshme</w:t>
      </w:r>
      <w:bookmarkEnd w:id="47"/>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Reduktimi i kërkesës së tregut të brendshëm nëpërmjet uljes së numrit të përdoruesve. </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Ndonëse shumë herë më e vogël se kërkesa ndërkombëtare, edhe kërkesa e brendshme ka njohur rritje. Kërkesë e shtuar është konstatuar nga të rinjtë, kryesisht në klubet e natës, mjediset turistike, lokalet luksoze, por dhe në shkollat e mesme dhe universitete.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Ulja e kërkesës së brendshme është një tjetër objektiv i rëndësishëm, i cili arrihet nëpërmjet kombinimit të masave si më poshtë:</w:t>
      </w:r>
    </w:p>
    <w:p w:rsidR="00B91A90" w:rsidRPr="004A0B3D" w:rsidRDefault="00B91A90" w:rsidP="00B91A90">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Kryerja e vlerësimeve periodike (2-vjeçare) ndërinstitucionale për nivelin e konsumimit të narkotikëve në shkolla dhe në mjedise të tjera;</w:t>
      </w:r>
    </w:p>
    <w:p w:rsidR="00B91A90" w:rsidRPr="004A0B3D" w:rsidRDefault="00B91A90" w:rsidP="00B91A90">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Bashkërendimi i punës mes PSH</w:t>
      </w:r>
      <w:r>
        <w:rPr>
          <w:rFonts w:ascii="Garamond" w:hAnsi="Garamond"/>
          <w:sz w:val="24"/>
          <w:szCs w:val="24"/>
          <w:lang w:val="sq-AL"/>
        </w:rPr>
        <w:t>-së</w:t>
      </w:r>
      <w:r w:rsidRPr="004A0B3D">
        <w:rPr>
          <w:rFonts w:ascii="Garamond" w:hAnsi="Garamond"/>
          <w:sz w:val="24"/>
          <w:szCs w:val="24"/>
          <w:lang w:val="sq-AL"/>
        </w:rPr>
        <w:t xml:space="preserve"> dhe institucioneve të tjera në mbështetje të popullsisë së zonave të rriskuara, nëpërmjet zhvillimit të projekteve të ndryshme kulturore dhe sportive; </w:t>
      </w:r>
    </w:p>
    <w:p w:rsidR="00B91A90" w:rsidRPr="004A0B3D" w:rsidRDefault="00B91A90" w:rsidP="00B91A90">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Monitorimi i procesit të trajtimit të përdoruesve;</w:t>
      </w:r>
    </w:p>
    <w:p w:rsidR="00B91A90" w:rsidRPr="004A0B3D" w:rsidRDefault="00B91A90" w:rsidP="00B91A90">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Përforcimi i kontrolleve në shkolla, konvikte, qendra sociale dhe mjedise publike me frekuentim të lartë nga rinia;</w:t>
      </w:r>
    </w:p>
    <w:p w:rsidR="00B91A90" w:rsidRPr="004A0B3D" w:rsidRDefault="00B91A90" w:rsidP="00B91A90">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Përfshirja e sistemit shkollor parauniversitar, në programet e informimit, sensibilizimit dhe edukimit parandalues ndaj përdorimit të lëndëve narkotike;</w:t>
      </w:r>
    </w:p>
    <w:p w:rsidR="00B91A90" w:rsidRPr="004A0B3D" w:rsidRDefault="00B91A90" w:rsidP="00B91A90">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Trajtimi me psikolog i përdoruesve në të gjitha rastet;</w:t>
      </w:r>
    </w:p>
    <w:p w:rsidR="00B91A90" w:rsidRPr="004A0B3D" w:rsidRDefault="00B91A90" w:rsidP="00B91A90">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Zhvillimi i programeve sociale për edukimin, punësimin, riintegrimin e përdoruesve;</w:t>
      </w:r>
    </w:p>
    <w:p w:rsidR="00B91A90" w:rsidRPr="004A0B3D" w:rsidRDefault="00B91A90" w:rsidP="00B91A90">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Përfshirja e gjithë aktorëve të tjerë (familjes, shoqërisë, shkollës);</w:t>
      </w:r>
    </w:p>
    <w:p w:rsidR="00B91A90" w:rsidRPr="004A0B3D" w:rsidRDefault="00B91A90" w:rsidP="00B91A90">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Zb</w:t>
      </w:r>
      <w:r>
        <w:rPr>
          <w:rFonts w:ascii="Garamond" w:hAnsi="Garamond"/>
          <w:sz w:val="24"/>
          <w:szCs w:val="24"/>
          <w:lang w:val="sq-AL"/>
        </w:rPr>
        <w:t>atimi i plotë i politikave anti</w:t>
      </w:r>
      <w:r w:rsidRPr="004A0B3D">
        <w:rPr>
          <w:rFonts w:ascii="Garamond" w:hAnsi="Garamond"/>
          <w:sz w:val="24"/>
          <w:szCs w:val="24"/>
          <w:lang w:val="sq-AL"/>
        </w:rPr>
        <w:t>duhan si masë parandaluese.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Reduktimi i numrit të përdoruesve nëpërmjet programeve sociale;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Sigurimi i trajtimit me psikolog të përdoruesve;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Shtrirja e programeve mësimore relevante në të gjithë sistemin parauniversitar.</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MAS</w:t>
      </w:r>
      <w:r>
        <w:rPr>
          <w:rFonts w:ascii="Garamond" w:hAnsi="Garamond"/>
          <w:sz w:val="24"/>
          <w:szCs w:val="24"/>
          <w:lang w:val="sq-AL"/>
        </w:rPr>
        <w: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gjitha institucionet e përfaqësuara në TFQ.</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përdoruesve të evidentuar nga të dhënat zyrtare;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përdoruesve nga studime dhe vlerësime të besueshme;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raporteve të përbashkëta ndërinstitucionale;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1"/>
        <w:tabs>
          <w:tab w:val="left" w:pos="540"/>
          <w:tab w:val="left" w:pos="720"/>
        </w:tabs>
        <w:spacing w:before="0"/>
        <w:ind w:firstLine="288"/>
        <w:rPr>
          <w:rFonts w:ascii="Garamond" w:hAnsi="Garamond"/>
          <w:b w:val="0"/>
          <w:sz w:val="24"/>
          <w:szCs w:val="24"/>
          <w:lang w:val="sq-AL"/>
        </w:rPr>
      </w:pPr>
      <w:bookmarkStart w:id="48" w:name="_Toc475636016"/>
      <w:r w:rsidRPr="004A0B3D">
        <w:rPr>
          <w:rFonts w:ascii="Garamond" w:hAnsi="Garamond"/>
          <w:b w:val="0"/>
          <w:sz w:val="24"/>
          <w:szCs w:val="24"/>
          <w:lang w:val="sq-AL"/>
        </w:rPr>
        <w:t>Objektivi D: Informimi dhe komunikimi</w:t>
      </w:r>
      <w:bookmarkEnd w:id="48"/>
    </w:p>
    <w:p w:rsidR="00B91A90" w:rsidRPr="004A0B3D" w:rsidRDefault="00B91A90" w:rsidP="00B91A90">
      <w:pPr>
        <w:tabs>
          <w:tab w:val="left" w:pos="540"/>
          <w:tab w:val="left" w:pos="720"/>
        </w:tabs>
        <w:spacing w:after="0" w:line="240" w:lineRule="auto"/>
        <w:ind w:firstLine="288"/>
        <w:rPr>
          <w:rFonts w:ascii="Garamond" w:hAnsi="Garamond"/>
          <w:color w:val="2E74B5"/>
          <w:sz w:val="24"/>
          <w:szCs w:val="24"/>
          <w:u w:val="single"/>
          <w:lang w:val="sq-AL"/>
        </w:rPr>
      </w:pPr>
    </w:p>
    <w:p w:rsidR="00B91A90" w:rsidRPr="004A0B3D" w:rsidRDefault="00B91A90" w:rsidP="00B91A90">
      <w:pPr>
        <w:pStyle w:val="Heading2"/>
        <w:tabs>
          <w:tab w:val="left" w:pos="540"/>
          <w:tab w:val="left" w:pos="720"/>
        </w:tabs>
        <w:spacing w:before="0"/>
        <w:rPr>
          <w:rFonts w:ascii="Garamond" w:hAnsi="Garamond"/>
          <w:b w:val="0"/>
          <w:sz w:val="24"/>
          <w:szCs w:val="24"/>
          <w:lang w:val="sq-AL"/>
        </w:rPr>
      </w:pPr>
      <w:bookmarkStart w:id="49" w:name="_Toc475636017"/>
      <w:r w:rsidRPr="004A0B3D">
        <w:rPr>
          <w:rFonts w:ascii="Garamond" w:hAnsi="Garamond"/>
          <w:b w:val="0"/>
          <w:sz w:val="24"/>
          <w:szCs w:val="24"/>
          <w:u w:val="single"/>
          <w:lang w:val="sq-AL"/>
        </w:rPr>
        <w:t>Masa D.1: Intensifikimi dhe rritja e numrit të fushatave mediatike</w:t>
      </w:r>
      <w:bookmarkEnd w:id="49"/>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Hartimi dhe zbatimi i një plani të integruar të informimit dhe të komunikimit i cili synon shkëmbimin efektiv të informacionit ndërmjet strukturave të përfshira në zbatimin e PKKK-së me publikun e gjerë.</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Informimi i përshtatshëm i publikut është një mjet i rëndësishëm në përpjekjen për goditjen e fenomenit të kultivimit, trafikimit dhe përdorimit të kanabisit. Nëpërmjet këtij procesi sigurohet ndërgjegjësimi i publikut dhe shkëmbimi i informacionit të rëndësishëm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Krahas rolit të rëndësishëm që do të vijojnë të luajnë mediat tradicionale, një rol të rëndësishëm në këtë proces do të marrin mediat moderne dhe veçanërisht ato sociale.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Duke e konsideruar median si një instrument mjaft të fuqishëm komunikimi me publikun të ndërmerren veprimeve konkrete si më poshtë:</w:t>
      </w:r>
    </w:p>
    <w:p w:rsidR="00B91A90" w:rsidRPr="004A0B3D" w:rsidRDefault="00B91A90" w:rsidP="00B91A90">
      <w:pPr>
        <w:pStyle w:val="ListParagraph"/>
        <w:numPr>
          <w:ilvl w:val="0"/>
          <w:numId w:val="8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Hartimi i një plani intensiv komunikimi;</w:t>
      </w:r>
    </w:p>
    <w:p w:rsidR="00B91A90" w:rsidRPr="004A0B3D" w:rsidRDefault="00B91A90" w:rsidP="00B91A90">
      <w:pPr>
        <w:pStyle w:val="ListParagraph"/>
        <w:numPr>
          <w:ilvl w:val="0"/>
          <w:numId w:val="8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Shfrytëzimi i vëmendjes së mediave, duke përmirësuar performancën e zyrave të komunikimit të ministrive përgjegjëse; </w:t>
      </w:r>
    </w:p>
    <w:p w:rsidR="00B91A90" w:rsidRPr="004A0B3D" w:rsidRDefault="00B91A90" w:rsidP="00B91A90">
      <w:pPr>
        <w:pStyle w:val="ListParagraph"/>
        <w:numPr>
          <w:ilvl w:val="0"/>
          <w:numId w:val="8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Shtimi i kontributeve të drejtpërdrejta kundër kanabisit në mediat tradicionale dhe </w:t>
      </w:r>
      <w:r w:rsidRPr="00FF5411">
        <w:rPr>
          <w:rFonts w:ascii="Garamond" w:hAnsi="Garamond"/>
          <w:i/>
          <w:sz w:val="24"/>
          <w:szCs w:val="24"/>
          <w:lang w:val="sq-AL"/>
        </w:rPr>
        <w:t>online</w:t>
      </w:r>
      <w:r w:rsidRPr="004A0B3D">
        <w:rPr>
          <w:rFonts w:ascii="Garamond" w:hAnsi="Garamond"/>
          <w:sz w:val="24"/>
          <w:szCs w:val="24"/>
          <w:lang w:val="sq-AL"/>
        </w:rPr>
        <w:t xml:space="preserve"> nga të gjitha institucionet e përfshira në zbatimin e PKKK-së; </w:t>
      </w:r>
    </w:p>
    <w:p w:rsidR="00B91A90" w:rsidRPr="004A0B3D" w:rsidRDefault="00B91A90" w:rsidP="00B91A90">
      <w:pPr>
        <w:pStyle w:val="ListParagraph"/>
        <w:numPr>
          <w:ilvl w:val="0"/>
          <w:numId w:val="8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Rritja e transparencës në lidhje me veprimet aktorëve shtetërorë; </w:t>
      </w:r>
    </w:p>
    <w:p w:rsidR="00B91A90" w:rsidRPr="004A0B3D" w:rsidRDefault="00B91A90" w:rsidP="00B91A90">
      <w:pPr>
        <w:pStyle w:val="ListParagraph"/>
        <w:numPr>
          <w:ilvl w:val="0"/>
          <w:numId w:val="8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Përdorimi i imazhit të personazheve pozitivë të artit, kulturës, sportit me ndikim të fuqishëm te të rinjtë.</w:t>
      </w:r>
    </w:p>
    <w:p w:rsidR="00B91A90" w:rsidRPr="004A0B3D" w:rsidRDefault="00B91A90" w:rsidP="00B91A90">
      <w:pPr>
        <w:pStyle w:val="ListParagraph"/>
        <w:numPr>
          <w:ilvl w:val="0"/>
          <w:numId w:val="8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rolit të MSH-së dhe ISHP-së.</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Ndërmarrja e fushatave medi</w:t>
      </w:r>
      <w:r>
        <w:rPr>
          <w:rFonts w:ascii="Garamond" w:hAnsi="Garamond"/>
          <w:sz w:val="24"/>
          <w:szCs w:val="24"/>
          <w:lang w:val="sq-AL"/>
        </w:rPr>
        <w:t>e</w:t>
      </w:r>
      <w:r w:rsidRPr="004A0B3D">
        <w:rPr>
          <w:rFonts w:ascii="Garamond" w:hAnsi="Garamond"/>
          <w:sz w:val="24"/>
          <w:szCs w:val="24"/>
          <w:lang w:val="sq-AL"/>
        </w:rPr>
        <w:t>tike në bashkëpunim me institucionet publike;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bashkëpunimit me mediat;</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Shpërndarja e njoftimeve në mediat kombëtare, publike dhe private, duke përfshirë edhe ato lokale.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MPB</w:t>
      </w:r>
      <w:r>
        <w:rPr>
          <w:rFonts w:ascii="Garamond" w:hAnsi="Garamond"/>
          <w:sz w:val="24"/>
          <w:szCs w:val="24"/>
          <w:lang w:val="sq-AL"/>
        </w:rPr>
        <w: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b/>
          <w:sz w:val="24"/>
          <w:szCs w:val="24"/>
          <w:lang w:val="sq-AL"/>
        </w:rPr>
        <w:t>Të gjitha institucionet që janë të përfaqësuar në Task-Forcë.</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fushatave medi</w:t>
      </w:r>
      <w:r>
        <w:rPr>
          <w:rFonts w:ascii="Garamond" w:hAnsi="Garamond"/>
          <w:sz w:val="24"/>
          <w:szCs w:val="24"/>
          <w:lang w:val="sq-AL"/>
        </w:rPr>
        <w:t>e</w:t>
      </w:r>
      <w:r w:rsidRPr="004A0B3D">
        <w:rPr>
          <w:rFonts w:ascii="Garamond" w:hAnsi="Garamond"/>
          <w:sz w:val="24"/>
          <w:szCs w:val="24"/>
          <w:lang w:val="sq-AL"/>
        </w:rPr>
        <w:t>tike;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audiencave;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njoftimeve.</w:t>
      </w:r>
    </w:p>
    <w:p w:rsidR="00B91A90" w:rsidRPr="004A0B3D" w:rsidRDefault="00B91A90" w:rsidP="00B91A90">
      <w:pPr>
        <w:tabs>
          <w:tab w:val="left" w:pos="540"/>
          <w:tab w:val="left" w:pos="720"/>
        </w:tabs>
        <w:spacing w:after="0" w:line="240" w:lineRule="auto"/>
        <w:ind w:firstLine="288"/>
        <w:rPr>
          <w:rFonts w:ascii="Garamond" w:hAnsi="Garamond"/>
          <w:sz w:val="24"/>
          <w:szCs w:val="24"/>
          <w:u w:val="single"/>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50" w:name="_Toc475636018"/>
      <w:r w:rsidRPr="004A0B3D">
        <w:rPr>
          <w:rFonts w:ascii="Garamond" w:hAnsi="Garamond"/>
          <w:b w:val="0"/>
          <w:sz w:val="24"/>
          <w:szCs w:val="24"/>
          <w:u w:val="single"/>
          <w:lang w:val="sq-AL"/>
        </w:rPr>
        <w:t>Masa D.2: Inkurajimi dhe mbështetja për pjesëmarrjen e ekspertëve në debatet televizive</w:t>
      </w:r>
      <w:bookmarkEnd w:id="50"/>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Përcjellja e njohurive të sakta te qytetarët, nëpërmjet burimeve të besueshme, për efektet negative dhe dëmet që shkakton përdorimi i kanabisit dhe lëndëve të tjera narkotike.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Përshkrim i shkurtër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Mediat, sidomos mediat kombëtare televizive dominohen nga </w:t>
      </w:r>
      <w:r>
        <w:rPr>
          <w:rFonts w:ascii="Garamond" w:hAnsi="Garamond"/>
          <w:sz w:val="24"/>
          <w:szCs w:val="24"/>
          <w:lang w:val="sq-AL"/>
        </w:rPr>
        <w:t>“</w:t>
      </w:r>
      <w:r w:rsidRPr="004A0B3D">
        <w:rPr>
          <w:rFonts w:ascii="Garamond" w:hAnsi="Garamond"/>
          <w:sz w:val="24"/>
          <w:szCs w:val="24"/>
          <w:lang w:val="sq-AL"/>
        </w:rPr>
        <w:t>ekspertë</w:t>
      </w:r>
      <w:r>
        <w:rPr>
          <w:rFonts w:ascii="Garamond" w:hAnsi="Garamond"/>
          <w:sz w:val="24"/>
          <w:szCs w:val="24"/>
          <w:lang w:val="sq-AL"/>
        </w:rPr>
        <w:t>”</w:t>
      </w:r>
      <w:r w:rsidRPr="004A0B3D">
        <w:rPr>
          <w:rFonts w:ascii="Garamond" w:hAnsi="Garamond"/>
          <w:sz w:val="24"/>
          <w:szCs w:val="24"/>
          <w:lang w:val="sq-AL"/>
        </w:rPr>
        <w:t xml:space="preserve"> që i diskutojnë çështjet kryesisht nga këndvështrime politik, duke ngjallur debate të panevojshme dhe duke keqinformuar dhe keq-orientuar shpesh herë qytetarët.</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lastRenderedPageBreak/>
        <w:t>Inkurajimi dhe mbështetja e ekspertëve të mirëfilltë për të marrë pjesë në mediat publike në interes të informimit të saktë të qytetarëve mbi pasojat që sjell kultivimi, trafikimi dhe përdorimi i kanabisit është një drejtim i rëndësishëm veprimtarie.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këtë qëllim, të merren masat e mëposhtme:</w:t>
      </w:r>
    </w:p>
    <w:p w:rsidR="00B91A90" w:rsidRPr="004A0B3D" w:rsidRDefault="00B91A90" w:rsidP="00B91A90">
      <w:pPr>
        <w:pStyle w:val="ListParagraph"/>
        <w:numPr>
          <w:ilvl w:val="0"/>
          <w:numId w:val="2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Përfshirja e ekspertëve të besueshëm sipas fushave përkatëse, me qëllim fokusin e bisedave dhe debateve televizive tek informimi i publikut mbi rreziqet, që paraqet përdorimi i lëndëve narkotike, sidomos për brezin e ri, si dhe mbi dëmet dhe pasojat ekonomiko-sociale për të gjithë shoqërinë. </w:t>
      </w:r>
    </w:p>
    <w:p w:rsidR="00B91A90" w:rsidRPr="004A0B3D" w:rsidRDefault="00B91A90" w:rsidP="00B91A90">
      <w:pPr>
        <w:pStyle w:val="ListParagraph"/>
        <w:numPr>
          <w:ilvl w:val="0"/>
          <w:numId w:val="2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bashkëpunimit të mediave lokale me ato kombëtare për organizimin e emisioneve televizive të përbashkëta.</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Dhënia e informacionit të dobishëm cilësor mbi pasojat e përdorimit të kanabisit dhe drogave të tjera;</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debateve televizive me pjesëmarrjen e ekspertëve të fushave.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Përforcimi i bashkëpunimit me partnerët e zhvillimit.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MSH.</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Qendra Spitalore Universitare;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ISHP;</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Ekspertë të pavarur; </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Organizata të Shoqërisë Civile;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Radio-Televizioni Shqiptar.</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ekspertëve të përfshirë;</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Fondet e alokuara;</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Koha televizive e dedikuar për trajtimin e çështjeve që lidhen me drogat;</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audiencës, shikueshmërisë (virtuale).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51" w:name="_Toc475636019"/>
      <w:r w:rsidRPr="004A0B3D">
        <w:rPr>
          <w:rFonts w:ascii="Garamond" w:hAnsi="Garamond"/>
          <w:b w:val="0"/>
          <w:sz w:val="24"/>
          <w:szCs w:val="24"/>
          <w:u w:val="single"/>
          <w:lang w:val="sq-AL"/>
        </w:rPr>
        <w:t>Masa D.3.: Zgjerimi i përdorimit të aplikacionit “Komisariati Dixhital”</w:t>
      </w:r>
      <w:bookmarkEnd w:id="51"/>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Përfshirja e rubrikës “Droga” në aplikacionin “Komisariati Dixhital” me qëllim denoncimin e rasteve të lidhura me kanabisin dhe drogat e tjera.</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Ministria e Punëve të Brendshme në vitin 2016, ka filluar zbatimin e aplikacionit “Komisariati Dixhital”. Kjo platformë e suksesshme ka kontribuar në marrjen në kohë reale të informacionit nga qytetarët, në lidhje me veprimtaritë kriminale. Zgjerimi i këtij aplikacioni edhe me një rubrikë të dedikuar rasteve të kultivimit, trafikimit apo përdorimit të narkotikëve i shërben informimit të autoriteteve përgjegjëse.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përmirësimin e mëtejshëm të këtij aplikacioni të ndërmerren këto veprime:</w:t>
      </w:r>
    </w:p>
    <w:p w:rsidR="00B91A90" w:rsidRPr="004A0B3D" w:rsidRDefault="00B91A90" w:rsidP="00B91A90">
      <w:pPr>
        <w:pStyle w:val="ListParagraph"/>
        <w:numPr>
          <w:ilvl w:val="0"/>
          <w:numId w:val="2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shtohet një rubrikë në aplikacion për rastet e denoncimit të veprave penale që lidhen me drogat;</w:t>
      </w:r>
    </w:p>
    <w:p w:rsidR="00B91A90" w:rsidRPr="004A0B3D" w:rsidRDefault="00B91A90" w:rsidP="00B91A90">
      <w:pPr>
        <w:pStyle w:val="ListParagraph"/>
        <w:numPr>
          <w:ilvl w:val="0"/>
          <w:numId w:val="2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përdoren mediat sociale në funksion të promovimit të aplikacionit në mbështetje të aktiviteteve të Policisë së Shtetit;</w:t>
      </w:r>
    </w:p>
    <w:p w:rsidR="00B91A90" w:rsidRPr="004A0B3D" w:rsidRDefault="00B91A90" w:rsidP="00B91A90">
      <w:pPr>
        <w:pStyle w:val="ListParagraph"/>
        <w:numPr>
          <w:ilvl w:val="0"/>
          <w:numId w:val="2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inkurajohen qytetarët të përdorin platformat digjitale dhe aplikacionet për të denoncuar rastet e lidhura me drogën që konstatojnë.</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Rritja e raportimeve në aplikacionin “Komisariati Dixhital”;</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Adresimi dhe zgjidhja e rasteve të raportuara në “Komisariatin Dixhital”.</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MPB</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Ministër Shteti për Çështjet Vendore (MSHÇV); </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MSH.</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shtuar i rubrikave;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shtuar i përdoruesve të rubrikës së re.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52" w:name="_Toc475636020"/>
      <w:r w:rsidRPr="004A0B3D">
        <w:rPr>
          <w:rFonts w:ascii="Garamond" w:hAnsi="Garamond"/>
          <w:b w:val="0"/>
          <w:sz w:val="24"/>
          <w:szCs w:val="24"/>
          <w:u w:val="single"/>
          <w:lang w:val="sq-AL"/>
        </w:rPr>
        <w:t>Masa D.4.: Intensifikimi i takimeve të drejtpërdrejta me qytetarët për rritjen e ndërgjegjësimit të qytetarëve në luftën kundër kanabisit</w:t>
      </w:r>
      <w:bookmarkEnd w:id="52"/>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Rritja e dialogut dhe partneritetit me të gjithë aktorët për të adresuar bashkërisht problematikat e kultivimit të kanabisit, pasojat e konsumimit dhe trafikimit të drogës.</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Ndërgjegjësimi i publikut në luftën kundër kanabisit përbën një nga aspektet kryesore të PKKK-së. Me gjithë rëndësinë e komunikimit medi</w:t>
      </w:r>
      <w:r>
        <w:rPr>
          <w:rFonts w:ascii="Garamond" w:hAnsi="Garamond"/>
          <w:sz w:val="24"/>
          <w:szCs w:val="24"/>
          <w:lang w:val="sq-AL"/>
        </w:rPr>
        <w:t>e</w:t>
      </w:r>
      <w:r w:rsidRPr="004A0B3D">
        <w:rPr>
          <w:rFonts w:ascii="Garamond" w:hAnsi="Garamond"/>
          <w:sz w:val="24"/>
          <w:szCs w:val="24"/>
          <w:lang w:val="sq-AL"/>
        </w:rPr>
        <w:t xml:space="preserve">tik, komunikimi i drejtpërdrejtë me publikun, me pjesëmarrjen e të gjithë aktorëve të përfshirë në përpjekjen kundër kanabisit, mbetet një rrugë e pazëvendësueshme. Synimi kryesor në këtë drejtim mbetet organizimi i takimeve me të gjitha grup-moshat, veçanërisht me të rinjtë.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Kjo masë të realizohet nëpërmjet:</w:t>
      </w:r>
    </w:p>
    <w:p w:rsidR="00B91A90" w:rsidRPr="004A0B3D" w:rsidRDefault="00B91A90" w:rsidP="00B91A90">
      <w:pPr>
        <w:pStyle w:val="ListParagraph"/>
        <w:numPr>
          <w:ilvl w:val="0"/>
          <w:numId w:val="8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Bashkërendimit të punës së institucioneve qendrore dhe lokale për organizimin e takimeve me grup-moshat e ndryshme;</w:t>
      </w:r>
    </w:p>
    <w:p w:rsidR="00B91A90" w:rsidRPr="004A0B3D" w:rsidRDefault="00B91A90" w:rsidP="00B91A90">
      <w:pPr>
        <w:pStyle w:val="ListParagraph"/>
        <w:numPr>
          <w:ilvl w:val="0"/>
          <w:numId w:val="8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Ndjekjes së një kalendari të mirëfilltë takimesh të punonjësve të Policisë së Shtetit në shkolla dhe në komunitete të tjera me interes për fushën.</w:t>
      </w:r>
    </w:p>
    <w:p w:rsidR="00B91A90" w:rsidRPr="004A0B3D" w:rsidRDefault="00B91A90" w:rsidP="00B91A90">
      <w:pPr>
        <w:pStyle w:val="ListParagraph"/>
        <w:numPr>
          <w:ilvl w:val="0"/>
          <w:numId w:val="8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Ndjekjes së një kalendari të plotë veprimtarish në shkolla kushtuar ndërgjegjësimit të nxënësve kundër kanabisit dhe drogave të tjera.</w:t>
      </w:r>
    </w:p>
    <w:p w:rsidR="00B91A90" w:rsidRPr="004A0B3D" w:rsidRDefault="00B91A90" w:rsidP="00B91A90">
      <w:pPr>
        <w:pStyle w:val="ListParagraph"/>
        <w:numPr>
          <w:ilvl w:val="0"/>
          <w:numId w:val="8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Përfshirjes së organizatave të shoqërisë civile dhe ekspertëve të tyre në mbështetje të veprimtarive publike;</w:t>
      </w:r>
    </w:p>
    <w:p w:rsidR="00B91A90" w:rsidRPr="004A0B3D" w:rsidRDefault="00B91A90" w:rsidP="00B91A90">
      <w:pPr>
        <w:pStyle w:val="ListParagraph"/>
        <w:numPr>
          <w:ilvl w:val="0"/>
          <w:numId w:val="8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Përfshirjes së medias në pasqyrimin e aktiviteteve kundër kanabisit;</w:t>
      </w:r>
    </w:p>
    <w:p w:rsidR="00B91A90" w:rsidRPr="004A0B3D" w:rsidRDefault="00B91A90" w:rsidP="00B91A90">
      <w:pPr>
        <w:pStyle w:val="ListParagraph"/>
        <w:numPr>
          <w:ilvl w:val="0"/>
          <w:numId w:val="8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Përfshirjes së figurave të artit, kulturës, sportit në përcjelljen e mesazheve kundër përdorimit të kanabisit.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Rritja e numrit të takimeve me përfshirjen e të gjitha palëve të interesuara; </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numrit të seminareve/ankimeve të organizuara;</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Zgjerimi i rrjetit me të gjithë partnerët/aktorët në nivel rajonal dhe vendor për ndërmarrjen e përpjekjeve të përbashkëta për të rritur ndikimin e luftës kundër kanabisit dhe drogave; </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numrit të aktorëve të përfshirë;</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numrit të figurave të artit, kulturës, sportit.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Institucioni përgjegjës </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MAS</w:t>
      </w:r>
      <w:r>
        <w:rPr>
          <w:rFonts w:ascii="Garamond" w:hAnsi="Garamond"/>
          <w:sz w:val="24"/>
          <w:szCs w:val="24"/>
          <w:lang w:val="sq-AL"/>
        </w:rPr>
        <w: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MPB; </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Ministria e Kulturës; </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MSH;</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MMSR; </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OJF.</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seminareve/takimeve të organizuara;</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pjesëmarrësve në seminare/takime;</w:t>
      </w:r>
    </w:p>
    <w:p w:rsidR="00B91A90" w:rsidRPr="004A0B3D" w:rsidRDefault="00B91A90" w:rsidP="00B91A90">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personaliteteve të angazhuara.</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1"/>
        <w:tabs>
          <w:tab w:val="left" w:pos="540"/>
          <w:tab w:val="left" w:pos="720"/>
        </w:tabs>
        <w:spacing w:before="0"/>
        <w:ind w:firstLine="288"/>
        <w:rPr>
          <w:rFonts w:ascii="Garamond" w:hAnsi="Garamond"/>
          <w:b w:val="0"/>
          <w:sz w:val="24"/>
          <w:szCs w:val="24"/>
          <w:lang w:val="sq-AL"/>
        </w:rPr>
      </w:pPr>
      <w:bookmarkStart w:id="53" w:name="_Toc475636021"/>
      <w:r w:rsidRPr="004A0B3D">
        <w:rPr>
          <w:rFonts w:ascii="Garamond" w:hAnsi="Garamond"/>
          <w:b w:val="0"/>
          <w:sz w:val="24"/>
          <w:szCs w:val="24"/>
          <w:lang w:val="sq-AL"/>
        </w:rPr>
        <w:t>Objektivi E: Bashkëpunimi dhe koordinimi</w:t>
      </w:r>
      <w:bookmarkEnd w:id="53"/>
    </w:p>
    <w:p w:rsidR="00B91A90" w:rsidRPr="004A0B3D" w:rsidRDefault="00B91A90" w:rsidP="00B91A90">
      <w:pPr>
        <w:tabs>
          <w:tab w:val="left" w:pos="540"/>
          <w:tab w:val="left" w:pos="720"/>
        </w:tabs>
        <w:spacing w:after="0" w:line="240" w:lineRule="auto"/>
        <w:ind w:firstLine="288"/>
        <w:rPr>
          <w:rFonts w:ascii="Garamond" w:hAnsi="Garamond"/>
          <w:b/>
          <w:color w:val="2E74B5"/>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54" w:name="_Toc475636022"/>
      <w:r w:rsidRPr="004A0B3D">
        <w:rPr>
          <w:rFonts w:ascii="Garamond" w:hAnsi="Garamond"/>
          <w:b w:val="0"/>
          <w:sz w:val="24"/>
          <w:szCs w:val="24"/>
          <w:u w:val="single"/>
          <w:lang w:val="sq-AL"/>
        </w:rPr>
        <w:t>Masa E.1: Krijimi i Komitetit Ndërministror (KN) dhe i Task-Forcës Qendrore</w:t>
      </w:r>
      <w:bookmarkEnd w:id="54"/>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Krijimi dhe vënia në funksion e një strukturave koordinuese dhe drejtuese ndërinstitucionale në nivel qendror.</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Koordinimi i përpjekjeve të të gjitha institucioneve të përfshira në parandalimin dhe goditjen e kultivimit, trafikimit dhe përdorimit të kanabisit konsiderohet si rruga më e drejtë për arritjen e suksesit.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KN-ja është struktura qeveritare e ngarkuar me hartimin e politikave, sigurimin e mbështetjes dhe vlerësimin e punës së institucioneve të angazhuara në zbatimin e PKKK-së. KN-ja drejtohet nga </w:t>
      </w:r>
      <w:r>
        <w:rPr>
          <w:rFonts w:ascii="Garamond" w:hAnsi="Garamond"/>
          <w:sz w:val="24"/>
          <w:szCs w:val="24"/>
          <w:lang w:val="sq-AL"/>
        </w:rPr>
        <w:t>z</w:t>
      </w:r>
      <w:r w:rsidRPr="004A0B3D">
        <w:rPr>
          <w:rFonts w:ascii="Garamond" w:hAnsi="Garamond"/>
          <w:sz w:val="24"/>
          <w:szCs w:val="24"/>
          <w:lang w:val="sq-AL"/>
        </w:rPr>
        <w:t>ëvendëskryeministri dhe ka në përbërje: ministrin e Punëve të Brendshme, ministrin e Punëve të Jashtme, ministrin e Drejtësisë, ministrin e Mbrojtjes, ministrin e Arsimit dhe të Sportit, ministrin e Shëndetësisë, ministrin e Financave, ministrin e Bujqësisë, Zhvillimit Rural dhe Administrimit të Ujërave, ministrin e Mjedisit, ministrin e Mirëqenies Sociale dhe Rinisë, ministrin e Shtetit për Çështjet Vendore dhe këshilltarin e Kryeministrit për Sigurinë.</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TFQ-ja, e përbërë nga përfaqësues të Policisë së Shtetit, Prokurorisë, Shërbimit Informativ të Shtetit, Ministrisë së Drejtësisë, Ministrisë së Punëve të Jashtme, Forcave të Armatosura, Ministrisë së Arsimit dhe Sportit, ministrit të Shëndetësisë, Ministrisë së Financave, Ministrisë së Bujqësisë, Zhvillimit Rural dhe Administrimit të Ujërave, Ministrisë së Mjedisit, Ministrisë së Mirëqenies Sociale dhe Rinisë, ministrit të Shtetit për Çështjet Vendore dhe nga institucione të tjera do të koordinojë, drejtojë, kontrollojë dhe vlerësojë të gjithë punën që bëhet për zbatimin në praktikë të PKKK-së.</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TFQ-ja do të jetë në varësi dhe do të raportojë te drejtuesi i Komitetit Ndërministror.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krijimin e strukturave drejtuese dhe koordinuese në nivel qendror dhe vendor të merren edhe këto masa:</w:t>
      </w:r>
    </w:p>
    <w:p w:rsidR="00B91A90" w:rsidRPr="004A0B3D" w:rsidRDefault="00B91A90" w:rsidP="00B91A90">
      <w:pPr>
        <w:pStyle w:val="ListParagraph"/>
        <w:numPr>
          <w:ilvl w:val="0"/>
          <w:numId w:val="3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i KN-së dhe TFQ-së me urdhër të posaçëm të Kryeministrit;</w:t>
      </w:r>
    </w:p>
    <w:p w:rsidR="00B91A90" w:rsidRPr="004A0B3D" w:rsidRDefault="00B91A90" w:rsidP="00B91A90">
      <w:pPr>
        <w:pStyle w:val="ListParagraph"/>
        <w:numPr>
          <w:ilvl w:val="0"/>
          <w:numId w:val="3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i Task-Forcave vendore me urdhër të prefektëve përkatës;</w:t>
      </w:r>
    </w:p>
    <w:p w:rsidR="00B91A90" w:rsidRPr="004A0B3D" w:rsidRDefault="00B91A90" w:rsidP="00B91A90">
      <w:pPr>
        <w:pStyle w:val="ListParagraph"/>
        <w:numPr>
          <w:ilvl w:val="0"/>
          <w:numId w:val="3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Vënia në funksion e bazës qendrore të të dhënave përmes sistemit ERICP.</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8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Aktivizimi i strukturave qendrore funksionale të koordinimit dhe kontrollit gjatë gjithë kohës së nevojshme për zbatimin e PKKK-së;</w:t>
      </w:r>
    </w:p>
    <w:p w:rsidR="00B91A90" w:rsidRPr="004A0B3D" w:rsidRDefault="00B91A90" w:rsidP="00B91A90">
      <w:pPr>
        <w:pStyle w:val="ListParagraph"/>
        <w:numPr>
          <w:ilvl w:val="0"/>
          <w:numId w:val="8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Realizimi i koordinimit efektiv ndërinstitucional dhe ndërkombëtar;</w:t>
      </w:r>
    </w:p>
    <w:p w:rsidR="00B91A90" w:rsidRPr="004A0B3D" w:rsidRDefault="00B91A90" w:rsidP="00B91A90">
      <w:pPr>
        <w:pStyle w:val="ListParagraph"/>
        <w:numPr>
          <w:ilvl w:val="0"/>
          <w:numId w:val="8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Kryerja e vlerësime të përbashkëta të gjendjes përmes kontributeve të të gjithë institucioneve të përfshira;</w:t>
      </w:r>
    </w:p>
    <w:p w:rsidR="00B91A90" w:rsidRPr="004A0B3D" w:rsidRDefault="00B91A90" w:rsidP="00B91A90">
      <w:pPr>
        <w:pStyle w:val="ListParagraph"/>
        <w:numPr>
          <w:ilvl w:val="0"/>
          <w:numId w:val="8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Organizmi i operacioneve të përbashkëta në zbatim të kërkesave të PKKK-së;</w:t>
      </w:r>
    </w:p>
    <w:p w:rsidR="00B91A90" w:rsidRPr="004A0B3D" w:rsidRDefault="00B91A90" w:rsidP="00B91A90">
      <w:pPr>
        <w:pStyle w:val="ListParagraph"/>
        <w:numPr>
          <w:ilvl w:val="0"/>
          <w:numId w:val="8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Hartimi i raporteve periodike të përbashkëta për ecurinë e zbatimit të PKKK-së.</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lastRenderedPageBreak/>
        <w:t>Institucioni përgjegjës</w:t>
      </w:r>
    </w:p>
    <w:p w:rsidR="00B91A90" w:rsidRPr="004A0B3D" w:rsidRDefault="00B91A90" w:rsidP="00B91A90">
      <w:pPr>
        <w:pStyle w:val="ListParagraph"/>
        <w:numPr>
          <w:ilvl w:val="0"/>
          <w:numId w:val="9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KM për KN dhe MPB për TFQ</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MPB;</w:t>
      </w:r>
    </w:p>
    <w:p w:rsidR="00B91A90" w:rsidRPr="004A0B3D" w:rsidRDefault="00B91A90" w:rsidP="00B91A90">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p>
    <w:p w:rsidR="00B91A90" w:rsidRPr="004A0B3D" w:rsidRDefault="00B91A90" w:rsidP="00B91A90">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Prokuroria;</w:t>
      </w:r>
    </w:p>
    <w:p w:rsidR="00B91A90" w:rsidRPr="004A0B3D" w:rsidRDefault="00B91A90" w:rsidP="00B91A90">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SHISH;</w:t>
      </w:r>
    </w:p>
    <w:p w:rsidR="00B91A90" w:rsidRPr="004A0B3D" w:rsidRDefault="00B91A90" w:rsidP="00B91A90">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MD;</w:t>
      </w:r>
    </w:p>
    <w:p w:rsidR="00B91A90" w:rsidRPr="004A0B3D" w:rsidRDefault="00B91A90" w:rsidP="00B91A90">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MM;</w:t>
      </w:r>
    </w:p>
    <w:p w:rsidR="00B91A90" w:rsidRPr="004A0B3D" w:rsidRDefault="00B91A90" w:rsidP="00B91A90">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FA;</w:t>
      </w:r>
    </w:p>
    <w:p w:rsidR="00B91A90" w:rsidRPr="004A0B3D" w:rsidRDefault="00B91A90" w:rsidP="00B91A90">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MAS;</w:t>
      </w:r>
    </w:p>
    <w:p w:rsidR="00B91A90" w:rsidRPr="004A0B3D" w:rsidRDefault="00B91A90" w:rsidP="00B91A90">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MSH;</w:t>
      </w:r>
    </w:p>
    <w:p w:rsidR="00B91A90" w:rsidRPr="004A0B3D" w:rsidRDefault="00B91A90" w:rsidP="00B91A90">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MF;</w:t>
      </w:r>
    </w:p>
    <w:p w:rsidR="00B91A90" w:rsidRPr="004A0B3D" w:rsidRDefault="00B91A90" w:rsidP="00B91A90">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MBZHRAU;</w:t>
      </w:r>
    </w:p>
    <w:p w:rsidR="00B91A90" w:rsidRPr="004A0B3D" w:rsidRDefault="00B91A90" w:rsidP="00B91A90">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MMJ;</w:t>
      </w:r>
    </w:p>
    <w:p w:rsidR="00B91A90" w:rsidRPr="004A0B3D" w:rsidRDefault="00B91A90" w:rsidP="00B91A90">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MMSR;</w:t>
      </w:r>
    </w:p>
    <w:p w:rsidR="00B91A90" w:rsidRPr="004A0B3D" w:rsidRDefault="00B91A90" w:rsidP="00B91A90">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MSHÇV.</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9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takimeve të KN</w:t>
      </w:r>
      <w:r>
        <w:rPr>
          <w:rFonts w:ascii="Garamond" w:hAnsi="Garamond"/>
          <w:sz w:val="24"/>
          <w:szCs w:val="24"/>
          <w:lang w:val="sq-AL"/>
        </w:rPr>
        <w:t>-së</w:t>
      </w:r>
      <w:r w:rsidRPr="004A0B3D">
        <w:rPr>
          <w:rFonts w:ascii="Garamond" w:hAnsi="Garamond"/>
          <w:sz w:val="24"/>
          <w:szCs w:val="24"/>
          <w:lang w:val="sq-AL"/>
        </w:rPr>
        <w:t>;</w:t>
      </w:r>
    </w:p>
    <w:p w:rsidR="00B91A90" w:rsidRPr="004A0B3D" w:rsidRDefault="00B91A90" w:rsidP="00B91A90">
      <w:pPr>
        <w:pStyle w:val="ListParagraph"/>
        <w:numPr>
          <w:ilvl w:val="0"/>
          <w:numId w:val="9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takimeve të TFQ</w:t>
      </w:r>
      <w:r>
        <w:rPr>
          <w:rFonts w:ascii="Garamond" w:hAnsi="Garamond"/>
          <w:sz w:val="24"/>
          <w:szCs w:val="24"/>
          <w:lang w:val="sq-AL"/>
        </w:rPr>
        <w:t>-së</w:t>
      </w:r>
      <w:r w:rsidRPr="004A0B3D">
        <w:rPr>
          <w:rFonts w:ascii="Garamond" w:hAnsi="Garamond"/>
          <w:sz w:val="24"/>
          <w:szCs w:val="24"/>
          <w:lang w:val="sq-AL"/>
        </w:rPr>
        <w:t>;</w:t>
      </w:r>
    </w:p>
    <w:p w:rsidR="00B91A90" w:rsidRPr="004A0B3D" w:rsidRDefault="00B91A90" w:rsidP="00B91A90">
      <w:pPr>
        <w:pStyle w:val="ListParagraph"/>
        <w:numPr>
          <w:ilvl w:val="0"/>
          <w:numId w:val="9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vlerësimeve të TFQ</w:t>
      </w:r>
      <w:r>
        <w:rPr>
          <w:rFonts w:ascii="Garamond" w:hAnsi="Garamond"/>
          <w:sz w:val="24"/>
          <w:szCs w:val="24"/>
          <w:lang w:val="sq-AL"/>
        </w:rPr>
        <w:t>-së</w:t>
      </w:r>
      <w:r w:rsidRPr="004A0B3D">
        <w:rPr>
          <w:rFonts w:ascii="Garamond" w:hAnsi="Garamond"/>
          <w:sz w:val="24"/>
          <w:szCs w:val="24"/>
          <w:lang w:val="sq-AL"/>
        </w:rPr>
        <w:t>;</w:t>
      </w:r>
    </w:p>
    <w:p w:rsidR="00B91A90" w:rsidRPr="004A0B3D" w:rsidRDefault="00B91A90" w:rsidP="00B91A90">
      <w:pPr>
        <w:pStyle w:val="ListParagraph"/>
        <w:numPr>
          <w:ilvl w:val="0"/>
          <w:numId w:val="9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raporteve të TFQ</w:t>
      </w:r>
      <w:r>
        <w:rPr>
          <w:rFonts w:ascii="Garamond" w:hAnsi="Garamond"/>
          <w:sz w:val="24"/>
          <w:szCs w:val="24"/>
          <w:lang w:val="sq-AL"/>
        </w:rPr>
        <w:t>-së</w:t>
      </w:r>
      <w:r w:rsidRPr="004A0B3D">
        <w:rPr>
          <w:rFonts w:ascii="Garamond" w:hAnsi="Garamond"/>
          <w:sz w:val="24"/>
          <w:szCs w:val="24"/>
          <w:lang w:val="sq-AL"/>
        </w:rPr>
        <w:t>;</w:t>
      </w:r>
    </w:p>
    <w:p w:rsidR="00B91A90" w:rsidRPr="004A0B3D" w:rsidRDefault="00B91A90" w:rsidP="00B91A90">
      <w:pPr>
        <w:pStyle w:val="ListParagraph"/>
        <w:numPr>
          <w:ilvl w:val="0"/>
          <w:numId w:val="9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operacioneve të përbashkëta të organizuara nga TFQ</w:t>
      </w:r>
      <w:r>
        <w:rPr>
          <w:rFonts w:ascii="Garamond" w:hAnsi="Garamond"/>
          <w:sz w:val="24"/>
          <w:szCs w:val="24"/>
          <w:lang w:val="sq-AL"/>
        </w:rPr>
        <w:t>-ja</w:t>
      </w:r>
      <w:r w:rsidRPr="004A0B3D">
        <w:rPr>
          <w:rFonts w:ascii="Garamond" w:hAnsi="Garamond"/>
          <w:sz w:val="24"/>
          <w:szCs w:val="24"/>
          <w:lang w:val="sq-AL"/>
        </w:rPr>
        <w:t>.</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55" w:name="_Toc475636023"/>
      <w:r w:rsidRPr="004A0B3D">
        <w:rPr>
          <w:rFonts w:ascii="Garamond" w:hAnsi="Garamond"/>
          <w:b w:val="0"/>
          <w:sz w:val="24"/>
          <w:szCs w:val="24"/>
          <w:u w:val="single"/>
          <w:lang w:val="sq-AL"/>
        </w:rPr>
        <w:t>Masa E.2: Krijimi i Task-Forcave në nivel vendor</w:t>
      </w:r>
      <w:bookmarkEnd w:id="55"/>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Krijimi i Task-Forcave pranë të gjitha prefekturave të vendit.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zbatimin e PKKK-së ngrihen Task-Forca vendore pranë të gjitha prefekturave të vendit. Në përbërje të Task-Forcave vendore do të ketë përfaqësues të strukturave vendore nga të gjitha institucionet e përfaqësuara në TFQ, si dhe përfaqësues të prefekturave e të bashkive përkatëse.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3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Realizimi i koordinimit dhe bashkëveprimit efektiv në nivelin vendor;</w:t>
      </w:r>
    </w:p>
    <w:p w:rsidR="00B91A90" w:rsidRPr="004A0B3D" w:rsidRDefault="00B91A90" w:rsidP="00B91A90">
      <w:pPr>
        <w:pStyle w:val="ListParagraph"/>
        <w:numPr>
          <w:ilvl w:val="0"/>
          <w:numId w:val="3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Shkëmbimi i gjerë i informacionit ndërmjet institucioneve të përfshira.</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Prefekturat;</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Bashkitë dhe institucionet e përfaqësuara në TFQ;</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Institucione të tjera.</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56" w:name="_Toc475636024"/>
      <w:r w:rsidRPr="004A0B3D">
        <w:rPr>
          <w:rFonts w:ascii="Garamond" w:hAnsi="Garamond"/>
          <w:b w:val="0"/>
          <w:sz w:val="24"/>
          <w:szCs w:val="24"/>
          <w:u w:val="single"/>
          <w:lang w:val="sq-AL"/>
        </w:rPr>
        <w:t>Masa E.3: Inkurajimi i publikut dhe krijimi i mundësive për mbledhjen e informacionit nga sinjalizuesit</w:t>
      </w:r>
      <w:bookmarkEnd w:id="56"/>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lastRenderedPageBreak/>
        <w:t>Sigurimi i informacioneve me vlerë mbi veprimtarinë e individëve dhe/ose grupeve kriminale, të përfshirë në kultivimin e kanabisit dhe trafikimin e lëndëve narkotike, nëpërmjet krijimit të mundësive për aktivizimin e sinjalizuesve.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Legjislacioni i miratuar në vitin 2016 për informuesit (sinjalizuesit)</w:t>
      </w:r>
      <w:r w:rsidRPr="004A0B3D">
        <w:rPr>
          <w:rStyle w:val="FootnoteReference"/>
          <w:szCs w:val="24"/>
          <w:lang w:val="sq-AL"/>
        </w:rPr>
        <w:footnoteReference w:id="8"/>
      </w:r>
      <w:r w:rsidRPr="004A0B3D">
        <w:rPr>
          <w:rFonts w:ascii="Garamond" w:hAnsi="Garamond"/>
          <w:sz w:val="24"/>
          <w:szCs w:val="24"/>
          <w:lang w:val="sq-AL"/>
        </w:rPr>
        <w:t xml:space="preserve"> dhe masat e marra kundër korrupsionit krijojnë një bazë të mirë për të identifikuar rastet e korrupsionit nga zyrtarët që favorizojnë kultivimin, apo trafikimin e lëndëve narkotike.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PKKK-ja parashikon që të krijojë mundësi praktike për mbledhjen e informacioneve nga sinjalizuesit qytetarë në funksion të goditjes së fenomenit të kanabisit.</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zbatim të kësaj mase të ndërmerren veprimet e mëposhtme:</w:t>
      </w:r>
    </w:p>
    <w:p w:rsidR="00B91A90" w:rsidRPr="004A0B3D" w:rsidRDefault="00B91A90" w:rsidP="00B91A90">
      <w:pPr>
        <w:pStyle w:val="ListParagraph"/>
        <w:numPr>
          <w:ilvl w:val="0"/>
          <w:numId w:val="8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krijohen kushte praktike për mbledhjen e informacioneve nga sinjalizuesit</w:t>
      </w:r>
      <w:r>
        <w:rPr>
          <w:rFonts w:ascii="Garamond" w:hAnsi="Garamond"/>
          <w:sz w:val="24"/>
          <w:szCs w:val="24"/>
          <w:lang w:val="sq-AL"/>
        </w:rPr>
        <w:t>,</w:t>
      </w:r>
      <w:r w:rsidRPr="004A0B3D">
        <w:rPr>
          <w:rFonts w:ascii="Garamond" w:hAnsi="Garamond"/>
          <w:sz w:val="24"/>
          <w:szCs w:val="24"/>
          <w:lang w:val="sq-AL"/>
        </w:rPr>
        <w:t xml:space="preserve"> si dhe për ndjekjen e tyre në funksion të goditjes së veprimtarisë korrupsionit dhe veprimtarive të tjera të paligjshme në fushën e kanabisit.</w:t>
      </w:r>
    </w:p>
    <w:p w:rsidR="00B91A90" w:rsidRPr="004A0B3D" w:rsidRDefault="00B91A90" w:rsidP="00B91A90">
      <w:pPr>
        <w:pStyle w:val="ListParagraph"/>
        <w:numPr>
          <w:ilvl w:val="0"/>
          <w:numId w:val="8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krijohet një mekanizëm vlerësimi dhe shpërblimi për punën e sinjalizuesve;</w:t>
      </w:r>
    </w:p>
    <w:p w:rsidR="00B91A90" w:rsidRPr="004A0B3D" w:rsidRDefault="00B91A90" w:rsidP="00B91A90">
      <w:pPr>
        <w:pStyle w:val="ListParagraph"/>
        <w:numPr>
          <w:ilvl w:val="0"/>
          <w:numId w:val="8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rritet bashkëpunimi ndërinstitucional për menaxhimin dhe administrimin e informacioneve të siguruara.</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8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Ngritja e një mekanizmi funksional që mbledh, përpunon dhe analizon informacione nga sinjalizuesit.</w:t>
      </w:r>
    </w:p>
    <w:p w:rsidR="00B91A90" w:rsidRPr="004A0B3D" w:rsidRDefault="00B91A90" w:rsidP="00B91A90">
      <w:pPr>
        <w:pStyle w:val="ListParagraph"/>
        <w:numPr>
          <w:ilvl w:val="0"/>
          <w:numId w:val="8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Zhvillimi i procedurës efektive për shpërblimin e informacioneve të vlefshme.</w:t>
      </w:r>
    </w:p>
    <w:p w:rsidR="00B91A90" w:rsidRPr="004A0B3D" w:rsidRDefault="00B91A90" w:rsidP="00B91A90">
      <w:pPr>
        <w:pStyle w:val="ListParagraph"/>
        <w:numPr>
          <w:ilvl w:val="0"/>
          <w:numId w:val="8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Ngritja e fondeve efektive për shpërblimin e dhënies së informacioneve.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TFQ</w:t>
      </w:r>
      <w:r>
        <w:rPr>
          <w:rFonts w:ascii="Garamond" w:hAnsi="Garamond"/>
          <w:sz w:val="24"/>
          <w:szCs w:val="24"/>
          <w:lang w:val="sq-AL"/>
        </w:rPr>
        <w: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MF; </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MD; </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MSHÇV; </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MPB.</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raporteve të marra nga informuesit;</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Sasia e fondeve të përdorura për shpërblime;</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rasteve të raportuara nga informuesit, të ndjekura penalisht.</w:t>
      </w:r>
    </w:p>
    <w:p w:rsidR="00B91A90" w:rsidRDefault="00B91A90" w:rsidP="00B91A90">
      <w:pPr>
        <w:tabs>
          <w:tab w:val="left" w:pos="540"/>
          <w:tab w:val="left" w:pos="720"/>
        </w:tabs>
        <w:spacing w:after="0" w:line="240" w:lineRule="auto"/>
        <w:ind w:firstLine="288"/>
        <w:rPr>
          <w:rFonts w:ascii="Garamond" w:hAnsi="Garamond"/>
          <w:sz w:val="24"/>
          <w:szCs w:val="24"/>
          <w:lang w:val="sq-AL"/>
        </w:rPr>
      </w:pPr>
    </w:p>
    <w:p w:rsidR="00B91A90" w:rsidRDefault="00B91A90" w:rsidP="00B91A90">
      <w:pPr>
        <w:tabs>
          <w:tab w:val="left" w:pos="540"/>
          <w:tab w:val="left" w:pos="720"/>
        </w:tabs>
        <w:spacing w:after="0" w:line="240" w:lineRule="auto"/>
        <w:ind w:firstLine="288"/>
        <w:rPr>
          <w:rFonts w:ascii="Garamond" w:hAnsi="Garamond"/>
          <w:sz w:val="24"/>
          <w:szCs w:val="24"/>
          <w:lang w:val="sq-AL"/>
        </w:rPr>
      </w:pPr>
    </w:p>
    <w:p w:rsidR="00B91A90" w:rsidRDefault="00B91A90" w:rsidP="00B91A90">
      <w:pPr>
        <w:tabs>
          <w:tab w:val="left" w:pos="540"/>
          <w:tab w:val="left" w:pos="720"/>
        </w:tabs>
        <w:spacing w:after="0" w:line="240" w:lineRule="auto"/>
        <w:ind w:firstLine="288"/>
        <w:rPr>
          <w:rFonts w:ascii="Garamond" w:hAnsi="Garamond"/>
          <w:sz w:val="24"/>
          <w:szCs w:val="24"/>
          <w:lang w:val="sq-AL"/>
        </w:rPr>
      </w:pPr>
    </w:p>
    <w:p w:rsidR="00B91A90"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57" w:name="_Toc475636025"/>
      <w:r w:rsidRPr="004A0B3D">
        <w:rPr>
          <w:rFonts w:ascii="Garamond" w:hAnsi="Garamond"/>
          <w:b w:val="0"/>
          <w:sz w:val="24"/>
          <w:szCs w:val="24"/>
          <w:u w:val="single"/>
          <w:lang w:val="sq-AL"/>
        </w:rPr>
        <w:t>Masa E.4: Forcimi i kapaciteteve njerëzore/financiare/ operative/teknike</w:t>
      </w:r>
      <w:bookmarkEnd w:id="57"/>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Rritja e burimeve njerëzore, financiare, teknike dhe operative të angazhuara kundër kultivimit, trafikimit dhe përdorimit të kanabisit, nëpërmjet përfshirjes së një numri të gjerë institucionesh.</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Ngarkesa e organeve të ngarkuara me ligj dhe me një kontribut thelbësor deri më tani, në luftën kundër prodhimit dhe trafikimit të drogës, si PSH</w:t>
      </w:r>
      <w:r>
        <w:rPr>
          <w:rFonts w:ascii="Garamond" w:hAnsi="Garamond"/>
          <w:sz w:val="24"/>
          <w:szCs w:val="24"/>
          <w:lang w:val="sq-AL"/>
        </w:rPr>
        <w:t>-ja</w:t>
      </w:r>
      <w:r w:rsidRPr="004A0B3D">
        <w:rPr>
          <w:rFonts w:ascii="Garamond" w:hAnsi="Garamond"/>
          <w:sz w:val="24"/>
          <w:szCs w:val="24"/>
          <w:lang w:val="sq-AL"/>
        </w:rPr>
        <w:t xml:space="preserve"> dhe SHISH</w:t>
      </w:r>
      <w:r>
        <w:rPr>
          <w:rFonts w:ascii="Garamond" w:hAnsi="Garamond"/>
          <w:sz w:val="24"/>
          <w:szCs w:val="24"/>
          <w:lang w:val="sq-AL"/>
        </w:rPr>
        <w:t>-i</w:t>
      </w:r>
      <w:r w:rsidRPr="004A0B3D">
        <w:rPr>
          <w:rFonts w:ascii="Garamond" w:hAnsi="Garamond"/>
          <w:sz w:val="24"/>
          <w:szCs w:val="24"/>
          <w:lang w:val="sq-AL"/>
        </w:rPr>
        <w:t xml:space="preserve">, në një numër të madh </w:t>
      </w:r>
      <w:r w:rsidRPr="004A0B3D">
        <w:rPr>
          <w:rFonts w:ascii="Garamond" w:hAnsi="Garamond"/>
          <w:sz w:val="24"/>
          <w:szCs w:val="24"/>
          <w:lang w:val="sq-AL"/>
        </w:rPr>
        <w:lastRenderedPageBreak/>
        <w:t>veprimtarish dhe kompleksiteti i përballjes me fenomenin e kanabisit, kërkojnë burime të shumta njerëzore, teknike dhe materiale, të cilat mund të sigurohen vetëm nëpërmjet angazhimit të të gjithë institucioneve që kanë mundësi dhe detyrë për të kontribuar. Përveç shtimit të burimeve njerëzore, me rëndësi të madhe është trajnimi i tyre i përshtatshëm për një përfshirje të suksesshme kundër kanabisit. Shtimi i burimeve njerëzore kundër kanabisit do të kontribuojë për forcimin e kontrollit të territorit, për ndërgjegjësimin më të mirë të qytetarëve</w:t>
      </w:r>
      <w:r>
        <w:rPr>
          <w:rFonts w:ascii="Garamond" w:hAnsi="Garamond"/>
          <w:sz w:val="24"/>
          <w:szCs w:val="24"/>
          <w:lang w:val="sq-AL"/>
        </w:rPr>
        <w:t>,</w:t>
      </w:r>
      <w:r w:rsidRPr="004A0B3D">
        <w:rPr>
          <w:rFonts w:ascii="Garamond" w:hAnsi="Garamond"/>
          <w:sz w:val="24"/>
          <w:szCs w:val="24"/>
          <w:lang w:val="sq-AL"/>
        </w:rPr>
        <w:t xml:space="preserve"> si dhe për shpërndarjen më të drejtë të ngarkesës operacionale mes organeve ligjzbatuese dhe institucioneve të tjera që kanë lidhje me çështjen.</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Në interes të rritjes së kapaciteteve njerëzore, teknike, financiare, operacionale dhe informuese të merren këto masa: </w:t>
      </w:r>
    </w:p>
    <w:p w:rsidR="00B91A90" w:rsidRPr="004A0B3D" w:rsidRDefault="00B91A90" w:rsidP="00B91A90">
      <w:pPr>
        <w:pStyle w:val="ListParagraph"/>
        <w:numPr>
          <w:ilvl w:val="0"/>
          <w:numId w:val="3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Identifikimi dhe trajnimi i posaçëm i personelit që do të përfshihet në zbatimin e PKKK-së si në nivelin qendror ashtu edhe vendor;</w:t>
      </w:r>
    </w:p>
    <w:p w:rsidR="00B91A90" w:rsidRPr="004A0B3D" w:rsidRDefault="00B91A90" w:rsidP="00B91A90">
      <w:pPr>
        <w:pStyle w:val="ListParagraph"/>
        <w:numPr>
          <w:ilvl w:val="0"/>
          <w:numId w:val="3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Përcaktimi i pikave të kontaktit në të gjitha strukturat qendrore dhe lokale të ngarkuara me zbatimin e PKKK-së;</w:t>
      </w:r>
    </w:p>
    <w:p w:rsidR="00B91A90" w:rsidRPr="004A0B3D" w:rsidRDefault="00B91A90" w:rsidP="00B91A90">
      <w:pPr>
        <w:pStyle w:val="ListParagraph"/>
        <w:numPr>
          <w:ilvl w:val="0"/>
          <w:numId w:val="3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Përcaktimi i kapaciteteve teknike dhe materiale që institucionet do të angazhojnë në zbatim të PKKK-së;</w:t>
      </w:r>
    </w:p>
    <w:p w:rsidR="00B91A90" w:rsidRPr="004A0B3D" w:rsidRDefault="00B91A90" w:rsidP="00B91A90">
      <w:pPr>
        <w:pStyle w:val="ListParagraph"/>
        <w:numPr>
          <w:ilvl w:val="0"/>
          <w:numId w:val="3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Përcaktimi i burimeve të mbështetjes financiare në të gjitha institucionet e përfshira.</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numrit të punonjësve;</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mjeteve dhe i pajisjeve;</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Sigurimi i mbështetjes financiare</w:t>
      </w:r>
      <w:r>
        <w:rPr>
          <w:rFonts w:ascii="Garamond" w:hAnsi="Garamond"/>
          <w:sz w:val="24"/>
          <w:szCs w:val="24"/>
          <w:lang w:val="sq-AL"/>
        </w:rPr>
        <w: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b/>
          <w:sz w:val="24"/>
          <w:szCs w:val="24"/>
          <w:lang w:val="sq-AL"/>
        </w:rPr>
      </w:pPr>
      <w:r w:rsidRPr="004A0B3D">
        <w:rPr>
          <w:rFonts w:ascii="Garamond" w:hAnsi="Garamond"/>
          <w:sz w:val="24"/>
          <w:szCs w:val="24"/>
          <w:lang w:val="sq-AL"/>
        </w:rPr>
        <w:t xml:space="preserve">MPB, PSH. </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MF; </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MM;</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DPT; </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DPD;</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DPPPP; </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Agjencia për Administrimin dhe Sekuestrimin e Aseteve të Konfiskuara;</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SHISH.</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punonjësve të angazhuar;</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pajisjeve dhe mjeteve të përdorura;</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Fondet e alokuara.</w:t>
      </w:r>
    </w:p>
    <w:p w:rsidR="00B91A90" w:rsidRPr="004A0B3D" w:rsidRDefault="00B91A90" w:rsidP="00B91A90">
      <w:pPr>
        <w:tabs>
          <w:tab w:val="left" w:pos="540"/>
          <w:tab w:val="left" w:pos="720"/>
        </w:tabs>
        <w:spacing w:after="0" w:line="240" w:lineRule="auto"/>
        <w:ind w:firstLine="288"/>
        <w:rPr>
          <w:rFonts w:ascii="Garamond" w:hAnsi="Garamond"/>
          <w:sz w:val="24"/>
          <w:szCs w:val="24"/>
          <w:u w:val="single"/>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58" w:name="_Toc475636026"/>
      <w:r w:rsidRPr="004A0B3D">
        <w:rPr>
          <w:rFonts w:ascii="Garamond" w:hAnsi="Garamond"/>
          <w:b w:val="0"/>
          <w:sz w:val="24"/>
          <w:szCs w:val="24"/>
          <w:u w:val="single"/>
          <w:lang w:val="sq-AL"/>
        </w:rPr>
        <w:t>Masa E.5: Ndërtimi dhe zgjerimi i partneriteteve</w:t>
      </w:r>
      <w:bookmarkEnd w:id="58"/>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Zgjerimi i bashkëpunimit me aktorë të tjerë në rrafshin kombëtar dhe ndërkombëtar në interes të shkëmbimit të informacionit dhe të goditjes së fenomenit të kanabisit.</w:t>
      </w:r>
    </w:p>
    <w:p w:rsidR="00B91A90" w:rsidRDefault="00B91A90" w:rsidP="00B91A90">
      <w:pPr>
        <w:tabs>
          <w:tab w:val="left" w:pos="540"/>
          <w:tab w:val="left" w:pos="720"/>
        </w:tabs>
        <w:spacing w:after="0" w:line="240" w:lineRule="auto"/>
        <w:ind w:firstLine="288"/>
        <w:rPr>
          <w:rFonts w:ascii="Garamond" w:hAnsi="Garamond"/>
          <w:b/>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Zgjerimi i frontit të përbashkët konsiderohet si element shumë i rëndësishëm në rritjen e efektivitetit të përballjes me kultivimin, trafikimin dhe përdorimin e kanabisit. Krahas angazhimit të strukturave shtetërore, një burim shumë i rëndësishëm mbështetjeje është edhe bashkëpunimi me aktorë të tjerë të shoqërisë brenda vendit</w:t>
      </w:r>
      <w:r>
        <w:rPr>
          <w:rFonts w:ascii="Garamond" w:hAnsi="Garamond"/>
          <w:sz w:val="24"/>
          <w:szCs w:val="24"/>
          <w:lang w:val="sq-AL"/>
        </w:rPr>
        <w:t>,</w:t>
      </w:r>
      <w:r w:rsidRPr="004A0B3D">
        <w:rPr>
          <w:rFonts w:ascii="Garamond" w:hAnsi="Garamond"/>
          <w:sz w:val="24"/>
          <w:szCs w:val="24"/>
          <w:lang w:val="sq-AL"/>
        </w:rPr>
        <w:t xml:space="preserve"> si dhe bashkëpunimi ndërkombëtar. Prej këtij </w:t>
      </w:r>
      <w:r w:rsidRPr="004A0B3D">
        <w:rPr>
          <w:rFonts w:ascii="Garamond" w:hAnsi="Garamond"/>
          <w:sz w:val="24"/>
          <w:szCs w:val="24"/>
          <w:lang w:val="sq-AL"/>
        </w:rPr>
        <w:lastRenderedPageBreak/>
        <w:t>bashkëpunimi, pritet të sigurohet informacion më i plotë, ndarje më e mirë e dijes dhe përvojës</w:t>
      </w:r>
      <w:r>
        <w:rPr>
          <w:rFonts w:ascii="Garamond" w:hAnsi="Garamond"/>
          <w:sz w:val="24"/>
          <w:szCs w:val="24"/>
          <w:lang w:val="sq-AL"/>
        </w:rPr>
        <w:t>,</w:t>
      </w:r>
      <w:r w:rsidRPr="004A0B3D">
        <w:rPr>
          <w:rFonts w:ascii="Garamond" w:hAnsi="Garamond"/>
          <w:sz w:val="24"/>
          <w:szCs w:val="24"/>
          <w:lang w:val="sq-AL"/>
        </w:rPr>
        <w:t xml:space="preserve"> si dhe bashkëpunim operacional konkret në çështje të caktuara.</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Për realizimin e kësaj mase të kryhen veprimet e mëposhtme: </w:t>
      </w:r>
    </w:p>
    <w:p w:rsidR="00B91A90" w:rsidRPr="004A0B3D" w:rsidRDefault="00B91A90" w:rsidP="00B91A90">
      <w:pPr>
        <w:pStyle w:val="ListParagraph"/>
        <w:numPr>
          <w:ilvl w:val="0"/>
          <w:numId w:val="3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Zgjerimi i partneriteteve ekzistuese dhe krijimi i partneriteteve të reja përmes memorandumeve të mirëkuptimit, marrëveshjeve dhe protokolleve të bashkëpunimit me partnerët strategjikë dhe palët e tjera me interes të përbashkët;</w:t>
      </w:r>
    </w:p>
    <w:p w:rsidR="00B91A90" w:rsidRPr="004A0B3D" w:rsidRDefault="00B91A90" w:rsidP="00B91A90">
      <w:pPr>
        <w:pStyle w:val="ListParagraph"/>
        <w:numPr>
          <w:ilvl w:val="0"/>
          <w:numId w:val="3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Vendosja e procedurave të rregullta për shkëmbimin e informacionit me vendet partnere, kryesisht me vendet fqinje, në funksion të krijimit të tablove të qarta mbi nivelin e trafikimit të kanabisit mes vendit tonë dhe vendeve të tjera. </w:t>
      </w:r>
    </w:p>
    <w:p w:rsidR="00B91A90" w:rsidRPr="004A0B3D" w:rsidRDefault="00B91A90" w:rsidP="00B91A90">
      <w:pPr>
        <w:pStyle w:val="ListParagraph"/>
        <w:numPr>
          <w:ilvl w:val="0"/>
          <w:numId w:val="3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i partneriteteve me organizata jofitimprurëse dhe joqeveritare në funksion të angazhimit të koordinuar të tyre në arritjen e objektivave të PKKK-së.</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Zgjerimi i hartës së bashkëpunimit me partnerët ndërkombëtarët;</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Përmirësimi i elementëve të bashkëpunimit me vendet e rajonit.</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Zgjerimi dhe përmirësimi i hartës së bashkëpunimit me aktorë të tjerë joqeveritarë dhe jofitimprurës.</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MPB.</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SHISH; </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MF;</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Punëve të Jashtme.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instrumenteve të bashkëpunimit të nënshkruara. </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trajnimeve të zhvilluara</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partnerëve ndërkombëtarë të rinj të bashkuar, bazuar në instrumentet e bashkëpunimit të nënshkruara.</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2"/>
        <w:tabs>
          <w:tab w:val="left" w:pos="540"/>
          <w:tab w:val="left" w:pos="720"/>
        </w:tabs>
        <w:spacing w:before="0"/>
        <w:rPr>
          <w:rFonts w:ascii="Garamond" w:hAnsi="Garamond"/>
          <w:b w:val="0"/>
          <w:sz w:val="24"/>
          <w:szCs w:val="24"/>
          <w:u w:val="single"/>
          <w:lang w:val="sq-AL"/>
        </w:rPr>
      </w:pPr>
      <w:bookmarkStart w:id="59" w:name="_Toc475636027"/>
      <w:r w:rsidRPr="004A0B3D">
        <w:rPr>
          <w:rFonts w:ascii="Garamond" w:hAnsi="Garamond"/>
          <w:b w:val="0"/>
          <w:sz w:val="24"/>
          <w:szCs w:val="24"/>
          <w:u w:val="single"/>
          <w:lang w:val="sq-AL"/>
        </w:rPr>
        <w:t xml:space="preserve">Masa E.6: Zbatimi i nenit 1 të ligjit, “Për </w:t>
      </w:r>
      <w:r w:rsidRPr="004A0B3D">
        <w:rPr>
          <w:rFonts w:ascii="Garamond" w:hAnsi="Garamond"/>
          <w:b w:val="0"/>
          <w:sz w:val="24"/>
          <w:szCs w:val="24"/>
          <w:lang w:val="sq-AL"/>
        </w:rPr>
        <w:t>një shtesë në ligjin nr. 7975, datë 26.7.1995, “Për barnat narkotike dhe substancat psikotrope”</w:t>
      </w:r>
      <w:r w:rsidRPr="004A0B3D">
        <w:rPr>
          <w:rStyle w:val="FootnoteReference"/>
          <w:b w:val="0"/>
          <w:szCs w:val="24"/>
          <w:lang w:val="sq-AL"/>
        </w:rPr>
        <w:footnoteReference w:id="9"/>
      </w:r>
      <w:bookmarkEnd w:id="59"/>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Forcimi i bashkëpunimit ndërmjet strukturave ligjzbatuese për zbatimin efektiv të nenit 10/1 të ligjit, “Për barnat narkotike dhe substancat psikotrope”.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Kryetarët e njësive bazë të qeverisjes vendore kanë detyrimin ligjor për raportimin e rasteve të lidhura me drogën. Praktika ka treguar se organet ligjzbatuese nuk janë treguar përherë rigoroze në procedimin ligjor ndaj autoriteteve vendore, kur në territorin e administruar prej tyre janë evidentuar sipërfaqe të kultivuara me kanabis. PKKK-ja parashikon një qasje shumë rigoroze ndaj rasteve të mosraportimit të fenomenit të kultivimit të kanabisit brenda juridiksionit administrativ të autoriteteve vendore përgjegjëse.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zbatimin e kësaj mase të ndërmerren këto veprime:</w:t>
      </w:r>
    </w:p>
    <w:p w:rsidR="00B91A90" w:rsidRPr="004A0B3D" w:rsidRDefault="00B91A90" w:rsidP="00B91A90">
      <w:pPr>
        <w:pStyle w:val="ListParagraph"/>
        <w:numPr>
          <w:ilvl w:val="0"/>
          <w:numId w:val="4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Zhvillimi i seancave të organizuara të njohjes, ku të gjithë personat përgjegjës marrin dhe konfirmojnë njoftimin zyrtar për përgjegjësitë ligjore.</w:t>
      </w:r>
    </w:p>
    <w:p w:rsidR="00B91A90" w:rsidRPr="004A0B3D" w:rsidRDefault="00B91A90" w:rsidP="00B91A90">
      <w:pPr>
        <w:pStyle w:val="ListParagraph"/>
        <w:numPr>
          <w:ilvl w:val="0"/>
          <w:numId w:val="4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Administrimi i raporteve periodike nga të gjithë zyrtarët vendorë lidhur me gjendjen e territoreve në juridiksionin e tyre.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Kryerja e një kontrolli më të mirë të territorit nën juridiksionin e autoriteteve përgjegjëse vendore nga këto</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Kryerja e raportimeve në kohë të rasteve të kultivimit të kanabisit në organet ligjzbatuese;</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Vënia para përgjegjësisë ligjore e funksionarëve që nuk zbatojnë këtë detyrim ligjor.</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Njësitë e qeverisjes vendore subjekte të ligjit nr. 7975/1995;</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Prokuroria e Përgjithshme.</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gjitha institucionet që përfaqësohen në TFQ</w:t>
      </w:r>
      <w:r>
        <w:rPr>
          <w:rFonts w:ascii="Garamond" w:hAnsi="Garamond"/>
          <w:sz w:val="24"/>
          <w:szCs w:val="24"/>
          <w:lang w:val="sq-AL"/>
        </w:rPr>
        <w:t>.</w:t>
      </w:r>
    </w:p>
    <w:p w:rsidR="00B91A90" w:rsidRPr="004A0B3D" w:rsidRDefault="00B91A90" w:rsidP="00B91A90">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çështjeve të referuara nga policia dhe organet e tjera ligjzbatuese në Prokurori;</w:t>
      </w:r>
    </w:p>
    <w:p w:rsidR="00B91A90"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0D58EE">
        <w:rPr>
          <w:rFonts w:ascii="Garamond" w:hAnsi="Garamond"/>
          <w:sz w:val="24"/>
          <w:szCs w:val="24"/>
          <w:lang w:val="sq-AL"/>
        </w:rPr>
        <w:t xml:space="preserve">Numri i të proceduarve. </w:t>
      </w:r>
    </w:p>
    <w:p w:rsidR="00B91A90" w:rsidRPr="000D58EE" w:rsidRDefault="00B91A90" w:rsidP="00B91A90">
      <w:pPr>
        <w:pStyle w:val="ListParagraph"/>
        <w:tabs>
          <w:tab w:val="left" w:pos="540"/>
          <w:tab w:val="left" w:pos="720"/>
        </w:tabs>
        <w:spacing w:after="0" w:line="240" w:lineRule="auto"/>
        <w:ind w:left="288"/>
        <w:jc w:val="both"/>
        <w:rPr>
          <w:rFonts w:ascii="Garamond" w:hAnsi="Garamond"/>
          <w:sz w:val="24"/>
          <w:szCs w:val="24"/>
          <w:lang w:val="sq-AL"/>
        </w:rPr>
      </w:pPr>
    </w:p>
    <w:p w:rsidR="00B91A90" w:rsidRPr="004A0B3D" w:rsidRDefault="00B91A90" w:rsidP="00B91A90">
      <w:pPr>
        <w:pStyle w:val="Heading1"/>
        <w:tabs>
          <w:tab w:val="left" w:pos="540"/>
          <w:tab w:val="left" w:pos="720"/>
        </w:tabs>
        <w:spacing w:before="0"/>
        <w:ind w:firstLine="288"/>
        <w:jc w:val="center"/>
        <w:rPr>
          <w:rFonts w:ascii="Garamond" w:hAnsi="Garamond"/>
          <w:b w:val="0"/>
          <w:sz w:val="24"/>
          <w:szCs w:val="24"/>
          <w:lang w:val="sq-AL"/>
        </w:rPr>
      </w:pPr>
      <w:bookmarkStart w:id="60" w:name="_Toc475636028"/>
      <w:r w:rsidRPr="004A0B3D">
        <w:rPr>
          <w:rFonts w:ascii="Garamond" w:hAnsi="Garamond"/>
          <w:b w:val="0"/>
          <w:sz w:val="24"/>
          <w:szCs w:val="24"/>
          <w:lang w:val="sq-AL"/>
        </w:rPr>
        <w:t>KAPITULLI IV</w:t>
      </w:r>
    </w:p>
    <w:p w:rsidR="00B91A90" w:rsidRPr="004A0B3D" w:rsidRDefault="00B91A90" w:rsidP="00B91A90">
      <w:pPr>
        <w:pStyle w:val="Heading1"/>
        <w:tabs>
          <w:tab w:val="left" w:pos="540"/>
          <w:tab w:val="left" w:pos="720"/>
        </w:tabs>
        <w:spacing w:before="0"/>
        <w:ind w:firstLine="288"/>
        <w:jc w:val="center"/>
        <w:rPr>
          <w:rFonts w:ascii="Garamond" w:hAnsi="Garamond"/>
          <w:b w:val="0"/>
          <w:sz w:val="24"/>
          <w:szCs w:val="24"/>
          <w:lang w:val="sq-AL"/>
        </w:rPr>
      </w:pPr>
      <w:r w:rsidRPr="004A0B3D">
        <w:rPr>
          <w:rFonts w:ascii="Garamond" w:hAnsi="Garamond"/>
          <w:b w:val="0"/>
          <w:sz w:val="24"/>
          <w:szCs w:val="24"/>
          <w:lang w:val="sq-AL"/>
        </w:rPr>
        <w:t>MONITORIMI DHE VLERËSIMI</w:t>
      </w:r>
      <w:bookmarkEnd w:id="60"/>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0D58EE" w:rsidRDefault="00B91A90" w:rsidP="00B91A90">
      <w:pPr>
        <w:tabs>
          <w:tab w:val="left" w:pos="540"/>
          <w:tab w:val="left" w:pos="720"/>
        </w:tabs>
        <w:spacing w:after="0" w:line="240" w:lineRule="auto"/>
        <w:ind w:firstLine="288"/>
        <w:rPr>
          <w:rFonts w:ascii="Garamond" w:hAnsi="Garamond"/>
          <w:sz w:val="24"/>
          <w:szCs w:val="24"/>
          <w:lang w:val="sq-AL"/>
        </w:rPr>
      </w:pPr>
      <w:bookmarkStart w:id="61" w:name="_Toc475636029"/>
      <w:r w:rsidRPr="000D58EE">
        <w:rPr>
          <w:rFonts w:ascii="Garamond" w:hAnsi="Garamond"/>
          <w:sz w:val="24"/>
          <w:szCs w:val="24"/>
          <w:lang w:val="sq-AL"/>
        </w:rPr>
        <w:t>1.</w:t>
      </w:r>
      <w:r w:rsidRPr="000D58EE">
        <w:rPr>
          <w:rFonts w:ascii="Garamond" w:hAnsi="Garamond"/>
          <w:sz w:val="24"/>
          <w:szCs w:val="24"/>
          <w:lang w:val="sq-AL"/>
        </w:rPr>
        <w:tab/>
        <w:t>Monitorimi</w:t>
      </w:r>
      <w:bookmarkEnd w:id="61"/>
      <w:r w:rsidRPr="000D58EE">
        <w:rPr>
          <w:rFonts w:ascii="Garamond" w:hAnsi="Garamond"/>
          <w:sz w:val="24"/>
          <w:szCs w:val="24"/>
          <w:lang w:val="sq-AL"/>
        </w:rPr>
        <w:t xml:space="preserve">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Krahas masave për zbatimin e PKKK-së, monitorimi i vazhdueshëm dhe kontrolli rigoroz për efektivitetin e angazhimit të strukturave konsiderohen si masa të përhershme dhe të vazhdueshme që mundësojnë vlerësimin real të gjendjes dhe përgjigjen e përshtatshme ndaj saj.</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Thelbin e vlerësimit të punës së institucioneve dhe të autoriteteve të përfshira në goditjen ndaj kultivimit, trafikimit dhe përdorimit të kanabisit e përbën suksesi në identifikimin, goditjen, shkatërrimin dhe vënien përpara përgjegjësisë ligjore të grupeve dhe rrjeteve kriminale me aktivitet në fushën e kanabisit.</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Grupin e indikatorëve kryesorë dhe më domethënës e përbëjnë ata që kanë të bëjnë me numrin e grupeve dhe rrjeteve kriminale të identifikuara, goditura dhe shkatërruara. Indikatorët më të rëndësishëm në këtë grup, janë:</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grupeve kriminale të identifikuara;</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grupeve kriminale të goditura/shkatërruara; </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operacioneve policore të suksesshme;</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operacioneve të përbashkëta ndërkombëtare.</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Një grup tjetër i rëndësishëm indikatorësh mat eficiencën e procedimit penal për financuesit dhe drejtuesit e rrjeteve dhe të grupeve kriminale të proceduara dhe të vendosura përpara drejtësisë, ku më të rëndësishmit, janë:</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drejtuesve të grupeve kriminale të zbuluar dhe të nxjerrë përpara drejtësisë;</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financuesve të zbuluar dhe të nxjerrë përpara drejtësisë.</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Goditja e aseteve që burojnë nga veprimtari kriminale matet nga një sërë indikatorësh të tjerë, ku më të rëndësishmit, janë:</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aseteve kriminale të zbuluara dhe të sekuestruara/konfiskuara;</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Vlera e aseteve kriminale të zbuluara dhe të sekuestruara/konfiskuara.</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lastRenderedPageBreak/>
        <w:t>Suksesi i veprimtarisë parandaluese matet me një grup tjetër indikatorësh, matja e të cilëve kryhet në fazën fillestare të ciklit të kultivimit. Indikatorët më të rëndësishëm në këtë grup, janë:</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Sasia e farës së konfiskuar;</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Sera dhe mjedise të tjera të identifikuara ku kultivohen fidanë;</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fidanëve të zbuluar dhe konfiskuar.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Një seri tjetër indikatorësh mat shkallën e angazhimit të institucioneve për të zbutur pasojat që vijnë nga goditjet e organeve ligjzbatuese, kryesisht në fushën e riorientimit të fermerëve drejt veprimtarive alternative e të ligjshme, mbështetjes dhe lehtësimit të tyre, ndërgjegjësimit të publikut, parandalimit të dëmeve të kanabisit etj. Indikatorët më të rëndësishëm në këtë seri janë:</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individëve që kanë përfituar nga programet sociale;</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Sipërfaqet e mbjella me kultura bujqësore të ligjshme;</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personave të punësuar/vetëpunësuar në zonat rurale të rriskuara; </w:t>
      </w:r>
    </w:p>
    <w:p w:rsidR="00B91A90" w:rsidRPr="004A0B3D" w:rsidRDefault="00B91A90" w:rsidP="00B91A90">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Sasia e fondeve të vëna në dispozicion të programeve të mbështetjes.</w:t>
      </w:r>
      <w:bookmarkStart w:id="62" w:name="_Toc475636030"/>
    </w:p>
    <w:p w:rsidR="00B91A90" w:rsidRPr="004A0B3D" w:rsidRDefault="00B91A90" w:rsidP="00B91A90">
      <w:pPr>
        <w:pStyle w:val="ListParagraph"/>
        <w:tabs>
          <w:tab w:val="left" w:pos="540"/>
          <w:tab w:val="left" w:pos="720"/>
        </w:tabs>
        <w:spacing w:after="0" w:line="240" w:lineRule="auto"/>
        <w:ind w:left="288"/>
        <w:jc w:val="both"/>
        <w:rPr>
          <w:rFonts w:ascii="Garamond" w:hAnsi="Garamond"/>
          <w:sz w:val="24"/>
          <w:szCs w:val="24"/>
          <w:lang w:val="sq-AL"/>
        </w:rPr>
      </w:pPr>
      <w:r w:rsidRPr="004A0B3D">
        <w:rPr>
          <w:rFonts w:ascii="Garamond" w:hAnsi="Garamond"/>
          <w:sz w:val="24"/>
          <w:szCs w:val="24"/>
          <w:lang w:val="sq-AL"/>
        </w:rPr>
        <w:t>2.</w:t>
      </w:r>
      <w:r w:rsidRPr="004A0B3D">
        <w:rPr>
          <w:rFonts w:ascii="Garamond" w:hAnsi="Garamond"/>
          <w:sz w:val="24"/>
          <w:szCs w:val="24"/>
          <w:lang w:val="sq-AL"/>
        </w:rPr>
        <w:tab/>
        <w:t>Raportimi</w:t>
      </w:r>
      <w:bookmarkEnd w:id="62"/>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Të gjitha institucionet dhe strukturat e përfshira në zbatimin e PKKK-së do të hartojnë raporte periodike mujore në zbatim të detyrimeve specifike të përcaktuara në këtë plan.</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Strukturat e përbashkëta (Task-Forcat në nivel qendror dhe vendor) do të hartojnë raporte të integruara mujore, si dhe vlerësime rreth zbatimit të të gjitha masave të parashikuara n</w:t>
      </w:r>
      <w:bookmarkStart w:id="63" w:name="_Toc475636031"/>
      <w:r w:rsidRPr="004A0B3D">
        <w:rPr>
          <w:rFonts w:ascii="Garamond" w:hAnsi="Garamond"/>
          <w:sz w:val="24"/>
          <w:szCs w:val="24"/>
          <w:lang w:val="sq-AL"/>
        </w:rPr>
        <w:t>ga PKKK-ja.</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3.</w:t>
      </w:r>
      <w:r w:rsidRPr="004A0B3D">
        <w:rPr>
          <w:rFonts w:ascii="Garamond" w:hAnsi="Garamond"/>
          <w:sz w:val="24"/>
          <w:szCs w:val="24"/>
          <w:lang w:val="sq-AL"/>
        </w:rPr>
        <w:tab/>
        <w:t>Rishikimi i Planit</w:t>
      </w:r>
      <w:bookmarkEnd w:id="63"/>
      <w:r w:rsidRPr="004A0B3D">
        <w:rPr>
          <w:rFonts w:ascii="Garamond" w:hAnsi="Garamond"/>
          <w:sz w:val="24"/>
          <w:szCs w:val="24"/>
          <w:lang w:val="sq-AL"/>
        </w:rPr>
        <w:t xml:space="preserve"> </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Zbatimi i elementëve të PKKK-së do të monitorohet dhe do të vlerësohet nga të gjitha institucionet dhe agjencitë e ngarkuara me zbatimin e tyre, sipas përgjegjësive konkrete të parashikuara.</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Monitorimi dhe vlerësimi i integruar i zbatimit të PKKK-së do të kryhet nga Task-Forca Qendrore dhe Komiteti Ndërministror.</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Një vlerësim i përgjithshëm, rishikim dhe përditësim i PKK-së do të kryhet në vitin 2019.</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Heading1"/>
        <w:tabs>
          <w:tab w:val="left" w:pos="540"/>
          <w:tab w:val="left" w:pos="720"/>
        </w:tabs>
        <w:spacing w:before="0" w:after="0"/>
        <w:ind w:firstLine="288"/>
        <w:jc w:val="center"/>
        <w:rPr>
          <w:rFonts w:ascii="Garamond" w:hAnsi="Garamond"/>
          <w:b w:val="0"/>
          <w:sz w:val="24"/>
          <w:szCs w:val="24"/>
          <w:lang w:val="sq-AL"/>
        </w:rPr>
      </w:pPr>
      <w:bookmarkStart w:id="64" w:name="_Toc475636032"/>
      <w:r w:rsidRPr="004A0B3D">
        <w:rPr>
          <w:rFonts w:ascii="Garamond" w:hAnsi="Garamond"/>
          <w:b w:val="0"/>
          <w:sz w:val="24"/>
          <w:szCs w:val="24"/>
          <w:lang w:val="sq-AL"/>
        </w:rPr>
        <w:t>SHTOJCA 1</w:t>
      </w:r>
      <w:bookmarkEnd w:id="64"/>
    </w:p>
    <w:p w:rsidR="00B91A90" w:rsidRPr="004A0B3D" w:rsidRDefault="00B91A90" w:rsidP="00B91A90">
      <w:pPr>
        <w:pStyle w:val="Heading2"/>
        <w:keepNext/>
        <w:keepLines/>
        <w:numPr>
          <w:ilvl w:val="0"/>
          <w:numId w:val="94"/>
        </w:numPr>
        <w:tabs>
          <w:tab w:val="left" w:pos="540"/>
          <w:tab w:val="left" w:pos="720"/>
        </w:tabs>
        <w:spacing w:before="0"/>
        <w:ind w:left="0" w:firstLine="288"/>
        <w:rPr>
          <w:rFonts w:ascii="Garamond" w:hAnsi="Garamond"/>
          <w:b w:val="0"/>
          <w:sz w:val="24"/>
          <w:szCs w:val="24"/>
          <w:lang w:val="sq-AL"/>
        </w:rPr>
      </w:pPr>
      <w:bookmarkStart w:id="65" w:name="_Toc475636033"/>
      <w:r w:rsidRPr="004A0B3D">
        <w:rPr>
          <w:rFonts w:ascii="Garamond" w:hAnsi="Garamond"/>
          <w:b w:val="0"/>
          <w:sz w:val="24"/>
          <w:szCs w:val="24"/>
          <w:lang w:val="sq-AL"/>
        </w:rPr>
        <w:t>Baza ligjore</w:t>
      </w:r>
      <w:bookmarkEnd w:id="65"/>
    </w:p>
    <w:p w:rsidR="00B91A90" w:rsidRPr="004A0B3D" w:rsidRDefault="00B91A90" w:rsidP="00B91A90">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Kushtetuta e Republikës së Shqipërisë</w:t>
      </w:r>
      <w:r w:rsidRPr="004A0B3D">
        <w:rPr>
          <w:rStyle w:val="FootnoteReference"/>
          <w:rFonts w:eastAsia="MS Mincho"/>
          <w:szCs w:val="24"/>
          <w:lang w:val="sq-AL"/>
        </w:rPr>
        <w:footnoteReference w:id="10"/>
      </w:r>
      <w:r w:rsidRPr="004A0B3D">
        <w:rPr>
          <w:rFonts w:ascii="Garamond" w:hAnsi="Garamond"/>
          <w:sz w:val="24"/>
          <w:szCs w:val="24"/>
          <w:lang w:val="sq-AL"/>
        </w:rPr>
        <w:t>;</w:t>
      </w:r>
    </w:p>
    <w:p w:rsidR="00B91A90" w:rsidRPr="004A0B3D" w:rsidRDefault="00B91A90" w:rsidP="00B91A90">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Ligji “Kodi Penal i Republikës së Shqipërisë”</w:t>
      </w:r>
      <w:r w:rsidRPr="004A0B3D">
        <w:rPr>
          <w:rStyle w:val="FootnoteReference"/>
          <w:rFonts w:eastAsia="MS Mincho"/>
          <w:szCs w:val="24"/>
          <w:lang w:val="sq-AL"/>
        </w:rPr>
        <w:footnoteReference w:id="11"/>
      </w:r>
      <w:r w:rsidRPr="004A0B3D">
        <w:rPr>
          <w:rFonts w:ascii="Garamond" w:hAnsi="Garamond"/>
          <w:sz w:val="24"/>
          <w:szCs w:val="24"/>
          <w:lang w:val="sq-AL"/>
        </w:rPr>
        <w:t>;</w:t>
      </w:r>
    </w:p>
    <w:p w:rsidR="00B91A90" w:rsidRPr="004A0B3D" w:rsidRDefault="00B91A90" w:rsidP="00B91A90">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Ligji “Për barnat narkotike dhe lëndët psikotrope”</w:t>
      </w:r>
      <w:r w:rsidRPr="004A0B3D">
        <w:rPr>
          <w:rStyle w:val="FootnoteReference"/>
          <w:rFonts w:eastAsia="MS Mincho"/>
          <w:szCs w:val="24"/>
          <w:lang w:val="sq-AL"/>
        </w:rPr>
        <w:footnoteReference w:id="12"/>
      </w:r>
      <w:r w:rsidRPr="004A0B3D">
        <w:rPr>
          <w:rFonts w:ascii="Garamond" w:hAnsi="Garamond"/>
          <w:sz w:val="24"/>
          <w:szCs w:val="24"/>
          <w:lang w:val="sq-AL"/>
        </w:rPr>
        <w:t xml:space="preserve">;  </w:t>
      </w:r>
    </w:p>
    <w:p w:rsidR="00B91A90" w:rsidRPr="004A0B3D" w:rsidRDefault="00B91A90" w:rsidP="00B91A90">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color w:val="000000"/>
          <w:sz w:val="24"/>
          <w:szCs w:val="24"/>
          <w:shd w:val="clear" w:color="auto" w:fill="FFFFFF"/>
          <w:lang w:val="sq-AL"/>
        </w:rPr>
        <w:t>Ligji “Për organizimin dhe funksionimin e Këshillit të Ministrave”</w:t>
      </w:r>
      <w:r w:rsidRPr="004A0B3D">
        <w:rPr>
          <w:rStyle w:val="FootnoteReference"/>
          <w:rFonts w:eastAsia="MS Mincho"/>
          <w:color w:val="000000"/>
          <w:szCs w:val="24"/>
          <w:shd w:val="clear" w:color="auto" w:fill="FFFFFF"/>
          <w:lang w:val="sq-AL"/>
        </w:rPr>
        <w:footnoteReference w:id="13"/>
      </w:r>
      <w:r w:rsidRPr="004A0B3D">
        <w:rPr>
          <w:rFonts w:ascii="Garamond" w:hAnsi="Garamond"/>
          <w:color w:val="000000"/>
          <w:sz w:val="24"/>
          <w:szCs w:val="24"/>
          <w:shd w:val="clear" w:color="auto" w:fill="FFFFFF"/>
          <w:lang w:val="sq-AL"/>
        </w:rPr>
        <w:t>;</w:t>
      </w:r>
    </w:p>
    <w:p w:rsidR="00B91A90" w:rsidRPr="004A0B3D" w:rsidRDefault="00B91A90" w:rsidP="00B91A90">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Ligji “Për organizimin dhe funksionimin e administratës shtetërore”</w:t>
      </w:r>
      <w:r w:rsidRPr="004A0B3D">
        <w:rPr>
          <w:rStyle w:val="FootnoteReference"/>
          <w:rFonts w:eastAsia="MS Mincho"/>
          <w:szCs w:val="24"/>
          <w:lang w:val="sq-AL"/>
        </w:rPr>
        <w:footnoteReference w:id="14"/>
      </w:r>
      <w:r w:rsidRPr="004A0B3D">
        <w:rPr>
          <w:rFonts w:ascii="Garamond" w:hAnsi="Garamond"/>
          <w:sz w:val="24"/>
          <w:szCs w:val="24"/>
          <w:lang w:val="sq-AL"/>
        </w:rPr>
        <w:t>;</w:t>
      </w:r>
    </w:p>
    <w:p w:rsidR="00B91A90" w:rsidRPr="004A0B3D" w:rsidRDefault="00B91A90" w:rsidP="00B91A90">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Ligj “Për menaxhimin e sistemit buxhetor në Republikën e Shqipërisë”</w:t>
      </w:r>
      <w:r w:rsidRPr="004A0B3D">
        <w:rPr>
          <w:rStyle w:val="FootnoteReference"/>
          <w:rFonts w:eastAsia="MS Mincho"/>
          <w:szCs w:val="24"/>
          <w:lang w:val="sq-AL"/>
        </w:rPr>
        <w:footnoteReference w:id="15"/>
      </w:r>
      <w:r w:rsidRPr="004A0B3D">
        <w:rPr>
          <w:rFonts w:ascii="Garamond" w:hAnsi="Garamond"/>
          <w:sz w:val="24"/>
          <w:szCs w:val="24"/>
          <w:lang w:val="sq-AL"/>
        </w:rPr>
        <w:t>;</w:t>
      </w:r>
    </w:p>
    <w:p w:rsidR="00B91A90" w:rsidRPr="004A0B3D" w:rsidRDefault="00B91A90" w:rsidP="00B91A90">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Ligji “Për parandalimin dhe luftën ndaj trafikut të substancave narkotike ose psikotrope”</w:t>
      </w:r>
      <w:r w:rsidRPr="004A0B3D">
        <w:rPr>
          <w:rStyle w:val="FootnoteReference"/>
          <w:rFonts w:eastAsia="MS Mincho"/>
          <w:szCs w:val="24"/>
          <w:lang w:val="sq-AL"/>
        </w:rPr>
        <w:footnoteReference w:id="16"/>
      </w:r>
      <w:r w:rsidRPr="004A0B3D">
        <w:rPr>
          <w:rFonts w:ascii="Garamond" w:hAnsi="Garamond"/>
          <w:sz w:val="24"/>
          <w:szCs w:val="24"/>
          <w:lang w:val="sq-AL"/>
        </w:rPr>
        <w:t xml:space="preserve">; </w:t>
      </w:r>
    </w:p>
    <w:p w:rsidR="00B91A90" w:rsidRPr="004A0B3D" w:rsidRDefault="00B91A90" w:rsidP="00B91A90">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Ligji “Për kontrollin e lëndëve që përdoren për fabrikimin e paligjshëm të lëndëve narkotike dhe psikotrope”</w:t>
      </w:r>
      <w:r w:rsidRPr="004A0B3D">
        <w:rPr>
          <w:rStyle w:val="FootnoteReference"/>
          <w:rFonts w:eastAsia="MS Mincho"/>
          <w:szCs w:val="24"/>
          <w:lang w:val="sq-AL"/>
        </w:rPr>
        <w:footnoteReference w:id="17"/>
      </w:r>
      <w:r w:rsidRPr="004A0B3D">
        <w:rPr>
          <w:rFonts w:ascii="Garamond" w:hAnsi="Garamond"/>
          <w:sz w:val="24"/>
          <w:szCs w:val="24"/>
          <w:lang w:val="sq-AL"/>
        </w:rPr>
        <w:t>;</w:t>
      </w:r>
    </w:p>
    <w:p w:rsidR="00B91A90" w:rsidRPr="004A0B3D" w:rsidRDefault="00B91A90" w:rsidP="00B91A90">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Ligji “Për parandalimin dhe goditjen e krimit të organizuar dhe trafikimin nëpërmjet masave parandaluese kundër pasurisë”</w:t>
      </w:r>
      <w:r w:rsidRPr="004A0B3D">
        <w:rPr>
          <w:rStyle w:val="FootnoteReference"/>
          <w:rFonts w:eastAsia="MS Mincho"/>
          <w:szCs w:val="24"/>
          <w:lang w:val="sq-AL"/>
        </w:rPr>
        <w:footnoteReference w:id="18"/>
      </w:r>
      <w:r w:rsidRPr="004A0B3D">
        <w:rPr>
          <w:rFonts w:ascii="Garamond" w:hAnsi="Garamond"/>
          <w:sz w:val="24"/>
          <w:szCs w:val="24"/>
          <w:lang w:val="sq-AL"/>
        </w:rPr>
        <w:t>;</w:t>
      </w:r>
    </w:p>
    <w:p w:rsidR="00B91A90" w:rsidRPr="004A0B3D" w:rsidRDefault="00B91A90" w:rsidP="00B91A90">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Ligji “Për sinjalizimin dhe mbrojtjen e sinjalizuesve”</w:t>
      </w:r>
      <w:r w:rsidRPr="004A0B3D">
        <w:rPr>
          <w:rStyle w:val="FootnoteReference"/>
          <w:rFonts w:eastAsia="MS Mincho"/>
          <w:szCs w:val="24"/>
          <w:lang w:val="sq-AL"/>
        </w:rPr>
        <w:footnoteReference w:id="19"/>
      </w:r>
      <w:r w:rsidRPr="004A0B3D">
        <w:rPr>
          <w:rFonts w:ascii="Garamond" w:hAnsi="Garamond"/>
          <w:sz w:val="24"/>
          <w:szCs w:val="24"/>
          <w:lang w:val="sq-AL"/>
        </w:rPr>
        <w:t>;</w:t>
      </w:r>
    </w:p>
    <w:p w:rsidR="00B91A90" w:rsidRPr="004A0B3D" w:rsidRDefault="00B91A90" w:rsidP="00B91A90">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Vendimi </w:t>
      </w:r>
      <w:r>
        <w:rPr>
          <w:rFonts w:ascii="Garamond" w:hAnsi="Garamond"/>
          <w:sz w:val="24"/>
          <w:szCs w:val="24"/>
          <w:lang w:val="sq-AL"/>
        </w:rPr>
        <w:t>u</w:t>
      </w:r>
      <w:r w:rsidRPr="004A0B3D">
        <w:rPr>
          <w:rFonts w:ascii="Garamond" w:hAnsi="Garamond"/>
          <w:sz w:val="24"/>
          <w:szCs w:val="24"/>
          <w:lang w:val="sq-AL"/>
        </w:rPr>
        <w:t>nifikues i Kolegjeve të Bashkuara të Gjykatës së Lartë (çështja e përgjegjësisë penale të përdoruesit vetjak dhe të kritereve të cilësimit të dozës së përdorur si “dozë e vogël”)</w:t>
      </w:r>
      <w:r w:rsidRPr="004A0B3D">
        <w:rPr>
          <w:rStyle w:val="FootnoteReference"/>
          <w:rFonts w:eastAsia="MS Mincho"/>
          <w:szCs w:val="24"/>
          <w:lang w:val="sq-AL"/>
        </w:rPr>
        <w:footnoteReference w:id="20"/>
      </w:r>
      <w:r w:rsidRPr="004A0B3D">
        <w:rPr>
          <w:rFonts w:ascii="Garamond" w:hAnsi="Garamond"/>
          <w:sz w:val="24"/>
          <w:szCs w:val="24"/>
          <w:lang w:val="sq-AL"/>
        </w:rPr>
        <w:t>.</w:t>
      </w:r>
    </w:p>
    <w:p w:rsidR="00B91A90" w:rsidRPr="004A0B3D" w:rsidRDefault="00B91A90" w:rsidP="00B91A90">
      <w:pPr>
        <w:pStyle w:val="Heading2"/>
        <w:keepNext/>
        <w:keepLines/>
        <w:numPr>
          <w:ilvl w:val="0"/>
          <w:numId w:val="94"/>
        </w:numPr>
        <w:tabs>
          <w:tab w:val="left" w:pos="540"/>
          <w:tab w:val="left" w:pos="720"/>
        </w:tabs>
        <w:spacing w:before="0"/>
        <w:ind w:left="0" w:firstLine="288"/>
        <w:rPr>
          <w:rFonts w:ascii="Garamond" w:hAnsi="Garamond"/>
          <w:b w:val="0"/>
          <w:sz w:val="24"/>
          <w:szCs w:val="24"/>
          <w:lang w:val="sq-AL"/>
        </w:rPr>
      </w:pPr>
      <w:bookmarkStart w:id="66" w:name="_Toc475636034"/>
      <w:r w:rsidRPr="004A0B3D">
        <w:rPr>
          <w:rFonts w:ascii="Garamond" w:hAnsi="Garamond"/>
          <w:b w:val="0"/>
          <w:sz w:val="24"/>
          <w:szCs w:val="24"/>
          <w:lang w:val="sq-AL"/>
        </w:rPr>
        <w:t>Strategjitë në fuqi</w:t>
      </w:r>
      <w:bookmarkEnd w:id="66"/>
    </w:p>
    <w:p w:rsidR="00B91A90" w:rsidRPr="004A0B3D" w:rsidRDefault="00B91A90" w:rsidP="00B91A90">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Strategjia Ndërsektoriale e luftës kundër krimit të organizuar, trafiqeve të paligjshme dhe terrorizmit 2013</w:t>
      </w:r>
      <w:r>
        <w:rPr>
          <w:rFonts w:ascii="Garamond" w:hAnsi="Garamond"/>
          <w:sz w:val="24"/>
          <w:szCs w:val="24"/>
          <w:lang w:val="sq-AL"/>
        </w:rPr>
        <w:t>–</w:t>
      </w:r>
      <w:r w:rsidRPr="004A0B3D">
        <w:rPr>
          <w:rFonts w:ascii="Garamond" w:hAnsi="Garamond"/>
          <w:sz w:val="24"/>
          <w:szCs w:val="24"/>
          <w:lang w:val="sq-AL"/>
        </w:rPr>
        <w:t>2020”</w:t>
      </w:r>
      <w:r>
        <w:rPr>
          <w:rFonts w:ascii="Garamond" w:hAnsi="Garamond"/>
          <w:sz w:val="24"/>
          <w:szCs w:val="24"/>
          <w:lang w:val="sq-AL"/>
        </w:rPr>
        <w:t xml:space="preserve"> </w:t>
      </w:r>
      <w:r w:rsidRPr="004A0B3D">
        <w:rPr>
          <w:rFonts w:ascii="Garamond" w:hAnsi="Garamond"/>
          <w:sz w:val="24"/>
          <w:szCs w:val="24"/>
          <w:lang w:val="sq-AL"/>
        </w:rPr>
        <w:t>dhe plani i veprimit operacional;</w:t>
      </w:r>
    </w:p>
    <w:p w:rsidR="00B91A90" w:rsidRPr="004A0B3D" w:rsidRDefault="00B91A90" w:rsidP="00B91A90">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Plan Veprimi i Policisë së Shtetit, “Për parandalimin dhe goditjen e veprimtarisë kriminale të kultivimit të bimëve narkotike për vitin 2016;</w:t>
      </w:r>
    </w:p>
    <w:p w:rsidR="00B91A90" w:rsidRPr="004A0B3D" w:rsidRDefault="00B91A90" w:rsidP="00B91A90">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Strategjia e Zhvillimit Rural dhe Bujqësor 2014–2020;</w:t>
      </w:r>
    </w:p>
    <w:p w:rsidR="00B91A90" w:rsidRPr="004A0B3D" w:rsidRDefault="00B91A90" w:rsidP="00B91A90">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Strategjia e Konsolidimit të Tokës 2016–2030;</w:t>
      </w:r>
    </w:p>
    <w:p w:rsidR="00B91A90" w:rsidRPr="004A0B3D" w:rsidRDefault="00B91A90" w:rsidP="00B91A90">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Plani i Veprimit për Riintegrimin Social-Ekonomik të Grave dhe Vajzave Viktima të Trafikimit të Personave;</w:t>
      </w:r>
    </w:p>
    <w:p w:rsidR="00B91A90" w:rsidRPr="004A0B3D" w:rsidRDefault="00B91A90" w:rsidP="00B91A90">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Strategjia e Rendit Publik dhe Planit të Veprimit 2015–2020;</w:t>
      </w:r>
    </w:p>
    <w:p w:rsidR="00B91A90" w:rsidRPr="004A0B3D" w:rsidRDefault="00B91A90" w:rsidP="00B91A90">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Strategjia Kombëtare për Punësim &amp; Aftësi dhe Plani i Veprimit 2015–2020;</w:t>
      </w:r>
    </w:p>
    <w:p w:rsidR="00B91A90" w:rsidRPr="004A0B3D" w:rsidRDefault="00B91A90" w:rsidP="00B91A90">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Strategjia kundër Korrupsionit 2015–2020;</w:t>
      </w:r>
    </w:p>
    <w:p w:rsidR="00B91A90" w:rsidRPr="004A0B3D" w:rsidRDefault="00B91A90" w:rsidP="00B91A90">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Strategjia e Zhvillimit të arsimit parauniversitar 2014–2020;</w:t>
      </w:r>
    </w:p>
    <w:p w:rsidR="00B91A90" w:rsidRPr="004A0B3D" w:rsidRDefault="00B91A90" w:rsidP="00B91A90">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Strategjia e menaxhimit të integruar të kufirit 2014–2020.</w:t>
      </w:r>
    </w:p>
    <w:p w:rsidR="00B91A90" w:rsidRPr="004A0B3D" w:rsidRDefault="00B91A90" w:rsidP="00B91A90">
      <w:pPr>
        <w:pStyle w:val="ListParagraph"/>
        <w:numPr>
          <w:ilvl w:val="0"/>
          <w:numId w:val="40"/>
        </w:numPr>
        <w:tabs>
          <w:tab w:val="left" w:pos="540"/>
          <w:tab w:val="left" w:pos="720"/>
        </w:tabs>
        <w:spacing w:after="0" w:line="240" w:lineRule="auto"/>
        <w:ind w:left="0" w:firstLine="288"/>
        <w:jc w:val="both"/>
        <w:outlineLvl w:val="1"/>
        <w:rPr>
          <w:rFonts w:ascii="Garamond" w:hAnsi="Garamond"/>
          <w:b/>
          <w:color w:val="2E74B5"/>
          <w:sz w:val="24"/>
          <w:szCs w:val="24"/>
          <w:lang w:val="sq-AL"/>
        </w:rPr>
      </w:pPr>
      <w:bookmarkStart w:id="67" w:name="_Toc475636035"/>
      <w:r w:rsidRPr="004A0B3D">
        <w:rPr>
          <w:rFonts w:ascii="Garamond" w:hAnsi="Garamond"/>
          <w:b/>
          <w:color w:val="2E74B5"/>
          <w:sz w:val="24"/>
          <w:szCs w:val="24"/>
          <w:lang w:val="sq-AL"/>
        </w:rPr>
        <w:t>Akte nënligjore në fuqi:</w:t>
      </w:r>
      <w:bookmarkEnd w:id="67"/>
    </w:p>
    <w:p w:rsidR="00B91A90" w:rsidRPr="004A0B3D" w:rsidRDefault="00B91A90" w:rsidP="00B91A90">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Urdhri i përbashkët i Prokurorit të Përgjithshëm dhe ministrit të Drejtësisë “Mbi funksionimin e shërbimeve juridike të policisë”</w:t>
      </w:r>
      <w:r w:rsidRPr="004A0B3D">
        <w:rPr>
          <w:rStyle w:val="FootnoteReference"/>
          <w:rFonts w:eastAsia="MS Mincho"/>
          <w:szCs w:val="24"/>
          <w:lang w:val="sq-AL"/>
        </w:rPr>
        <w:footnoteReference w:id="21"/>
      </w:r>
      <w:r w:rsidRPr="004A0B3D">
        <w:rPr>
          <w:rFonts w:ascii="Garamond" w:hAnsi="Garamond"/>
          <w:sz w:val="24"/>
          <w:szCs w:val="24"/>
          <w:lang w:val="sq-AL"/>
        </w:rPr>
        <w:t>;</w:t>
      </w:r>
    </w:p>
    <w:p w:rsidR="00B91A90" w:rsidRPr="004A0B3D" w:rsidRDefault="00B91A90" w:rsidP="00B91A90">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Urdhri i përbashkët ndërmjet Prokurorit të Përgjithshëm, ministrit të Brendshëm dhe ministrit të Shëndetësisë “Mbi trajtimin e Narkotikëve”</w:t>
      </w:r>
      <w:r w:rsidRPr="004A0B3D">
        <w:rPr>
          <w:rStyle w:val="FootnoteReference"/>
          <w:rFonts w:eastAsia="MS Mincho"/>
          <w:szCs w:val="24"/>
          <w:lang w:val="sq-AL"/>
        </w:rPr>
        <w:footnoteReference w:id="22"/>
      </w:r>
      <w:r w:rsidRPr="004A0B3D">
        <w:rPr>
          <w:rFonts w:ascii="Garamond" w:hAnsi="Garamond"/>
          <w:sz w:val="24"/>
          <w:szCs w:val="24"/>
          <w:lang w:val="sq-AL"/>
        </w:rPr>
        <w:t>;</w:t>
      </w:r>
    </w:p>
    <w:p w:rsidR="00B91A90" w:rsidRPr="004A0B3D" w:rsidRDefault="00B91A90" w:rsidP="00B91A90">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Memorandumi i 2003</w:t>
      </w:r>
      <w:r>
        <w:rPr>
          <w:rFonts w:ascii="Garamond" w:hAnsi="Garamond"/>
          <w:sz w:val="24"/>
          <w:szCs w:val="24"/>
          <w:lang w:val="sq-AL"/>
        </w:rPr>
        <w:t>-s</w:t>
      </w:r>
      <w:r w:rsidRPr="004A0B3D">
        <w:rPr>
          <w:rFonts w:ascii="Garamond" w:hAnsi="Garamond"/>
          <w:sz w:val="24"/>
          <w:szCs w:val="24"/>
          <w:lang w:val="sq-AL"/>
        </w:rPr>
        <w:t xml:space="preserve"> “Mbi bashkëpunimin në luftën kundër terrorizmit dhe krimit të organizuar”, ndërmjet </w:t>
      </w:r>
      <w:r>
        <w:rPr>
          <w:rFonts w:ascii="Garamond" w:hAnsi="Garamond"/>
          <w:sz w:val="24"/>
          <w:szCs w:val="24"/>
          <w:lang w:val="sq-AL"/>
        </w:rPr>
        <w:t>m</w:t>
      </w:r>
      <w:r w:rsidRPr="004A0B3D">
        <w:rPr>
          <w:rFonts w:ascii="Garamond" w:hAnsi="Garamond"/>
          <w:sz w:val="24"/>
          <w:szCs w:val="24"/>
          <w:lang w:val="sq-AL"/>
        </w:rPr>
        <w:t xml:space="preserve">inistrit të Brendshëm dhe </w:t>
      </w:r>
      <w:r>
        <w:rPr>
          <w:rFonts w:ascii="Garamond" w:hAnsi="Garamond"/>
          <w:sz w:val="24"/>
          <w:szCs w:val="24"/>
          <w:lang w:val="sq-AL"/>
        </w:rPr>
        <w:t>d</w:t>
      </w:r>
      <w:r w:rsidRPr="004A0B3D">
        <w:rPr>
          <w:rFonts w:ascii="Garamond" w:hAnsi="Garamond"/>
          <w:sz w:val="24"/>
          <w:szCs w:val="24"/>
          <w:lang w:val="sq-AL"/>
        </w:rPr>
        <w:t>rejtorit të Shërbimit Informativ Shtetëror;</w:t>
      </w:r>
      <w:r w:rsidRPr="004A0B3D">
        <w:rPr>
          <w:rStyle w:val="FootnoteReference"/>
          <w:rFonts w:eastAsia="MS Mincho"/>
          <w:szCs w:val="24"/>
          <w:lang w:val="sq-AL"/>
        </w:rPr>
        <w:footnoteReference w:id="23"/>
      </w:r>
    </w:p>
    <w:p w:rsidR="00B91A90" w:rsidRPr="004A0B3D" w:rsidRDefault="00B91A90" w:rsidP="00B91A90">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Urdhri i përbashkët i ministrit të Brendshëm, ministrit të Financave dhe ministrit të Bujqësisë “Mbi miratimin e rregullores “Mbi bashkëpunimin e Drejtorisë së Përgjithshme të Policisë së Shtetit, Shërbimit Doganor, Shërbimit Veterinar dhe Fitosanitar”;</w:t>
      </w:r>
    </w:p>
    <w:p w:rsidR="00B91A90" w:rsidRPr="004A0B3D" w:rsidRDefault="00B91A90" w:rsidP="00B91A90">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Memorandumi i bashkëpunimit midis Drejtorisë së Përgjithshme të Policisë së Shtetit dhe Agjencisë për Administrimin e Mjeteve të Sekuestruara dhe të Konfiskuara</w:t>
      </w:r>
      <w:r w:rsidRPr="004A0B3D">
        <w:rPr>
          <w:rStyle w:val="FootnoteReference"/>
          <w:rFonts w:eastAsia="MS Mincho"/>
          <w:szCs w:val="24"/>
          <w:lang w:val="sq-AL"/>
        </w:rPr>
        <w:footnoteReference w:id="24"/>
      </w:r>
      <w:r w:rsidRPr="004A0B3D">
        <w:rPr>
          <w:rFonts w:ascii="Garamond" w:hAnsi="Garamond"/>
          <w:sz w:val="24"/>
          <w:szCs w:val="24"/>
          <w:lang w:val="sq-AL"/>
        </w:rPr>
        <w:t>;</w:t>
      </w:r>
    </w:p>
    <w:p w:rsidR="00B91A90" w:rsidRPr="004A0B3D" w:rsidRDefault="00B91A90" w:rsidP="00B91A90">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Urdhri i ministrit të Shëndetësisë që ofron rregulloren për funksionimin e komitetit Ndër</w:t>
      </w:r>
      <w:r>
        <w:rPr>
          <w:rFonts w:ascii="Garamond" w:hAnsi="Garamond"/>
          <w:sz w:val="24"/>
          <w:szCs w:val="24"/>
          <w:lang w:val="sq-AL"/>
        </w:rPr>
        <w:t>m</w:t>
      </w:r>
      <w:r w:rsidRPr="004A0B3D">
        <w:rPr>
          <w:rFonts w:ascii="Garamond" w:hAnsi="Garamond"/>
          <w:sz w:val="24"/>
          <w:szCs w:val="24"/>
          <w:lang w:val="sq-AL"/>
        </w:rPr>
        <w:t>inistror për licencimin e entiteteve që tregtojnë substanca narkotike ose psikotrope</w:t>
      </w:r>
      <w:r w:rsidRPr="004A0B3D">
        <w:rPr>
          <w:rStyle w:val="FootnoteReference"/>
          <w:rFonts w:eastAsia="MS Mincho"/>
          <w:szCs w:val="24"/>
          <w:lang w:val="sq-AL"/>
        </w:rPr>
        <w:footnoteReference w:id="25"/>
      </w:r>
      <w:r w:rsidRPr="004A0B3D">
        <w:rPr>
          <w:rFonts w:ascii="Garamond" w:hAnsi="Garamond"/>
          <w:sz w:val="24"/>
          <w:szCs w:val="24"/>
          <w:lang w:val="sq-AL"/>
        </w:rPr>
        <w:t>;</w:t>
      </w:r>
    </w:p>
    <w:p w:rsidR="00B91A90" w:rsidRPr="004A0B3D" w:rsidRDefault="00B91A90" w:rsidP="00B91A90">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Akt-marrëveshja “Mbi luftën kundër kultivimit të bimëve narkotike” ndërmjet Drejtorisë së Përgjithshme të Policisë së Shtetit të Ministrisë së Brendshme dhe Drejtorisë së Koordinimit të Inspektimit të Ministrisë së Mjedisit</w:t>
      </w:r>
      <w:r w:rsidRPr="004A0B3D">
        <w:rPr>
          <w:rStyle w:val="FootnoteReference"/>
          <w:rFonts w:eastAsia="MS Mincho"/>
          <w:szCs w:val="24"/>
          <w:lang w:val="sq-AL"/>
        </w:rPr>
        <w:footnoteReference w:id="26"/>
      </w:r>
      <w:r w:rsidRPr="004A0B3D">
        <w:rPr>
          <w:rFonts w:ascii="Garamond" w:hAnsi="Garamond"/>
          <w:sz w:val="24"/>
          <w:szCs w:val="24"/>
          <w:lang w:val="sq-AL"/>
        </w:rPr>
        <w:t>;</w:t>
      </w:r>
    </w:p>
    <w:p w:rsidR="00B91A90" w:rsidRPr="004A0B3D" w:rsidRDefault="00B91A90" w:rsidP="00B91A90">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lastRenderedPageBreak/>
        <w:t>Udhëzimi i përbashkët i ministrit të Brendshëm dhe ministrit të Bujqësisë “Mbi kontrollin dhe monitorimin e entiteteve që mbjellin kërp industrial”</w:t>
      </w:r>
      <w:r w:rsidRPr="004A0B3D">
        <w:rPr>
          <w:rStyle w:val="FootnoteReference"/>
          <w:rFonts w:eastAsia="MS Mincho"/>
          <w:szCs w:val="24"/>
          <w:lang w:val="sq-AL"/>
        </w:rPr>
        <w:footnoteReference w:id="27"/>
      </w:r>
      <w:r w:rsidRPr="004A0B3D">
        <w:rPr>
          <w:rFonts w:ascii="Garamond" w:hAnsi="Garamond"/>
          <w:sz w:val="24"/>
          <w:szCs w:val="24"/>
          <w:lang w:val="sq-AL"/>
        </w:rPr>
        <w:t>;</w:t>
      </w:r>
    </w:p>
    <w:p w:rsidR="00B91A90" w:rsidRPr="005E47DE" w:rsidRDefault="00B91A90" w:rsidP="00B91A90">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5E47DE">
        <w:rPr>
          <w:rFonts w:ascii="Garamond" w:hAnsi="Garamond"/>
          <w:sz w:val="24"/>
          <w:szCs w:val="24"/>
          <w:lang w:val="sq-AL"/>
        </w:rPr>
        <w:t xml:space="preserve">Urdhri i Prokurorit të Përgjithshëm, “Për bashkërendimin e raporteve mes prokurorive të </w:t>
      </w:r>
      <w:r w:rsidRPr="00E2240D">
        <w:rPr>
          <w:rFonts w:ascii="Garamond" w:hAnsi="Garamond"/>
          <w:sz w:val="24"/>
          <w:szCs w:val="24"/>
          <w:lang w:val="sq-AL"/>
        </w:rPr>
        <w:t>rretheve</w:t>
      </w:r>
      <w:r w:rsidRPr="005E47DE">
        <w:rPr>
          <w:rFonts w:ascii="Garamond" w:hAnsi="Garamond"/>
          <w:sz w:val="24"/>
          <w:szCs w:val="24"/>
          <w:lang w:val="sq-AL"/>
        </w:rPr>
        <w:t xml:space="preserve"> gjyqësore dhe prokurorisë për krime të rënda”</w:t>
      </w:r>
      <w:r w:rsidRPr="004A0B3D">
        <w:rPr>
          <w:rStyle w:val="FootnoteReference"/>
          <w:rFonts w:eastAsia="MS Mincho"/>
          <w:szCs w:val="24"/>
          <w:lang w:val="sq-AL"/>
        </w:rPr>
        <w:footnoteReference w:id="28"/>
      </w:r>
      <w:r w:rsidRPr="005E47DE">
        <w:rPr>
          <w:rFonts w:ascii="Garamond" w:hAnsi="Garamond"/>
          <w:sz w:val="24"/>
          <w:szCs w:val="24"/>
          <w:lang w:val="sq-AL"/>
        </w:rPr>
        <w:t>;</w:t>
      </w:r>
    </w:p>
    <w:p w:rsidR="00B91A90" w:rsidRPr="004A0B3D" w:rsidRDefault="00B91A90" w:rsidP="00B91A90">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Pr>
          <w:rFonts w:ascii="Garamond" w:hAnsi="Garamond"/>
          <w:noProof/>
          <w:sz w:val="24"/>
          <w:szCs w:val="24"/>
          <w:lang w:val="en-US" w:eastAsia="en-US"/>
        </w:rPr>
        <mc:AlternateContent>
          <mc:Choice Requires="wps">
            <w:drawing>
              <wp:anchor distT="0" distB="0" distL="114300" distR="114300" simplePos="0" relativeHeight="251659264" behindDoc="0" locked="0" layoutInCell="1" allowOverlap="1" wp14:anchorId="2CA4EC29" wp14:editId="4E04A6F4">
                <wp:simplePos x="0" y="0"/>
                <wp:positionH relativeFrom="column">
                  <wp:posOffset>1816376</wp:posOffset>
                </wp:positionH>
                <wp:positionV relativeFrom="paragraph">
                  <wp:posOffset>456841</wp:posOffset>
                </wp:positionV>
                <wp:extent cx="4293704" cy="159026"/>
                <wp:effectExtent l="0" t="0" r="12065" b="12700"/>
                <wp:wrapNone/>
                <wp:docPr id="4" name="Rectangle 4"/>
                <wp:cNvGraphicFramePr/>
                <a:graphic xmlns:a="http://schemas.openxmlformats.org/drawingml/2006/main">
                  <a:graphicData uri="http://schemas.microsoft.com/office/word/2010/wordprocessingShape">
                    <wps:wsp>
                      <wps:cNvSpPr/>
                      <wps:spPr>
                        <a:xfrm>
                          <a:off x="0" y="0"/>
                          <a:ext cx="4293704" cy="1590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143pt;margin-top:35.95pt;width:338.1pt;height: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" fillcolor="white [3212]" strokecolor="white [3212]" strokeweight="1pt"/>
            </w:pict>
          </mc:Fallback>
        </mc:AlternateContent>
      </w:r>
      <w:r w:rsidRPr="004A0B3D">
        <w:rPr>
          <w:rFonts w:ascii="Garamond" w:hAnsi="Garamond"/>
          <w:sz w:val="24"/>
          <w:szCs w:val="24"/>
          <w:lang w:val="sq-AL"/>
        </w:rPr>
        <w:t>Qarkorja e Prokurorit të Përgjithshëm, “Për rritjen e bashkëpunimit me strukturat e Policisë së Shtetit, për ndjekjen penale të veprimtarisë së paligjshme të kultivimit të lëndëve narkotike”</w:t>
      </w:r>
      <w:r w:rsidRPr="004A0B3D">
        <w:rPr>
          <w:rStyle w:val="FootnoteReference"/>
          <w:rFonts w:eastAsia="MS Mincho"/>
          <w:szCs w:val="24"/>
          <w:lang w:val="sq-AL"/>
        </w:rPr>
        <w:footnoteReference w:id="29"/>
      </w:r>
      <w:r w:rsidRPr="004A0B3D">
        <w:rPr>
          <w:rFonts w:ascii="Garamond" w:hAnsi="Garamond"/>
          <w:sz w:val="24"/>
          <w:szCs w:val="24"/>
          <w:lang w:val="sq-AL"/>
        </w:rPr>
        <w:t>;</w:t>
      </w:r>
    </w:p>
    <w:p w:rsidR="00B91A90" w:rsidRPr="004A0B3D" w:rsidRDefault="00B91A90" w:rsidP="00B91A90">
      <w:pPr>
        <w:pStyle w:val="ListParagraph"/>
        <w:numPr>
          <w:ilvl w:val="0"/>
          <w:numId w:val="42"/>
        </w:numPr>
        <w:tabs>
          <w:tab w:val="left" w:pos="540"/>
          <w:tab w:val="left" w:pos="720"/>
        </w:tabs>
        <w:spacing w:after="0" w:line="240" w:lineRule="auto"/>
        <w:ind w:left="0" w:firstLine="288"/>
        <w:jc w:val="both"/>
        <w:rPr>
          <w:rFonts w:ascii="Garamond" w:hAnsi="Garamond"/>
          <w:i/>
          <w:iCs/>
          <w:sz w:val="24"/>
          <w:szCs w:val="24"/>
          <w:lang w:val="sq-AL"/>
        </w:rPr>
      </w:pPr>
      <w:r w:rsidRPr="004A0B3D">
        <w:rPr>
          <w:rFonts w:ascii="Garamond" w:hAnsi="Garamond"/>
          <w:sz w:val="24"/>
          <w:szCs w:val="24"/>
          <w:lang w:val="sq-AL"/>
        </w:rPr>
        <w:t>Udhëzimi i përbashkët mes Prokurorit të Përgjithshëm</w:t>
      </w:r>
      <w:r w:rsidRPr="004A0B3D">
        <w:rPr>
          <w:rStyle w:val="FootnoteReference"/>
          <w:rFonts w:eastAsia="MS Mincho"/>
          <w:szCs w:val="24"/>
          <w:lang w:val="sq-AL"/>
        </w:rPr>
        <w:footnoteReference w:id="30"/>
      </w:r>
      <w:r w:rsidRPr="004A0B3D">
        <w:rPr>
          <w:rFonts w:ascii="Garamond" w:hAnsi="Garamond"/>
          <w:sz w:val="24"/>
          <w:szCs w:val="24"/>
          <w:lang w:val="sq-AL"/>
        </w:rPr>
        <w:t>, ministrit të Punëve të Brendshme</w:t>
      </w:r>
      <w:r w:rsidRPr="004A0B3D">
        <w:rPr>
          <w:rStyle w:val="FootnoteReference"/>
          <w:rFonts w:eastAsia="MS Mincho"/>
          <w:szCs w:val="24"/>
          <w:lang w:val="sq-AL"/>
        </w:rPr>
        <w:footnoteReference w:id="31"/>
      </w:r>
      <w:r w:rsidRPr="004A0B3D">
        <w:rPr>
          <w:rFonts w:ascii="Garamond" w:hAnsi="Garamond"/>
          <w:sz w:val="24"/>
          <w:szCs w:val="24"/>
          <w:lang w:val="sq-AL"/>
        </w:rPr>
        <w:t xml:space="preserve"> dhe ministrit të Shëndetësisë</w:t>
      </w:r>
      <w:r w:rsidRPr="004A0B3D">
        <w:rPr>
          <w:rStyle w:val="FootnoteReference"/>
          <w:rFonts w:eastAsia="MS Mincho"/>
          <w:szCs w:val="24"/>
          <w:lang w:val="sq-AL"/>
        </w:rPr>
        <w:footnoteReference w:id="32"/>
      </w:r>
      <w:r>
        <w:rPr>
          <w:rFonts w:ascii="Garamond" w:hAnsi="Garamond"/>
          <w:sz w:val="24"/>
          <w:szCs w:val="24"/>
          <w:lang w:val="sq-AL"/>
        </w:rPr>
        <w:t>”</w:t>
      </w:r>
      <w:r w:rsidRPr="004A0B3D">
        <w:rPr>
          <w:rFonts w:ascii="Garamond" w:hAnsi="Garamond"/>
          <w:sz w:val="24"/>
          <w:szCs w:val="24"/>
          <w:lang w:val="sq-AL"/>
        </w:rPr>
        <w:t xml:space="preserve"> Për trajtimin e bimëve e lëndëve narkotike apo psikotrope</w:t>
      </w:r>
      <w:r w:rsidRPr="004A0B3D">
        <w:rPr>
          <w:rFonts w:ascii="Garamond" w:hAnsi="Garamond"/>
          <w:i/>
          <w:iCs/>
          <w:sz w:val="24"/>
          <w:szCs w:val="24"/>
          <w:lang w:val="sq-AL"/>
        </w:rPr>
        <w:t xml:space="preserve">”, </w:t>
      </w:r>
      <w:r w:rsidRPr="004A0B3D">
        <w:rPr>
          <w:rFonts w:ascii="Garamond" w:hAnsi="Garamond"/>
          <w:i/>
          <w:iCs/>
          <w:sz w:val="24"/>
          <w:szCs w:val="24"/>
          <w:u w:val="single"/>
          <w:lang w:val="sq-AL"/>
        </w:rPr>
        <w:t>i cili është në proces ndryshimi</w:t>
      </w:r>
      <w:r w:rsidRPr="004A0B3D">
        <w:rPr>
          <w:rFonts w:ascii="Garamond" w:hAnsi="Garamond"/>
          <w:i/>
          <w:iCs/>
          <w:sz w:val="24"/>
          <w:szCs w:val="24"/>
          <w:lang w:val="sq-AL"/>
        </w:rPr>
        <w:t>, ku në draftin e ri është përfshirë</w:t>
      </w:r>
      <w:r>
        <w:rPr>
          <w:rFonts w:ascii="Garamond" w:hAnsi="Garamond"/>
          <w:i/>
          <w:iCs/>
          <w:sz w:val="24"/>
          <w:szCs w:val="24"/>
          <w:lang w:val="sq-AL"/>
        </w:rPr>
        <w:t xml:space="preserve"> dhe Ministria e Mjedisit</w:t>
      </w:r>
      <w:r w:rsidRPr="004A0B3D">
        <w:rPr>
          <w:rFonts w:ascii="Garamond" w:hAnsi="Garamond"/>
          <w:i/>
          <w:iCs/>
          <w:sz w:val="24"/>
          <w:szCs w:val="24"/>
          <w:lang w:val="sq-AL"/>
        </w:rPr>
        <w:t>.</w:t>
      </w:r>
    </w:p>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Çdo vit janë miratuar aktet administrative e mëposhtme:</w:t>
      </w:r>
    </w:p>
    <w:p w:rsidR="00B91A90" w:rsidRPr="004A0B3D" w:rsidRDefault="00B91A90" w:rsidP="00B91A90">
      <w:pPr>
        <w:pStyle w:val="ListParagraph"/>
        <w:numPr>
          <w:ilvl w:val="0"/>
          <w:numId w:val="4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Plani Kombëtar i Veprimit i Ministrisë së Punëve të Brendshme;</w:t>
      </w:r>
    </w:p>
    <w:p w:rsidR="00B91A90" w:rsidRPr="004A0B3D" w:rsidRDefault="00B91A90" w:rsidP="00B91A90">
      <w:pPr>
        <w:pStyle w:val="ListParagraph"/>
        <w:numPr>
          <w:ilvl w:val="0"/>
          <w:numId w:val="4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Plani i Veprimit Drejtorisë së Policisë së Shtetit;</w:t>
      </w:r>
    </w:p>
    <w:p w:rsidR="00B91A90" w:rsidRPr="00F84C15" w:rsidRDefault="00B91A90" w:rsidP="00B91A90">
      <w:pPr>
        <w:pStyle w:val="ListParagraph"/>
        <w:numPr>
          <w:ilvl w:val="0"/>
          <w:numId w:val="43"/>
        </w:numPr>
        <w:tabs>
          <w:tab w:val="left" w:pos="540"/>
          <w:tab w:val="left" w:pos="720"/>
        </w:tabs>
        <w:spacing w:after="0" w:line="240" w:lineRule="auto"/>
        <w:ind w:left="0" w:firstLine="288"/>
        <w:jc w:val="both"/>
        <w:rPr>
          <w:rFonts w:ascii="Garamond" w:hAnsi="Garamond"/>
          <w:sz w:val="24"/>
          <w:szCs w:val="24"/>
          <w:lang w:val="sq-AL"/>
        </w:rPr>
      </w:pPr>
      <w:r w:rsidRPr="00F84C15">
        <w:rPr>
          <w:rFonts w:ascii="Garamond" w:hAnsi="Garamond"/>
          <w:sz w:val="24"/>
          <w:szCs w:val="24"/>
          <w:lang w:val="sq-AL"/>
        </w:rPr>
        <w:t>Plani Operacional për monitorimin nga ajri.</w:t>
      </w:r>
    </w:p>
    <w:p w:rsidR="00B91A90" w:rsidRDefault="00B91A90" w:rsidP="00B91A90">
      <w:pPr>
        <w:pStyle w:val="Heading1"/>
        <w:tabs>
          <w:tab w:val="left" w:pos="540"/>
          <w:tab w:val="left" w:pos="720"/>
        </w:tabs>
        <w:spacing w:before="0" w:after="0"/>
        <w:ind w:firstLine="288"/>
        <w:jc w:val="center"/>
        <w:rPr>
          <w:rFonts w:ascii="Garamond" w:hAnsi="Garamond"/>
          <w:b w:val="0"/>
          <w:sz w:val="24"/>
          <w:szCs w:val="24"/>
          <w:lang w:val="sq-AL"/>
        </w:rPr>
      </w:pPr>
      <w:bookmarkStart w:id="68" w:name="_Toc475636036"/>
    </w:p>
    <w:p w:rsidR="00B91A90" w:rsidRPr="004A0B3D" w:rsidRDefault="00B91A90" w:rsidP="00B91A90">
      <w:pPr>
        <w:pStyle w:val="Heading1"/>
        <w:tabs>
          <w:tab w:val="left" w:pos="540"/>
          <w:tab w:val="left" w:pos="720"/>
        </w:tabs>
        <w:spacing w:before="0" w:after="0"/>
        <w:ind w:firstLine="288"/>
        <w:jc w:val="center"/>
        <w:rPr>
          <w:rFonts w:ascii="Garamond" w:hAnsi="Garamond"/>
          <w:b w:val="0"/>
          <w:sz w:val="24"/>
          <w:szCs w:val="24"/>
          <w:lang w:val="sq-AL"/>
        </w:rPr>
      </w:pPr>
      <w:r w:rsidRPr="004A0B3D">
        <w:rPr>
          <w:rFonts w:ascii="Garamond" w:hAnsi="Garamond"/>
          <w:b w:val="0"/>
          <w:sz w:val="24"/>
          <w:szCs w:val="24"/>
          <w:lang w:val="sq-AL"/>
        </w:rPr>
        <w:t>SHTOJCA 2</w:t>
      </w:r>
      <w:bookmarkEnd w:id="68"/>
    </w:p>
    <w:p w:rsidR="00B91A90" w:rsidRPr="004A0B3D" w:rsidRDefault="00B91A90" w:rsidP="00B91A90">
      <w:pPr>
        <w:tabs>
          <w:tab w:val="left" w:pos="540"/>
          <w:tab w:val="left" w:pos="720"/>
        </w:tabs>
        <w:spacing w:after="0" w:line="240" w:lineRule="auto"/>
        <w:rPr>
          <w:rFonts w:ascii="Garamond" w:hAnsi="Garamond"/>
          <w:b/>
          <w:i/>
          <w:sz w:val="24"/>
          <w:szCs w:val="24"/>
          <w:lang w:val="sq-AL"/>
        </w:rPr>
      </w:pPr>
      <w:r w:rsidRPr="004A0B3D">
        <w:rPr>
          <w:rFonts w:ascii="Garamond" w:hAnsi="Garamond"/>
          <w:b/>
          <w:i/>
          <w:sz w:val="24"/>
          <w:szCs w:val="24"/>
          <w:lang w:val="sq-AL"/>
        </w:rPr>
        <w:t>Tabela 1</w:t>
      </w:r>
      <w:r>
        <w:rPr>
          <w:rFonts w:ascii="Garamond" w:hAnsi="Garamond"/>
          <w:b/>
          <w:i/>
          <w:sz w:val="24"/>
          <w:szCs w:val="24"/>
          <w:lang w:val="sq-AL"/>
        </w:rPr>
        <w:t>.</w:t>
      </w:r>
      <w:r w:rsidRPr="004A0B3D">
        <w:rPr>
          <w:rFonts w:ascii="Garamond" w:hAnsi="Garamond"/>
          <w:b/>
          <w:i/>
          <w:sz w:val="24"/>
          <w:szCs w:val="24"/>
          <w:lang w:val="sq-AL"/>
        </w:rPr>
        <w:t xml:space="preserve"> Rastet e referuara në prokurori nga policia për kultivimin e bimëve narkotike në periudhën 2010</w:t>
      </w:r>
      <w:r>
        <w:rPr>
          <w:rFonts w:ascii="Garamond" w:hAnsi="Garamond"/>
          <w:b/>
          <w:i/>
          <w:sz w:val="24"/>
          <w:szCs w:val="24"/>
          <w:lang w:val="sq-AL"/>
        </w:rPr>
        <w:t>–</w:t>
      </w:r>
      <w:r w:rsidRPr="004A0B3D">
        <w:rPr>
          <w:rFonts w:ascii="Garamond" w:hAnsi="Garamond"/>
          <w:b/>
          <w:i/>
          <w:sz w:val="24"/>
          <w:szCs w:val="24"/>
          <w:lang w:val="sq-AL"/>
        </w:rPr>
        <w:t>2016</w:t>
      </w:r>
    </w:p>
    <w:p w:rsidR="00B91A90" w:rsidRDefault="00B91A90" w:rsidP="00B91A90">
      <w:pPr>
        <w:widowControl w:val="0"/>
        <w:tabs>
          <w:tab w:val="left" w:pos="540"/>
          <w:tab w:val="left" w:pos="720"/>
        </w:tabs>
        <w:spacing w:after="0" w:line="240" w:lineRule="auto"/>
        <w:jc w:val="center"/>
        <w:rPr>
          <w:rFonts w:ascii="Garamond" w:hAnsi="Garamond"/>
          <w:i/>
          <w:sz w:val="24"/>
          <w:szCs w:val="24"/>
          <w:lang w:val="sq-AL"/>
        </w:rPr>
      </w:pPr>
      <w:r w:rsidRPr="00AA7C54">
        <w:rPr>
          <w:noProof/>
        </w:rPr>
        <w:drawing>
          <wp:inline distT="0" distB="0" distL="0" distR="0" wp14:anchorId="2385B21D" wp14:editId="5B0EC359">
            <wp:extent cx="6027088" cy="153460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50954"/>
                    <a:stretch/>
                  </pic:blipFill>
                  <pic:spPr bwMode="auto">
                    <a:xfrm>
                      <a:off x="0" y="0"/>
                      <a:ext cx="6032614" cy="1536009"/>
                    </a:xfrm>
                    <a:prstGeom prst="rect">
                      <a:avLst/>
                    </a:prstGeom>
                    <a:noFill/>
                    <a:ln>
                      <a:noFill/>
                    </a:ln>
                    <a:extLst>
                      <a:ext uri="{53640926-AAD7-44D8-BBD7-CCE9431645EC}">
                        <a14:shadowObscured xmlns:a14="http://schemas.microsoft.com/office/drawing/2010/main"/>
                      </a:ext>
                    </a:extLst>
                  </pic:spPr>
                </pic:pic>
              </a:graphicData>
            </a:graphic>
          </wp:inline>
        </w:drawing>
      </w:r>
    </w:p>
    <w:p w:rsidR="00B91A90" w:rsidRDefault="00B91A90" w:rsidP="00B91A90">
      <w:pPr>
        <w:tabs>
          <w:tab w:val="left" w:pos="540"/>
          <w:tab w:val="left" w:pos="720"/>
        </w:tabs>
        <w:spacing w:after="0" w:line="240" w:lineRule="auto"/>
        <w:ind w:firstLine="288"/>
        <w:rPr>
          <w:rFonts w:ascii="Garamond" w:hAnsi="Garamond"/>
          <w:i/>
          <w:sz w:val="24"/>
          <w:szCs w:val="24"/>
          <w:lang w:val="sq-AL"/>
        </w:rPr>
      </w:pPr>
    </w:p>
    <w:p w:rsidR="00B91A90" w:rsidRPr="00D57BC4" w:rsidRDefault="00B91A90" w:rsidP="00B91A90">
      <w:pPr>
        <w:tabs>
          <w:tab w:val="left" w:pos="540"/>
          <w:tab w:val="left" w:pos="720"/>
        </w:tabs>
        <w:spacing w:after="0" w:line="240" w:lineRule="auto"/>
        <w:rPr>
          <w:rFonts w:ascii="Garamond" w:hAnsi="Garamond"/>
          <w:i/>
          <w:sz w:val="24"/>
          <w:szCs w:val="24"/>
          <w:lang w:val="sq-AL"/>
        </w:rPr>
      </w:pPr>
      <w:r w:rsidRPr="004A0B3D">
        <w:rPr>
          <w:rFonts w:ascii="Garamond" w:hAnsi="Garamond"/>
          <w:b/>
          <w:i/>
          <w:sz w:val="24"/>
          <w:szCs w:val="24"/>
          <w:lang w:val="sq-AL"/>
        </w:rPr>
        <w:t>Tabela 2</w:t>
      </w:r>
      <w:r>
        <w:rPr>
          <w:rFonts w:ascii="Garamond" w:hAnsi="Garamond"/>
          <w:b/>
          <w:i/>
          <w:sz w:val="24"/>
          <w:szCs w:val="24"/>
          <w:lang w:val="sq-AL"/>
        </w:rPr>
        <w:t>.</w:t>
      </w:r>
      <w:r w:rsidRPr="004A0B3D">
        <w:rPr>
          <w:rFonts w:ascii="Garamond" w:hAnsi="Garamond"/>
          <w:b/>
          <w:i/>
          <w:sz w:val="24"/>
          <w:szCs w:val="24"/>
          <w:lang w:val="sq-AL"/>
        </w:rPr>
        <w:t xml:space="preserve"> Numri i procedimeve penale të regjistruara nga prokuroria për periudhën 2015</w:t>
      </w:r>
      <w:r>
        <w:rPr>
          <w:rFonts w:ascii="Garamond" w:hAnsi="Garamond"/>
          <w:b/>
          <w:i/>
          <w:sz w:val="24"/>
          <w:szCs w:val="24"/>
          <w:lang w:val="sq-AL"/>
        </w:rPr>
        <w:t>–</w:t>
      </w:r>
      <w:r w:rsidRPr="004A0B3D">
        <w:rPr>
          <w:rFonts w:ascii="Garamond" w:hAnsi="Garamond"/>
          <w:b/>
          <w:i/>
          <w:sz w:val="24"/>
          <w:szCs w:val="24"/>
          <w:lang w:val="sq-AL"/>
        </w:rPr>
        <w:t>2016</w:t>
      </w:r>
    </w:p>
    <w:tbl>
      <w:tblPr>
        <w:tblpPr w:leftFromText="180" w:rightFromText="180" w:vertAnchor="text" w:horzAnchor="margin" w:tblpY="2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2"/>
        <w:gridCol w:w="2042"/>
        <w:gridCol w:w="2042"/>
      </w:tblGrid>
      <w:tr w:rsidR="00B91A90" w:rsidRPr="00D57BC4" w:rsidTr="00D849E6">
        <w:trPr>
          <w:trHeight w:val="436"/>
        </w:trPr>
        <w:tc>
          <w:tcPr>
            <w:tcW w:w="5688" w:type="dxa"/>
            <w:shd w:val="clear" w:color="auto" w:fill="BDD6EE"/>
            <w:hideMark/>
          </w:tcPr>
          <w:p w:rsidR="00B91A90" w:rsidRPr="00F15BCE" w:rsidRDefault="00B91A90" w:rsidP="00D849E6">
            <w:pPr>
              <w:tabs>
                <w:tab w:val="left" w:pos="540"/>
                <w:tab w:val="left" w:pos="720"/>
              </w:tabs>
              <w:spacing w:after="0" w:line="240" w:lineRule="auto"/>
              <w:jc w:val="center"/>
              <w:rPr>
                <w:rFonts w:ascii="Garamond" w:hAnsi="Garamond"/>
                <w:sz w:val="18"/>
                <w:szCs w:val="18"/>
                <w:lang w:val="sq-AL"/>
              </w:rPr>
            </w:pPr>
            <w:r w:rsidRPr="00F15BCE">
              <w:rPr>
                <w:rFonts w:ascii="Garamond" w:hAnsi="Garamond"/>
                <w:b/>
                <w:bCs/>
                <w:sz w:val="18"/>
                <w:szCs w:val="18"/>
                <w:lang w:val="sq-AL"/>
              </w:rPr>
              <w:t>VEPRA PENALE LIDHUR ME NARKOTIKËT</w:t>
            </w:r>
          </w:p>
        </w:tc>
        <w:tc>
          <w:tcPr>
            <w:tcW w:w="2070" w:type="dxa"/>
            <w:shd w:val="clear" w:color="auto" w:fill="BDD6EE"/>
            <w:hideMark/>
          </w:tcPr>
          <w:p w:rsidR="00B91A90" w:rsidRPr="00F15BCE" w:rsidRDefault="00B91A90" w:rsidP="00D849E6">
            <w:pPr>
              <w:tabs>
                <w:tab w:val="left" w:pos="540"/>
                <w:tab w:val="left" w:pos="720"/>
              </w:tabs>
              <w:spacing w:after="0" w:line="240" w:lineRule="auto"/>
              <w:jc w:val="center"/>
              <w:rPr>
                <w:rFonts w:ascii="Garamond" w:hAnsi="Garamond"/>
                <w:sz w:val="18"/>
                <w:szCs w:val="18"/>
                <w:lang w:val="sq-AL"/>
              </w:rPr>
            </w:pPr>
            <w:r w:rsidRPr="00F15BCE">
              <w:rPr>
                <w:rFonts w:ascii="Garamond" w:hAnsi="Garamond"/>
                <w:b/>
                <w:bCs/>
                <w:sz w:val="18"/>
                <w:szCs w:val="18"/>
                <w:lang w:val="sq-AL"/>
              </w:rPr>
              <w:t>PROCEDIME REGJISTRUAR 2015</w:t>
            </w:r>
          </w:p>
        </w:tc>
        <w:tc>
          <w:tcPr>
            <w:tcW w:w="2070" w:type="dxa"/>
            <w:shd w:val="clear" w:color="auto" w:fill="BDD6EE"/>
            <w:hideMark/>
          </w:tcPr>
          <w:p w:rsidR="00B91A90" w:rsidRPr="00F15BCE" w:rsidRDefault="00B91A90" w:rsidP="00D849E6">
            <w:pPr>
              <w:tabs>
                <w:tab w:val="left" w:pos="540"/>
                <w:tab w:val="left" w:pos="720"/>
              </w:tabs>
              <w:spacing w:after="0" w:line="240" w:lineRule="auto"/>
              <w:jc w:val="center"/>
              <w:rPr>
                <w:rFonts w:ascii="Garamond" w:hAnsi="Garamond"/>
                <w:sz w:val="18"/>
                <w:szCs w:val="18"/>
                <w:lang w:val="sq-AL"/>
              </w:rPr>
            </w:pPr>
            <w:r w:rsidRPr="00F15BCE">
              <w:rPr>
                <w:rFonts w:ascii="Garamond" w:hAnsi="Garamond"/>
                <w:b/>
                <w:bCs/>
                <w:sz w:val="18"/>
                <w:szCs w:val="18"/>
                <w:lang w:val="sq-AL"/>
              </w:rPr>
              <w:t>PROCEDIME REGJISTRUAR 2016</w:t>
            </w:r>
          </w:p>
        </w:tc>
      </w:tr>
      <w:tr w:rsidR="00B91A90" w:rsidRPr="00D57BC4" w:rsidTr="00D849E6">
        <w:trPr>
          <w:trHeight w:val="20"/>
        </w:trPr>
        <w:tc>
          <w:tcPr>
            <w:tcW w:w="5688" w:type="dxa"/>
            <w:hideMark/>
          </w:tcPr>
          <w:p w:rsidR="00B91A90" w:rsidRPr="00F15BCE" w:rsidRDefault="00B91A90" w:rsidP="00D849E6">
            <w:pPr>
              <w:tabs>
                <w:tab w:val="left" w:pos="540"/>
                <w:tab w:val="left" w:pos="720"/>
              </w:tabs>
              <w:spacing w:after="0" w:line="240" w:lineRule="auto"/>
              <w:rPr>
                <w:rFonts w:ascii="Garamond" w:hAnsi="Garamond"/>
                <w:sz w:val="18"/>
                <w:szCs w:val="18"/>
                <w:lang w:val="sq-AL"/>
              </w:rPr>
            </w:pPr>
            <w:r w:rsidRPr="00F15BCE">
              <w:rPr>
                <w:rFonts w:ascii="Garamond" w:hAnsi="Garamond"/>
                <w:bCs/>
                <w:sz w:val="18"/>
                <w:szCs w:val="18"/>
                <w:lang w:val="sq-AL"/>
              </w:rPr>
              <w:t xml:space="preserve">Neni 283: </w:t>
            </w:r>
            <w:r w:rsidRPr="00F15BCE">
              <w:rPr>
                <w:rFonts w:ascii="Garamond" w:hAnsi="Garamond"/>
                <w:b/>
                <w:bCs/>
                <w:sz w:val="18"/>
                <w:szCs w:val="18"/>
                <w:lang w:val="sq-AL"/>
              </w:rPr>
              <w:t>“Prodhimi dhe shitja e narkotikëve”</w:t>
            </w:r>
          </w:p>
        </w:tc>
        <w:tc>
          <w:tcPr>
            <w:tcW w:w="2070" w:type="dxa"/>
            <w:hideMark/>
          </w:tcPr>
          <w:p w:rsidR="00B91A90" w:rsidRPr="00F15BCE" w:rsidRDefault="00B91A90" w:rsidP="00D849E6">
            <w:pPr>
              <w:tabs>
                <w:tab w:val="left" w:pos="540"/>
                <w:tab w:val="left" w:pos="720"/>
              </w:tabs>
              <w:autoSpaceDE w:val="0"/>
              <w:autoSpaceDN w:val="0"/>
              <w:spacing w:after="0" w:line="240" w:lineRule="auto"/>
              <w:jc w:val="right"/>
              <w:rPr>
                <w:rFonts w:ascii="Garamond" w:hAnsi="Garamond"/>
                <w:sz w:val="18"/>
                <w:szCs w:val="18"/>
                <w:lang w:val="sq-AL"/>
              </w:rPr>
            </w:pPr>
            <w:r w:rsidRPr="00F15BCE">
              <w:rPr>
                <w:rFonts w:ascii="Garamond" w:hAnsi="Garamond"/>
                <w:bCs/>
                <w:sz w:val="18"/>
                <w:szCs w:val="18"/>
                <w:lang w:val="sq-AL"/>
              </w:rPr>
              <w:t>743</w:t>
            </w:r>
          </w:p>
        </w:tc>
        <w:tc>
          <w:tcPr>
            <w:tcW w:w="2070" w:type="dxa"/>
            <w:hideMark/>
          </w:tcPr>
          <w:p w:rsidR="00B91A90" w:rsidRPr="00F15BCE" w:rsidRDefault="00B91A90" w:rsidP="00D849E6">
            <w:pPr>
              <w:tabs>
                <w:tab w:val="left" w:pos="540"/>
                <w:tab w:val="left" w:pos="720"/>
              </w:tabs>
              <w:spacing w:after="0" w:line="240" w:lineRule="auto"/>
              <w:jc w:val="right"/>
              <w:rPr>
                <w:rFonts w:ascii="Garamond" w:hAnsi="Garamond"/>
                <w:sz w:val="18"/>
                <w:szCs w:val="18"/>
                <w:lang w:val="sq-AL"/>
              </w:rPr>
            </w:pPr>
            <w:r w:rsidRPr="00F15BCE">
              <w:rPr>
                <w:rFonts w:ascii="Garamond" w:hAnsi="Garamond"/>
                <w:bCs/>
                <w:color w:val="000000"/>
                <w:sz w:val="18"/>
                <w:szCs w:val="18"/>
                <w:lang w:val="sq-AL"/>
              </w:rPr>
              <w:t>1034</w:t>
            </w:r>
          </w:p>
        </w:tc>
      </w:tr>
      <w:tr w:rsidR="00B91A90" w:rsidRPr="00D57BC4" w:rsidTr="00D849E6">
        <w:trPr>
          <w:trHeight w:val="20"/>
        </w:trPr>
        <w:tc>
          <w:tcPr>
            <w:tcW w:w="5688" w:type="dxa"/>
            <w:hideMark/>
          </w:tcPr>
          <w:p w:rsidR="00B91A90" w:rsidRPr="00F15BCE" w:rsidRDefault="00B91A90" w:rsidP="00D849E6">
            <w:pPr>
              <w:tabs>
                <w:tab w:val="left" w:pos="540"/>
                <w:tab w:val="left" w:pos="720"/>
              </w:tabs>
              <w:spacing w:after="0" w:line="240" w:lineRule="auto"/>
              <w:rPr>
                <w:rFonts w:ascii="Garamond" w:hAnsi="Garamond"/>
                <w:sz w:val="18"/>
                <w:szCs w:val="18"/>
                <w:lang w:val="sq-AL"/>
              </w:rPr>
            </w:pPr>
            <w:r w:rsidRPr="00F15BCE">
              <w:rPr>
                <w:rFonts w:ascii="Garamond" w:hAnsi="Garamond"/>
                <w:bCs/>
                <w:sz w:val="18"/>
                <w:szCs w:val="18"/>
                <w:lang w:val="sq-AL"/>
              </w:rPr>
              <w:t xml:space="preserve">Neni 283/a: </w:t>
            </w:r>
            <w:r w:rsidRPr="00F15BCE">
              <w:rPr>
                <w:rFonts w:ascii="Garamond" w:hAnsi="Garamond"/>
                <w:b/>
                <w:bCs/>
                <w:sz w:val="18"/>
                <w:szCs w:val="18"/>
                <w:lang w:val="sq-AL"/>
              </w:rPr>
              <w:t>“Trafikimi i narkotikëve”</w:t>
            </w:r>
          </w:p>
        </w:tc>
        <w:tc>
          <w:tcPr>
            <w:tcW w:w="2070" w:type="dxa"/>
            <w:hideMark/>
          </w:tcPr>
          <w:p w:rsidR="00B91A90" w:rsidRPr="00F15BCE" w:rsidRDefault="00B91A90" w:rsidP="00D849E6">
            <w:pPr>
              <w:tabs>
                <w:tab w:val="left" w:pos="540"/>
                <w:tab w:val="left" w:pos="720"/>
              </w:tabs>
              <w:autoSpaceDE w:val="0"/>
              <w:autoSpaceDN w:val="0"/>
              <w:spacing w:after="0" w:line="240" w:lineRule="auto"/>
              <w:jc w:val="right"/>
              <w:rPr>
                <w:rFonts w:ascii="Garamond" w:hAnsi="Garamond"/>
                <w:sz w:val="18"/>
                <w:szCs w:val="18"/>
                <w:lang w:val="sq-AL"/>
              </w:rPr>
            </w:pPr>
            <w:r w:rsidRPr="00F15BCE">
              <w:rPr>
                <w:rFonts w:ascii="Garamond" w:hAnsi="Garamond"/>
                <w:bCs/>
                <w:sz w:val="18"/>
                <w:szCs w:val="18"/>
                <w:lang w:val="sq-AL"/>
              </w:rPr>
              <w:t>131</w:t>
            </w:r>
          </w:p>
        </w:tc>
        <w:tc>
          <w:tcPr>
            <w:tcW w:w="2070" w:type="dxa"/>
            <w:hideMark/>
          </w:tcPr>
          <w:p w:rsidR="00B91A90" w:rsidRPr="00F15BCE" w:rsidRDefault="00B91A90" w:rsidP="00D849E6">
            <w:pPr>
              <w:tabs>
                <w:tab w:val="left" w:pos="540"/>
                <w:tab w:val="left" w:pos="720"/>
              </w:tabs>
              <w:spacing w:after="0" w:line="240" w:lineRule="auto"/>
              <w:jc w:val="right"/>
              <w:rPr>
                <w:rFonts w:ascii="Garamond" w:hAnsi="Garamond"/>
                <w:sz w:val="18"/>
                <w:szCs w:val="18"/>
                <w:lang w:val="sq-AL"/>
              </w:rPr>
            </w:pPr>
            <w:r w:rsidRPr="00F15BCE">
              <w:rPr>
                <w:rFonts w:ascii="Garamond" w:hAnsi="Garamond"/>
                <w:bCs/>
                <w:color w:val="000000"/>
                <w:sz w:val="18"/>
                <w:szCs w:val="18"/>
                <w:lang w:val="sq-AL"/>
              </w:rPr>
              <w:t>155</w:t>
            </w:r>
          </w:p>
        </w:tc>
      </w:tr>
      <w:tr w:rsidR="00B91A90" w:rsidRPr="00D57BC4" w:rsidTr="00D849E6">
        <w:trPr>
          <w:trHeight w:val="20"/>
        </w:trPr>
        <w:tc>
          <w:tcPr>
            <w:tcW w:w="5688" w:type="dxa"/>
            <w:hideMark/>
          </w:tcPr>
          <w:p w:rsidR="00B91A90" w:rsidRPr="00F15BCE" w:rsidRDefault="00B91A90" w:rsidP="00D849E6">
            <w:pPr>
              <w:tabs>
                <w:tab w:val="left" w:pos="540"/>
                <w:tab w:val="left" w:pos="720"/>
              </w:tabs>
              <w:spacing w:after="0" w:line="240" w:lineRule="auto"/>
              <w:rPr>
                <w:rFonts w:ascii="Garamond" w:hAnsi="Garamond"/>
                <w:sz w:val="18"/>
                <w:szCs w:val="18"/>
                <w:lang w:val="sq-AL"/>
              </w:rPr>
            </w:pPr>
            <w:r w:rsidRPr="00F15BCE">
              <w:rPr>
                <w:rFonts w:ascii="Garamond" w:hAnsi="Garamond"/>
                <w:bCs/>
                <w:sz w:val="18"/>
                <w:szCs w:val="18"/>
                <w:lang w:val="sq-AL"/>
              </w:rPr>
              <w:t xml:space="preserve">Neni 284: </w:t>
            </w:r>
            <w:r w:rsidRPr="00F15BCE">
              <w:rPr>
                <w:rFonts w:ascii="Garamond" w:hAnsi="Garamond"/>
                <w:b/>
                <w:bCs/>
                <w:sz w:val="18"/>
                <w:szCs w:val="18"/>
                <w:lang w:val="sq-AL"/>
              </w:rPr>
              <w:t>“Kultivimi i bimëve narkotike”</w:t>
            </w:r>
          </w:p>
        </w:tc>
        <w:tc>
          <w:tcPr>
            <w:tcW w:w="2070" w:type="dxa"/>
            <w:hideMark/>
          </w:tcPr>
          <w:p w:rsidR="00B91A90" w:rsidRPr="00F15BCE" w:rsidRDefault="00B91A90" w:rsidP="00D849E6">
            <w:pPr>
              <w:tabs>
                <w:tab w:val="left" w:pos="540"/>
                <w:tab w:val="left" w:pos="720"/>
              </w:tabs>
              <w:autoSpaceDE w:val="0"/>
              <w:autoSpaceDN w:val="0"/>
              <w:spacing w:after="0" w:line="240" w:lineRule="auto"/>
              <w:jc w:val="right"/>
              <w:rPr>
                <w:rFonts w:ascii="Garamond" w:hAnsi="Garamond"/>
                <w:sz w:val="18"/>
                <w:szCs w:val="18"/>
                <w:lang w:val="sq-AL"/>
              </w:rPr>
            </w:pPr>
            <w:r w:rsidRPr="00F15BCE">
              <w:rPr>
                <w:rFonts w:ascii="Garamond" w:hAnsi="Garamond"/>
                <w:bCs/>
                <w:sz w:val="18"/>
                <w:szCs w:val="18"/>
                <w:lang w:val="sq-AL"/>
              </w:rPr>
              <w:t>1159</w:t>
            </w:r>
          </w:p>
        </w:tc>
        <w:tc>
          <w:tcPr>
            <w:tcW w:w="2070" w:type="dxa"/>
            <w:hideMark/>
          </w:tcPr>
          <w:p w:rsidR="00B91A90" w:rsidRPr="00F15BCE" w:rsidRDefault="00B91A90" w:rsidP="00D849E6">
            <w:pPr>
              <w:tabs>
                <w:tab w:val="left" w:pos="540"/>
                <w:tab w:val="left" w:pos="720"/>
              </w:tabs>
              <w:spacing w:after="0" w:line="240" w:lineRule="auto"/>
              <w:jc w:val="right"/>
              <w:rPr>
                <w:rFonts w:ascii="Garamond" w:hAnsi="Garamond"/>
                <w:sz w:val="18"/>
                <w:szCs w:val="18"/>
                <w:lang w:val="sq-AL"/>
              </w:rPr>
            </w:pPr>
            <w:r w:rsidRPr="00F15BCE">
              <w:rPr>
                <w:rFonts w:ascii="Garamond" w:hAnsi="Garamond"/>
                <w:bCs/>
                <w:color w:val="000000"/>
                <w:sz w:val="18"/>
                <w:szCs w:val="18"/>
                <w:lang w:val="sq-AL"/>
              </w:rPr>
              <w:t>1723</w:t>
            </w:r>
          </w:p>
        </w:tc>
      </w:tr>
      <w:tr w:rsidR="00B91A90" w:rsidRPr="00D57BC4" w:rsidTr="00D849E6">
        <w:trPr>
          <w:trHeight w:val="20"/>
        </w:trPr>
        <w:tc>
          <w:tcPr>
            <w:tcW w:w="5688" w:type="dxa"/>
            <w:hideMark/>
          </w:tcPr>
          <w:p w:rsidR="00B91A90" w:rsidRPr="00F15BCE" w:rsidRDefault="00B91A90" w:rsidP="00D849E6">
            <w:pPr>
              <w:tabs>
                <w:tab w:val="left" w:pos="540"/>
                <w:tab w:val="left" w:pos="720"/>
              </w:tabs>
              <w:spacing w:after="0" w:line="240" w:lineRule="auto"/>
              <w:rPr>
                <w:rFonts w:ascii="Garamond" w:hAnsi="Garamond"/>
                <w:sz w:val="18"/>
                <w:szCs w:val="18"/>
                <w:lang w:val="sq-AL"/>
              </w:rPr>
            </w:pPr>
            <w:r w:rsidRPr="00F15BCE">
              <w:rPr>
                <w:rFonts w:ascii="Garamond" w:hAnsi="Garamond"/>
                <w:bCs/>
                <w:sz w:val="18"/>
                <w:szCs w:val="18"/>
                <w:lang w:val="sq-AL"/>
              </w:rPr>
              <w:t xml:space="preserve">Neni 284/a: </w:t>
            </w:r>
            <w:r w:rsidRPr="00F15BCE">
              <w:rPr>
                <w:rFonts w:ascii="Garamond" w:hAnsi="Garamond"/>
                <w:b/>
                <w:bCs/>
                <w:sz w:val="18"/>
                <w:szCs w:val="18"/>
                <w:lang w:val="sq-AL"/>
              </w:rPr>
              <w:t>“Organizimi dhe  drejtimi i organizatave kriminale”</w:t>
            </w:r>
          </w:p>
        </w:tc>
        <w:tc>
          <w:tcPr>
            <w:tcW w:w="2070" w:type="dxa"/>
            <w:hideMark/>
          </w:tcPr>
          <w:p w:rsidR="00B91A90" w:rsidRPr="00F15BCE" w:rsidRDefault="00B91A90" w:rsidP="00D849E6">
            <w:pPr>
              <w:tabs>
                <w:tab w:val="left" w:pos="540"/>
                <w:tab w:val="left" w:pos="720"/>
              </w:tabs>
              <w:spacing w:after="0" w:line="240" w:lineRule="auto"/>
              <w:jc w:val="right"/>
              <w:rPr>
                <w:rFonts w:ascii="Garamond" w:hAnsi="Garamond"/>
                <w:sz w:val="18"/>
                <w:szCs w:val="18"/>
                <w:lang w:val="sq-AL"/>
              </w:rPr>
            </w:pPr>
            <w:r w:rsidRPr="00F15BCE">
              <w:rPr>
                <w:rFonts w:ascii="Garamond" w:hAnsi="Garamond"/>
                <w:bCs/>
                <w:sz w:val="18"/>
                <w:szCs w:val="18"/>
                <w:lang w:val="sq-AL"/>
              </w:rPr>
              <w:t>0</w:t>
            </w:r>
          </w:p>
        </w:tc>
        <w:tc>
          <w:tcPr>
            <w:tcW w:w="2070" w:type="dxa"/>
            <w:hideMark/>
          </w:tcPr>
          <w:p w:rsidR="00B91A90" w:rsidRPr="00F15BCE" w:rsidRDefault="00B91A90" w:rsidP="00D849E6">
            <w:pPr>
              <w:tabs>
                <w:tab w:val="left" w:pos="540"/>
                <w:tab w:val="left" w:pos="720"/>
              </w:tabs>
              <w:spacing w:after="0" w:line="240" w:lineRule="auto"/>
              <w:jc w:val="right"/>
              <w:rPr>
                <w:rFonts w:ascii="Garamond" w:hAnsi="Garamond"/>
                <w:sz w:val="18"/>
                <w:szCs w:val="18"/>
                <w:lang w:val="sq-AL"/>
              </w:rPr>
            </w:pPr>
            <w:r w:rsidRPr="00F15BCE">
              <w:rPr>
                <w:rFonts w:ascii="Garamond" w:hAnsi="Garamond"/>
                <w:bCs/>
                <w:color w:val="000000"/>
                <w:sz w:val="18"/>
                <w:szCs w:val="18"/>
                <w:lang w:val="sq-AL"/>
              </w:rPr>
              <w:t>0</w:t>
            </w:r>
          </w:p>
        </w:tc>
      </w:tr>
      <w:tr w:rsidR="00B91A90" w:rsidRPr="00D57BC4" w:rsidTr="00D849E6">
        <w:trPr>
          <w:trHeight w:val="20"/>
        </w:trPr>
        <w:tc>
          <w:tcPr>
            <w:tcW w:w="5688" w:type="dxa"/>
            <w:hideMark/>
          </w:tcPr>
          <w:p w:rsidR="00B91A90" w:rsidRPr="00F15BCE" w:rsidRDefault="00B91A90" w:rsidP="00D849E6">
            <w:pPr>
              <w:tabs>
                <w:tab w:val="left" w:pos="540"/>
                <w:tab w:val="left" w:pos="720"/>
              </w:tabs>
              <w:spacing w:after="0" w:line="240" w:lineRule="auto"/>
              <w:rPr>
                <w:rFonts w:ascii="Garamond" w:hAnsi="Garamond"/>
                <w:sz w:val="18"/>
                <w:szCs w:val="18"/>
                <w:lang w:val="sq-AL"/>
              </w:rPr>
            </w:pPr>
            <w:r w:rsidRPr="00F15BCE">
              <w:rPr>
                <w:rFonts w:ascii="Garamond" w:hAnsi="Garamond"/>
                <w:bCs/>
                <w:sz w:val="18"/>
                <w:szCs w:val="18"/>
                <w:lang w:val="sq-AL"/>
              </w:rPr>
              <w:t xml:space="preserve">Neni 284/c: </w:t>
            </w:r>
            <w:r w:rsidRPr="00F15BCE">
              <w:rPr>
                <w:rFonts w:ascii="Garamond" w:hAnsi="Garamond"/>
                <w:b/>
                <w:bCs/>
                <w:sz w:val="18"/>
                <w:szCs w:val="18"/>
                <w:lang w:val="sq-AL"/>
              </w:rPr>
              <w:t>“Prodhimi dhe fabrikimi i lendeve narkotike dhe psikotrope”</w:t>
            </w:r>
          </w:p>
        </w:tc>
        <w:tc>
          <w:tcPr>
            <w:tcW w:w="2070" w:type="dxa"/>
            <w:hideMark/>
          </w:tcPr>
          <w:p w:rsidR="00B91A90" w:rsidRPr="00F15BCE" w:rsidRDefault="00B91A90" w:rsidP="00D849E6">
            <w:pPr>
              <w:tabs>
                <w:tab w:val="left" w:pos="540"/>
                <w:tab w:val="left" w:pos="720"/>
              </w:tabs>
              <w:spacing w:after="0" w:line="240" w:lineRule="auto"/>
              <w:jc w:val="right"/>
              <w:rPr>
                <w:rFonts w:ascii="Garamond" w:hAnsi="Garamond"/>
                <w:sz w:val="18"/>
                <w:szCs w:val="18"/>
                <w:lang w:val="sq-AL"/>
              </w:rPr>
            </w:pPr>
            <w:r w:rsidRPr="00F15BCE">
              <w:rPr>
                <w:rFonts w:ascii="Garamond" w:hAnsi="Garamond"/>
                <w:bCs/>
                <w:sz w:val="18"/>
                <w:szCs w:val="18"/>
                <w:lang w:val="sq-AL"/>
              </w:rPr>
              <w:t>0</w:t>
            </w:r>
          </w:p>
        </w:tc>
        <w:tc>
          <w:tcPr>
            <w:tcW w:w="2070" w:type="dxa"/>
            <w:hideMark/>
          </w:tcPr>
          <w:p w:rsidR="00B91A90" w:rsidRPr="00F15BCE" w:rsidRDefault="00B91A90" w:rsidP="00D849E6">
            <w:pPr>
              <w:tabs>
                <w:tab w:val="left" w:pos="540"/>
                <w:tab w:val="left" w:pos="720"/>
              </w:tabs>
              <w:spacing w:after="0" w:line="240" w:lineRule="auto"/>
              <w:jc w:val="right"/>
              <w:rPr>
                <w:rFonts w:ascii="Garamond" w:hAnsi="Garamond"/>
                <w:sz w:val="18"/>
                <w:szCs w:val="18"/>
                <w:lang w:val="sq-AL"/>
              </w:rPr>
            </w:pPr>
            <w:r w:rsidRPr="00F15BCE">
              <w:rPr>
                <w:rFonts w:ascii="Garamond" w:hAnsi="Garamond"/>
                <w:bCs/>
                <w:color w:val="000000"/>
                <w:sz w:val="18"/>
                <w:szCs w:val="18"/>
                <w:lang w:val="sq-AL"/>
              </w:rPr>
              <w:t>0</w:t>
            </w:r>
          </w:p>
        </w:tc>
      </w:tr>
      <w:tr w:rsidR="00B91A90" w:rsidRPr="00D57BC4" w:rsidTr="00D849E6">
        <w:trPr>
          <w:trHeight w:val="20"/>
        </w:trPr>
        <w:tc>
          <w:tcPr>
            <w:tcW w:w="5688" w:type="dxa"/>
            <w:hideMark/>
          </w:tcPr>
          <w:p w:rsidR="00B91A90" w:rsidRPr="00F15BCE" w:rsidRDefault="00B91A90" w:rsidP="00D849E6">
            <w:pPr>
              <w:tabs>
                <w:tab w:val="left" w:pos="540"/>
                <w:tab w:val="left" w:pos="720"/>
              </w:tabs>
              <w:spacing w:after="0" w:line="240" w:lineRule="auto"/>
              <w:rPr>
                <w:rFonts w:ascii="Garamond" w:hAnsi="Garamond"/>
                <w:sz w:val="18"/>
                <w:szCs w:val="18"/>
                <w:lang w:val="sq-AL"/>
              </w:rPr>
            </w:pPr>
            <w:r w:rsidRPr="00F15BCE">
              <w:rPr>
                <w:rFonts w:ascii="Garamond" w:hAnsi="Garamond"/>
                <w:bCs/>
                <w:sz w:val="18"/>
                <w:szCs w:val="18"/>
                <w:lang w:val="sq-AL"/>
              </w:rPr>
              <w:t xml:space="preserve">Neni 285: </w:t>
            </w:r>
            <w:r w:rsidRPr="00F15BCE">
              <w:rPr>
                <w:rFonts w:ascii="Garamond" w:hAnsi="Garamond"/>
                <w:b/>
                <w:bCs/>
                <w:sz w:val="18"/>
                <w:szCs w:val="18"/>
                <w:lang w:val="sq-AL"/>
              </w:rPr>
              <w:t>“Mbajtja, prodhimi dhe transportimi i substancave kimike”</w:t>
            </w:r>
          </w:p>
        </w:tc>
        <w:tc>
          <w:tcPr>
            <w:tcW w:w="2070" w:type="dxa"/>
            <w:hideMark/>
          </w:tcPr>
          <w:p w:rsidR="00B91A90" w:rsidRPr="00F15BCE" w:rsidRDefault="00B91A90" w:rsidP="00D849E6">
            <w:pPr>
              <w:tabs>
                <w:tab w:val="left" w:pos="540"/>
                <w:tab w:val="left" w:pos="720"/>
              </w:tabs>
              <w:autoSpaceDE w:val="0"/>
              <w:autoSpaceDN w:val="0"/>
              <w:spacing w:after="0" w:line="240" w:lineRule="auto"/>
              <w:jc w:val="right"/>
              <w:rPr>
                <w:rFonts w:ascii="Garamond" w:hAnsi="Garamond"/>
                <w:sz w:val="18"/>
                <w:szCs w:val="18"/>
                <w:lang w:val="sq-AL"/>
              </w:rPr>
            </w:pPr>
            <w:r w:rsidRPr="00F15BCE">
              <w:rPr>
                <w:rFonts w:ascii="Garamond" w:hAnsi="Garamond"/>
                <w:bCs/>
                <w:sz w:val="18"/>
                <w:szCs w:val="18"/>
                <w:lang w:val="sq-AL"/>
              </w:rPr>
              <w:t>1</w:t>
            </w:r>
          </w:p>
        </w:tc>
        <w:tc>
          <w:tcPr>
            <w:tcW w:w="2070" w:type="dxa"/>
            <w:hideMark/>
          </w:tcPr>
          <w:p w:rsidR="00B91A90" w:rsidRPr="00F15BCE" w:rsidRDefault="00B91A90" w:rsidP="00D849E6">
            <w:pPr>
              <w:tabs>
                <w:tab w:val="left" w:pos="540"/>
                <w:tab w:val="left" w:pos="720"/>
              </w:tabs>
              <w:spacing w:after="0" w:line="240" w:lineRule="auto"/>
              <w:jc w:val="right"/>
              <w:rPr>
                <w:rFonts w:ascii="Garamond" w:hAnsi="Garamond"/>
                <w:sz w:val="18"/>
                <w:szCs w:val="18"/>
                <w:lang w:val="sq-AL"/>
              </w:rPr>
            </w:pPr>
            <w:r w:rsidRPr="00F15BCE">
              <w:rPr>
                <w:rFonts w:ascii="Garamond" w:hAnsi="Garamond"/>
                <w:bCs/>
                <w:color w:val="000000"/>
                <w:sz w:val="18"/>
                <w:szCs w:val="18"/>
                <w:lang w:val="sq-AL"/>
              </w:rPr>
              <w:t>0</w:t>
            </w:r>
          </w:p>
        </w:tc>
      </w:tr>
      <w:tr w:rsidR="00B91A90" w:rsidRPr="00D57BC4" w:rsidTr="00D849E6">
        <w:trPr>
          <w:trHeight w:val="20"/>
        </w:trPr>
        <w:tc>
          <w:tcPr>
            <w:tcW w:w="5688" w:type="dxa"/>
            <w:hideMark/>
          </w:tcPr>
          <w:p w:rsidR="00B91A90" w:rsidRPr="00F15BCE" w:rsidRDefault="00B91A90" w:rsidP="00D849E6">
            <w:pPr>
              <w:tabs>
                <w:tab w:val="left" w:pos="540"/>
                <w:tab w:val="left" w:pos="720"/>
              </w:tabs>
              <w:spacing w:after="0" w:line="240" w:lineRule="auto"/>
              <w:rPr>
                <w:rFonts w:ascii="Garamond" w:hAnsi="Garamond"/>
                <w:b/>
                <w:sz w:val="18"/>
                <w:szCs w:val="18"/>
                <w:lang w:val="sq-AL"/>
              </w:rPr>
            </w:pPr>
            <w:r w:rsidRPr="00F15BCE">
              <w:rPr>
                <w:rFonts w:ascii="Garamond" w:hAnsi="Garamond"/>
                <w:b/>
                <w:bCs/>
                <w:sz w:val="18"/>
                <w:szCs w:val="18"/>
                <w:lang w:val="sq-AL"/>
              </w:rPr>
              <w:t>TOTALI</w:t>
            </w:r>
          </w:p>
        </w:tc>
        <w:tc>
          <w:tcPr>
            <w:tcW w:w="2070" w:type="dxa"/>
            <w:hideMark/>
          </w:tcPr>
          <w:p w:rsidR="00B91A90" w:rsidRPr="00F15BCE" w:rsidRDefault="00B91A90" w:rsidP="00D849E6">
            <w:pPr>
              <w:tabs>
                <w:tab w:val="left" w:pos="540"/>
                <w:tab w:val="left" w:pos="720"/>
              </w:tabs>
              <w:spacing w:after="0" w:line="240" w:lineRule="auto"/>
              <w:jc w:val="right"/>
              <w:rPr>
                <w:rFonts w:ascii="Garamond" w:hAnsi="Garamond"/>
                <w:b/>
                <w:sz w:val="18"/>
                <w:szCs w:val="18"/>
                <w:lang w:val="sq-AL"/>
              </w:rPr>
            </w:pPr>
            <w:r w:rsidRPr="00F15BCE">
              <w:rPr>
                <w:rFonts w:ascii="Garamond" w:hAnsi="Garamond"/>
                <w:b/>
                <w:bCs/>
                <w:sz w:val="18"/>
                <w:szCs w:val="18"/>
                <w:lang w:val="sq-AL"/>
              </w:rPr>
              <w:t>2034</w:t>
            </w:r>
          </w:p>
        </w:tc>
        <w:tc>
          <w:tcPr>
            <w:tcW w:w="2070" w:type="dxa"/>
            <w:hideMark/>
          </w:tcPr>
          <w:p w:rsidR="00B91A90" w:rsidRPr="00F15BCE" w:rsidRDefault="00B91A90" w:rsidP="00D849E6">
            <w:pPr>
              <w:tabs>
                <w:tab w:val="left" w:pos="540"/>
                <w:tab w:val="left" w:pos="720"/>
              </w:tabs>
              <w:spacing w:after="0" w:line="240" w:lineRule="auto"/>
              <w:jc w:val="right"/>
              <w:rPr>
                <w:rFonts w:ascii="Garamond" w:hAnsi="Garamond"/>
                <w:b/>
                <w:sz w:val="18"/>
                <w:szCs w:val="18"/>
                <w:lang w:val="sq-AL"/>
              </w:rPr>
            </w:pPr>
            <w:r w:rsidRPr="00F15BCE">
              <w:rPr>
                <w:rFonts w:ascii="Garamond" w:hAnsi="Garamond"/>
                <w:b/>
                <w:bCs/>
                <w:sz w:val="18"/>
                <w:szCs w:val="18"/>
                <w:lang w:val="sq-AL"/>
              </w:rPr>
              <w:t>2912</w:t>
            </w:r>
          </w:p>
        </w:tc>
      </w:tr>
    </w:tbl>
    <w:p w:rsidR="00B91A90" w:rsidRPr="004A0B3D" w:rsidRDefault="00B91A90" w:rsidP="00B91A90">
      <w:pPr>
        <w:tabs>
          <w:tab w:val="left" w:pos="540"/>
          <w:tab w:val="left" w:pos="720"/>
        </w:tabs>
        <w:spacing w:after="0" w:line="240" w:lineRule="auto"/>
        <w:ind w:firstLine="288"/>
        <w:rPr>
          <w:rFonts w:ascii="Garamond" w:hAnsi="Garamond"/>
          <w:sz w:val="24"/>
          <w:szCs w:val="24"/>
          <w:lang w:val="sq-AL"/>
        </w:rPr>
      </w:pPr>
    </w:p>
    <w:p w:rsidR="00B91A90" w:rsidRPr="004A0B3D" w:rsidRDefault="00B91A90" w:rsidP="00B91A90">
      <w:pPr>
        <w:pStyle w:val="Paragrafi"/>
        <w:tabs>
          <w:tab w:val="left" w:pos="540"/>
          <w:tab w:val="left" w:pos="720"/>
        </w:tabs>
        <w:rPr>
          <w:lang w:val="sq-AL"/>
        </w:rPr>
      </w:pPr>
    </w:p>
    <w:p w:rsidR="00B91A90" w:rsidRPr="004A0B3D" w:rsidRDefault="00B91A90" w:rsidP="00B91A90">
      <w:pPr>
        <w:pStyle w:val="Paragrafi"/>
        <w:tabs>
          <w:tab w:val="left" w:pos="540"/>
          <w:tab w:val="left" w:pos="720"/>
        </w:tabs>
        <w:rPr>
          <w:lang w:val="sq-AL"/>
        </w:rPr>
      </w:pPr>
    </w:p>
    <w:p w:rsidR="00B91A90" w:rsidRPr="004A0B3D" w:rsidRDefault="00B91A90" w:rsidP="00B91A90">
      <w:pPr>
        <w:pStyle w:val="Paragrafi"/>
        <w:tabs>
          <w:tab w:val="left" w:pos="540"/>
          <w:tab w:val="left" w:pos="720"/>
        </w:tabs>
        <w:rPr>
          <w:lang w:val="sq-AL"/>
        </w:rPr>
      </w:pPr>
      <w:r>
        <w:rPr>
          <w:noProof/>
        </w:rPr>
        <w:lastRenderedPageBreak/>
        <mc:AlternateContent>
          <mc:Choice Requires="wps">
            <w:drawing>
              <wp:anchor distT="0" distB="0" distL="114300" distR="114300" simplePos="0" relativeHeight="251660288" behindDoc="0" locked="0" layoutInCell="1" allowOverlap="1" wp14:anchorId="60690BBD" wp14:editId="38F44CC5">
                <wp:simplePos x="0" y="0"/>
                <wp:positionH relativeFrom="column">
                  <wp:posOffset>1874668</wp:posOffset>
                </wp:positionH>
                <wp:positionV relativeFrom="paragraph">
                  <wp:posOffset>2059470</wp:posOffset>
                </wp:positionV>
                <wp:extent cx="4304806" cy="166254"/>
                <wp:effectExtent l="0" t="0" r="19685" b="24765"/>
                <wp:wrapNone/>
                <wp:docPr id="5" name="Rectangle 5"/>
                <wp:cNvGraphicFramePr/>
                <a:graphic xmlns:a="http://schemas.openxmlformats.org/drawingml/2006/main">
                  <a:graphicData uri="http://schemas.microsoft.com/office/word/2010/wordprocessingShape">
                    <wps:wsp>
                      <wps:cNvSpPr/>
                      <wps:spPr>
                        <a:xfrm>
                          <a:off x="0" y="0"/>
                          <a:ext cx="4304806" cy="16625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147.6pt;margin-top:162.15pt;width:338.95pt;height:13.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" fillcolor="white [3212]" strokecolor="white [3212]" strokeweight="1pt"/>
            </w:pict>
          </mc:Fallback>
        </mc:AlternateContent>
      </w:r>
    </w:p>
    <w:p w:rsidR="004F59B3" w:rsidRPr="00B91A90" w:rsidRDefault="004F59B3" w:rsidP="00B91A90"/>
    <w:sectPr w:rsidR="004F59B3" w:rsidRPr="00B91A90" w:rsidSect="00B91A9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BFB" w:rsidRDefault="00915BFB" w:rsidP="00915BFB">
      <w:pPr>
        <w:spacing w:after="0" w:line="240" w:lineRule="auto"/>
      </w:pPr>
      <w:r>
        <w:separator/>
      </w:r>
    </w:p>
  </w:endnote>
  <w:endnote w:type="continuationSeparator" w:id="0">
    <w:p w:rsidR="00915BFB" w:rsidRDefault="00915BFB" w:rsidP="00915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5389621"/>
      <w:docPartObj>
        <w:docPartGallery w:val="Page Numbers (Bottom of Page)"/>
        <w:docPartUnique/>
      </w:docPartObj>
    </w:sdtPr>
    <w:sdtEndPr>
      <w:rPr>
        <w:rFonts w:ascii="Garamond" w:hAnsi="Garamond"/>
        <w:noProof/>
        <w:sz w:val="24"/>
        <w:szCs w:val="24"/>
      </w:rPr>
    </w:sdtEndPr>
    <w:sdtContent>
      <w:p w:rsidR="00B91A90" w:rsidRPr="00B4283E" w:rsidRDefault="00B91A9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36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A90" w:rsidRPr="005B4361" w:rsidRDefault="00B91A90"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975963979"/>
      <w:docPartObj>
        <w:docPartGallery w:val="Page Numbers (Bottom of Page)"/>
        <w:docPartUnique/>
      </w:docPartObj>
    </w:sdtPr>
    <w:sdtEndPr>
      <w:rPr>
        <w:noProof/>
        <w:sz w:val="24"/>
        <w:szCs w:val="24"/>
      </w:rPr>
    </w:sdtEndPr>
    <w:sdtContent>
      <w:p w:rsidR="00B91A90" w:rsidRPr="00833610" w:rsidRDefault="00B91A9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91A90" w:rsidRDefault="00B91A9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768047"/>
      <w:docPartObj>
        <w:docPartGallery w:val="Page Numbers (Bottom of Page)"/>
        <w:docPartUnique/>
      </w:docPartObj>
    </w:sdtPr>
    <w:sdtEndPr/>
    <w:sdtContent>
      <w:p w:rsidR="00915BFB" w:rsidRPr="00915BFB" w:rsidRDefault="00915BFB" w:rsidP="00915BFB">
        <w:r w:rsidRPr="00915BFB">
          <w:t>Faqe|</w:t>
        </w:r>
        <w:r w:rsidRPr="00915BFB">
          <w:fldChar w:fldCharType="begin"/>
        </w:r>
        <w:r w:rsidRPr="00915BFB">
          <w:instrText xml:space="preserve"> PAGE   \* MERGEFORMAT </w:instrText>
        </w:r>
        <w:r w:rsidRPr="00915BFB">
          <w:fldChar w:fldCharType="separate"/>
        </w:r>
        <w:r w:rsidRPr="00915BFB">
          <w:t>36</w:t>
        </w:r>
        <w:r w:rsidRPr="00915BFB">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BFB" w:rsidRPr="00915BFB" w:rsidRDefault="00915BFB" w:rsidP="00915BFB"/>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7763187"/>
      <w:docPartObj>
        <w:docPartGallery w:val="Page Numbers (Bottom of Page)"/>
        <w:docPartUnique/>
      </w:docPartObj>
    </w:sdtPr>
    <w:sdtEndPr/>
    <w:sdtContent>
      <w:p w:rsidR="00915BFB" w:rsidRPr="00915BFB" w:rsidRDefault="00915BFB" w:rsidP="00915BFB">
        <w:r w:rsidRPr="00915BFB">
          <w:t>Faqe|</w:t>
        </w:r>
        <w:r w:rsidRPr="00915BFB">
          <w:fldChar w:fldCharType="begin"/>
        </w:r>
        <w:r w:rsidRPr="00915BFB">
          <w:instrText xml:space="preserve"> PAGE   \* MERGEFORMAT </w:instrText>
        </w:r>
        <w:r w:rsidRPr="00915BFB">
          <w:fldChar w:fldCharType="separate"/>
        </w:r>
        <w:r w:rsidRPr="00915BFB">
          <w:t>1</w:t>
        </w:r>
        <w:r w:rsidRPr="00915BFB">
          <w:fldChar w:fldCharType="end"/>
        </w:r>
      </w:p>
    </w:sdtContent>
  </w:sdt>
  <w:p w:rsidR="00915BFB" w:rsidRPr="00915BFB" w:rsidRDefault="00915BFB" w:rsidP="00915BF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BFB" w:rsidRDefault="00915BFB" w:rsidP="00915BFB">
      <w:pPr>
        <w:spacing w:after="0" w:line="240" w:lineRule="auto"/>
      </w:pPr>
      <w:r>
        <w:separator/>
      </w:r>
    </w:p>
  </w:footnote>
  <w:footnote w:type="continuationSeparator" w:id="0">
    <w:p w:rsidR="00915BFB" w:rsidRDefault="00915BFB" w:rsidP="00915BFB">
      <w:pPr>
        <w:spacing w:after="0" w:line="240" w:lineRule="auto"/>
      </w:pPr>
      <w:r>
        <w:continuationSeparator/>
      </w:r>
    </w:p>
  </w:footnote>
  <w:footnote w:id="1">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European Union, European Commission. (2016), </w:t>
      </w:r>
      <w:r w:rsidRPr="00F91F13">
        <w:rPr>
          <w:rFonts w:ascii="Garamond" w:hAnsi="Garamond"/>
          <w:i/>
        </w:rPr>
        <w:t>Albania Report,</w:t>
      </w:r>
      <w:r w:rsidRPr="00F91F13">
        <w:rPr>
          <w:rFonts w:ascii="Garamond" w:hAnsi="Garamond"/>
        </w:rPr>
        <w:t xml:space="preserve"> (</w:t>
      </w:r>
      <w:r w:rsidRPr="00F91F13">
        <w:rPr>
          <w:rFonts w:ascii="Garamond" w:hAnsi="Garamond"/>
          <w:i/>
        </w:rPr>
        <w:t>Commission Staff Working Document</w:t>
      </w:r>
      <w:r w:rsidRPr="00F91F13">
        <w:rPr>
          <w:rFonts w:ascii="Garamond" w:hAnsi="Garamond"/>
        </w:rPr>
        <w:t>)</w:t>
      </w:r>
    </w:p>
    <w:p w:rsidR="00B91A90" w:rsidRPr="00F91F13" w:rsidRDefault="00B91A90" w:rsidP="00B91A90">
      <w:pPr>
        <w:pStyle w:val="FootnoteText"/>
        <w:ind w:firstLine="0"/>
        <w:rPr>
          <w:rFonts w:ascii="Garamond" w:hAnsi="Garamond"/>
        </w:rPr>
      </w:pPr>
      <w:r w:rsidRPr="00F91F13">
        <w:rPr>
          <w:rFonts w:ascii="Garamond" w:hAnsi="Garamond"/>
        </w:rPr>
        <w:t>https://ec.europa.eu/neighbourhood-enlargement/sites/near/files/pdf/key_documents/2016/20161109_report_albania.pdf</w:t>
      </w:r>
    </w:p>
  </w:footnote>
  <w:footnote w:id="2">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2792, datë 16.5.2012</w:t>
      </w:r>
    </w:p>
  </w:footnote>
  <w:footnote w:id="3">
    <w:p w:rsidR="00B91A90" w:rsidRPr="00F91F13" w:rsidRDefault="00B91A90" w:rsidP="00B91A90">
      <w:pPr>
        <w:pStyle w:val="FootnoteText"/>
        <w:rPr>
          <w:rFonts w:ascii="Garamond" w:hAnsi="Garamond"/>
        </w:rPr>
      </w:pPr>
      <w:r w:rsidRPr="00F91F13">
        <w:rPr>
          <w:rStyle w:val="FootnoteReference"/>
          <w:rFonts w:ascii="Garamond" w:hAnsi="Garamond"/>
        </w:rPr>
        <w:footnoteRef/>
      </w:r>
      <w:r w:rsidRPr="00F91F13">
        <w:rPr>
          <w:rFonts w:ascii="Garamond" w:hAnsi="Garamond"/>
        </w:rPr>
        <w:t xml:space="preserve"> Ligji nr. 7975, datë 21.7.1995 ndryshuar nga ligjet: nr. 9271, datë 9.9.2004 dhe nr. 9559, datë 8.7.2006</w:t>
      </w:r>
      <w:r w:rsidRPr="00F91F13">
        <w:rPr>
          <w:rFonts w:ascii="Garamond" w:hAnsi="Garamond" w:cs="Calibri Light"/>
        </w:rPr>
        <w:t>.</w:t>
      </w:r>
    </w:p>
  </w:footnote>
  <w:footnote w:id="4">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 nr. 10 192, datë 3.12.2009</w:t>
      </w:r>
    </w:p>
  </w:footnote>
  <w:footnote w:id="5">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 nr. 10 192, datë 3.12.2009</w:t>
      </w:r>
    </w:p>
  </w:footnote>
  <w:footnote w:id="6">
    <w:p w:rsidR="00B91A90" w:rsidRPr="00F91F13" w:rsidRDefault="00B91A90" w:rsidP="00B91A90">
      <w:pPr>
        <w:spacing w:after="0"/>
        <w:rPr>
          <w:rFonts w:ascii="Garamond" w:hAnsi="Garamond"/>
          <w:sz w:val="20"/>
          <w:szCs w:val="20"/>
          <w:lang w:val="sq-AL"/>
        </w:rPr>
      </w:pPr>
      <w:r w:rsidRPr="00F91F13">
        <w:rPr>
          <w:rStyle w:val="FootnoteReference"/>
          <w:rFonts w:ascii="Garamond" w:hAnsi="Garamond"/>
          <w:sz w:val="20"/>
          <w:szCs w:val="20"/>
          <w:lang w:val="sq-AL"/>
        </w:rPr>
        <w:footnoteRef/>
      </w:r>
      <w:r w:rsidRPr="00F91F13">
        <w:rPr>
          <w:rFonts w:ascii="Garamond" w:hAnsi="Garamond"/>
          <w:sz w:val="20"/>
          <w:szCs w:val="20"/>
          <w:lang w:val="sq-AL"/>
        </w:rPr>
        <w:t xml:space="preserve"> Aktualisht ekziston baza ligjore për dhënien me qira të tokave si:</w:t>
      </w:r>
    </w:p>
    <w:p w:rsidR="00B91A90" w:rsidRPr="00F91F13" w:rsidRDefault="00B91A90" w:rsidP="00B91A90">
      <w:pPr>
        <w:pStyle w:val="ListParagraph"/>
        <w:numPr>
          <w:ilvl w:val="0"/>
          <w:numId w:val="86"/>
        </w:numPr>
        <w:spacing w:after="0" w:line="240" w:lineRule="auto"/>
        <w:ind w:left="450" w:hanging="270"/>
        <w:jc w:val="both"/>
        <w:rPr>
          <w:rFonts w:ascii="Garamond" w:hAnsi="Garamond"/>
          <w:sz w:val="20"/>
          <w:szCs w:val="20"/>
          <w:lang w:val="sq-AL"/>
        </w:rPr>
      </w:pPr>
      <w:r w:rsidRPr="00F91F13">
        <w:rPr>
          <w:rFonts w:ascii="Garamond" w:hAnsi="Garamond"/>
          <w:sz w:val="20"/>
          <w:szCs w:val="20"/>
          <w:lang w:val="sq-AL"/>
        </w:rPr>
        <w:t>Ligji nr. 8318, datë 1.4.1998, “Për dhënien me qira të tokës bujqësore e pyjore, të livadheve dhe kullotave që janë pasuri shtetërore”, i ndryshuar. </w:t>
      </w:r>
    </w:p>
    <w:p w:rsidR="00B91A90" w:rsidRPr="00F91F13" w:rsidRDefault="00B91A90" w:rsidP="00B91A90">
      <w:pPr>
        <w:pStyle w:val="ListParagraph"/>
        <w:numPr>
          <w:ilvl w:val="0"/>
          <w:numId w:val="86"/>
        </w:numPr>
        <w:spacing w:after="0" w:line="240" w:lineRule="auto"/>
        <w:ind w:left="450" w:hanging="270"/>
        <w:jc w:val="both"/>
        <w:rPr>
          <w:rFonts w:ascii="Garamond" w:hAnsi="Garamond"/>
          <w:sz w:val="20"/>
          <w:szCs w:val="20"/>
          <w:lang w:val="sq-AL"/>
        </w:rPr>
      </w:pPr>
      <w:r w:rsidRPr="00F91F13">
        <w:rPr>
          <w:rFonts w:ascii="Garamond" w:hAnsi="Garamond"/>
          <w:sz w:val="20"/>
          <w:szCs w:val="20"/>
          <w:lang w:val="sq-AL"/>
        </w:rPr>
        <w:t>Udhëzim nr. 1, datë 18.7.2012, “Për procedurat e dhënies me qira të tokave bujqësore të pandara”.</w:t>
      </w:r>
    </w:p>
    <w:p w:rsidR="00B91A90" w:rsidRPr="00F91F13" w:rsidRDefault="00B91A90" w:rsidP="00B91A90">
      <w:pPr>
        <w:pStyle w:val="ListParagraph"/>
        <w:numPr>
          <w:ilvl w:val="0"/>
          <w:numId w:val="86"/>
        </w:numPr>
        <w:spacing w:after="0" w:line="240" w:lineRule="auto"/>
        <w:ind w:left="450" w:hanging="270"/>
        <w:jc w:val="both"/>
        <w:rPr>
          <w:rFonts w:ascii="Garamond" w:hAnsi="Garamond"/>
          <w:sz w:val="20"/>
          <w:szCs w:val="20"/>
          <w:lang w:val="sq-AL"/>
        </w:rPr>
      </w:pPr>
      <w:r w:rsidRPr="00F91F13">
        <w:rPr>
          <w:rFonts w:ascii="Garamond" w:hAnsi="Garamond"/>
          <w:sz w:val="20"/>
          <w:szCs w:val="20"/>
          <w:lang w:val="sq-AL"/>
        </w:rPr>
        <w:t>VKM nr. 460, datë 22.5.2013, “Për përcaktimin e kritereve, rregullave dhe procedurave të dhënies me qira të tokave bujqësore në pronësi të shtetit”.</w:t>
      </w:r>
    </w:p>
    <w:p w:rsidR="00B91A90" w:rsidRPr="00F91F13" w:rsidRDefault="00B91A90" w:rsidP="00B91A90">
      <w:pPr>
        <w:pStyle w:val="ListParagraph"/>
        <w:numPr>
          <w:ilvl w:val="0"/>
          <w:numId w:val="86"/>
        </w:numPr>
        <w:spacing w:after="0" w:line="240" w:lineRule="auto"/>
        <w:ind w:left="450" w:hanging="270"/>
        <w:jc w:val="both"/>
        <w:rPr>
          <w:rFonts w:ascii="Garamond" w:hAnsi="Garamond"/>
          <w:sz w:val="20"/>
          <w:szCs w:val="20"/>
          <w:lang w:val="sq-AL"/>
        </w:rPr>
      </w:pPr>
      <w:r w:rsidRPr="00F91F13">
        <w:rPr>
          <w:rFonts w:ascii="Garamond" w:hAnsi="Garamond"/>
          <w:sz w:val="20"/>
          <w:szCs w:val="20"/>
          <w:lang w:val="sq-AL"/>
        </w:rPr>
        <w:t>Udhëzimi i ministrit të Bujqësisë, Ushqimit dhe Mbrojtjes së Konsumatorit nr. 6, datë 5.6.2013, “Për kriteret e vlerësimit dhe mënyrën e përllogaritjes së kritereve të vlerësimit të ofertave për marrjen me qira të tokës bujqësore në pronësi të shtetit”.</w:t>
      </w:r>
    </w:p>
  </w:footnote>
  <w:footnote w:id="7">
    <w:p w:rsidR="00B91A90" w:rsidRPr="00F91F13" w:rsidRDefault="00B91A90" w:rsidP="00B91A90">
      <w:pPr>
        <w:pStyle w:val="ListParagraph"/>
        <w:autoSpaceDE w:val="0"/>
        <w:autoSpaceDN w:val="0"/>
        <w:adjustRightInd w:val="0"/>
        <w:spacing w:after="0"/>
        <w:ind w:left="0"/>
        <w:jc w:val="both"/>
        <w:rPr>
          <w:rFonts w:ascii="Garamond" w:hAnsi="Garamond"/>
          <w:sz w:val="20"/>
          <w:szCs w:val="20"/>
          <w:lang w:val="sq-AL"/>
        </w:rPr>
      </w:pPr>
      <w:r w:rsidRPr="00F91F13">
        <w:rPr>
          <w:rStyle w:val="FootnoteReference"/>
          <w:rFonts w:ascii="Garamond" w:eastAsia="MS Mincho" w:hAnsi="Garamond"/>
          <w:sz w:val="20"/>
          <w:szCs w:val="20"/>
          <w:lang w:val="sq-AL"/>
        </w:rPr>
        <w:footnoteRef/>
      </w:r>
      <w:r w:rsidRPr="00F91F13">
        <w:rPr>
          <w:rFonts w:ascii="Garamond" w:hAnsi="Garamond"/>
          <w:sz w:val="20"/>
          <w:szCs w:val="20"/>
          <w:lang w:val="sq-AL"/>
        </w:rPr>
        <w:t xml:space="preserve"> Në vend ka gjithsej 696 000 ha, prej të cilave janë privatizuar si tokë bujqësore 560 000 ha. 136.000 ha janë toka të pandara në administrim publik.</w:t>
      </w:r>
    </w:p>
    <w:p w:rsidR="00B91A90" w:rsidRPr="00F91F13" w:rsidRDefault="00B91A90" w:rsidP="00B91A90">
      <w:pPr>
        <w:pStyle w:val="ListParagraph"/>
        <w:autoSpaceDE w:val="0"/>
        <w:autoSpaceDN w:val="0"/>
        <w:adjustRightInd w:val="0"/>
        <w:spacing w:after="0"/>
        <w:ind w:left="0"/>
        <w:jc w:val="both"/>
        <w:rPr>
          <w:rFonts w:ascii="Garamond" w:hAnsi="Garamond"/>
          <w:sz w:val="20"/>
          <w:szCs w:val="20"/>
          <w:lang w:val="sq-AL"/>
        </w:rPr>
      </w:pPr>
      <w:r w:rsidRPr="00F91F13">
        <w:rPr>
          <w:rFonts w:ascii="Garamond" w:hAnsi="Garamond"/>
          <w:sz w:val="20"/>
          <w:szCs w:val="20"/>
          <w:lang w:val="sq-AL"/>
        </w:rPr>
        <w:t>Sipërfaqe që mbillet me bimë arash dhe pemëtari është rreth 500.000 ha.</w:t>
      </w:r>
    </w:p>
    <w:p w:rsidR="00B91A90" w:rsidRPr="00F91F13" w:rsidRDefault="00B91A90" w:rsidP="00B91A90">
      <w:pPr>
        <w:pStyle w:val="ListParagraph"/>
        <w:autoSpaceDE w:val="0"/>
        <w:autoSpaceDN w:val="0"/>
        <w:adjustRightInd w:val="0"/>
        <w:spacing w:after="0"/>
        <w:ind w:left="0"/>
        <w:jc w:val="both"/>
        <w:rPr>
          <w:rFonts w:ascii="Garamond" w:hAnsi="Garamond"/>
          <w:sz w:val="20"/>
          <w:szCs w:val="20"/>
          <w:lang w:val="sq-AL"/>
        </w:rPr>
      </w:pPr>
      <w:r w:rsidRPr="00F91F13">
        <w:rPr>
          <w:rFonts w:ascii="Garamond" w:hAnsi="Garamond"/>
          <w:sz w:val="20"/>
          <w:szCs w:val="20"/>
          <w:lang w:val="sq-AL"/>
        </w:rPr>
        <w:t>Sipërfaqja e përgjithshme e tokës bujqësore të privatizuar që nuk kultivohet është rreth 60.000 ha, prej së cilës rreth 25 000 ha është joproduktive, 15 000 ha preket nga Agjencia e Legalizimit, Urbanizimit Integrimit të Zonave/Ndërtimeve Informale, autostradat, ndërtimi i HECE-ve dhe projekteve të tjera. Nga sipërfaqja totale, rreth 20 000 ha mbeten potencialisht të mundur për t’u kultivuar.</w:t>
      </w:r>
    </w:p>
  </w:footnote>
  <w:footnote w:id="8">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Ligji nr. 60/2016, “Për sinjalizimin dhe mbrojtjen e sinjalizuesve”</w:t>
      </w:r>
    </w:p>
  </w:footnote>
  <w:footnote w:id="9">
    <w:p w:rsidR="00B91A90" w:rsidRPr="00F91F13" w:rsidRDefault="00B91A90" w:rsidP="00B91A90">
      <w:pPr>
        <w:rPr>
          <w:rFonts w:ascii="Garamond" w:hAnsi="Garamond" w:cs="Calibri Light"/>
          <w:i/>
          <w:sz w:val="20"/>
          <w:szCs w:val="20"/>
          <w:lang w:val="sq-AL"/>
        </w:rPr>
      </w:pPr>
      <w:r w:rsidRPr="00F91F13">
        <w:rPr>
          <w:rStyle w:val="FootnoteReference"/>
          <w:rFonts w:ascii="Garamond" w:hAnsi="Garamond"/>
          <w:sz w:val="20"/>
          <w:szCs w:val="20"/>
          <w:lang w:val="sq-AL"/>
        </w:rPr>
        <w:footnoteRef/>
      </w:r>
      <w:r w:rsidRPr="00F91F13">
        <w:rPr>
          <w:rFonts w:ascii="Garamond" w:hAnsi="Garamond"/>
          <w:sz w:val="20"/>
          <w:szCs w:val="20"/>
          <w:lang w:val="sq-AL"/>
        </w:rPr>
        <w:t xml:space="preserve"> Ligj nr. 9559/2006.</w:t>
      </w:r>
    </w:p>
    <w:p w:rsidR="00B91A90" w:rsidRPr="00F91F13" w:rsidRDefault="00B91A90" w:rsidP="00B91A90">
      <w:pPr>
        <w:pStyle w:val="FootnoteText"/>
        <w:rPr>
          <w:rFonts w:ascii="Garamond" w:hAnsi="Garamond"/>
        </w:rPr>
      </w:pPr>
    </w:p>
  </w:footnote>
  <w:footnote w:id="10">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Miratuar me ligjin nr. 8417, datë 21.10.1998, të Kuvendit Popullor, ndryshuar me ligjet: nr. 9675, datë 13.1.2007;                  nr. 9904; datë 21.4.2008 dhe nr. 88/2012 (datë 18.9.2012)</w:t>
      </w:r>
    </w:p>
  </w:footnote>
  <w:footnote w:id="11">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 nr. 7895, datë 27.1.1995, përditësuar janar 2016</w:t>
      </w:r>
    </w:p>
  </w:footnote>
  <w:footnote w:id="12">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 nr. 7975, datë 21.7.1995 amenduar nga ligjet: nr. 9271, datë 9.9.2004 dhe nr. 9559, datë 8.7.2006</w:t>
      </w:r>
    </w:p>
  </w:footnote>
  <w:footnote w:id="13">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Ligji </w:t>
      </w:r>
      <w:r w:rsidRPr="00F91F13">
        <w:rPr>
          <w:rFonts w:ascii="Garamond" w:hAnsi="Garamond"/>
          <w:color w:val="000000"/>
          <w:shd w:val="clear" w:color="auto" w:fill="FFFFFF"/>
        </w:rPr>
        <w:t>nr. 9000, datë 30.1.2003</w:t>
      </w:r>
    </w:p>
  </w:footnote>
  <w:footnote w:id="14">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Ligji nr. 90/2012</w:t>
      </w:r>
    </w:p>
  </w:footnote>
  <w:footnote w:id="15">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9936, datë 26.6.2008</w:t>
      </w:r>
    </w:p>
  </w:footnote>
  <w:footnote w:id="16">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 nr. 8750 datë 26.3.2001 amenduar nga ligjet: </w:t>
      </w:r>
      <w:r w:rsidRPr="00F91F13">
        <w:rPr>
          <w:rFonts w:ascii="Garamond" w:hAnsi="Garamond"/>
          <w:iCs/>
        </w:rPr>
        <w:t>nr. 14, datë 13.4.2001, ndryshuar në shtator 2016</w:t>
      </w:r>
    </w:p>
  </w:footnote>
  <w:footnote w:id="17">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 nr. 8874 datë 29.3.2002 amenduar nga ligjet: n</w:t>
      </w:r>
      <w:r w:rsidRPr="00F91F13">
        <w:rPr>
          <w:rFonts w:ascii="Garamond" w:hAnsi="Garamond"/>
          <w:iCs/>
        </w:rPr>
        <w:t>r. 12, datë 29.4.2002</w:t>
      </w:r>
    </w:p>
  </w:footnote>
  <w:footnote w:id="18">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 nr. 10 192, datë 3.12.2009</w:t>
      </w:r>
    </w:p>
  </w:footnote>
  <w:footnote w:id="19">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 nr. 60/2016</w:t>
      </w:r>
    </w:p>
  </w:footnote>
  <w:footnote w:id="20">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Vendim nr. 1, datë 27.3.2008</w:t>
      </w:r>
    </w:p>
  </w:footnote>
  <w:footnote w:id="21">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1075/1 datë 15.4.2009 dhe nr. 1227/1, më 1.4.2009</w:t>
      </w:r>
    </w:p>
  </w:footnote>
  <w:footnote w:id="22">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469/2, më 3.4.2008; nr. 1572/2, më 3.4.2008; nr. 1569, më 17.4.2008</w:t>
      </w:r>
    </w:p>
  </w:footnote>
  <w:footnote w:id="23">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606 datë 17.3.2003</w:t>
      </w:r>
    </w:p>
  </w:footnote>
  <w:footnote w:id="24">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5660, datë 29.9.2009</w:t>
      </w:r>
    </w:p>
  </w:footnote>
  <w:footnote w:id="25">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390, datë 19.9.2007</w:t>
      </w:r>
    </w:p>
  </w:footnote>
  <w:footnote w:id="26">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4586 datë 15.8.2008</w:t>
      </w:r>
    </w:p>
  </w:footnote>
  <w:footnote w:id="27">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2538/1 datë ë 14.5.2007</w:t>
      </w:r>
    </w:p>
  </w:footnote>
  <w:footnote w:id="28">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Viti 2010</w:t>
      </w:r>
    </w:p>
  </w:footnote>
  <w:footnote w:id="29">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Viti 2016</w:t>
      </w:r>
    </w:p>
  </w:footnote>
  <w:footnote w:id="30">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Udhëzimi nr. 469/2, datë 3.4.2008;</w:t>
      </w:r>
    </w:p>
  </w:footnote>
  <w:footnote w:id="31">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Udhëzimi nr.1572/2, datë.3.4.2008;</w:t>
      </w:r>
    </w:p>
  </w:footnote>
  <w:footnote w:id="32">
    <w:p w:rsidR="00B91A90" w:rsidRPr="00F91F13" w:rsidRDefault="00B91A90" w:rsidP="00B91A90">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Udhëzimi nr.1569, datë 17.4.2008.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91A90" w:rsidRPr="00EB260B" w:rsidTr="00524C1E">
      <w:trPr>
        <w:trHeight w:val="936"/>
        <w:jc w:val="center"/>
      </w:trPr>
      <w:tc>
        <w:tcPr>
          <w:tcW w:w="2811" w:type="dxa"/>
          <w:shd w:val="pct5" w:color="auto" w:fill="F2F2F2"/>
          <w:vAlign w:val="center"/>
        </w:tcPr>
        <w:p w:rsidR="00B91A90" w:rsidRPr="00EB260B" w:rsidRDefault="00B91A90" w:rsidP="00524C1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91A90" w:rsidRPr="00EB260B" w:rsidRDefault="00B91A90" w:rsidP="00524C1E">
          <w:pPr>
            <w:pStyle w:val="NoSpacing"/>
            <w:spacing w:before="100" w:after="100"/>
            <w:jc w:val="center"/>
            <w:rPr>
              <w:rFonts w:ascii="Garamond" w:hAnsi="Garamond"/>
              <w:b/>
              <w:sz w:val="28"/>
              <w:szCs w:val="28"/>
            </w:rPr>
          </w:pPr>
          <w:r>
            <w:rPr>
              <w:noProof/>
              <w:lang w:val="en-US"/>
            </w:rPr>
            <w:drawing>
              <wp:inline distT="0" distB="0" distL="0" distR="0" wp14:anchorId="433F8667" wp14:editId="7713EEB6">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91A90" w:rsidRPr="00EB260B" w:rsidRDefault="00B91A90" w:rsidP="00524C1E">
          <w:pPr>
            <w:pStyle w:val="NoSpacing"/>
            <w:spacing w:before="100" w:after="100"/>
            <w:jc w:val="center"/>
            <w:rPr>
              <w:rFonts w:ascii="Garamond" w:hAnsi="Garamond"/>
              <w:b/>
              <w:sz w:val="28"/>
              <w:szCs w:val="28"/>
            </w:rPr>
          </w:pPr>
          <w:r>
            <w:rPr>
              <w:rFonts w:ascii="Garamond" w:hAnsi="Garamond"/>
              <w:b/>
              <w:sz w:val="28"/>
              <w:szCs w:val="28"/>
            </w:rPr>
            <w:t xml:space="preserve"> Viti 2017 – Numri 65</w:t>
          </w:r>
        </w:p>
      </w:tc>
    </w:tr>
  </w:tbl>
  <w:p w:rsidR="00B91A90" w:rsidRPr="00385E2C" w:rsidRDefault="00B91A9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A90" w:rsidRDefault="00B91A90" w:rsidP="0033011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15BFB" w:rsidRPr="00915BFB" w:rsidTr="00524C1E">
      <w:trPr>
        <w:trHeight w:val="936"/>
        <w:jc w:val="center"/>
      </w:trPr>
      <w:tc>
        <w:tcPr>
          <w:tcW w:w="2811" w:type="dxa"/>
          <w:shd w:val="pct5" w:color="auto" w:fill="F2F2F2"/>
          <w:vAlign w:val="center"/>
        </w:tcPr>
        <w:p w:rsidR="00915BFB" w:rsidRPr="00915BFB" w:rsidRDefault="00915BFB" w:rsidP="00915BFB">
          <w:r w:rsidRPr="00915BFB">
            <w:t>Fletorja Zyrtare</w:t>
          </w:r>
        </w:p>
      </w:tc>
      <w:tc>
        <w:tcPr>
          <w:tcW w:w="3952" w:type="dxa"/>
          <w:shd w:val="pct5" w:color="auto" w:fill="F2F2F2"/>
          <w:vAlign w:val="center"/>
        </w:tcPr>
        <w:p w:rsidR="00915BFB" w:rsidRPr="00915BFB" w:rsidRDefault="00915BFB" w:rsidP="00915BFB">
          <w:r w:rsidRPr="00915BFB">
            <w:rPr>
              <w:noProof/>
            </w:rPr>
            <w:drawing>
              <wp:inline distT="0" distB="0" distL="0" distR="0" wp14:anchorId="4BE9142C" wp14:editId="47B7C0FD">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15BFB" w:rsidRPr="00915BFB" w:rsidRDefault="00915BFB" w:rsidP="00915BFB">
          <w:r w:rsidRPr="00915BFB">
            <w:t xml:space="preserve"> Viti 2017 – Numri 65</w:t>
          </w:r>
        </w:p>
      </w:tc>
    </w:tr>
  </w:tbl>
  <w:p w:rsidR="00915BFB" w:rsidRPr="00915BFB" w:rsidRDefault="00915BFB" w:rsidP="00915BF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BFB" w:rsidRPr="00915BFB" w:rsidRDefault="00915BFB" w:rsidP="00915BF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BFB" w:rsidRPr="00915BFB" w:rsidRDefault="00915BFB" w:rsidP="00915BF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412F82"/>
    <w:multiLevelType w:val="hybridMultilevel"/>
    <w:tmpl w:val="9BCC4E20"/>
    <w:lvl w:ilvl="0" w:tplc="FB3CF2F0">
      <w:start w:val="7"/>
      <w:numFmt w:val="bullet"/>
      <w:lvlText w:val="•"/>
      <w:lvlJc w:val="left"/>
      <w:pPr>
        <w:ind w:left="1620" w:hanging="720"/>
      </w:pPr>
      <w:rPr>
        <w:rFonts w:ascii="Times New Roman" w:eastAsia="Calibr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072D0961"/>
    <w:multiLevelType w:val="hybridMultilevel"/>
    <w:tmpl w:val="FBD84E90"/>
    <w:lvl w:ilvl="0" w:tplc="D55016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78389E"/>
    <w:multiLevelType w:val="hybridMultilevel"/>
    <w:tmpl w:val="8CB47174"/>
    <w:lvl w:ilvl="0" w:tplc="D55016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262A89"/>
    <w:multiLevelType w:val="hybridMultilevel"/>
    <w:tmpl w:val="F4D4163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
    <w:nsid w:val="0B8106E2"/>
    <w:multiLevelType w:val="hybridMultilevel"/>
    <w:tmpl w:val="5EB01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0C1E007D"/>
    <w:multiLevelType w:val="hybridMultilevel"/>
    <w:tmpl w:val="BA40BB9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0C217D61"/>
    <w:multiLevelType w:val="hybridMultilevel"/>
    <w:tmpl w:val="B134A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C704EAB"/>
    <w:multiLevelType w:val="hybridMultilevel"/>
    <w:tmpl w:val="7C4842C4"/>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128D4C40"/>
    <w:multiLevelType w:val="hybridMultilevel"/>
    <w:tmpl w:val="06B6C360"/>
    <w:lvl w:ilvl="0" w:tplc="D550164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3A72E28"/>
    <w:multiLevelType w:val="multilevel"/>
    <w:tmpl w:val="C6D0A868"/>
    <w:lvl w:ilvl="0">
      <w:start w:val="1"/>
      <w:numFmt w:val="decimal"/>
      <w:lvlText w:val="%1."/>
      <w:lvlJc w:val="left"/>
      <w:pPr>
        <w:ind w:left="720" w:hanging="360"/>
      </w:pPr>
      <w:rPr>
        <w:rFonts w:eastAsia="Calibri" w:hint="default"/>
        <w:b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nsid w:val="13B83E24"/>
    <w:multiLevelType w:val="hybridMultilevel"/>
    <w:tmpl w:val="3DDEF22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nsid w:val="15784493"/>
    <w:multiLevelType w:val="hybridMultilevel"/>
    <w:tmpl w:val="FC6E8D08"/>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15E65210"/>
    <w:multiLevelType w:val="hybridMultilevel"/>
    <w:tmpl w:val="55D8A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nsid w:val="17497004"/>
    <w:multiLevelType w:val="hybridMultilevel"/>
    <w:tmpl w:val="7D5CAAF2"/>
    <w:lvl w:ilvl="0" w:tplc="D55016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E277F18"/>
    <w:multiLevelType w:val="hybridMultilevel"/>
    <w:tmpl w:val="2486B024"/>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E5139C6"/>
    <w:multiLevelType w:val="hybridMultilevel"/>
    <w:tmpl w:val="3314D1F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nsid w:val="2237463D"/>
    <w:multiLevelType w:val="hybridMultilevel"/>
    <w:tmpl w:val="B562E7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230113F3"/>
    <w:multiLevelType w:val="hybridMultilevel"/>
    <w:tmpl w:val="2B1C34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23D12F0D"/>
    <w:multiLevelType w:val="hybridMultilevel"/>
    <w:tmpl w:val="7E6E9F86"/>
    <w:lvl w:ilvl="0" w:tplc="FB3CF2F0">
      <w:start w:val="7"/>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5EF6F59"/>
    <w:multiLevelType w:val="hybridMultilevel"/>
    <w:tmpl w:val="FCF02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600765D"/>
    <w:multiLevelType w:val="hybridMultilevel"/>
    <w:tmpl w:val="62885120"/>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6857CE6"/>
    <w:multiLevelType w:val="multilevel"/>
    <w:tmpl w:val="C6D0A868"/>
    <w:lvl w:ilvl="0">
      <w:start w:val="1"/>
      <w:numFmt w:val="decimal"/>
      <w:lvlText w:val="%1."/>
      <w:lvlJc w:val="left"/>
      <w:pPr>
        <w:ind w:left="720" w:hanging="360"/>
      </w:pPr>
      <w:rPr>
        <w:rFonts w:eastAsia="Calibri" w:hint="default"/>
        <w:b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4">
    <w:nsid w:val="2690197A"/>
    <w:multiLevelType w:val="hybridMultilevel"/>
    <w:tmpl w:val="3FAC1720"/>
    <w:lvl w:ilvl="0" w:tplc="FB3CF2F0">
      <w:start w:val="7"/>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B965DE0"/>
    <w:multiLevelType w:val="hybridMultilevel"/>
    <w:tmpl w:val="40C668E0"/>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2CD82551"/>
    <w:multiLevelType w:val="hybridMultilevel"/>
    <w:tmpl w:val="B00E96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nsid w:val="2F603F0A"/>
    <w:multiLevelType w:val="hybridMultilevel"/>
    <w:tmpl w:val="2A288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1C63851"/>
    <w:multiLevelType w:val="hybridMultilevel"/>
    <w:tmpl w:val="18DC06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34BB2FC3"/>
    <w:multiLevelType w:val="hybridMultilevel"/>
    <w:tmpl w:val="136699B6"/>
    <w:lvl w:ilvl="0" w:tplc="FB3CF2F0">
      <w:start w:val="7"/>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7A209BC"/>
    <w:multiLevelType w:val="hybridMultilevel"/>
    <w:tmpl w:val="5D201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37C9643D"/>
    <w:multiLevelType w:val="hybridMultilevel"/>
    <w:tmpl w:val="6650A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3C7E6DE4"/>
    <w:multiLevelType w:val="hybridMultilevel"/>
    <w:tmpl w:val="0DAE1338"/>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CD751EB"/>
    <w:multiLevelType w:val="hybridMultilevel"/>
    <w:tmpl w:val="B202A56E"/>
    <w:lvl w:ilvl="0" w:tplc="FB3CF2F0">
      <w:start w:val="7"/>
      <w:numFmt w:val="bullet"/>
      <w:lvlText w:val="•"/>
      <w:lvlJc w:val="left"/>
      <w:pPr>
        <w:ind w:left="1260" w:hanging="72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3EC01AF3"/>
    <w:multiLevelType w:val="hybridMultilevel"/>
    <w:tmpl w:val="3CDE8EEE"/>
    <w:lvl w:ilvl="0" w:tplc="FB3CF2F0">
      <w:start w:val="7"/>
      <w:numFmt w:val="bullet"/>
      <w:lvlText w:val="•"/>
      <w:lvlJc w:val="left"/>
      <w:pPr>
        <w:ind w:left="1620" w:hanging="720"/>
      </w:pPr>
      <w:rPr>
        <w:rFonts w:ascii="Times New Roman" w:eastAsia="Calibr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5">
    <w:nsid w:val="3F6127A7"/>
    <w:multiLevelType w:val="multilevel"/>
    <w:tmpl w:val="46B2AD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6">
    <w:nsid w:val="413009B3"/>
    <w:multiLevelType w:val="hybridMultilevel"/>
    <w:tmpl w:val="794A71EE"/>
    <w:lvl w:ilvl="0" w:tplc="FB3CF2F0">
      <w:start w:val="7"/>
      <w:numFmt w:val="bullet"/>
      <w:lvlText w:val="•"/>
      <w:lvlJc w:val="left"/>
      <w:pPr>
        <w:ind w:left="1620" w:hanging="720"/>
      </w:pPr>
      <w:rPr>
        <w:rFonts w:ascii="Times New Roman" w:eastAsia="Calibr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7">
    <w:nsid w:val="44BE79E6"/>
    <w:multiLevelType w:val="hybridMultilevel"/>
    <w:tmpl w:val="D48E0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45977852"/>
    <w:multiLevelType w:val="hybridMultilevel"/>
    <w:tmpl w:val="474C83C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9">
    <w:nsid w:val="48715A11"/>
    <w:multiLevelType w:val="hybridMultilevel"/>
    <w:tmpl w:val="FB267288"/>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4ABE2F70"/>
    <w:multiLevelType w:val="hybridMultilevel"/>
    <w:tmpl w:val="100CF66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nsid w:val="4CB7474D"/>
    <w:multiLevelType w:val="hybridMultilevel"/>
    <w:tmpl w:val="0DD64566"/>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4CCC7A5B"/>
    <w:multiLevelType w:val="hybridMultilevel"/>
    <w:tmpl w:val="FA705DF8"/>
    <w:lvl w:ilvl="0" w:tplc="D55016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CEB0620"/>
    <w:multiLevelType w:val="hybridMultilevel"/>
    <w:tmpl w:val="CD3AB676"/>
    <w:lvl w:ilvl="0" w:tplc="FB3CF2F0">
      <w:start w:val="7"/>
      <w:numFmt w:val="bullet"/>
      <w:lvlText w:val="•"/>
      <w:lvlJc w:val="left"/>
      <w:pPr>
        <w:ind w:left="1530" w:hanging="720"/>
      </w:pPr>
      <w:rPr>
        <w:rFonts w:ascii="Times New Roman" w:eastAsia="Calibr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5">
    <w:nsid w:val="4DA15DCF"/>
    <w:multiLevelType w:val="multilevel"/>
    <w:tmpl w:val="458C8BA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2E74B5"/>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4E9E3649"/>
    <w:multiLevelType w:val="hybridMultilevel"/>
    <w:tmpl w:val="AEBE3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4F5F4433"/>
    <w:multiLevelType w:val="multilevel"/>
    <w:tmpl w:val="C6D0A868"/>
    <w:lvl w:ilvl="0">
      <w:start w:val="1"/>
      <w:numFmt w:val="decimal"/>
      <w:lvlText w:val="%1."/>
      <w:lvlJc w:val="left"/>
      <w:pPr>
        <w:ind w:left="720" w:hanging="360"/>
      </w:pPr>
      <w:rPr>
        <w:rFonts w:eastAsia="Calibri" w:hint="default"/>
        <w:b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8">
    <w:nsid w:val="500A4768"/>
    <w:multiLevelType w:val="hybridMultilevel"/>
    <w:tmpl w:val="47D07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0453F65"/>
    <w:multiLevelType w:val="hybridMultilevel"/>
    <w:tmpl w:val="9B267C80"/>
    <w:lvl w:ilvl="0" w:tplc="D550164E">
      <w:start w:val="1"/>
      <w:numFmt w:val="decimal"/>
      <w:lvlText w:val="%1."/>
      <w:lvlJc w:val="left"/>
      <w:pPr>
        <w:ind w:left="162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50CA1935"/>
    <w:multiLevelType w:val="hybridMultilevel"/>
    <w:tmpl w:val="7812E814"/>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511F5644"/>
    <w:multiLevelType w:val="multilevel"/>
    <w:tmpl w:val="4A4468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5333176C"/>
    <w:multiLevelType w:val="hybridMultilevel"/>
    <w:tmpl w:val="F02C8A34"/>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54CE2492"/>
    <w:multiLevelType w:val="hybridMultilevel"/>
    <w:tmpl w:val="502071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55403948"/>
    <w:multiLevelType w:val="hybridMultilevel"/>
    <w:tmpl w:val="9D1CD37A"/>
    <w:lvl w:ilvl="0" w:tplc="D55016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5D357CA"/>
    <w:multiLevelType w:val="hybridMultilevel"/>
    <w:tmpl w:val="74E617B2"/>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6B070DB"/>
    <w:multiLevelType w:val="hybridMultilevel"/>
    <w:tmpl w:val="98A45A60"/>
    <w:lvl w:ilvl="0" w:tplc="D55016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A250789"/>
    <w:multiLevelType w:val="hybridMultilevel"/>
    <w:tmpl w:val="69E2A320"/>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AA37391"/>
    <w:multiLevelType w:val="hybridMultilevel"/>
    <w:tmpl w:val="84DC71E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9">
    <w:nsid w:val="5D501385"/>
    <w:multiLevelType w:val="hybridMultilevel"/>
    <w:tmpl w:val="F51CD5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nsid w:val="5FB614CB"/>
    <w:multiLevelType w:val="multilevel"/>
    <w:tmpl w:val="C6D0A868"/>
    <w:lvl w:ilvl="0">
      <w:start w:val="1"/>
      <w:numFmt w:val="decimal"/>
      <w:lvlText w:val="%1."/>
      <w:lvlJc w:val="left"/>
      <w:pPr>
        <w:ind w:left="720" w:hanging="360"/>
      </w:pPr>
      <w:rPr>
        <w:rFonts w:eastAsia="Calibri" w:hint="default"/>
        <w:b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1">
    <w:nsid w:val="604620FB"/>
    <w:multiLevelType w:val="hybridMultilevel"/>
    <w:tmpl w:val="8EA00EC4"/>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2">
    <w:nsid w:val="62250042"/>
    <w:multiLevelType w:val="hybridMultilevel"/>
    <w:tmpl w:val="E13E9B06"/>
    <w:lvl w:ilvl="0" w:tplc="4F700B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3087CBA"/>
    <w:multiLevelType w:val="hybridMultilevel"/>
    <w:tmpl w:val="8DA2FE04"/>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3237C52"/>
    <w:multiLevelType w:val="hybridMultilevel"/>
    <w:tmpl w:val="D4AECC0C"/>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5">
    <w:nsid w:val="652A55B4"/>
    <w:multiLevelType w:val="hybridMultilevel"/>
    <w:tmpl w:val="63923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77">
    <w:nsid w:val="67CA74FA"/>
    <w:multiLevelType w:val="hybridMultilevel"/>
    <w:tmpl w:val="FA449E2E"/>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68636A54"/>
    <w:multiLevelType w:val="hybridMultilevel"/>
    <w:tmpl w:val="A70E60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nsid w:val="6B3C1B05"/>
    <w:multiLevelType w:val="multilevel"/>
    <w:tmpl w:val="C6D0A868"/>
    <w:lvl w:ilvl="0">
      <w:start w:val="1"/>
      <w:numFmt w:val="decimal"/>
      <w:lvlText w:val="%1."/>
      <w:lvlJc w:val="left"/>
      <w:pPr>
        <w:ind w:left="720" w:hanging="360"/>
      </w:pPr>
      <w:rPr>
        <w:rFonts w:eastAsia="Calibri" w:hint="default"/>
        <w:b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0">
    <w:nsid w:val="6BD16DB2"/>
    <w:multiLevelType w:val="hybridMultilevel"/>
    <w:tmpl w:val="1A30F27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1">
    <w:nsid w:val="6DC02465"/>
    <w:multiLevelType w:val="multilevel"/>
    <w:tmpl w:val="EAD47A28"/>
    <w:lvl w:ilvl="0">
      <w:start w:val="2"/>
      <w:numFmt w:val="decimal"/>
      <w:lvlText w:val="%1."/>
      <w:lvlJc w:val="left"/>
      <w:pPr>
        <w:ind w:left="360" w:hanging="360"/>
      </w:pPr>
      <w:rPr>
        <w:rFonts w:eastAsia="Calibri" w:hint="default"/>
      </w:rPr>
    </w:lvl>
    <w:lvl w:ilvl="1">
      <w:start w:val="3"/>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2">
    <w:nsid w:val="6E063135"/>
    <w:multiLevelType w:val="hybridMultilevel"/>
    <w:tmpl w:val="D67E3C2A"/>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nsid w:val="6EE06696"/>
    <w:multiLevelType w:val="hybridMultilevel"/>
    <w:tmpl w:val="9986223E"/>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F0E3E9C"/>
    <w:multiLevelType w:val="hybridMultilevel"/>
    <w:tmpl w:val="F154C91C"/>
    <w:lvl w:ilvl="0" w:tplc="E81AED5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6">
    <w:nsid w:val="71E93913"/>
    <w:multiLevelType w:val="hybridMultilevel"/>
    <w:tmpl w:val="CB921E00"/>
    <w:lvl w:ilvl="0" w:tplc="D550164E">
      <w:start w:val="1"/>
      <w:numFmt w:val="decimal"/>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7">
    <w:nsid w:val="731F3A89"/>
    <w:multiLevelType w:val="hybridMultilevel"/>
    <w:tmpl w:val="A01864B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8">
    <w:nsid w:val="73926E0B"/>
    <w:multiLevelType w:val="hybridMultilevel"/>
    <w:tmpl w:val="FBB4BE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nsid w:val="752D2041"/>
    <w:multiLevelType w:val="multilevel"/>
    <w:tmpl w:val="C6D0A868"/>
    <w:lvl w:ilvl="0">
      <w:start w:val="1"/>
      <w:numFmt w:val="decimal"/>
      <w:lvlText w:val="%1."/>
      <w:lvlJc w:val="left"/>
      <w:pPr>
        <w:ind w:left="720" w:hanging="360"/>
      </w:pPr>
      <w:rPr>
        <w:rFonts w:eastAsia="Calibri" w:hint="default"/>
        <w:b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0">
    <w:nsid w:val="755F0E79"/>
    <w:multiLevelType w:val="hybridMultilevel"/>
    <w:tmpl w:val="AF4A2856"/>
    <w:lvl w:ilvl="0" w:tplc="D55016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7555152"/>
    <w:multiLevelType w:val="hybridMultilevel"/>
    <w:tmpl w:val="EF425204"/>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78762AF3"/>
    <w:multiLevelType w:val="hybridMultilevel"/>
    <w:tmpl w:val="B086A5A0"/>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8C74264"/>
    <w:multiLevelType w:val="hybridMultilevel"/>
    <w:tmpl w:val="8AAC4878"/>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7A810CA9"/>
    <w:multiLevelType w:val="hybridMultilevel"/>
    <w:tmpl w:val="BE009D5E"/>
    <w:lvl w:ilvl="0" w:tplc="FB3CF2F0">
      <w:start w:val="7"/>
      <w:numFmt w:val="bullet"/>
      <w:lvlText w:val="•"/>
      <w:lvlJc w:val="left"/>
      <w:pPr>
        <w:ind w:left="1260" w:hanging="72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6">
    <w:nsid w:val="7C1D2DAF"/>
    <w:multiLevelType w:val="hybridMultilevel"/>
    <w:tmpl w:val="85767E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6"/>
  </w:num>
  <w:num w:numId="2">
    <w:abstractNumId w:val="5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95"/>
  </w:num>
  <w:num w:numId="16">
    <w:abstractNumId w:val="85"/>
  </w:num>
  <w:num w:numId="17">
    <w:abstractNumId w:val="31"/>
  </w:num>
  <w:num w:numId="18">
    <w:abstractNumId w:val="30"/>
  </w:num>
  <w:num w:numId="19">
    <w:abstractNumId w:val="93"/>
  </w:num>
  <w:num w:numId="20">
    <w:abstractNumId w:val="62"/>
  </w:num>
  <w:num w:numId="21">
    <w:abstractNumId w:val="60"/>
  </w:num>
  <w:num w:numId="22">
    <w:abstractNumId w:val="49"/>
  </w:num>
  <w:num w:numId="23">
    <w:abstractNumId w:val="71"/>
  </w:num>
  <w:num w:numId="24">
    <w:abstractNumId w:val="35"/>
  </w:num>
  <w:num w:numId="25">
    <w:abstractNumId w:val="64"/>
  </w:num>
  <w:num w:numId="26">
    <w:abstractNumId w:val="74"/>
  </w:num>
  <w:num w:numId="27">
    <w:abstractNumId w:val="86"/>
  </w:num>
  <w:num w:numId="28">
    <w:abstractNumId w:val="96"/>
  </w:num>
  <w:num w:numId="29">
    <w:abstractNumId w:val="23"/>
  </w:num>
  <w:num w:numId="30">
    <w:abstractNumId w:val="41"/>
  </w:num>
  <w:num w:numId="31">
    <w:abstractNumId w:val="47"/>
  </w:num>
  <w:num w:numId="32">
    <w:abstractNumId w:val="12"/>
  </w:num>
  <w:num w:numId="33">
    <w:abstractNumId w:val="19"/>
  </w:num>
  <w:num w:numId="34">
    <w:abstractNumId w:val="66"/>
  </w:num>
  <w:num w:numId="35">
    <w:abstractNumId w:val="11"/>
  </w:num>
  <w:num w:numId="36">
    <w:abstractNumId w:val="39"/>
  </w:num>
  <w:num w:numId="37">
    <w:abstractNumId w:val="43"/>
  </w:num>
  <w:num w:numId="38">
    <w:abstractNumId w:val="53"/>
  </w:num>
  <w:num w:numId="39">
    <w:abstractNumId w:val="25"/>
  </w:num>
  <w:num w:numId="40">
    <w:abstractNumId w:val="90"/>
  </w:num>
  <w:num w:numId="41">
    <w:abstractNumId w:val="91"/>
  </w:num>
  <w:num w:numId="42">
    <w:abstractNumId w:val="77"/>
  </w:num>
  <w:num w:numId="43">
    <w:abstractNumId w:val="22"/>
  </w:num>
  <w:num w:numId="44">
    <w:abstractNumId w:val="55"/>
  </w:num>
  <w:num w:numId="45">
    <w:abstractNumId w:val="61"/>
  </w:num>
  <w:num w:numId="46">
    <w:abstractNumId w:val="45"/>
  </w:num>
  <w:num w:numId="47">
    <w:abstractNumId w:val="81"/>
  </w:num>
  <w:num w:numId="48">
    <w:abstractNumId w:val="17"/>
  </w:num>
  <w:num w:numId="49">
    <w:abstractNumId w:val="52"/>
  </w:num>
  <w:num w:numId="50">
    <w:abstractNumId w:val="44"/>
  </w:num>
  <w:num w:numId="51">
    <w:abstractNumId w:val="82"/>
  </w:num>
  <w:num w:numId="52">
    <w:abstractNumId w:val="10"/>
  </w:num>
  <w:num w:numId="53">
    <w:abstractNumId w:val="46"/>
  </w:num>
  <w:num w:numId="54">
    <w:abstractNumId w:val="20"/>
  </w:num>
  <w:num w:numId="55">
    <w:abstractNumId w:val="33"/>
  </w:num>
  <w:num w:numId="56">
    <w:abstractNumId w:val="79"/>
  </w:num>
  <w:num w:numId="57">
    <w:abstractNumId w:val="89"/>
  </w:num>
  <w:num w:numId="58">
    <w:abstractNumId w:val="57"/>
  </w:num>
  <w:num w:numId="59">
    <w:abstractNumId w:val="70"/>
  </w:num>
  <w:num w:numId="60">
    <w:abstractNumId w:val="78"/>
  </w:num>
  <w:num w:numId="61">
    <w:abstractNumId w:val="87"/>
  </w:num>
  <w:num w:numId="62">
    <w:abstractNumId w:val="73"/>
  </w:num>
  <w:num w:numId="63">
    <w:abstractNumId w:val="80"/>
  </w:num>
  <w:num w:numId="64">
    <w:abstractNumId w:val="36"/>
  </w:num>
  <w:num w:numId="65">
    <w:abstractNumId w:val="27"/>
  </w:num>
  <w:num w:numId="66">
    <w:abstractNumId w:val="59"/>
  </w:num>
  <w:num w:numId="67">
    <w:abstractNumId w:val="21"/>
  </w:num>
  <w:num w:numId="68">
    <w:abstractNumId w:val="40"/>
  </w:num>
  <w:num w:numId="69">
    <w:abstractNumId w:val="15"/>
  </w:num>
  <w:num w:numId="70">
    <w:abstractNumId w:val="50"/>
  </w:num>
  <w:num w:numId="71">
    <w:abstractNumId w:val="29"/>
  </w:num>
  <w:num w:numId="72">
    <w:abstractNumId w:val="32"/>
  </w:num>
  <w:num w:numId="73">
    <w:abstractNumId w:val="67"/>
  </w:num>
  <w:num w:numId="74">
    <w:abstractNumId w:val="26"/>
  </w:num>
  <w:num w:numId="75">
    <w:abstractNumId w:val="88"/>
  </w:num>
  <w:num w:numId="76">
    <w:abstractNumId w:val="38"/>
  </w:num>
  <w:num w:numId="77">
    <w:abstractNumId w:val="75"/>
  </w:num>
  <w:num w:numId="78">
    <w:abstractNumId w:val="63"/>
  </w:num>
  <w:num w:numId="79">
    <w:abstractNumId w:val="65"/>
  </w:num>
  <w:num w:numId="80">
    <w:abstractNumId w:val="83"/>
  </w:num>
  <w:num w:numId="81">
    <w:abstractNumId w:val="42"/>
  </w:num>
  <w:num w:numId="82">
    <w:abstractNumId w:val="94"/>
  </w:num>
  <w:num w:numId="83">
    <w:abstractNumId w:val="92"/>
  </w:num>
  <w:num w:numId="84">
    <w:abstractNumId w:val="54"/>
  </w:num>
  <w:num w:numId="85">
    <w:abstractNumId w:val="34"/>
  </w:num>
  <w:num w:numId="86">
    <w:abstractNumId w:val="84"/>
  </w:num>
  <w:num w:numId="87">
    <w:abstractNumId w:val="28"/>
  </w:num>
  <w:num w:numId="88">
    <w:abstractNumId w:val="56"/>
  </w:num>
  <w:num w:numId="89">
    <w:abstractNumId w:val="69"/>
  </w:num>
  <w:num w:numId="90">
    <w:abstractNumId w:val="14"/>
  </w:num>
  <w:num w:numId="91">
    <w:abstractNumId w:val="48"/>
  </w:num>
  <w:num w:numId="92">
    <w:abstractNumId w:val="37"/>
  </w:num>
  <w:num w:numId="93">
    <w:abstractNumId w:val="16"/>
  </w:num>
  <w:num w:numId="94">
    <w:abstractNumId w:val="72"/>
  </w:num>
  <w:num w:numId="95">
    <w:abstractNumId w:val="58"/>
  </w:num>
  <w:num w:numId="96">
    <w:abstractNumId w:val="13"/>
  </w:num>
  <w:num w:numId="97">
    <w:abstractNumId w:val="6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D4A"/>
    <w:rsid w:val="004F59B3"/>
    <w:rsid w:val="007F6D4A"/>
    <w:rsid w:val="00915BFB"/>
    <w:rsid w:val="00B57FC4"/>
    <w:rsid w:val="00B91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B91A90"/>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91A90"/>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91A90"/>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B91A90"/>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91A90"/>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B91A90"/>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B91A90"/>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B91A90"/>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B91A90"/>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B91A90"/>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B91A90"/>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B91A90"/>
    <w:rPr>
      <w:rFonts w:ascii="Cambria" w:eastAsia="MS Mincho" w:hAnsi="Cambria" w:cs="Cambria"/>
      <w:b/>
      <w:bCs/>
      <w:sz w:val="24"/>
      <w:szCs w:val="24"/>
    </w:rPr>
  </w:style>
  <w:style w:type="character" w:customStyle="1" w:styleId="Heading4Char">
    <w:name w:val="Heading 4 Char"/>
    <w:basedOn w:val="DefaultParagraphFont"/>
    <w:link w:val="Heading4"/>
    <w:rsid w:val="00B91A90"/>
    <w:rPr>
      <w:rFonts w:ascii="Cambria" w:eastAsia="MS Mincho" w:hAnsi="Cambria" w:cs="Cambria"/>
      <w:b/>
      <w:bCs/>
      <w:i/>
      <w:iCs/>
      <w:sz w:val="24"/>
      <w:szCs w:val="24"/>
    </w:rPr>
  </w:style>
  <w:style w:type="character" w:customStyle="1" w:styleId="Heading5Char">
    <w:name w:val="Heading 5 Char"/>
    <w:basedOn w:val="DefaultParagraphFont"/>
    <w:link w:val="Heading5"/>
    <w:rsid w:val="00B91A90"/>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B91A90"/>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B91A90"/>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B91A90"/>
    <w:rPr>
      <w:rFonts w:ascii="Cambria" w:eastAsia="MS Mincho" w:hAnsi="Cambria" w:cs="Cambria"/>
      <w:sz w:val="20"/>
      <w:szCs w:val="20"/>
    </w:rPr>
  </w:style>
  <w:style w:type="character" w:customStyle="1" w:styleId="Heading9Char">
    <w:name w:val="Heading 9 Char"/>
    <w:basedOn w:val="DefaultParagraphFont"/>
    <w:link w:val="Heading9"/>
    <w:rsid w:val="00B91A90"/>
    <w:rPr>
      <w:rFonts w:ascii="Cambria" w:eastAsia="MS Mincho" w:hAnsi="Cambria" w:cs="Cambria"/>
      <w:i/>
      <w:iCs/>
      <w:spacing w:val="5"/>
      <w:sz w:val="20"/>
      <w:szCs w:val="20"/>
    </w:rPr>
  </w:style>
  <w:style w:type="paragraph" w:styleId="NoSpacing">
    <w:name w:val="No Spacing"/>
    <w:link w:val="NoSpacingChar"/>
    <w:uiPriority w:val="1"/>
    <w:qFormat/>
    <w:rsid w:val="00B91A90"/>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B91A90"/>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B91A90"/>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B91A90"/>
    <w:rPr>
      <w:rFonts w:ascii="Tahoma" w:eastAsia="Calibri" w:hAnsi="Tahoma" w:cs="Tahoma"/>
      <w:sz w:val="16"/>
      <w:szCs w:val="16"/>
    </w:rPr>
  </w:style>
  <w:style w:type="paragraph" w:styleId="Header">
    <w:name w:val="header"/>
    <w:basedOn w:val="Normal"/>
    <w:link w:val="HeaderChar"/>
    <w:uiPriority w:val="99"/>
    <w:unhideWhenUsed/>
    <w:rsid w:val="00B91A90"/>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B91A90"/>
    <w:rPr>
      <w:rFonts w:ascii="Calibri" w:eastAsia="Calibri" w:hAnsi="Calibri" w:cs="Times New Roman"/>
    </w:rPr>
  </w:style>
  <w:style w:type="paragraph" w:styleId="Footer">
    <w:name w:val="footer"/>
    <w:basedOn w:val="Normal"/>
    <w:link w:val="FooterChar"/>
    <w:uiPriority w:val="99"/>
    <w:unhideWhenUsed/>
    <w:rsid w:val="00B91A90"/>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B91A90"/>
    <w:rPr>
      <w:rFonts w:ascii="Calibri" w:eastAsia="Calibri" w:hAnsi="Calibri" w:cs="Times New Roman"/>
    </w:rPr>
  </w:style>
  <w:style w:type="paragraph" w:customStyle="1" w:styleId="Akti">
    <w:name w:val="Akti"/>
    <w:link w:val="AktiChar"/>
    <w:rsid w:val="00B91A9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91A90"/>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91A90"/>
    <w:rPr>
      <w:rFonts w:ascii="Garamond" w:eastAsia="MS Mincho" w:hAnsi="Garamond" w:cs="CG Times"/>
      <w:b/>
      <w:bCs/>
      <w:sz w:val="24"/>
      <w:lang w:val="en-GB"/>
    </w:rPr>
  </w:style>
  <w:style w:type="paragraph" w:customStyle="1" w:styleId="Paragrafi">
    <w:name w:val="Paragrafi"/>
    <w:link w:val="ParagrafiChar"/>
    <w:rsid w:val="00B91A9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91A90"/>
    <w:rPr>
      <w:rFonts w:ascii="Garamond" w:eastAsia="MS Mincho" w:hAnsi="Garamond" w:cs="CG Times"/>
      <w:sz w:val="24"/>
    </w:rPr>
  </w:style>
  <w:style w:type="paragraph" w:customStyle="1" w:styleId="Titulli">
    <w:name w:val="Titulli"/>
    <w:next w:val="Normal"/>
    <w:link w:val="TitulliChar"/>
    <w:rsid w:val="00B91A9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B91A90"/>
    <w:rPr>
      <w:rFonts w:ascii="Garamond" w:eastAsia="MS Mincho" w:hAnsi="Garamond" w:cs="CG Times"/>
      <w:b/>
      <w:bCs/>
      <w:caps/>
      <w:sz w:val="24"/>
      <w:lang w:val="en-GB"/>
    </w:rPr>
  </w:style>
  <w:style w:type="character" w:customStyle="1" w:styleId="AktiChar">
    <w:name w:val="Akti Char"/>
    <w:basedOn w:val="DefaultParagraphFont"/>
    <w:link w:val="Akti"/>
    <w:rsid w:val="00B91A90"/>
    <w:rPr>
      <w:rFonts w:ascii="Garamond" w:eastAsia="MS Mincho" w:hAnsi="Garamond" w:cs="CG Times"/>
      <w:b/>
      <w:bCs/>
      <w:caps/>
      <w:color w:val="000000"/>
      <w:sz w:val="24"/>
      <w:lang w:val="en-GB"/>
    </w:rPr>
  </w:style>
  <w:style w:type="paragraph" w:customStyle="1" w:styleId="NeniNr">
    <w:name w:val="Neni_Nr"/>
    <w:next w:val="Normal"/>
    <w:link w:val="NeniNrChar"/>
    <w:rsid w:val="00B91A9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91A9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91A90"/>
    <w:rPr>
      <w:rFonts w:ascii="Garamond" w:eastAsia="MS Mincho" w:hAnsi="Garamond" w:cs="CG Times"/>
      <w:sz w:val="24"/>
      <w:lang w:val="en-GB"/>
    </w:rPr>
  </w:style>
  <w:style w:type="paragraph" w:customStyle="1" w:styleId="Autoriteti">
    <w:name w:val="Autoriteti"/>
    <w:next w:val="Normal"/>
    <w:link w:val="AutoritetiChar"/>
    <w:rsid w:val="00B91A9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B91A9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B91A90"/>
    <w:rPr>
      <w:rFonts w:ascii="Garamond" w:eastAsia="MS Mincho" w:hAnsi="Garamond" w:cs="CG Times"/>
      <w:caps/>
      <w:sz w:val="24"/>
      <w:lang w:val="en-GB"/>
    </w:rPr>
  </w:style>
  <w:style w:type="character" w:customStyle="1" w:styleId="AutoritetiEmerChar">
    <w:name w:val="Autoriteti_Emer Char"/>
    <w:link w:val="AutoritetiEmer"/>
    <w:locked/>
    <w:rsid w:val="00B91A90"/>
    <w:rPr>
      <w:rFonts w:ascii="Garamond" w:eastAsia="MS Mincho" w:hAnsi="Garamond" w:cs="Times New Roman"/>
      <w:b/>
      <w:bCs/>
      <w:sz w:val="24"/>
      <w:lang w:val="en-GB"/>
    </w:rPr>
  </w:style>
  <w:style w:type="paragraph" w:customStyle="1" w:styleId="Titull-Titull">
    <w:name w:val="Titull-Titull"/>
    <w:basedOn w:val="Paragrafi"/>
    <w:qFormat/>
    <w:rsid w:val="00B91A90"/>
    <w:pPr>
      <w:ind w:firstLine="0"/>
      <w:jc w:val="center"/>
    </w:pPr>
    <w:rPr>
      <w:caps/>
      <w:szCs w:val="24"/>
    </w:rPr>
  </w:style>
  <w:style w:type="paragraph" w:customStyle="1" w:styleId="Vendosi">
    <w:name w:val="Vendosi"/>
    <w:basedOn w:val="Titull-Titull"/>
    <w:qFormat/>
    <w:rsid w:val="00B91A90"/>
  </w:style>
  <w:style w:type="paragraph" w:customStyle="1" w:styleId="Hapesira7">
    <w:name w:val="Hapesira 7"/>
    <w:basedOn w:val="Paragrafi"/>
    <w:qFormat/>
    <w:rsid w:val="00B91A90"/>
    <w:rPr>
      <w:sz w:val="14"/>
      <w:szCs w:val="24"/>
    </w:rPr>
  </w:style>
  <w:style w:type="paragraph" w:styleId="ListParagraph">
    <w:name w:val="List Paragraph"/>
    <w:aliases w:val="List Paragraph2,Normal 1,List Paragraph1,Dot pt,F5 List Paragraph,List Paragraph Char Char Char,Indicator Text,Colorful List - Accent 11,Numbered Para 1,Bullet 1,Bullet Points,MAIN CONTENT,Párrafo de lista,Recommendation,No Spacing1"/>
    <w:basedOn w:val="Normal"/>
    <w:link w:val="ListParagraphChar"/>
    <w:uiPriority w:val="34"/>
    <w:qFormat/>
    <w:rsid w:val="00B91A90"/>
    <w:pPr>
      <w:spacing w:after="200" w:line="276" w:lineRule="auto"/>
      <w:ind w:left="720"/>
      <w:contextualSpacing/>
    </w:pPr>
    <w:rPr>
      <w:rFonts w:ascii="Calibri" w:eastAsia="Times New Roman" w:hAnsi="Calibri" w:cs="Times New Roman"/>
      <w:lang/>
    </w:rPr>
  </w:style>
  <w:style w:type="character" w:customStyle="1" w:styleId="ListParagraphChar">
    <w:name w:val="List Paragraph Char"/>
    <w:aliases w:val="List Paragraph2 Char,Normal 1 Char,List Paragraph1 Char,Dot pt Char,F5 List Paragraph Char,List Paragraph Char Char Char Char,Indicator Text Char,Colorful List - Accent 11 Char,Numbered Para 1 Char,Bullet 1 Char,Bullet Points Char"/>
    <w:link w:val="ListParagraph"/>
    <w:uiPriority w:val="34"/>
    <w:qFormat/>
    <w:locked/>
    <w:rsid w:val="00B91A90"/>
    <w:rPr>
      <w:rFonts w:ascii="Calibri" w:eastAsia="Times New Roman" w:hAnsi="Calibri" w:cs="Times New Roman"/>
      <w:lang/>
    </w:rPr>
  </w:style>
  <w:style w:type="paragraph" w:customStyle="1" w:styleId="Style1">
    <w:name w:val="Style1"/>
    <w:basedOn w:val="Akti"/>
    <w:qFormat/>
    <w:rsid w:val="00B91A90"/>
  </w:style>
  <w:style w:type="character" w:customStyle="1" w:styleId="Heading2Char1">
    <w:name w:val="Heading 2 Char1"/>
    <w:link w:val="Heading2"/>
    <w:uiPriority w:val="9"/>
    <w:locked/>
    <w:rsid w:val="00B91A90"/>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B91A90"/>
    <w:rPr>
      <w:rFonts w:ascii="Cambria" w:eastAsia="MS Mincho" w:hAnsi="Cambria" w:cs="Cambria"/>
      <w:b/>
      <w:bCs/>
      <w:sz w:val="24"/>
      <w:szCs w:val="24"/>
    </w:rPr>
  </w:style>
  <w:style w:type="paragraph" w:customStyle="1" w:styleId="ADDRESS">
    <w:name w:val="ADDRESS"/>
    <w:basedOn w:val="Normal"/>
    <w:rsid w:val="00B91A90"/>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B91A90"/>
    <w:pPr>
      <w:spacing w:after="0" w:line="240" w:lineRule="auto"/>
      <w:jc w:val="both"/>
    </w:pPr>
    <w:rPr>
      <w:rFonts w:ascii="CG Times" w:eastAsia="MS Mincho" w:hAnsi="CG Times" w:cs="CG Times"/>
      <w:sz w:val="21"/>
      <w:lang w:val="en-GB"/>
    </w:rPr>
  </w:style>
  <w:style w:type="paragraph" w:customStyle="1" w:styleId="AneksiNr">
    <w:name w:val="Aneksi_Nr"/>
    <w:next w:val="Normal"/>
    <w:rsid w:val="00B91A9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B91A90"/>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B91A90"/>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B91A90"/>
    <w:rPr>
      <w:rFonts w:ascii="Arial" w:eastAsia="Times New Roman" w:hAnsi="Arial" w:cs="Arial"/>
      <w:color w:val="000000"/>
      <w:sz w:val="24"/>
      <w:szCs w:val="24"/>
    </w:rPr>
  </w:style>
  <w:style w:type="paragraph" w:customStyle="1" w:styleId="BazLigjPropozues">
    <w:name w:val="Baz_Ligj_Propozues"/>
    <w:rsid w:val="00B91A90"/>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B91A90"/>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B91A90"/>
    <w:rPr>
      <w:rFonts w:ascii="Times New Roman" w:eastAsia="Times New Roman" w:hAnsi="Times New Roman" w:cs="Times New Roman"/>
      <w:caps/>
      <w:sz w:val="26"/>
      <w:szCs w:val="26"/>
      <w:lang w:val="en-GB"/>
    </w:rPr>
  </w:style>
  <w:style w:type="character" w:customStyle="1" w:styleId="apple-converted-space">
    <w:name w:val="apple-converted-space"/>
    <w:rsid w:val="00B91A90"/>
  </w:style>
  <w:style w:type="character" w:styleId="Hyperlink">
    <w:name w:val="Hyperlink"/>
    <w:uiPriority w:val="99"/>
    <w:unhideWhenUsed/>
    <w:rsid w:val="00B91A90"/>
    <w:rPr>
      <w:color w:val="0000FF"/>
      <w:u w:val="single"/>
    </w:rPr>
  </w:style>
  <w:style w:type="character" w:styleId="FollowedHyperlink">
    <w:name w:val="FollowedHyperlink"/>
    <w:uiPriority w:val="99"/>
    <w:unhideWhenUsed/>
    <w:rsid w:val="00B91A90"/>
    <w:rPr>
      <w:color w:val="800080"/>
      <w:u w:val="single"/>
    </w:rPr>
  </w:style>
  <w:style w:type="paragraph" w:customStyle="1" w:styleId="font5">
    <w:name w:val="font5"/>
    <w:basedOn w:val="Normal"/>
    <w:rsid w:val="00B91A90"/>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B91A90"/>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B91A90"/>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B91A90"/>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B91A90"/>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B91A90"/>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B91A90"/>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B91A9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B91A90"/>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B91A9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B91A90"/>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B91A9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B91A90"/>
    <w:pPr>
      <w:pageBreakBefore/>
      <w:spacing w:after="0" w:line="240" w:lineRule="auto"/>
      <w:jc w:val="both"/>
    </w:pPr>
    <w:rPr>
      <w:rFonts w:ascii="CG Times" w:eastAsia="MS Mincho" w:hAnsi="CG Times" w:cs="CG Times"/>
      <w:b/>
      <w:bCs/>
      <w:sz w:val="21"/>
    </w:rPr>
  </w:style>
  <w:style w:type="paragraph" w:customStyle="1" w:styleId="KapitulliNr">
    <w:name w:val="Kapitulli_Nr"/>
    <w:rsid w:val="00B91A9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B91A9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B91A9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B91A90"/>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B91A9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B91A90"/>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B91A9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B91A90"/>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B91A90"/>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B91A90"/>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B91A90"/>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B91A90"/>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B91A90"/>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B91A9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B91A9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B91A90"/>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B91A90"/>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B91A90"/>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B91A90"/>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B91A90"/>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B91A90"/>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B91A90"/>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B91A90"/>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B91A90"/>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B91A90"/>
  </w:style>
  <w:style w:type="paragraph" w:customStyle="1" w:styleId="PjesaNr">
    <w:name w:val="Pjesa_Nr"/>
    <w:next w:val="Normal"/>
    <w:rsid w:val="00B91A9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B91A9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B91A90"/>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B91A90"/>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B91A90"/>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B91A90"/>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B91A9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B91A90"/>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B91A90"/>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B91A90"/>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B91A9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B91A9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B91A90"/>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B91A90"/>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B91A90"/>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B91A90"/>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B91A90"/>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B91A90"/>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B91A9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B91A90"/>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B91A90"/>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B91A9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B91A9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B91A9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B91A9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B91A9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B91A9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B91A9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B91A90"/>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B91A9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B91A90"/>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B91A9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B91A9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B91A9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B91A9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B91A90"/>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39"/>
    <w:rsid w:val="00B91A9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B91A9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B91A9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B91A90"/>
    <w:rPr>
      <w:b/>
      <w:bCs/>
    </w:rPr>
  </w:style>
  <w:style w:type="paragraph" w:customStyle="1" w:styleId="xl136">
    <w:name w:val="xl136"/>
    <w:basedOn w:val="Normal"/>
    <w:rsid w:val="00B91A9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B91A9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B91A90"/>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B91A90"/>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B91A9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B91A90"/>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B91A9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B91A9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B91A9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B91A9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B91A9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B91A9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B91A90"/>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B91A9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B91A90"/>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B91A9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B91A9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B91A90"/>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91A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91A90"/>
  </w:style>
  <w:style w:type="paragraph" w:styleId="Title">
    <w:name w:val="Title"/>
    <w:basedOn w:val="Heading1"/>
    <w:next w:val="Normal"/>
    <w:link w:val="TitleChar"/>
    <w:qFormat/>
    <w:rsid w:val="00B91A90"/>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B91A90"/>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B91A90"/>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autoRedefine/>
    <w:uiPriority w:val="39"/>
    <w:unhideWhenUsed/>
    <w:qFormat/>
    <w:rsid w:val="00B91A90"/>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B91A90"/>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iPriority w:val="39"/>
    <w:unhideWhenUsed/>
    <w:qFormat/>
    <w:rsid w:val="00B91A90"/>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B91A90"/>
    <w:pPr>
      <w:spacing w:after="100" w:line="276" w:lineRule="auto"/>
      <w:ind w:left="660"/>
    </w:pPr>
    <w:rPr>
      <w:rFonts w:ascii="Calibri" w:eastAsia="Times New Roman" w:hAnsi="Calibri" w:cs="Times New Roman"/>
    </w:rPr>
  </w:style>
  <w:style w:type="paragraph" w:styleId="TOC5">
    <w:name w:val="toc 5"/>
    <w:basedOn w:val="Normal"/>
    <w:next w:val="Normal"/>
    <w:autoRedefine/>
    <w:unhideWhenUsed/>
    <w:rsid w:val="00B91A90"/>
    <w:pPr>
      <w:spacing w:after="100" w:line="276" w:lineRule="auto"/>
      <w:ind w:left="880"/>
    </w:pPr>
    <w:rPr>
      <w:rFonts w:ascii="Calibri" w:eastAsia="Times New Roman" w:hAnsi="Calibri" w:cs="Times New Roman"/>
    </w:rPr>
  </w:style>
  <w:style w:type="paragraph" w:styleId="TOC6">
    <w:name w:val="toc 6"/>
    <w:basedOn w:val="Normal"/>
    <w:next w:val="Normal"/>
    <w:autoRedefine/>
    <w:unhideWhenUsed/>
    <w:rsid w:val="00B91A90"/>
    <w:pPr>
      <w:spacing w:after="100" w:line="276" w:lineRule="auto"/>
      <w:ind w:left="1100"/>
    </w:pPr>
    <w:rPr>
      <w:rFonts w:ascii="Calibri" w:eastAsia="Times New Roman" w:hAnsi="Calibri" w:cs="Times New Roman"/>
    </w:rPr>
  </w:style>
  <w:style w:type="paragraph" w:styleId="TOC7">
    <w:name w:val="toc 7"/>
    <w:basedOn w:val="Normal"/>
    <w:next w:val="Normal"/>
    <w:autoRedefine/>
    <w:unhideWhenUsed/>
    <w:rsid w:val="00B91A90"/>
    <w:pPr>
      <w:spacing w:after="100" w:line="276" w:lineRule="auto"/>
      <w:ind w:left="1320"/>
    </w:pPr>
    <w:rPr>
      <w:rFonts w:ascii="Calibri" w:eastAsia="Times New Roman" w:hAnsi="Calibri" w:cs="Times New Roman"/>
    </w:rPr>
  </w:style>
  <w:style w:type="paragraph" w:styleId="TOC8">
    <w:name w:val="toc 8"/>
    <w:basedOn w:val="Normal"/>
    <w:next w:val="Normal"/>
    <w:autoRedefine/>
    <w:unhideWhenUsed/>
    <w:rsid w:val="00B91A90"/>
    <w:pPr>
      <w:spacing w:after="100" w:line="276" w:lineRule="auto"/>
      <w:ind w:left="1540"/>
    </w:pPr>
    <w:rPr>
      <w:rFonts w:ascii="Calibri" w:eastAsia="Times New Roman" w:hAnsi="Calibri" w:cs="Times New Roman"/>
    </w:rPr>
  </w:style>
  <w:style w:type="paragraph" w:styleId="TOC9">
    <w:name w:val="toc 9"/>
    <w:basedOn w:val="Normal"/>
    <w:next w:val="Normal"/>
    <w:autoRedefine/>
    <w:unhideWhenUsed/>
    <w:rsid w:val="00B91A90"/>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nhideWhenUsed/>
    <w:rsid w:val="00B91A90"/>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B91A90"/>
    <w:rPr>
      <w:rFonts w:ascii="Calibri" w:eastAsia="Calibri" w:hAnsi="Calibri" w:cs="Times New Roman"/>
    </w:rPr>
  </w:style>
  <w:style w:type="paragraph" w:customStyle="1" w:styleId="numridata0">
    <w:name w:val="numridata"/>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B91A90"/>
    <w:pPr>
      <w:spacing w:line="240" w:lineRule="exact"/>
    </w:pPr>
    <w:rPr>
      <w:rFonts w:ascii="Tahoma" w:eastAsia="MS Mincho" w:hAnsi="Tahoma" w:cs="Times New Roman"/>
      <w:sz w:val="20"/>
      <w:szCs w:val="20"/>
      <w:lang w:val="sq-AL"/>
    </w:rPr>
  </w:style>
  <w:style w:type="paragraph" w:styleId="BodyText3">
    <w:name w:val="Body Text 3"/>
    <w:basedOn w:val="Normal"/>
    <w:link w:val="BodyText3Char"/>
    <w:rsid w:val="00B91A90"/>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91A90"/>
    <w:rPr>
      <w:rFonts w:ascii="Times New Roman" w:eastAsia="Times New Roman" w:hAnsi="Times New Roman" w:cs="Times New Roman"/>
      <w:sz w:val="16"/>
      <w:szCs w:val="16"/>
    </w:rPr>
  </w:style>
  <w:style w:type="paragraph" w:customStyle="1" w:styleId="s32b251d">
    <w:name w:val="s32b251d"/>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B91A90"/>
  </w:style>
  <w:style w:type="paragraph" w:customStyle="1" w:styleId="s30eec3f8">
    <w:name w:val="s30eec3f8"/>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B91A90"/>
    <w:rPr>
      <w:sz w:val="24"/>
      <w:lang w:val="en-GB" w:eastAsia="fr-FR"/>
    </w:rPr>
  </w:style>
  <w:style w:type="paragraph" w:customStyle="1" w:styleId="JuPara">
    <w:name w:val="Ju_Para"/>
    <w:basedOn w:val="Normal"/>
    <w:link w:val="JuParaCar"/>
    <w:rsid w:val="00B91A90"/>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B91A90"/>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B91A90"/>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91A90"/>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B91A9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B91A90"/>
    <w:rPr>
      <w:vertAlign w:val="superscript"/>
    </w:rPr>
  </w:style>
  <w:style w:type="paragraph" w:customStyle="1" w:styleId="ju-005fpara">
    <w:name w:val="ju-005fpara"/>
    <w:basedOn w:val="Normal"/>
    <w:rsid w:val="00B91A90"/>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B91A90"/>
  </w:style>
  <w:style w:type="character" w:customStyle="1" w:styleId="s7d2086b4">
    <w:name w:val="s7d2086b4"/>
    <w:basedOn w:val="DefaultParagraphFont"/>
    <w:uiPriority w:val="99"/>
    <w:rsid w:val="00B91A90"/>
  </w:style>
  <w:style w:type="character" w:customStyle="1" w:styleId="hps">
    <w:name w:val="hps"/>
    <w:basedOn w:val="DefaultParagraphFont"/>
    <w:rsid w:val="00B91A90"/>
  </w:style>
  <w:style w:type="paragraph" w:customStyle="1" w:styleId="paragrafi0">
    <w:name w:val="paragrafi"/>
    <w:basedOn w:val="Normal"/>
    <w:rsid w:val="00B91A90"/>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B91A90"/>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B91A90"/>
    <w:rPr>
      <w:rFonts w:cs="Times New Roman"/>
    </w:rPr>
  </w:style>
  <w:style w:type="paragraph" w:customStyle="1" w:styleId="titulli0">
    <w:name w:val="titulli"/>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B91A90"/>
  </w:style>
  <w:style w:type="paragraph" w:customStyle="1" w:styleId="akti0">
    <w:name w:val="akti"/>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B91A90"/>
  </w:style>
  <w:style w:type="paragraph" w:customStyle="1" w:styleId="CM49">
    <w:name w:val="CM49"/>
    <w:basedOn w:val="Normal"/>
    <w:next w:val="Normal"/>
    <w:rsid w:val="00B91A90"/>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B91A90"/>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B91A90"/>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B91A90"/>
    <w:pPr>
      <w:widowControl w:val="0"/>
    </w:pPr>
    <w:rPr>
      <w:rFonts w:ascii="Helvetica" w:eastAsia="Times New Roman" w:hAnsi="Helvetica" w:cs="Helvetica"/>
      <w:lang w:val="sq-AL"/>
    </w:rPr>
  </w:style>
  <w:style w:type="paragraph" w:customStyle="1" w:styleId="CM57">
    <w:name w:val="CM57"/>
    <w:basedOn w:val="Normal"/>
    <w:next w:val="Normal"/>
    <w:rsid w:val="00B91A90"/>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B91A90"/>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B91A90"/>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B91A9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B91A90"/>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B91A90"/>
  </w:style>
  <w:style w:type="character" w:customStyle="1" w:styleId="StyleHeading6BoldChar">
    <w:name w:val="Style Heading 6 + Bold Char"/>
    <w:link w:val="StyleHeading6Bold"/>
    <w:rsid w:val="00B91A90"/>
    <w:rPr>
      <w:rFonts w:ascii="Cambria" w:eastAsia="MS Mincho" w:hAnsi="Cambria" w:cs="Cambria"/>
      <w:b/>
      <w:bCs/>
      <w:i/>
      <w:iCs/>
      <w:color w:val="7F7F7F"/>
      <w:sz w:val="24"/>
      <w:szCs w:val="24"/>
    </w:rPr>
  </w:style>
  <w:style w:type="paragraph" w:customStyle="1" w:styleId="tableheaders">
    <w:name w:val="table headers"/>
    <w:rsid w:val="00B91A9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B91A90"/>
    <w:rPr>
      <w:b w:val="0"/>
    </w:rPr>
  </w:style>
  <w:style w:type="paragraph" w:styleId="PlainText">
    <w:name w:val="Plain Text"/>
    <w:basedOn w:val="Normal"/>
    <w:link w:val="PlainTextChar"/>
    <w:uiPriority w:val="99"/>
    <w:unhideWhenUsed/>
    <w:rsid w:val="00B91A90"/>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B91A90"/>
    <w:rPr>
      <w:rFonts w:ascii="Consolas" w:eastAsia="Calibri" w:hAnsi="Consolas" w:cs="Times New Roman"/>
      <w:sz w:val="21"/>
      <w:szCs w:val="21"/>
      <w:lang w:val="sq-AL"/>
    </w:rPr>
  </w:style>
  <w:style w:type="paragraph" w:customStyle="1" w:styleId="StyleStyle1Bold">
    <w:name w:val="Style Style1 + Bold"/>
    <w:basedOn w:val="Style1"/>
    <w:rsid w:val="00B91A90"/>
  </w:style>
  <w:style w:type="paragraph" w:customStyle="1" w:styleId="CM1">
    <w:name w:val="CM1"/>
    <w:basedOn w:val="Default"/>
    <w:next w:val="Default"/>
    <w:rsid w:val="00B91A90"/>
    <w:rPr>
      <w:rFonts w:ascii="EUAlbertina" w:hAnsi="EUAlbertina"/>
      <w:color w:val="auto"/>
    </w:rPr>
  </w:style>
  <w:style w:type="paragraph" w:customStyle="1" w:styleId="CM4">
    <w:name w:val="CM4"/>
    <w:basedOn w:val="Normal"/>
    <w:next w:val="Normal"/>
    <w:rsid w:val="00B91A90"/>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B91A90"/>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B91A90"/>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B91A90"/>
    <w:rPr>
      <w:rFonts w:ascii="Tahoma" w:eastAsia="Times New Roman" w:hAnsi="Tahoma" w:cs="Times New Roman"/>
      <w:sz w:val="16"/>
      <w:szCs w:val="16"/>
      <w:lang w:val="sq-AL"/>
    </w:rPr>
  </w:style>
  <w:style w:type="numbering" w:customStyle="1" w:styleId="NoList3">
    <w:name w:val="No List3"/>
    <w:next w:val="NoList"/>
    <w:semiHidden/>
    <w:rsid w:val="00B91A90"/>
  </w:style>
  <w:style w:type="numbering" w:customStyle="1" w:styleId="NoList4">
    <w:name w:val="No List4"/>
    <w:next w:val="NoList"/>
    <w:semiHidden/>
    <w:rsid w:val="00B91A90"/>
  </w:style>
  <w:style w:type="paragraph" w:customStyle="1" w:styleId="Point1">
    <w:name w:val="Point 1"/>
    <w:basedOn w:val="Normal"/>
    <w:link w:val="Point1Char"/>
    <w:rsid w:val="00B91A90"/>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B91A90"/>
    <w:rPr>
      <w:rFonts w:ascii="Calibri" w:eastAsia="Times New Roman" w:hAnsi="Calibri" w:cs="Times New Roman"/>
      <w:sz w:val="24"/>
      <w:szCs w:val="24"/>
      <w:lang w:val="en-GB" w:eastAsia="en-GB"/>
    </w:rPr>
  </w:style>
  <w:style w:type="character" w:customStyle="1" w:styleId="longtext">
    <w:name w:val="long_text"/>
    <w:rsid w:val="00B91A90"/>
    <w:rPr>
      <w:rFonts w:ascii="Comic Sans MS" w:hAnsi="Comic Sans MS"/>
      <w:b/>
      <w:sz w:val="96"/>
      <w:szCs w:val="24"/>
      <w:lang w:val="pl-PL" w:eastAsia="pl-PL" w:bidi="ar-SA"/>
    </w:rPr>
  </w:style>
  <w:style w:type="paragraph" w:customStyle="1" w:styleId="Text1">
    <w:name w:val="Text 1"/>
    <w:basedOn w:val="Normal"/>
    <w:link w:val="Text1Char"/>
    <w:rsid w:val="00B91A90"/>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B91A90"/>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B91A90"/>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B91A90"/>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B91A90"/>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B91A90"/>
  </w:style>
  <w:style w:type="character" w:customStyle="1" w:styleId="SectionTitleCharCharChar">
    <w:name w:val="SectionTitle Char Char Char"/>
    <w:link w:val="SectionTitleCharChar"/>
    <w:rsid w:val="00B91A9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B91A90"/>
    <w:rPr>
      <w:rFonts w:ascii="Calibri" w:eastAsia="Times New Roman" w:hAnsi="Calibri" w:cs="Times New Roman"/>
      <w:b/>
      <w:bCs/>
      <w:smallCaps/>
      <w:sz w:val="28"/>
      <w:szCs w:val="28"/>
      <w:lang w:val="en-GB" w:eastAsia="en-GB"/>
    </w:rPr>
  </w:style>
  <w:style w:type="character" w:customStyle="1" w:styleId="Text1Char">
    <w:name w:val="Text 1 Char"/>
    <w:link w:val="Text1"/>
    <w:rsid w:val="00B91A90"/>
    <w:rPr>
      <w:rFonts w:ascii="Calibri" w:eastAsia="Times New Roman" w:hAnsi="Calibri" w:cs="Times New Roman"/>
      <w:sz w:val="24"/>
      <w:szCs w:val="24"/>
      <w:lang w:val="en-GB" w:eastAsia="en-GB"/>
    </w:rPr>
  </w:style>
  <w:style w:type="character" w:customStyle="1" w:styleId="Point1CharChar">
    <w:name w:val="Point 1 Char Char"/>
    <w:rsid w:val="00B91A90"/>
    <w:rPr>
      <w:sz w:val="24"/>
      <w:szCs w:val="24"/>
      <w:lang w:val="en-GB" w:eastAsia="en-GB" w:bidi="ar-SA"/>
    </w:rPr>
  </w:style>
  <w:style w:type="paragraph" w:customStyle="1" w:styleId="Point0">
    <w:name w:val="Point 0"/>
    <w:basedOn w:val="Normal"/>
    <w:rsid w:val="00B91A90"/>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B91A90"/>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B91A90"/>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B91A90"/>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B91A90"/>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B91A90"/>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B91A90"/>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B91A9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B91A90"/>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B91A90"/>
    <w:rPr>
      <w:rFonts w:ascii="CG Times" w:hAnsi="CG Times"/>
      <w:sz w:val="22"/>
      <w:lang w:val="en-US" w:eastAsia="en-US" w:bidi="ar-SA"/>
    </w:rPr>
  </w:style>
  <w:style w:type="paragraph" w:customStyle="1" w:styleId="SectionTitle">
    <w:name w:val="SectionTitle"/>
    <w:basedOn w:val="Normal"/>
    <w:next w:val="Heading1"/>
    <w:rsid w:val="00B91A90"/>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B91A90"/>
  </w:style>
  <w:style w:type="paragraph" w:styleId="TableofFigures">
    <w:name w:val="table of figures"/>
    <w:basedOn w:val="Normal"/>
    <w:next w:val="Normal"/>
    <w:rsid w:val="00B91A90"/>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B91A90"/>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B91A90"/>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B91A90"/>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B91A90"/>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B91A90"/>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B91A90"/>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B91A90"/>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B91A90"/>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B91A90"/>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B91A90"/>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B91A90"/>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B91A90"/>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B91A90"/>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B91A90"/>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B91A90"/>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B91A90"/>
    <w:pPr>
      <w:spacing w:after="0" w:line="360" w:lineRule="auto"/>
    </w:pPr>
    <w:rPr>
      <w:rFonts w:ascii="Tahoma" w:eastAsia="Times New Roman" w:hAnsi="Tahoma" w:cs="Times New Roman"/>
      <w:lang w:val="de-AT" w:eastAsia="de-DE"/>
    </w:rPr>
  </w:style>
  <w:style w:type="paragraph" w:styleId="List">
    <w:name w:val="List"/>
    <w:basedOn w:val="Normal"/>
    <w:rsid w:val="00B91A90"/>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B91A90"/>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B91A90"/>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B91A90"/>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B91A90"/>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B91A90"/>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B91A90"/>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B91A90"/>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B91A90"/>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B91A90"/>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B91A90"/>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B91A90"/>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B91A90"/>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B91A90"/>
    <w:rPr>
      <w:sz w:val="16"/>
      <w:szCs w:val="16"/>
    </w:rPr>
  </w:style>
  <w:style w:type="paragraph" w:styleId="CommentText">
    <w:name w:val="annotation text"/>
    <w:aliases w:val=" Char"/>
    <w:basedOn w:val="Normal"/>
    <w:link w:val="CommentTextChar"/>
    <w:uiPriority w:val="99"/>
    <w:unhideWhenUsed/>
    <w:rsid w:val="00B91A90"/>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B91A9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91A90"/>
    <w:rPr>
      <w:b/>
      <w:bCs/>
    </w:rPr>
  </w:style>
  <w:style w:type="character" w:customStyle="1" w:styleId="CommentSubjectChar">
    <w:name w:val="Comment Subject Char"/>
    <w:basedOn w:val="CommentTextChar"/>
    <w:link w:val="CommentSubject"/>
    <w:uiPriority w:val="99"/>
    <w:rsid w:val="00B91A90"/>
    <w:rPr>
      <w:rFonts w:ascii="Calibri" w:eastAsia="MS Mincho" w:hAnsi="Calibri" w:cs="Times New Roman"/>
      <w:b/>
      <w:bCs/>
      <w:sz w:val="20"/>
      <w:szCs w:val="20"/>
      <w:lang w:val="sq-AL"/>
    </w:rPr>
  </w:style>
  <w:style w:type="paragraph" w:styleId="ListNumber4">
    <w:name w:val="List Number 4"/>
    <w:basedOn w:val="Normal"/>
    <w:rsid w:val="00B91A90"/>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B91A90"/>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semiHidden/>
    <w:unhideWhenUsed/>
    <w:rsid w:val="00B91A90"/>
  </w:style>
  <w:style w:type="paragraph" w:styleId="MacroText">
    <w:name w:val="macro"/>
    <w:link w:val="MacroTextChar"/>
    <w:semiHidden/>
    <w:rsid w:val="00B91A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B91A90"/>
    <w:rPr>
      <w:rFonts w:ascii="Courier New" w:eastAsia="Times New Roman" w:hAnsi="Courier New" w:cs="Times New Roman"/>
      <w:lang w:val="de-DE" w:eastAsia="de-DE"/>
    </w:rPr>
  </w:style>
  <w:style w:type="paragraph" w:styleId="NormalIndent">
    <w:name w:val="Normal Indent"/>
    <w:basedOn w:val="Normal"/>
    <w:link w:val="NormalIndentChar"/>
    <w:rsid w:val="00B91A90"/>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B91A90"/>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B91A90"/>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B91A90"/>
    <w:rPr>
      <w:rFonts w:ascii="Tahoma" w:hAnsi="Tahoma"/>
      <w:sz w:val="22"/>
    </w:rPr>
  </w:style>
  <w:style w:type="paragraph" w:styleId="BlockText">
    <w:name w:val="Block Text"/>
    <w:basedOn w:val="Normal"/>
    <w:rsid w:val="00B91A90"/>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B91A90"/>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B91A90"/>
    <w:rPr>
      <w:rFonts w:ascii="Tahoma" w:eastAsia="Times New Roman" w:hAnsi="Tahoma" w:cs="Times New Roman"/>
      <w:lang w:val="de-AT" w:eastAsia="de-DE"/>
    </w:rPr>
  </w:style>
  <w:style w:type="character" w:customStyle="1" w:styleId="Emphasis1">
    <w:name w:val="Emphasis1"/>
    <w:semiHidden/>
    <w:rsid w:val="00B91A90"/>
  </w:style>
  <w:style w:type="paragraph" w:styleId="NoteHeading">
    <w:name w:val="Note Heading"/>
    <w:basedOn w:val="Normal"/>
    <w:next w:val="Normal"/>
    <w:link w:val="NoteHeadingChar"/>
    <w:rsid w:val="00B91A90"/>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B91A90"/>
    <w:rPr>
      <w:rFonts w:ascii="Tahoma" w:eastAsia="Times New Roman" w:hAnsi="Tahoma" w:cs="Times New Roman"/>
      <w:lang w:val="de-AT" w:eastAsia="de-DE"/>
    </w:rPr>
  </w:style>
  <w:style w:type="paragraph" w:styleId="MessageHeader">
    <w:name w:val="Message Header"/>
    <w:basedOn w:val="Normal"/>
    <w:link w:val="MessageHeaderChar"/>
    <w:semiHidden/>
    <w:rsid w:val="00B91A9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B91A9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B91A90"/>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B91A90"/>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B91A90"/>
    <w:rPr>
      <w:rFonts w:ascii="Tahoma" w:eastAsia="Times New Roman" w:hAnsi="Tahoma" w:cs="Times New Roman"/>
      <w:sz w:val="20"/>
      <w:szCs w:val="20"/>
    </w:rPr>
  </w:style>
  <w:style w:type="character" w:styleId="EndnoteReference">
    <w:name w:val="endnote reference"/>
    <w:uiPriority w:val="99"/>
    <w:semiHidden/>
    <w:unhideWhenUsed/>
    <w:rsid w:val="00B91A90"/>
    <w:rPr>
      <w:vertAlign w:val="superscript"/>
    </w:rPr>
  </w:style>
  <w:style w:type="paragraph" w:styleId="BodyTextFirstIndent2">
    <w:name w:val="Body Text First Indent 2"/>
    <w:basedOn w:val="BodyTextIndent"/>
    <w:link w:val="BodyTextFirstIndent2Char"/>
    <w:semiHidden/>
    <w:rsid w:val="00B91A9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B91A90"/>
    <w:rPr>
      <w:rFonts w:ascii="Tahoma" w:eastAsia="Times New Roman" w:hAnsi="Tahoma" w:cs="Times New Roman"/>
      <w:lang w:val="de-AT" w:eastAsia="de-DE"/>
    </w:rPr>
  </w:style>
  <w:style w:type="numbering" w:styleId="111111">
    <w:name w:val="Outline List 2"/>
    <w:basedOn w:val="NoList"/>
    <w:semiHidden/>
    <w:rsid w:val="00B91A90"/>
    <w:pPr>
      <w:numPr>
        <w:numId w:val="14"/>
      </w:numPr>
    </w:pPr>
  </w:style>
  <w:style w:type="paragraph" w:customStyle="1" w:styleId="Zusatz2">
    <w:name w:val="Zusatz 2"/>
    <w:basedOn w:val="Normal"/>
    <w:next w:val="Normal"/>
    <w:semiHidden/>
    <w:rsid w:val="00B91A90"/>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B91A90"/>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B91A90"/>
    <w:pPr>
      <w:numPr>
        <w:numId w:val="15"/>
      </w:numPr>
    </w:pPr>
  </w:style>
  <w:style w:type="paragraph" w:styleId="Salutation">
    <w:name w:val="Salutation"/>
    <w:basedOn w:val="Normal"/>
    <w:next w:val="Normal"/>
    <w:link w:val="SalutationChar"/>
    <w:semiHidden/>
    <w:rsid w:val="00B91A90"/>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B91A90"/>
    <w:rPr>
      <w:rFonts w:ascii="Tahoma" w:eastAsia="Times New Roman" w:hAnsi="Tahoma" w:cs="Times New Roman"/>
      <w:lang w:val="de-AT" w:eastAsia="de-DE"/>
    </w:rPr>
  </w:style>
  <w:style w:type="numbering" w:styleId="ArticleSection">
    <w:name w:val="Outline List 3"/>
    <w:basedOn w:val="NoList"/>
    <w:semiHidden/>
    <w:rsid w:val="00B91A90"/>
    <w:pPr>
      <w:numPr>
        <w:numId w:val="16"/>
      </w:numPr>
    </w:pPr>
  </w:style>
  <w:style w:type="paragraph" w:styleId="Closing">
    <w:name w:val="Closing"/>
    <w:basedOn w:val="Normal"/>
    <w:link w:val="ClosingChar"/>
    <w:semiHidden/>
    <w:rsid w:val="00B91A90"/>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B91A90"/>
    <w:rPr>
      <w:rFonts w:ascii="Tahoma" w:eastAsia="Times New Roman" w:hAnsi="Tahoma" w:cs="Times New Roman"/>
      <w:lang w:val="de-AT" w:eastAsia="de-DE"/>
    </w:rPr>
  </w:style>
  <w:style w:type="character" w:styleId="Emphasis">
    <w:name w:val="Emphasis"/>
    <w:uiPriority w:val="20"/>
    <w:qFormat/>
    <w:rsid w:val="00B91A90"/>
    <w:rPr>
      <w:i/>
      <w:iCs/>
    </w:rPr>
  </w:style>
  <w:style w:type="paragraph" w:styleId="HTMLAddress">
    <w:name w:val="HTML Address"/>
    <w:basedOn w:val="Normal"/>
    <w:link w:val="HTMLAddressChar"/>
    <w:semiHidden/>
    <w:rsid w:val="00B91A90"/>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B91A90"/>
    <w:rPr>
      <w:rFonts w:ascii="Tahoma" w:eastAsia="Times New Roman" w:hAnsi="Tahoma" w:cs="Times New Roman"/>
      <w:i/>
      <w:iCs/>
      <w:lang w:val="de-AT" w:eastAsia="de-DE"/>
    </w:rPr>
  </w:style>
  <w:style w:type="character" w:styleId="HTMLAcronym">
    <w:name w:val="HTML Acronym"/>
    <w:semiHidden/>
    <w:rsid w:val="00B91A90"/>
  </w:style>
  <w:style w:type="character" w:styleId="HTMLSample">
    <w:name w:val="HTML Sample"/>
    <w:semiHidden/>
    <w:rsid w:val="00B91A90"/>
    <w:rPr>
      <w:rFonts w:ascii="Courier New" w:hAnsi="Courier New" w:cs="Courier New"/>
    </w:rPr>
  </w:style>
  <w:style w:type="character" w:styleId="HTMLCode">
    <w:name w:val="HTML Code"/>
    <w:semiHidden/>
    <w:rsid w:val="00B91A90"/>
    <w:rPr>
      <w:rFonts w:ascii="Courier New" w:hAnsi="Courier New" w:cs="Courier New"/>
      <w:sz w:val="20"/>
      <w:szCs w:val="20"/>
    </w:rPr>
  </w:style>
  <w:style w:type="character" w:styleId="HTMLDefinition">
    <w:name w:val="HTML Definition"/>
    <w:semiHidden/>
    <w:rsid w:val="00B91A90"/>
    <w:rPr>
      <w:i/>
      <w:iCs/>
    </w:rPr>
  </w:style>
  <w:style w:type="character" w:styleId="HTMLTypewriter">
    <w:name w:val="HTML Typewriter"/>
    <w:semiHidden/>
    <w:rsid w:val="00B91A90"/>
    <w:rPr>
      <w:rFonts w:ascii="Courier New" w:hAnsi="Courier New" w:cs="Courier New"/>
      <w:sz w:val="20"/>
      <w:szCs w:val="20"/>
    </w:rPr>
  </w:style>
  <w:style w:type="character" w:styleId="HTMLKeyboard">
    <w:name w:val="HTML Keyboard"/>
    <w:semiHidden/>
    <w:rsid w:val="00B91A90"/>
    <w:rPr>
      <w:rFonts w:ascii="Courier New" w:hAnsi="Courier New" w:cs="Courier New"/>
      <w:sz w:val="20"/>
      <w:szCs w:val="20"/>
    </w:rPr>
  </w:style>
  <w:style w:type="character" w:styleId="HTMLVariable">
    <w:name w:val="HTML Variable"/>
    <w:semiHidden/>
    <w:rsid w:val="00B91A90"/>
    <w:rPr>
      <w:i/>
      <w:iCs/>
    </w:rPr>
  </w:style>
  <w:style w:type="paragraph" w:styleId="HTMLPreformatted">
    <w:name w:val="HTML Preformatted"/>
    <w:basedOn w:val="Normal"/>
    <w:link w:val="HTMLPreformattedChar"/>
    <w:uiPriority w:val="99"/>
    <w:rsid w:val="00B91A90"/>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B91A90"/>
    <w:rPr>
      <w:rFonts w:ascii="Courier New" w:eastAsia="Times New Roman" w:hAnsi="Courier New" w:cs="Times New Roman"/>
      <w:sz w:val="20"/>
      <w:lang w:val="de-AT" w:eastAsia="de-DE"/>
    </w:rPr>
  </w:style>
  <w:style w:type="character" w:styleId="HTMLCite">
    <w:name w:val="HTML Cite"/>
    <w:semiHidden/>
    <w:rsid w:val="00B91A90"/>
    <w:rPr>
      <w:i/>
      <w:iCs/>
    </w:rPr>
  </w:style>
  <w:style w:type="table" w:styleId="Table3Deffects1">
    <w:name w:val="Table 3D effects 1"/>
    <w:basedOn w:val="TableNormal"/>
    <w:semiHidden/>
    <w:rsid w:val="00B91A9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91A9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91A9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B91A9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91A9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B91A9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91A9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91A9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B91A90"/>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B91A9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91A9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91A9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91A9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91A9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91A9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91A9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91A9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B91A9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91A9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91A9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91A9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91A9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B91A9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91A9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B91A9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91A9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91A9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B91A9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B91A90"/>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B91A90"/>
    <w:rPr>
      <w:rFonts w:ascii="Tahoma" w:eastAsia="Times New Roman" w:hAnsi="Tahoma" w:cs="Times New Roman"/>
      <w:lang w:val="de-AT" w:eastAsia="de-DE"/>
    </w:rPr>
  </w:style>
  <w:style w:type="paragraph" w:styleId="E-mailSignature">
    <w:name w:val="E-mail Signature"/>
    <w:basedOn w:val="Normal"/>
    <w:link w:val="E-mailSignatureChar"/>
    <w:rsid w:val="00B91A90"/>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B91A90"/>
    <w:rPr>
      <w:rFonts w:ascii="Tahoma" w:eastAsia="Times New Roman" w:hAnsi="Tahoma" w:cs="Times New Roman"/>
      <w:lang w:val="de-AT" w:eastAsia="de-DE"/>
    </w:rPr>
  </w:style>
  <w:style w:type="paragraph" w:styleId="BodyText2">
    <w:name w:val="Body Text 2"/>
    <w:basedOn w:val="Normal"/>
    <w:link w:val="BodyText2Char"/>
    <w:rsid w:val="00B91A90"/>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B91A90"/>
    <w:rPr>
      <w:rFonts w:ascii="Tahoma" w:eastAsia="Times New Roman" w:hAnsi="Tahoma" w:cs="Times New Roman"/>
      <w:lang w:val="de-AT" w:eastAsia="de-DE"/>
    </w:rPr>
  </w:style>
  <w:style w:type="paragraph" w:styleId="BodyTextIndent2">
    <w:name w:val="Body Text Indent 2"/>
    <w:basedOn w:val="Normal"/>
    <w:link w:val="BodyTextIndent2Char"/>
    <w:rsid w:val="00B91A90"/>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B91A90"/>
    <w:rPr>
      <w:rFonts w:ascii="Tahoma" w:eastAsia="Times New Roman" w:hAnsi="Tahoma" w:cs="Times New Roman"/>
      <w:lang w:val="de-AT" w:eastAsia="de-DE"/>
    </w:rPr>
  </w:style>
  <w:style w:type="paragraph" w:styleId="BodyTextIndent3">
    <w:name w:val="Body Text Indent 3"/>
    <w:basedOn w:val="Normal"/>
    <w:link w:val="BodyTextIndent3Char"/>
    <w:rsid w:val="00B91A90"/>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B91A9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B91A9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B91A90"/>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B91A90"/>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B91A90"/>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B91A90"/>
    <w:rPr>
      <w:rFonts w:ascii="CG Times" w:eastAsia="Times New Roman" w:hAnsi="CG Times" w:cs="Times New Roman"/>
      <w:b/>
      <w:szCs w:val="24"/>
    </w:rPr>
  </w:style>
  <w:style w:type="character" w:customStyle="1" w:styleId="SubtitleChar1">
    <w:name w:val="Subtitle Char1"/>
    <w:locked/>
    <w:rsid w:val="00B91A90"/>
    <w:rPr>
      <w:rFonts w:ascii="Cambria" w:hAnsi="Cambria"/>
      <w:sz w:val="24"/>
      <w:szCs w:val="24"/>
    </w:rPr>
  </w:style>
  <w:style w:type="paragraph" w:customStyle="1" w:styleId="Char1">
    <w:name w:val="Char1"/>
    <w:basedOn w:val="Normal"/>
    <w:rsid w:val="00B91A90"/>
    <w:pPr>
      <w:spacing w:line="240" w:lineRule="exact"/>
    </w:pPr>
    <w:rPr>
      <w:rFonts w:ascii="Arial" w:eastAsia="Times New Roman" w:hAnsi="Arial" w:cs="Arial"/>
      <w:sz w:val="20"/>
      <w:szCs w:val="20"/>
    </w:rPr>
  </w:style>
  <w:style w:type="character" w:customStyle="1" w:styleId="CharChar11">
    <w:name w:val="Char Char11"/>
    <w:semiHidden/>
    <w:locked/>
    <w:rsid w:val="00B91A90"/>
    <w:rPr>
      <w:rFonts w:ascii="Tahoma" w:hAnsi="Tahoma" w:cs="Tahoma"/>
      <w:i/>
      <w:iCs/>
      <w:sz w:val="22"/>
      <w:szCs w:val="22"/>
      <w:lang w:val="de-AT" w:eastAsia="de-DE" w:bidi="ar-SA"/>
    </w:rPr>
  </w:style>
  <w:style w:type="character" w:customStyle="1" w:styleId="CharChar36">
    <w:name w:val="Char Char36"/>
    <w:locked/>
    <w:rsid w:val="00B91A90"/>
    <w:rPr>
      <w:rFonts w:ascii="Arial" w:hAnsi="Arial" w:cs="Arial"/>
      <w:b/>
      <w:bCs/>
      <w:kern w:val="32"/>
      <w:sz w:val="32"/>
      <w:szCs w:val="32"/>
      <w:lang w:val="sq-AL" w:eastAsia="en-US" w:bidi="ar-SA"/>
    </w:rPr>
  </w:style>
  <w:style w:type="character" w:customStyle="1" w:styleId="CharChar35">
    <w:name w:val="Char Char35"/>
    <w:locked/>
    <w:rsid w:val="00B91A90"/>
    <w:rPr>
      <w:rFonts w:ascii="Arial" w:hAnsi="Arial" w:cs="Arial"/>
      <w:b/>
      <w:bCs/>
      <w:i/>
      <w:iCs/>
      <w:sz w:val="28"/>
      <w:szCs w:val="28"/>
      <w:lang w:val="sq-AL" w:eastAsia="en-US" w:bidi="ar-SA"/>
    </w:rPr>
  </w:style>
  <w:style w:type="character" w:customStyle="1" w:styleId="CharChar34">
    <w:name w:val="Char Char34"/>
    <w:locked/>
    <w:rsid w:val="00B91A90"/>
    <w:rPr>
      <w:rFonts w:ascii="Tahoma" w:hAnsi="Tahoma"/>
      <w:b/>
      <w:kern w:val="28"/>
      <w:sz w:val="24"/>
      <w:szCs w:val="28"/>
      <w:lang w:val="de-AT" w:eastAsia="de-DE" w:bidi="ar-SA"/>
    </w:rPr>
  </w:style>
  <w:style w:type="character" w:customStyle="1" w:styleId="CharChar33">
    <w:name w:val="Char Char33"/>
    <w:locked/>
    <w:rsid w:val="00B91A90"/>
    <w:rPr>
      <w:rFonts w:ascii="Tahoma" w:hAnsi="Tahoma"/>
      <w:b/>
      <w:i/>
      <w:kern w:val="28"/>
      <w:sz w:val="22"/>
      <w:szCs w:val="22"/>
      <w:lang w:val="de-AT" w:eastAsia="de-DE" w:bidi="ar-SA"/>
    </w:rPr>
  </w:style>
  <w:style w:type="character" w:customStyle="1" w:styleId="CharChar32">
    <w:name w:val="Char Char32"/>
    <w:locked/>
    <w:rsid w:val="00B91A90"/>
    <w:rPr>
      <w:rFonts w:ascii="Tahoma" w:hAnsi="Tahoma"/>
      <w:b/>
      <w:i/>
      <w:kern w:val="28"/>
      <w:sz w:val="22"/>
      <w:szCs w:val="22"/>
      <w:lang w:val="de-AT" w:eastAsia="de-DE" w:bidi="ar-SA"/>
    </w:rPr>
  </w:style>
  <w:style w:type="character" w:customStyle="1" w:styleId="CharChar31">
    <w:name w:val="Char Char31"/>
    <w:locked/>
    <w:rsid w:val="00B91A90"/>
    <w:rPr>
      <w:rFonts w:ascii="Tahoma" w:hAnsi="Tahoma"/>
      <w:b/>
      <w:i/>
      <w:kern w:val="28"/>
      <w:sz w:val="22"/>
      <w:szCs w:val="22"/>
      <w:lang w:val="de-AT" w:eastAsia="de-DE" w:bidi="ar-SA"/>
    </w:rPr>
  </w:style>
  <w:style w:type="character" w:customStyle="1" w:styleId="CharChar10">
    <w:name w:val="Char Char10"/>
    <w:semiHidden/>
    <w:locked/>
    <w:rsid w:val="00B91A90"/>
    <w:rPr>
      <w:rFonts w:ascii="Courier New" w:hAnsi="Courier New" w:cs="Courier New"/>
      <w:szCs w:val="22"/>
      <w:lang w:val="de-AT" w:eastAsia="de-DE" w:bidi="ar-SA"/>
    </w:rPr>
  </w:style>
  <w:style w:type="character" w:customStyle="1" w:styleId="CharChar30">
    <w:name w:val="Char Char30"/>
    <w:locked/>
    <w:rsid w:val="00B91A90"/>
    <w:rPr>
      <w:rFonts w:ascii="Tahoma" w:hAnsi="Tahoma"/>
      <w:b/>
      <w:i/>
      <w:kern w:val="28"/>
      <w:sz w:val="22"/>
      <w:szCs w:val="22"/>
      <w:lang w:val="de-AT" w:eastAsia="de-DE" w:bidi="ar-SA"/>
    </w:rPr>
  </w:style>
  <w:style w:type="character" w:customStyle="1" w:styleId="CharChar29">
    <w:name w:val="Char Char29"/>
    <w:locked/>
    <w:rsid w:val="00B91A90"/>
    <w:rPr>
      <w:rFonts w:ascii="Tahoma" w:hAnsi="Tahoma"/>
      <w:b/>
      <w:i/>
      <w:kern w:val="28"/>
      <w:sz w:val="22"/>
      <w:szCs w:val="22"/>
      <w:lang w:val="de-AT" w:eastAsia="de-DE" w:bidi="ar-SA"/>
    </w:rPr>
  </w:style>
  <w:style w:type="character" w:customStyle="1" w:styleId="CharChar28">
    <w:name w:val="Char Char28"/>
    <w:locked/>
    <w:rsid w:val="00B91A90"/>
    <w:rPr>
      <w:rFonts w:ascii="Tahoma" w:hAnsi="Tahoma"/>
      <w:b/>
      <w:i/>
      <w:kern w:val="28"/>
      <w:sz w:val="22"/>
      <w:szCs w:val="22"/>
      <w:lang w:val="de-AT" w:eastAsia="de-DE" w:bidi="ar-SA"/>
    </w:rPr>
  </w:style>
  <w:style w:type="character" w:customStyle="1" w:styleId="CharChar27">
    <w:name w:val="Char Char27"/>
    <w:locked/>
    <w:rsid w:val="00B91A90"/>
    <w:rPr>
      <w:rFonts w:ascii="Calibri" w:eastAsia="Calibri" w:hAnsi="Calibri"/>
      <w:lang w:val="sq-AL" w:eastAsia="en-US" w:bidi="ar-SA"/>
    </w:rPr>
  </w:style>
  <w:style w:type="character" w:customStyle="1" w:styleId="CharChar24">
    <w:name w:val="Char Char24"/>
    <w:locked/>
    <w:rsid w:val="00B91A90"/>
    <w:rPr>
      <w:rFonts w:ascii="Tahoma" w:hAnsi="Tahoma" w:cs="Tahoma"/>
      <w:sz w:val="22"/>
      <w:szCs w:val="22"/>
      <w:lang w:val="de-AT" w:eastAsia="de-DE" w:bidi="ar-SA"/>
    </w:rPr>
  </w:style>
  <w:style w:type="character" w:customStyle="1" w:styleId="CharChar23">
    <w:name w:val="Char Char23"/>
    <w:locked/>
    <w:rsid w:val="00B91A90"/>
    <w:rPr>
      <w:rFonts w:ascii="Tahoma" w:hAnsi="Tahoma" w:cs="Tahoma"/>
      <w:sz w:val="22"/>
      <w:szCs w:val="22"/>
      <w:lang w:val="de-AT" w:eastAsia="de-DE" w:bidi="ar-SA"/>
    </w:rPr>
  </w:style>
  <w:style w:type="character" w:customStyle="1" w:styleId="CharChar22">
    <w:name w:val="Char Char22"/>
    <w:semiHidden/>
    <w:locked/>
    <w:rsid w:val="00B91A90"/>
    <w:rPr>
      <w:rFonts w:ascii="Courier New" w:hAnsi="Courier New" w:cs="Courier New"/>
      <w:sz w:val="22"/>
      <w:szCs w:val="22"/>
      <w:lang w:val="de-DE" w:eastAsia="de-DE" w:bidi="ar-SA"/>
    </w:rPr>
  </w:style>
  <w:style w:type="character" w:customStyle="1" w:styleId="CharChar21">
    <w:name w:val="Char Char21"/>
    <w:locked/>
    <w:rsid w:val="00B91A90"/>
    <w:rPr>
      <w:rFonts w:ascii="Tahoma" w:hAnsi="Tahoma" w:cs="Tahoma"/>
      <w:b/>
      <w:kern w:val="28"/>
      <w:sz w:val="36"/>
      <w:szCs w:val="36"/>
      <w:lang w:val="de-AT" w:eastAsia="de-DE" w:bidi="ar-SA"/>
    </w:rPr>
  </w:style>
  <w:style w:type="character" w:customStyle="1" w:styleId="CharChar12">
    <w:name w:val="Char Char12"/>
    <w:semiHidden/>
    <w:locked/>
    <w:rsid w:val="00B91A90"/>
    <w:rPr>
      <w:rFonts w:ascii="Tahoma" w:hAnsi="Tahoma" w:cs="Tahoma"/>
      <w:sz w:val="22"/>
      <w:szCs w:val="22"/>
      <w:lang w:val="de-AT" w:eastAsia="de-DE" w:bidi="ar-SA"/>
    </w:rPr>
  </w:style>
  <w:style w:type="character" w:customStyle="1" w:styleId="CharChar9">
    <w:name w:val="Char Char9"/>
    <w:semiHidden/>
    <w:locked/>
    <w:rsid w:val="00B91A90"/>
    <w:rPr>
      <w:rFonts w:ascii="Tahoma" w:hAnsi="Tahoma" w:cs="Tahoma"/>
      <w:sz w:val="22"/>
      <w:szCs w:val="22"/>
      <w:lang w:val="de-AT" w:eastAsia="de-DE" w:bidi="ar-SA"/>
    </w:rPr>
  </w:style>
  <w:style w:type="character" w:customStyle="1" w:styleId="CharChar25">
    <w:name w:val="Char Char25"/>
    <w:semiHidden/>
    <w:locked/>
    <w:rsid w:val="00B91A90"/>
    <w:rPr>
      <w:rFonts w:ascii="Tahoma" w:hAnsi="Tahoma" w:cs="Tahoma"/>
      <w:sz w:val="22"/>
      <w:szCs w:val="22"/>
      <w:lang w:val="de-AT" w:eastAsia="de-DE" w:bidi="ar-SA"/>
    </w:rPr>
  </w:style>
  <w:style w:type="character" w:customStyle="1" w:styleId="CharChar15">
    <w:name w:val="Char Char15"/>
    <w:semiHidden/>
    <w:locked/>
    <w:rsid w:val="00B91A90"/>
    <w:rPr>
      <w:rFonts w:ascii="Tahoma" w:hAnsi="Tahoma" w:cs="Tahoma"/>
      <w:sz w:val="22"/>
      <w:szCs w:val="22"/>
      <w:lang w:val="de-AT" w:eastAsia="de-DE" w:bidi="ar-SA"/>
    </w:rPr>
  </w:style>
  <w:style w:type="character" w:customStyle="1" w:styleId="CharChar16">
    <w:name w:val="Char Char16"/>
    <w:semiHidden/>
    <w:locked/>
    <w:rsid w:val="00B91A90"/>
    <w:rPr>
      <w:rFonts w:ascii="Tahoma" w:hAnsi="Tahoma" w:cs="Arial"/>
      <w:sz w:val="24"/>
      <w:szCs w:val="24"/>
      <w:lang w:val="de-AT" w:eastAsia="de-DE" w:bidi="ar-SA"/>
    </w:rPr>
  </w:style>
  <w:style w:type="character" w:customStyle="1" w:styleId="CharChar20">
    <w:name w:val="Char Char20"/>
    <w:locked/>
    <w:rsid w:val="00B91A90"/>
    <w:rPr>
      <w:rFonts w:ascii="Tahoma" w:hAnsi="Tahoma" w:cs="Tahoma"/>
      <w:b/>
      <w:kern w:val="28"/>
      <w:sz w:val="32"/>
      <w:szCs w:val="36"/>
      <w:lang w:val="de-AT" w:eastAsia="de-DE" w:bidi="ar-SA"/>
    </w:rPr>
  </w:style>
  <w:style w:type="character" w:customStyle="1" w:styleId="CharChar13">
    <w:name w:val="Char Char13"/>
    <w:semiHidden/>
    <w:locked/>
    <w:rsid w:val="00B91A90"/>
    <w:rPr>
      <w:rFonts w:ascii="Tahoma" w:hAnsi="Tahoma" w:cs="Tahoma"/>
      <w:sz w:val="22"/>
      <w:szCs w:val="22"/>
      <w:lang w:val="de-AT" w:eastAsia="de-DE" w:bidi="ar-SA"/>
    </w:rPr>
  </w:style>
  <w:style w:type="character" w:customStyle="1" w:styleId="CharChar19">
    <w:name w:val="Char Char19"/>
    <w:semiHidden/>
    <w:locked/>
    <w:rsid w:val="00B91A90"/>
    <w:rPr>
      <w:rFonts w:ascii="Tahoma" w:hAnsi="Tahoma" w:cs="Tahoma"/>
      <w:sz w:val="22"/>
      <w:szCs w:val="22"/>
      <w:lang w:val="de-AT" w:eastAsia="de-DE" w:bidi="ar-SA"/>
    </w:rPr>
  </w:style>
  <w:style w:type="character" w:customStyle="1" w:styleId="CharChar3">
    <w:name w:val="Char Char3"/>
    <w:semiHidden/>
    <w:locked/>
    <w:rsid w:val="00B91A90"/>
  </w:style>
  <w:style w:type="character" w:customStyle="1" w:styleId="CharChar14">
    <w:name w:val="Char Char14"/>
    <w:semiHidden/>
    <w:locked/>
    <w:rsid w:val="00B91A90"/>
  </w:style>
  <w:style w:type="character" w:customStyle="1" w:styleId="CharChar17">
    <w:name w:val="Char Char17"/>
    <w:locked/>
    <w:rsid w:val="00B91A90"/>
    <w:rPr>
      <w:rFonts w:ascii="Tahoma" w:hAnsi="Tahoma" w:cs="Tahoma"/>
      <w:sz w:val="22"/>
      <w:szCs w:val="22"/>
      <w:lang w:val="de-AT" w:eastAsia="de-DE" w:bidi="ar-SA"/>
    </w:rPr>
  </w:style>
  <w:style w:type="character" w:customStyle="1" w:styleId="CharChar7">
    <w:name w:val="Char Char7"/>
    <w:semiHidden/>
    <w:locked/>
    <w:rsid w:val="00B91A90"/>
    <w:rPr>
      <w:rFonts w:ascii="Tahoma" w:hAnsi="Tahoma" w:cs="Tahoma"/>
      <w:sz w:val="22"/>
      <w:szCs w:val="22"/>
      <w:lang w:val="de-AT" w:eastAsia="de-DE" w:bidi="ar-SA"/>
    </w:rPr>
  </w:style>
  <w:style w:type="character" w:customStyle="1" w:styleId="CharChar6">
    <w:name w:val="Char Char6"/>
    <w:semiHidden/>
    <w:locked/>
    <w:rsid w:val="00B91A90"/>
    <w:rPr>
      <w:rFonts w:ascii="Tahoma" w:hAnsi="Tahoma" w:cs="Tahoma"/>
      <w:sz w:val="16"/>
      <w:szCs w:val="16"/>
      <w:lang w:val="de-AT" w:eastAsia="de-DE" w:bidi="ar-SA"/>
    </w:rPr>
  </w:style>
  <w:style w:type="character" w:customStyle="1" w:styleId="CharChar5">
    <w:name w:val="Char Char5"/>
    <w:semiHidden/>
    <w:locked/>
    <w:rsid w:val="00B91A90"/>
    <w:rPr>
      <w:rFonts w:ascii="Tahoma" w:hAnsi="Tahoma" w:cs="Tahoma"/>
      <w:sz w:val="22"/>
      <w:szCs w:val="22"/>
      <w:lang w:val="de-AT" w:eastAsia="de-DE" w:bidi="ar-SA"/>
    </w:rPr>
  </w:style>
  <w:style w:type="character" w:customStyle="1" w:styleId="CharChar4">
    <w:name w:val="Char Char4"/>
    <w:semiHidden/>
    <w:locked/>
    <w:rsid w:val="00B91A90"/>
    <w:rPr>
      <w:rFonts w:ascii="Tahoma" w:hAnsi="Tahoma" w:cs="Tahoma"/>
      <w:sz w:val="16"/>
      <w:szCs w:val="16"/>
      <w:lang w:val="de-AT" w:eastAsia="de-DE" w:bidi="ar-SA"/>
    </w:rPr>
  </w:style>
  <w:style w:type="character" w:customStyle="1" w:styleId="CharChar18">
    <w:name w:val="Char Char18"/>
    <w:semiHidden/>
    <w:locked/>
    <w:rsid w:val="00B91A90"/>
    <w:rPr>
      <w:rFonts w:ascii="Tahoma" w:hAnsi="Tahoma" w:cs="Tahoma"/>
      <w:sz w:val="22"/>
      <w:szCs w:val="22"/>
      <w:lang w:val="de-AT" w:eastAsia="de-DE" w:bidi="ar-SA"/>
    </w:rPr>
  </w:style>
  <w:style w:type="character" w:customStyle="1" w:styleId="CharChar8">
    <w:name w:val="Char Char8"/>
    <w:locked/>
    <w:rsid w:val="00B91A90"/>
    <w:rPr>
      <w:rFonts w:ascii="Tahoma" w:hAnsi="Tahoma" w:cs="Tahoma"/>
      <w:sz w:val="22"/>
      <w:szCs w:val="22"/>
      <w:lang w:val="de-AT" w:eastAsia="de-DE" w:bidi="ar-SA"/>
    </w:rPr>
  </w:style>
  <w:style w:type="character" w:customStyle="1" w:styleId="CharChar2">
    <w:name w:val="Char Char2"/>
    <w:locked/>
    <w:rsid w:val="00B91A90"/>
    <w:rPr>
      <w:rFonts w:ascii="Calibri" w:eastAsia="Calibri" w:hAnsi="Calibri" w:cs="Times New Roman"/>
      <w:b/>
      <w:bCs/>
      <w:sz w:val="20"/>
      <w:szCs w:val="20"/>
      <w:lang w:val="sq-AL" w:eastAsia="en-US" w:bidi="ar-SA"/>
    </w:rPr>
  </w:style>
  <w:style w:type="character" w:customStyle="1" w:styleId="CharChar26">
    <w:name w:val="Char Char26"/>
    <w:semiHidden/>
    <w:locked/>
    <w:rsid w:val="00B91A90"/>
    <w:rPr>
      <w:rFonts w:ascii="Tahoma" w:hAnsi="Tahoma" w:cs="Tahoma"/>
      <w:sz w:val="16"/>
      <w:szCs w:val="16"/>
      <w:lang w:val="sq-AL" w:eastAsia="en-US" w:bidi="ar-SA"/>
    </w:rPr>
  </w:style>
  <w:style w:type="character" w:customStyle="1" w:styleId="CommentTextChar11">
    <w:name w:val="Comment Text Char11"/>
    <w:aliases w:val="Char Char37"/>
    <w:semiHidden/>
    <w:rsid w:val="00B91A90"/>
    <w:rPr>
      <w:rFonts w:ascii="Calibri" w:hAnsi="Calibri" w:hint="default"/>
      <w:lang w:val="sq-AL"/>
    </w:rPr>
  </w:style>
  <w:style w:type="character" w:customStyle="1" w:styleId="NormalIndentChar">
    <w:name w:val="Normal Indent Char"/>
    <w:link w:val="NormalIndent"/>
    <w:rsid w:val="00B91A9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B91A90"/>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B91A90"/>
    <w:pPr>
      <w:tabs>
        <w:tab w:val="num" w:pos="360"/>
        <w:tab w:val="num" w:pos="1935"/>
        <w:tab w:val="num" w:pos="2563"/>
        <w:tab w:val="num" w:pos="3474"/>
      </w:tabs>
      <w:ind w:left="1935" w:hanging="360"/>
      <w:outlineLvl w:val="6"/>
    </w:pPr>
  </w:style>
  <w:style w:type="character" w:customStyle="1" w:styleId="AODefHeadChar">
    <w:name w:val="AODefHead Char"/>
    <w:link w:val="AODefHead"/>
    <w:rsid w:val="00B91A90"/>
    <w:rPr>
      <w:rFonts w:ascii="Times New Roman" w:eastAsia="Times New Roman" w:hAnsi="Times New Roman" w:cs="Times New Roman"/>
      <w:szCs w:val="20"/>
      <w:lang w:val="sq-AL" w:eastAsia="sq-AL" w:bidi="sq-AL"/>
    </w:rPr>
  </w:style>
  <w:style w:type="paragraph" w:customStyle="1" w:styleId="PARA">
    <w:name w:val="PARA"/>
    <w:basedOn w:val="Normal"/>
    <w:locked/>
    <w:rsid w:val="00B91A90"/>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B91A90"/>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B91A9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B91A90"/>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B91A9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B91A90"/>
    <w:rPr>
      <w:color w:val="0000FF"/>
      <w:spacing w:val="0"/>
      <w:u w:val="double"/>
    </w:rPr>
  </w:style>
  <w:style w:type="paragraph" w:customStyle="1" w:styleId="dia">
    <w:name w:val="di(a)"/>
    <w:basedOn w:val="Normal"/>
    <w:rsid w:val="00B91A90"/>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B91A90"/>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B91A90"/>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B91A90"/>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B91A90"/>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B91A9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B91A90"/>
    <w:rPr>
      <w:rFonts w:cs="Times New Roman"/>
      <w:color w:val="808080"/>
    </w:rPr>
  </w:style>
  <w:style w:type="character" w:customStyle="1" w:styleId="az12">
    <w:name w:val="az12"/>
    <w:uiPriority w:val="99"/>
    <w:rsid w:val="00B91A9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B91A90"/>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B91A90"/>
    <w:rPr>
      <w:rFonts w:ascii="Calibri" w:eastAsia="Times New Roman" w:hAnsi="Calibri" w:cs="Times New Roman"/>
      <w:sz w:val="24"/>
      <w:szCs w:val="24"/>
      <w:lang w:val="en-GB" w:eastAsia="en-GB"/>
    </w:rPr>
  </w:style>
  <w:style w:type="paragraph" w:customStyle="1" w:styleId="Paragraf02">
    <w:name w:val="Paragraf 0.2"/>
    <w:basedOn w:val="Paragrafi"/>
    <w:qFormat/>
    <w:rsid w:val="00B91A90"/>
    <w:pPr>
      <w:tabs>
        <w:tab w:val="left" w:pos="6575"/>
      </w:tabs>
    </w:pPr>
    <w:rPr>
      <w:spacing w:val="-4"/>
    </w:rPr>
  </w:style>
  <w:style w:type="table" w:customStyle="1" w:styleId="TableGrid30">
    <w:name w:val="Table Grid3"/>
    <w:basedOn w:val="TableNormal"/>
    <w:next w:val="TableGrid"/>
    <w:uiPriority w:val="59"/>
    <w:rsid w:val="00B91A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91A90"/>
  </w:style>
  <w:style w:type="character" w:styleId="BookTitle">
    <w:name w:val="Book Title"/>
    <w:uiPriority w:val="33"/>
    <w:qFormat/>
    <w:rsid w:val="00B91A90"/>
    <w:rPr>
      <w:b/>
      <w:bCs/>
      <w:smallCaps/>
      <w:spacing w:val="5"/>
    </w:rPr>
  </w:style>
  <w:style w:type="paragraph" w:customStyle="1" w:styleId="Cover1">
    <w:name w:val="Cover1"/>
    <w:basedOn w:val="Normal"/>
    <w:next w:val="Normal"/>
    <w:rsid w:val="00B91A90"/>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B91A90"/>
    <w:pPr>
      <w:spacing w:after="240" w:line="240" w:lineRule="auto"/>
    </w:pPr>
    <w:rPr>
      <w:rFonts w:ascii="Arial" w:eastAsia="Times New Roman" w:hAnsi="Arial" w:cs="Times New Roman"/>
      <w:szCs w:val="20"/>
      <w:lang w:val="sq-AL" w:eastAsia="sq-AL" w:bidi="sq-AL"/>
    </w:rPr>
  </w:style>
  <w:style w:type="paragraph" w:customStyle="1" w:styleId="Stile">
    <w:name w:val="Stile"/>
    <w:rsid w:val="00B91A9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B91A90"/>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B91A90"/>
    <w:rPr>
      <w:rFonts w:ascii="Times New Roman" w:eastAsia="Times New Roman" w:hAnsi="Times New Roman" w:cs="Times New Roman"/>
      <w:szCs w:val="20"/>
      <w:lang w:val="sq-AL"/>
    </w:rPr>
  </w:style>
  <w:style w:type="character" w:customStyle="1" w:styleId="Bodytext0">
    <w:name w:val="Body text_"/>
    <w:link w:val="BodyText1"/>
    <w:rsid w:val="00B91A90"/>
    <w:rPr>
      <w:rFonts w:ascii="Times New Roman" w:hAnsi="Times New Roman"/>
      <w:sz w:val="21"/>
      <w:szCs w:val="21"/>
      <w:shd w:val="clear" w:color="auto" w:fill="FFFFFF"/>
    </w:rPr>
  </w:style>
  <w:style w:type="paragraph" w:customStyle="1" w:styleId="BodyText1">
    <w:name w:val="Body Text1"/>
    <w:basedOn w:val="Normal"/>
    <w:link w:val="Bodytext0"/>
    <w:rsid w:val="00B91A90"/>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B91A90"/>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B91A90"/>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B91A90"/>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B91A90"/>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B91A90"/>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B91A90"/>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B91A90"/>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B91A90"/>
    <w:pPr>
      <w:widowControl w:val="0"/>
      <w:spacing w:after="0" w:line="240" w:lineRule="auto"/>
    </w:pPr>
  </w:style>
  <w:style w:type="paragraph" w:customStyle="1" w:styleId="xl63">
    <w:name w:val="xl63"/>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B91A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paragraph" w:customStyle="1" w:styleId="PreformattedText">
    <w:name w:val="Preformatted Text"/>
    <w:basedOn w:val="Normal"/>
    <w:rsid w:val="00B91A90"/>
    <w:pPr>
      <w:widowControl w:val="0"/>
      <w:suppressAutoHyphens/>
      <w:spacing w:after="0" w:line="240" w:lineRule="auto"/>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B91A90"/>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91A90"/>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91A90"/>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B91A90"/>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91A90"/>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B91A90"/>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B91A90"/>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B91A90"/>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B91A90"/>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B91A90"/>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B91A90"/>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B91A90"/>
    <w:rPr>
      <w:rFonts w:ascii="Cambria" w:eastAsia="MS Mincho" w:hAnsi="Cambria" w:cs="Cambria"/>
      <w:b/>
      <w:bCs/>
      <w:sz w:val="24"/>
      <w:szCs w:val="24"/>
    </w:rPr>
  </w:style>
  <w:style w:type="character" w:customStyle="1" w:styleId="Heading4Char">
    <w:name w:val="Heading 4 Char"/>
    <w:basedOn w:val="DefaultParagraphFont"/>
    <w:link w:val="Heading4"/>
    <w:rsid w:val="00B91A90"/>
    <w:rPr>
      <w:rFonts w:ascii="Cambria" w:eastAsia="MS Mincho" w:hAnsi="Cambria" w:cs="Cambria"/>
      <w:b/>
      <w:bCs/>
      <w:i/>
      <w:iCs/>
      <w:sz w:val="24"/>
      <w:szCs w:val="24"/>
    </w:rPr>
  </w:style>
  <w:style w:type="character" w:customStyle="1" w:styleId="Heading5Char">
    <w:name w:val="Heading 5 Char"/>
    <w:basedOn w:val="DefaultParagraphFont"/>
    <w:link w:val="Heading5"/>
    <w:rsid w:val="00B91A90"/>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B91A90"/>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B91A90"/>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B91A90"/>
    <w:rPr>
      <w:rFonts w:ascii="Cambria" w:eastAsia="MS Mincho" w:hAnsi="Cambria" w:cs="Cambria"/>
      <w:sz w:val="20"/>
      <w:szCs w:val="20"/>
    </w:rPr>
  </w:style>
  <w:style w:type="character" w:customStyle="1" w:styleId="Heading9Char">
    <w:name w:val="Heading 9 Char"/>
    <w:basedOn w:val="DefaultParagraphFont"/>
    <w:link w:val="Heading9"/>
    <w:rsid w:val="00B91A90"/>
    <w:rPr>
      <w:rFonts w:ascii="Cambria" w:eastAsia="MS Mincho" w:hAnsi="Cambria" w:cs="Cambria"/>
      <w:i/>
      <w:iCs/>
      <w:spacing w:val="5"/>
      <w:sz w:val="20"/>
      <w:szCs w:val="20"/>
    </w:rPr>
  </w:style>
  <w:style w:type="paragraph" w:styleId="NoSpacing">
    <w:name w:val="No Spacing"/>
    <w:link w:val="NoSpacingChar"/>
    <w:uiPriority w:val="1"/>
    <w:qFormat/>
    <w:rsid w:val="00B91A90"/>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B91A90"/>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B91A90"/>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B91A90"/>
    <w:rPr>
      <w:rFonts w:ascii="Tahoma" w:eastAsia="Calibri" w:hAnsi="Tahoma" w:cs="Tahoma"/>
      <w:sz w:val="16"/>
      <w:szCs w:val="16"/>
    </w:rPr>
  </w:style>
  <w:style w:type="paragraph" w:styleId="Header">
    <w:name w:val="header"/>
    <w:basedOn w:val="Normal"/>
    <w:link w:val="HeaderChar"/>
    <w:uiPriority w:val="99"/>
    <w:unhideWhenUsed/>
    <w:rsid w:val="00B91A90"/>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B91A90"/>
    <w:rPr>
      <w:rFonts w:ascii="Calibri" w:eastAsia="Calibri" w:hAnsi="Calibri" w:cs="Times New Roman"/>
    </w:rPr>
  </w:style>
  <w:style w:type="paragraph" w:styleId="Footer">
    <w:name w:val="footer"/>
    <w:basedOn w:val="Normal"/>
    <w:link w:val="FooterChar"/>
    <w:uiPriority w:val="99"/>
    <w:unhideWhenUsed/>
    <w:rsid w:val="00B91A90"/>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B91A90"/>
    <w:rPr>
      <w:rFonts w:ascii="Calibri" w:eastAsia="Calibri" w:hAnsi="Calibri" w:cs="Times New Roman"/>
    </w:rPr>
  </w:style>
  <w:style w:type="paragraph" w:customStyle="1" w:styleId="Akti">
    <w:name w:val="Akti"/>
    <w:link w:val="AktiChar"/>
    <w:rsid w:val="00B91A9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91A90"/>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91A90"/>
    <w:rPr>
      <w:rFonts w:ascii="Garamond" w:eastAsia="MS Mincho" w:hAnsi="Garamond" w:cs="CG Times"/>
      <w:b/>
      <w:bCs/>
      <w:sz w:val="24"/>
      <w:lang w:val="en-GB"/>
    </w:rPr>
  </w:style>
  <w:style w:type="paragraph" w:customStyle="1" w:styleId="Paragrafi">
    <w:name w:val="Paragrafi"/>
    <w:link w:val="ParagrafiChar"/>
    <w:rsid w:val="00B91A9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91A90"/>
    <w:rPr>
      <w:rFonts w:ascii="Garamond" w:eastAsia="MS Mincho" w:hAnsi="Garamond" w:cs="CG Times"/>
      <w:sz w:val="24"/>
    </w:rPr>
  </w:style>
  <w:style w:type="paragraph" w:customStyle="1" w:styleId="Titulli">
    <w:name w:val="Titulli"/>
    <w:next w:val="Normal"/>
    <w:link w:val="TitulliChar"/>
    <w:rsid w:val="00B91A9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B91A90"/>
    <w:rPr>
      <w:rFonts w:ascii="Garamond" w:eastAsia="MS Mincho" w:hAnsi="Garamond" w:cs="CG Times"/>
      <w:b/>
      <w:bCs/>
      <w:caps/>
      <w:sz w:val="24"/>
      <w:lang w:val="en-GB"/>
    </w:rPr>
  </w:style>
  <w:style w:type="character" w:customStyle="1" w:styleId="AktiChar">
    <w:name w:val="Akti Char"/>
    <w:basedOn w:val="DefaultParagraphFont"/>
    <w:link w:val="Akti"/>
    <w:rsid w:val="00B91A90"/>
    <w:rPr>
      <w:rFonts w:ascii="Garamond" w:eastAsia="MS Mincho" w:hAnsi="Garamond" w:cs="CG Times"/>
      <w:b/>
      <w:bCs/>
      <w:caps/>
      <w:color w:val="000000"/>
      <w:sz w:val="24"/>
      <w:lang w:val="en-GB"/>
    </w:rPr>
  </w:style>
  <w:style w:type="paragraph" w:customStyle="1" w:styleId="NeniNr">
    <w:name w:val="Neni_Nr"/>
    <w:next w:val="Normal"/>
    <w:link w:val="NeniNrChar"/>
    <w:rsid w:val="00B91A9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91A9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91A90"/>
    <w:rPr>
      <w:rFonts w:ascii="Garamond" w:eastAsia="MS Mincho" w:hAnsi="Garamond" w:cs="CG Times"/>
      <w:sz w:val="24"/>
      <w:lang w:val="en-GB"/>
    </w:rPr>
  </w:style>
  <w:style w:type="paragraph" w:customStyle="1" w:styleId="Autoriteti">
    <w:name w:val="Autoriteti"/>
    <w:next w:val="Normal"/>
    <w:link w:val="AutoritetiChar"/>
    <w:rsid w:val="00B91A9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B91A9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B91A90"/>
    <w:rPr>
      <w:rFonts w:ascii="Garamond" w:eastAsia="MS Mincho" w:hAnsi="Garamond" w:cs="CG Times"/>
      <w:caps/>
      <w:sz w:val="24"/>
      <w:lang w:val="en-GB"/>
    </w:rPr>
  </w:style>
  <w:style w:type="character" w:customStyle="1" w:styleId="AutoritetiEmerChar">
    <w:name w:val="Autoriteti_Emer Char"/>
    <w:link w:val="AutoritetiEmer"/>
    <w:locked/>
    <w:rsid w:val="00B91A90"/>
    <w:rPr>
      <w:rFonts w:ascii="Garamond" w:eastAsia="MS Mincho" w:hAnsi="Garamond" w:cs="Times New Roman"/>
      <w:b/>
      <w:bCs/>
      <w:sz w:val="24"/>
      <w:lang w:val="en-GB"/>
    </w:rPr>
  </w:style>
  <w:style w:type="paragraph" w:customStyle="1" w:styleId="Titull-Titull">
    <w:name w:val="Titull-Titull"/>
    <w:basedOn w:val="Paragrafi"/>
    <w:qFormat/>
    <w:rsid w:val="00B91A90"/>
    <w:pPr>
      <w:ind w:firstLine="0"/>
      <w:jc w:val="center"/>
    </w:pPr>
    <w:rPr>
      <w:caps/>
      <w:szCs w:val="24"/>
    </w:rPr>
  </w:style>
  <w:style w:type="paragraph" w:customStyle="1" w:styleId="Vendosi">
    <w:name w:val="Vendosi"/>
    <w:basedOn w:val="Titull-Titull"/>
    <w:qFormat/>
    <w:rsid w:val="00B91A90"/>
  </w:style>
  <w:style w:type="paragraph" w:customStyle="1" w:styleId="Hapesira7">
    <w:name w:val="Hapesira 7"/>
    <w:basedOn w:val="Paragrafi"/>
    <w:qFormat/>
    <w:rsid w:val="00B91A90"/>
    <w:rPr>
      <w:sz w:val="14"/>
      <w:szCs w:val="24"/>
    </w:rPr>
  </w:style>
  <w:style w:type="paragraph" w:styleId="ListParagraph">
    <w:name w:val="List Paragraph"/>
    <w:aliases w:val="List Paragraph2,Normal 1,List Paragraph1,Dot pt,F5 List Paragraph,List Paragraph Char Char Char,Indicator Text,Colorful List - Accent 11,Numbered Para 1,Bullet 1,Bullet Points,MAIN CONTENT,Párrafo de lista,Recommendation,No Spacing1"/>
    <w:basedOn w:val="Normal"/>
    <w:link w:val="ListParagraphChar"/>
    <w:uiPriority w:val="34"/>
    <w:qFormat/>
    <w:rsid w:val="00B91A90"/>
    <w:pPr>
      <w:spacing w:after="200" w:line="276" w:lineRule="auto"/>
      <w:ind w:left="720"/>
      <w:contextualSpacing/>
    </w:pPr>
    <w:rPr>
      <w:rFonts w:ascii="Calibri" w:eastAsia="Times New Roman" w:hAnsi="Calibri" w:cs="Times New Roman"/>
      <w:lang/>
    </w:rPr>
  </w:style>
  <w:style w:type="character" w:customStyle="1" w:styleId="ListParagraphChar">
    <w:name w:val="List Paragraph Char"/>
    <w:aliases w:val="List Paragraph2 Char,Normal 1 Char,List Paragraph1 Char,Dot pt Char,F5 List Paragraph Char,List Paragraph Char Char Char Char,Indicator Text Char,Colorful List - Accent 11 Char,Numbered Para 1 Char,Bullet 1 Char,Bullet Points Char"/>
    <w:link w:val="ListParagraph"/>
    <w:uiPriority w:val="34"/>
    <w:qFormat/>
    <w:locked/>
    <w:rsid w:val="00B91A90"/>
    <w:rPr>
      <w:rFonts w:ascii="Calibri" w:eastAsia="Times New Roman" w:hAnsi="Calibri" w:cs="Times New Roman"/>
      <w:lang/>
    </w:rPr>
  </w:style>
  <w:style w:type="paragraph" w:customStyle="1" w:styleId="Style1">
    <w:name w:val="Style1"/>
    <w:basedOn w:val="Akti"/>
    <w:qFormat/>
    <w:rsid w:val="00B91A90"/>
  </w:style>
  <w:style w:type="character" w:customStyle="1" w:styleId="Heading2Char1">
    <w:name w:val="Heading 2 Char1"/>
    <w:link w:val="Heading2"/>
    <w:uiPriority w:val="9"/>
    <w:locked/>
    <w:rsid w:val="00B91A90"/>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B91A90"/>
    <w:rPr>
      <w:rFonts w:ascii="Cambria" w:eastAsia="MS Mincho" w:hAnsi="Cambria" w:cs="Cambria"/>
      <w:b/>
      <w:bCs/>
      <w:sz w:val="24"/>
      <w:szCs w:val="24"/>
    </w:rPr>
  </w:style>
  <w:style w:type="paragraph" w:customStyle="1" w:styleId="ADDRESS">
    <w:name w:val="ADDRESS"/>
    <w:basedOn w:val="Normal"/>
    <w:rsid w:val="00B91A90"/>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B91A90"/>
    <w:pPr>
      <w:spacing w:after="0" w:line="240" w:lineRule="auto"/>
      <w:jc w:val="both"/>
    </w:pPr>
    <w:rPr>
      <w:rFonts w:ascii="CG Times" w:eastAsia="MS Mincho" w:hAnsi="CG Times" w:cs="CG Times"/>
      <w:sz w:val="21"/>
      <w:lang w:val="en-GB"/>
    </w:rPr>
  </w:style>
  <w:style w:type="paragraph" w:customStyle="1" w:styleId="AneksiNr">
    <w:name w:val="Aneksi_Nr"/>
    <w:next w:val="Normal"/>
    <w:rsid w:val="00B91A9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B91A90"/>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B91A90"/>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B91A90"/>
    <w:rPr>
      <w:rFonts w:ascii="Arial" w:eastAsia="Times New Roman" w:hAnsi="Arial" w:cs="Arial"/>
      <w:color w:val="000000"/>
      <w:sz w:val="24"/>
      <w:szCs w:val="24"/>
    </w:rPr>
  </w:style>
  <w:style w:type="paragraph" w:customStyle="1" w:styleId="BazLigjPropozues">
    <w:name w:val="Baz_Ligj_Propozues"/>
    <w:rsid w:val="00B91A90"/>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B91A90"/>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B91A90"/>
    <w:rPr>
      <w:rFonts w:ascii="Times New Roman" w:eastAsia="Times New Roman" w:hAnsi="Times New Roman" w:cs="Times New Roman"/>
      <w:caps/>
      <w:sz w:val="26"/>
      <w:szCs w:val="26"/>
      <w:lang w:val="en-GB"/>
    </w:rPr>
  </w:style>
  <w:style w:type="character" w:customStyle="1" w:styleId="apple-converted-space">
    <w:name w:val="apple-converted-space"/>
    <w:rsid w:val="00B91A90"/>
  </w:style>
  <w:style w:type="character" w:styleId="Hyperlink">
    <w:name w:val="Hyperlink"/>
    <w:uiPriority w:val="99"/>
    <w:unhideWhenUsed/>
    <w:rsid w:val="00B91A90"/>
    <w:rPr>
      <w:color w:val="0000FF"/>
      <w:u w:val="single"/>
    </w:rPr>
  </w:style>
  <w:style w:type="character" w:styleId="FollowedHyperlink">
    <w:name w:val="FollowedHyperlink"/>
    <w:uiPriority w:val="99"/>
    <w:unhideWhenUsed/>
    <w:rsid w:val="00B91A90"/>
    <w:rPr>
      <w:color w:val="800080"/>
      <w:u w:val="single"/>
    </w:rPr>
  </w:style>
  <w:style w:type="paragraph" w:customStyle="1" w:styleId="font5">
    <w:name w:val="font5"/>
    <w:basedOn w:val="Normal"/>
    <w:rsid w:val="00B91A90"/>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B91A90"/>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B91A90"/>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B91A90"/>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B91A90"/>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B91A90"/>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B91A90"/>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B91A9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B91A90"/>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B91A9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B91A90"/>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B91A9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B91A90"/>
    <w:pPr>
      <w:pageBreakBefore/>
      <w:spacing w:after="0" w:line="240" w:lineRule="auto"/>
      <w:jc w:val="both"/>
    </w:pPr>
    <w:rPr>
      <w:rFonts w:ascii="CG Times" w:eastAsia="MS Mincho" w:hAnsi="CG Times" w:cs="CG Times"/>
      <w:b/>
      <w:bCs/>
      <w:sz w:val="21"/>
    </w:rPr>
  </w:style>
  <w:style w:type="paragraph" w:customStyle="1" w:styleId="KapitulliNr">
    <w:name w:val="Kapitulli_Nr"/>
    <w:rsid w:val="00B91A9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B91A9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B91A9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B91A90"/>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B91A9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B91A90"/>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B91A9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B91A90"/>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B91A90"/>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B91A90"/>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B91A90"/>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B91A90"/>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B91A90"/>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B91A9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B91A9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B91A90"/>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B91A90"/>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B91A90"/>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B91A90"/>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B91A90"/>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B91A90"/>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B91A90"/>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B91A90"/>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B91A90"/>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B91A90"/>
  </w:style>
  <w:style w:type="paragraph" w:customStyle="1" w:styleId="PjesaNr">
    <w:name w:val="Pjesa_Nr"/>
    <w:next w:val="Normal"/>
    <w:rsid w:val="00B91A9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B91A9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B91A90"/>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B91A90"/>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B91A90"/>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B91A90"/>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B91A9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B91A90"/>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B91A90"/>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B91A90"/>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B91A9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B91A9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B91A90"/>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B91A90"/>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B91A90"/>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B91A90"/>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B91A90"/>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B91A90"/>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B91A9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B91A90"/>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B91A90"/>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B91A9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B91A9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B91A9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B91A9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B91A9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B91A9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B91A9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B91A90"/>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B91A9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B91A90"/>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B91A9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B91A9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B91A9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B91A9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B91A90"/>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39"/>
    <w:rsid w:val="00B91A9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B91A9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B91A9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B91A90"/>
    <w:rPr>
      <w:b/>
      <w:bCs/>
    </w:rPr>
  </w:style>
  <w:style w:type="paragraph" w:customStyle="1" w:styleId="xl136">
    <w:name w:val="xl136"/>
    <w:basedOn w:val="Normal"/>
    <w:rsid w:val="00B91A9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B91A9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B91A90"/>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B91A90"/>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B91A9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B91A90"/>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B91A9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B91A9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B91A9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B91A9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B91A9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B91A9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B91A90"/>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B91A9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B91A90"/>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B91A9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B91A9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B91A9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B91A90"/>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91A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91A90"/>
  </w:style>
  <w:style w:type="paragraph" w:styleId="Title">
    <w:name w:val="Title"/>
    <w:basedOn w:val="Heading1"/>
    <w:next w:val="Normal"/>
    <w:link w:val="TitleChar"/>
    <w:qFormat/>
    <w:rsid w:val="00B91A90"/>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B91A90"/>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B91A90"/>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autoRedefine/>
    <w:uiPriority w:val="39"/>
    <w:unhideWhenUsed/>
    <w:qFormat/>
    <w:rsid w:val="00B91A90"/>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B91A90"/>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iPriority w:val="39"/>
    <w:unhideWhenUsed/>
    <w:qFormat/>
    <w:rsid w:val="00B91A90"/>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B91A90"/>
    <w:pPr>
      <w:spacing w:after="100" w:line="276" w:lineRule="auto"/>
      <w:ind w:left="660"/>
    </w:pPr>
    <w:rPr>
      <w:rFonts w:ascii="Calibri" w:eastAsia="Times New Roman" w:hAnsi="Calibri" w:cs="Times New Roman"/>
    </w:rPr>
  </w:style>
  <w:style w:type="paragraph" w:styleId="TOC5">
    <w:name w:val="toc 5"/>
    <w:basedOn w:val="Normal"/>
    <w:next w:val="Normal"/>
    <w:autoRedefine/>
    <w:unhideWhenUsed/>
    <w:rsid w:val="00B91A90"/>
    <w:pPr>
      <w:spacing w:after="100" w:line="276" w:lineRule="auto"/>
      <w:ind w:left="880"/>
    </w:pPr>
    <w:rPr>
      <w:rFonts w:ascii="Calibri" w:eastAsia="Times New Roman" w:hAnsi="Calibri" w:cs="Times New Roman"/>
    </w:rPr>
  </w:style>
  <w:style w:type="paragraph" w:styleId="TOC6">
    <w:name w:val="toc 6"/>
    <w:basedOn w:val="Normal"/>
    <w:next w:val="Normal"/>
    <w:autoRedefine/>
    <w:unhideWhenUsed/>
    <w:rsid w:val="00B91A90"/>
    <w:pPr>
      <w:spacing w:after="100" w:line="276" w:lineRule="auto"/>
      <w:ind w:left="1100"/>
    </w:pPr>
    <w:rPr>
      <w:rFonts w:ascii="Calibri" w:eastAsia="Times New Roman" w:hAnsi="Calibri" w:cs="Times New Roman"/>
    </w:rPr>
  </w:style>
  <w:style w:type="paragraph" w:styleId="TOC7">
    <w:name w:val="toc 7"/>
    <w:basedOn w:val="Normal"/>
    <w:next w:val="Normal"/>
    <w:autoRedefine/>
    <w:unhideWhenUsed/>
    <w:rsid w:val="00B91A90"/>
    <w:pPr>
      <w:spacing w:after="100" w:line="276" w:lineRule="auto"/>
      <w:ind w:left="1320"/>
    </w:pPr>
    <w:rPr>
      <w:rFonts w:ascii="Calibri" w:eastAsia="Times New Roman" w:hAnsi="Calibri" w:cs="Times New Roman"/>
    </w:rPr>
  </w:style>
  <w:style w:type="paragraph" w:styleId="TOC8">
    <w:name w:val="toc 8"/>
    <w:basedOn w:val="Normal"/>
    <w:next w:val="Normal"/>
    <w:autoRedefine/>
    <w:unhideWhenUsed/>
    <w:rsid w:val="00B91A90"/>
    <w:pPr>
      <w:spacing w:after="100" w:line="276" w:lineRule="auto"/>
      <w:ind w:left="1540"/>
    </w:pPr>
    <w:rPr>
      <w:rFonts w:ascii="Calibri" w:eastAsia="Times New Roman" w:hAnsi="Calibri" w:cs="Times New Roman"/>
    </w:rPr>
  </w:style>
  <w:style w:type="paragraph" w:styleId="TOC9">
    <w:name w:val="toc 9"/>
    <w:basedOn w:val="Normal"/>
    <w:next w:val="Normal"/>
    <w:autoRedefine/>
    <w:unhideWhenUsed/>
    <w:rsid w:val="00B91A90"/>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nhideWhenUsed/>
    <w:rsid w:val="00B91A90"/>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B91A90"/>
    <w:rPr>
      <w:rFonts w:ascii="Calibri" w:eastAsia="Calibri" w:hAnsi="Calibri" w:cs="Times New Roman"/>
    </w:rPr>
  </w:style>
  <w:style w:type="paragraph" w:customStyle="1" w:styleId="numridata0">
    <w:name w:val="numridata"/>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B91A90"/>
    <w:pPr>
      <w:spacing w:line="240" w:lineRule="exact"/>
    </w:pPr>
    <w:rPr>
      <w:rFonts w:ascii="Tahoma" w:eastAsia="MS Mincho" w:hAnsi="Tahoma" w:cs="Times New Roman"/>
      <w:sz w:val="20"/>
      <w:szCs w:val="20"/>
      <w:lang w:val="sq-AL"/>
    </w:rPr>
  </w:style>
  <w:style w:type="paragraph" w:styleId="BodyText3">
    <w:name w:val="Body Text 3"/>
    <w:basedOn w:val="Normal"/>
    <w:link w:val="BodyText3Char"/>
    <w:rsid w:val="00B91A90"/>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91A90"/>
    <w:rPr>
      <w:rFonts w:ascii="Times New Roman" w:eastAsia="Times New Roman" w:hAnsi="Times New Roman" w:cs="Times New Roman"/>
      <w:sz w:val="16"/>
      <w:szCs w:val="16"/>
    </w:rPr>
  </w:style>
  <w:style w:type="paragraph" w:customStyle="1" w:styleId="s32b251d">
    <w:name w:val="s32b251d"/>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B91A90"/>
  </w:style>
  <w:style w:type="paragraph" w:customStyle="1" w:styleId="s30eec3f8">
    <w:name w:val="s30eec3f8"/>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B91A90"/>
    <w:rPr>
      <w:sz w:val="24"/>
      <w:lang w:val="en-GB" w:eastAsia="fr-FR"/>
    </w:rPr>
  </w:style>
  <w:style w:type="paragraph" w:customStyle="1" w:styleId="JuPara">
    <w:name w:val="Ju_Para"/>
    <w:basedOn w:val="Normal"/>
    <w:link w:val="JuParaCar"/>
    <w:rsid w:val="00B91A90"/>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B91A90"/>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B91A90"/>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91A90"/>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B91A9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B91A90"/>
    <w:rPr>
      <w:vertAlign w:val="superscript"/>
    </w:rPr>
  </w:style>
  <w:style w:type="paragraph" w:customStyle="1" w:styleId="ju-005fpara">
    <w:name w:val="ju-005fpara"/>
    <w:basedOn w:val="Normal"/>
    <w:rsid w:val="00B91A90"/>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B91A90"/>
  </w:style>
  <w:style w:type="character" w:customStyle="1" w:styleId="s7d2086b4">
    <w:name w:val="s7d2086b4"/>
    <w:basedOn w:val="DefaultParagraphFont"/>
    <w:uiPriority w:val="99"/>
    <w:rsid w:val="00B91A90"/>
  </w:style>
  <w:style w:type="character" w:customStyle="1" w:styleId="hps">
    <w:name w:val="hps"/>
    <w:basedOn w:val="DefaultParagraphFont"/>
    <w:rsid w:val="00B91A90"/>
  </w:style>
  <w:style w:type="paragraph" w:customStyle="1" w:styleId="paragrafi0">
    <w:name w:val="paragrafi"/>
    <w:basedOn w:val="Normal"/>
    <w:rsid w:val="00B91A90"/>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B91A90"/>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B91A90"/>
    <w:rPr>
      <w:rFonts w:cs="Times New Roman"/>
    </w:rPr>
  </w:style>
  <w:style w:type="paragraph" w:customStyle="1" w:styleId="titulli0">
    <w:name w:val="titulli"/>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B91A90"/>
  </w:style>
  <w:style w:type="paragraph" w:customStyle="1" w:styleId="akti0">
    <w:name w:val="akti"/>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B91A90"/>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B91A90"/>
  </w:style>
  <w:style w:type="paragraph" w:customStyle="1" w:styleId="CM49">
    <w:name w:val="CM49"/>
    <w:basedOn w:val="Normal"/>
    <w:next w:val="Normal"/>
    <w:rsid w:val="00B91A90"/>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B91A90"/>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B91A90"/>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B91A90"/>
    <w:pPr>
      <w:widowControl w:val="0"/>
    </w:pPr>
    <w:rPr>
      <w:rFonts w:ascii="Helvetica" w:eastAsia="Times New Roman" w:hAnsi="Helvetica" w:cs="Helvetica"/>
      <w:lang w:val="sq-AL"/>
    </w:rPr>
  </w:style>
  <w:style w:type="paragraph" w:customStyle="1" w:styleId="CM57">
    <w:name w:val="CM57"/>
    <w:basedOn w:val="Normal"/>
    <w:next w:val="Normal"/>
    <w:rsid w:val="00B91A90"/>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B91A90"/>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B91A90"/>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B91A9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B91A90"/>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B91A90"/>
  </w:style>
  <w:style w:type="character" w:customStyle="1" w:styleId="StyleHeading6BoldChar">
    <w:name w:val="Style Heading 6 + Bold Char"/>
    <w:link w:val="StyleHeading6Bold"/>
    <w:rsid w:val="00B91A90"/>
    <w:rPr>
      <w:rFonts w:ascii="Cambria" w:eastAsia="MS Mincho" w:hAnsi="Cambria" w:cs="Cambria"/>
      <w:b/>
      <w:bCs/>
      <w:i/>
      <w:iCs/>
      <w:color w:val="7F7F7F"/>
      <w:sz w:val="24"/>
      <w:szCs w:val="24"/>
    </w:rPr>
  </w:style>
  <w:style w:type="paragraph" w:customStyle="1" w:styleId="tableheaders">
    <w:name w:val="table headers"/>
    <w:rsid w:val="00B91A9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B91A90"/>
    <w:rPr>
      <w:b w:val="0"/>
    </w:rPr>
  </w:style>
  <w:style w:type="paragraph" w:styleId="PlainText">
    <w:name w:val="Plain Text"/>
    <w:basedOn w:val="Normal"/>
    <w:link w:val="PlainTextChar"/>
    <w:uiPriority w:val="99"/>
    <w:unhideWhenUsed/>
    <w:rsid w:val="00B91A90"/>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B91A90"/>
    <w:rPr>
      <w:rFonts w:ascii="Consolas" w:eastAsia="Calibri" w:hAnsi="Consolas" w:cs="Times New Roman"/>
      <w:sz w:val="21"/>
      <w:szCs w:val="21"/>
      <w:lang w:val="sq-AL"/>
    </w:rPr>
  </w:style>
  <w:style w:type="paragraph" w:customStyle="1" w:styleId="StyleStyle1Bold">
    <w:name w:val="Style Style1 + Bold"/>
    <w:basedOn w:val="Style1"/>
    <w:rsid w:val="00B91A90"/>
  </w:style>
  <w:style w:type="paragraph" w:customStyle="1" w:styleId="CM1">
    <w:name w:val="CM1"/>
    <w:basedOn w:val="Default"/>
    <w:next w:val="Default"/>
    <w:rsid w:val="00B91A90"/>
    <w:rPr>
      <w:rFonts w:ascii="EUAlbertina" w:hAnsi="EUAlbertina"/>
      <w:color w:val="auto"/>
    </w:rPr>
  </w:style>
  <w:style w:type="paragraph" w:customStyle="1" w:styleId="CM4">
    <w:name w:val="CM4"/>
    <w:basedOn w:val="Normal"/>
    <w:next w:val="Normal"/>
    <w:rsid w:val="00B91A90"/>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B91A90"/>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B91A90"/>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B91A90"/>
    <w:rPr>
      <w:rFonts w:ascii="Tahoma" w:eastAsia="Times New Roman" w:hAnsi="Tahoma" w:cs="Times New Roman"/>
      <w:sz w:val="16"/>
      <w:szCs w:val="16"/>
      <w:lang w:val="sq-AL"/>
    </w:rPr>
  </w:style>
  <w:style w:type="numbering" w:customStyle="1" w:styleId="NoList3">
    <w:name w:val="No List3"/>
    <w:next w:val="NoList"/>
    <w:semiHidden/>
    <w:rsid w:val="00B91A90"/>
  </w:style>
  <w:style w:type="numbering" w:customStyle="1" w:styleId="NoList4">
    <w:name w:val="No List4"/>
    <w:next w:val="NoList"/>
    <w:semiHidden/>
    <w:rsid w:val="00B91A90"/>
  </w:style>
  <w:style w:type="paragraph" w:customStyle="1" w:styleId="Point1">
    <w:name w:val="Point 1"/>
    <w:basedOn w:val="Normal"/>
    <w:link w:val="Point1Char"/>
    <w:rsid w:val="00B91A90"/>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B91A90"/>
    <w:rPr>
      <w:rFonts w:ascii="Calibri" w:eastAsia="Times New Roman" w:hAnsi="Calibri" w:cs="Times New Roman"/>
      <w:sz w:val="24"/>
      <w:szCs w:val="24"/>
      <w:lang w:val="en-GB" w:eastAsia="en-GB"/>
    </w:rPr>
  </w:style>
  <w:style w:type="character" w:customStyle="1" w:styleId="longtext">
    <w:name w:val="long_text"/>
    <w:rsid w:val="00B91A90"/>
    <w:rPr>
      <w:rFonts w:ascii="Comic Sans MS" w:hAnsi="Comic Sans MS"/>
      <w:b/>
      <w:sz w:val="96"/>
      <w:szCs w:val="24"/>
      <w:lang w:val="pl-PL" w:eastAsia="pl-PL" w:bidi="ar-SA"/>
    </w:rPr>
  </w:style>
  <w:style w:type="paragraph" w:customStyle="1" w:styleId="Text1">
    <w:name w:val="Text 1"/>
    <w:basedOn w:val="Normal"/>
    <w:link w:val="Text1Char"/>
    <w:rsid w:val="00B91A90"/>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B91A90"/>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B91A90"/>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B91A90"/>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B91A90"/>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B91A90"/>
  </w:style>
  <w:style w:type="character" w:customStyle="1" w:styleId="SectionTitleCharCharChar">
    <w:name w:val="SectionTitle Char Char Char"/>
    <w:link w:val="SectionTitleCharChar"/>
    <w:rsid w:val="00B91A9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B91A90"/>
    <w:rPr>
      <w:rFonts w:ascii="Calibri" w:eastAsia="Times New Roman" w:hAnsi="Calibri" w:cs="Times New Roman"/>
      <w:b/>
      <w:bCs/>
      <w:smallCaps/>
      <w:sz w:val="28"/>
      <w:szCs w:val="28"/>
      <w:lang w:val="en-GB" w:eastAsia="en-GB"/>
    </w:rPr>
  </w:style>
  <w:style w:type="character" w:customStyle="1" w:styleId="Text1Char">
    <w:name w:val="Text 1 Char"/>
    <w:link w:val="Text1"/>
    <w:rsid w:val="00B91A90"/>
    <w:rPr>
      <w:rFonts w:ascii="Calibri" w:eastAsia="Times New Roman" w:hAnsi="Calibri" w:cs="Times New Roman"/>
      <w:sz w:val="24"/>
      <w:szCs w:val="24"/>
      <w:lang w:val="en-GB" w:eastAsia="en-GB"/>
    </w:rPr>
  </w:style>
  <w:style w:type="character" w:customStyle="1" w:styleId="Point1CharChar">
    <w:name w:val="Point 1 Char Char"/>
    <w:rsid w:val="00B91A90"/>
    <w:rPr>
      <w:sz w:val="24"/>
      <w:szCs w:val="24"/>
      <w:lang w:val="en-GB" w:eastAsia="en-GB" w:bidi="ar-SA"/>
    </w:rPr>
  </w:style>
  <w:style w:type="paragraph" w:customStyle="1" w:styleId="Point0">
    <w:name w:val="Point 0"/>
    <w:basedOn w:val="Normal"/>
    <w:rsid w:val="00B91A90"/>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B91A90"/>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B91A90"/>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B91A90"/>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B91A90"/>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B91A90"/>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B91A90"/>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B91A9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B91A90"/>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B91A90"/>
    <w:rPr>
      <w:rFonts w:ascii="CG Times" w:hAnsi="CG Times"/>
      <w:sz w:val="22"/>
      <w:lang w:val="en-US" w:eastAsia="en-US" w:bidi="ar-SA"/>
    </w:rPr>
  </w:style>
  <w:style w:type="paragraph" w:customStyle="1" w:styleId="SectionTitle">
    <w:name w:val="SectionTitle"/>
    <w:basedOn w:val="Normal"/>
    <w:next w:val="Heading1"/>
    <w:rsid w:val="00B91A90"/>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B91A90"/>
  </w:style>
  <w:style w:type="paragraph" w:styleId="TableofFigures">
    <w:name w:val="table of figures"/>
    <w:basedOn w:val="Normal"/>
    <w:next w:val="Normal"/>
    <w:rsid w:val="00B91A90"/>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B91A90"/>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B91A90"/>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B91A90"/>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B91A90"/>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B91A90"/>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B91A90"/>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B91A90"/>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B91A90"/>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B91A90"/>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B91A90"/>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B91A90"/>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B91A90"/>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B91A90"/>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B91A90"/>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B91A90"/>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B91A90"/>
    <w:pPr>
      <w:spacing w:after="0" w:line="360" w:lineRule="auto"/>
    </w:pPr>
    <w:rPr>
      <w:rFonts w:ascii="Tahoma" w:eastAsia="Times New Roman" w:hAnsi="Tahoma" w:cs="Times New Roman"/>
      <w:lang w:val="de-AT" w:eastAsia="de-DE"/>
    </w:rPr>
  </w:style>
  <w:style w:type="paragraph" w:styleId="List">
    <w:name w:val="List"/>
    <w:basedOn w:val="Normal"/>
    <w:rsid w:val="00B91A90"/>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B91A90"/>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B91A90"/>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B91A90"/>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B91A90"/>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B91A90"/>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B91A90"/>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B91A90"/>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B91A90"/>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B91A90"/>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B91A90"/>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B91A90"/>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B91A90"/>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B91A90"/>
    <w:rPr>
      <w:sz w:val="16"/>
      <w:szCs w:val="16"/>
    </w:rPr>
  </w:style>
  <w:style w:type="paragraph" w:styleId="CommentText">
    <w:name w:val="annotation text"/>
    <w:aliases w:val=" Char"/>
    <w:basedOn w:val="Normal"/>
    <w:link w:val="CommentTextChar"/>
    <w:uiPriority w:val="99"/>
    <w:unhideWhenUsed/>
    <w:rsid w:val="00B91A90"/>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B91A9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91A90"/>
    <w:rPr>
      <w:b/>
      <w:bCs/>
    </w:rPr>
  </w:style>
  <w:style w:type="character" w:customStyle="1" w:styleId="CommentSubjectChar">
    <w:name w:val="Comment Subject Char"/>
    <w:basedOn w:val="CommentTextChar"/>
    <w:link w:val="CommentSubject"/>
    <w:uiPriority w:val="99"/>
    <w:rsid w:val="00B91A90"/>
    <w:rPr>
      <w:rFonts w:ascii="Calibri" w:eastAsia="MS Mincho" w:hAnsi="Calibri" w:cs="Times New Roman"/>
      <w:b/>
      <w:bCs/>
      <w:sz w:val="20"/>
      <w:szCs w:val="20"/>
      <w:lang w:val="sq-AL"/>
    </w:rPr>
  </w:style>
  <w:style w:type="paragraph" w:styleId="ListNumber4">
    <w:name w:val="List Number 4"/>
    <w:basedOn w:val="Normal"/>
    <w:rsid w:val="00B91A90"/>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B91A90"/>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semiHidden/>
    <w:unhideWhenUsed/>
    <w:rsid w:val="00B91A90"/>
  </w:style>
  <w:style w:type="paragraph" w:styleId="MacroText">
    <w:name w:val="macro"/>
    <w:link w:val="MacroTextChar"/>
    <w:semiHidden/>
    <w:rsid w:val="00B91A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B91A90"/>
    <w:rPr>
      <w:rFonts w:ascii="Courier New" w:eastAsia="Times New Roman" w:hAnsi="Courier New" w:cs="Times New Roman"/>
      <w:lang w:val="de-DE" w:eastAsia="de-DE"/>
    </w:rPr>
  </w:style>
  <w:style w:type="paragraph" w:styleId="NormalIndent">
    <w:name w:val="Normal Indent"/>
    <w:basedOn w:val="Normal"/>
    <w:link w:val="NormalIndentChar"/>
    <w:rsid w:val="00B91A90"/>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B91A90"/>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B91A90"/>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B91A90"/>
    <w:rPr>
      <w:rFonts w:ascii="Tahoma" w:hAnsi="Tahoma"/>
      <w:sz w:val="22"/>
    </w:rPr>
  </w:style>
  <w:style w:type="paragraph" w:styleId="BlockText">
    <w:name w:val="Block Text"/>
    <w:basedOn w:val="Normal"/>
    <w:rsid w:val="00B91A90"/>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B91A90"/>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B91A90"/>
    <w:rPr>
      <w:rFonts w:ascii="Tahoma" w:eastAsia="Times New Roman" w:hAnsi="Tahoma" w:cs="Times New Roman"/>
      <w:lang w:val="de-AT" w:eastAsia="de-DE"/>
    </w:rPr>
  </w:style>
  <w:style w:type="character" w:customStyle="1" w:styleId="Emphasis1">
    <w:name w:val="Emphasis1"/>
    <w:semiHidden/>
    <w:rsid w:val="00B91A90"/>
  </w:style>
  <w:style w:type="paragraph" w:styleId="NoteHeading">
    <w:name w:val="Note Heading"/>
    <w:basedOn w:val="Normal"/>
    <w:next w:val="Normal"/>
    <w:link w:val="NoteHeadingChar"/>
    <w:rsid w:val="00B91A90"/>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B91A90"/>
    <w:rPr>
      <w:rFonts w:ascii="Tahoma" w:eastAsia="Times New Roman" w:hAnsi="Tahoma" w:cs="Times New Roman"/>
      <w:lang w:val="de-AT" w:eastAsia="de-DE"/>
    </w:rPr>
  </w:style>
  <w:style w:type="paragraph" w:styleId="MessageHeader">
    <w:name w:val="Message Header"/>
    <w:basedOn w:val="Normal"/>
    <w:link w:val="MessageHeaderChar"/>
    <w:semiHidden/>
    <w:rsid w:val="00B91A9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B91A9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B91A90"/>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B91A90"/>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B91A90"/>
    <w:rPr>
      <w:rFonts w:ascii="Tahoma" w:eastAsia="Times New Roman" w:hAnsi="Tahoma" w:cs="Times New Roman"/>
      <w:sz w:val="20"/>
      <w:szCs w:val="20"/>
    </w:rPr>
  </w:style>
  <w:style w:type="character" w:styleId="EndnoteReference">
    <w:name w:val="endnote reference"/>
    <w:uiPriority w:val="99"/>
    <w:semiHidden/>
    <w:unhideWhenUsed/>
    <w:rsid w:val="00B91A90"/>
    <w:rPr>
      <w:vertAlign w:val="superscript"/>
    </w:rPr>
  </w:style>
  <w:style w:type="paragraph" w:styleId="BodyTextFirstIndent2">
    <w:name w:val="Body Text First Indent 2"/>
    <w:basedOn w:val="BodyTextIndent"/>
    <w:link w:val="BodyTextFirstIndent2Char"/>
    <w:semiHidden/>
    <w:rsid w:val="00B91A9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B91A90"/>
    <w:rPr>
      <w:rFonts w:ascii="Tahoma" w:eastAsia="Times New Roman" w:hAnsi="Tahoma" w:cs="Times New Roman"/>
      <w:lang w:val="de-AT" w:eastAsia="de-DE"/>
    </w:rPr>
  </w:style>
  <w:style w:type="numbering" w:styleId="111111">
    <w:name w:val="Outline List 2"/>
    <w:basedOn w:val="NoList"/>
    <w:semiHidden/>
    <w:rsid w:val="00B91A90"/>
    <w:pPr>
      <w:numPr>
        <w:numId w:val="14"/>
      </w:numPr>
    </w:pPr>
  </w:style>
  <w:style w:type="paragraph" w:customStyle="1" w:styleId="Zusatz2">
    <w:name w:val="Zusatz 2"/>
    <w:basedOn w:val="Normal"/>
    <w:next w:val="Normal"/>
    <w:semiHidden/>
    <w:rsid w:val="00B91A90"/>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B91A90"/>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B91A90"/>
    <w:pPr>
      <w:numPr>
        <w:numId w:val="15"/>
      </w:numPr>
    </w:pPr>
  </w:style>
  <w:style w:type="paragraph" w:styleId="Salutation">
    <w:name w:val="Salutation"/>
    <w:basedOn w:val="Normal"/>
    <w:next w:val="Normal"/>
    <w:link w:val="SalutationChar"/>
    <w:semiHidden/>
    <w:rsid w:val="00B91A90"/>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B91A90"/>
    <w:rPr>
      <w:rFonts w:ascii="Tahoma" w:eastAsia="Times New Roman" w:hAnsi="Tahoma" w:cs="Times New Roman"/>
      <w:lang w:val="de-AT" w:eastAsia="de-DE"/>
    </w:rPr>
  </w:style>
  <w:style w:type="numbering" w:styleId="ArticleSection">
    <w:name w:val="Outline List 3"/>
    <w:basedOn w:val="NoList"/>
    <w:semiHidden/>
    <w:rsid w:val="00B91A90"/>
    <w:pPr>
      <w:numPr>
        <w:numId w:val="16"/>
      </w:numPr>
    </w:pPr>
  </w:style>
  <w:style w:type="paragraph" w:styleId="Closing">
    <w:name w:val="Closing"/>
    <w:basedOn w:val="Normal"/>
    <w:link w:val="ClosingChar"/>
    <w:semiHidden/>
    <w:rsid w:val="00B91A90"/>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B91A90"/>
    <w:rPr>
      <w:rFonts w:ascii="Tahoma" w:eastAsia="Times New Roman" w:hAnsi="Tahoma" w:cs="Times New Roman"/>
      <w:lang w:val="de-AT" w:eastAsia="de-DE"/>
    </w:rPr>
  </w:style>
  <w:style w:type="character" w:styleId="Emphasis">
    <w:name w:val="Emphasis"/>
    <w:uiPriority w:val="20"/>
    <w:qFormat/>
    <w:rsid w:val="00B91A90"/>
    <w:rPr>
      <w:i/>
      <w:iCs/>
    </w:rPr>
  </w:style>
  <w:style w:type="paragraph" w:styleId="HTMLAddress">
    <w:name w:val="HTML Address"/>
    <w:basedOn w:val="Normal"/>
    <w:link w:val="HTMLAddressChar"/>
    <w:semiHidden/>
    <w:rsid w:val="00B91A90"/>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B91A90"/>
    <w:rPr>
      <w:rFonts w:ascii="Tahoma" w:eastAsia="Times New Roman" w:hAnsi="Tahoma" w:cs="Times New Roman"/>
      <w:i/>
      <w:iCs/>
      <w:lang w:val="de-AT" w:eastAsia="de-DE"/>
    </w:rPr>
  </w:style>
  <w:style w:type="character" w:styleId="HTMLAcronym">
    <w:name w:val="HTML Acronym"/>
    <w:semiHidden/>
    <w:rsid w:val="00B91A90"/>
  </w:style>
  <w:style w:type="character" w:styleId="HTMLSample">
    <w:name w:val="HTML Sample"/>
    <w:semiHidden/>
    <w:rsid w:val="00B91A90"/>
    <w:rPr>
      <w:rFonts w:ascii="Courier New" w:hAnsi="Courier New" w:cs="Courier New"/>
    </w:rPr>
  </w:style>
  <w:style w:type="character" w:styleId="HTMLCode">
    <w:name w:val="HTML Code"/>
    <w:semiHidden/>
    <w:rsid w:val="00B91A90"/>
    <w:rPr>
      <w:rFonts w:ascii="Courier New" w:hAnsi="Courier New" w:cs="Courier New"/>
      <w:sz w:val="20"/>
      <w:szCs w:val="20"/>
    </w:rPr>
  </w:style>
  <w:style w:type="character" w:styleId="HTMLDefinition">
    <w:name w:val="HTML Definition"/>
    <w:semiHidden/>
    <w:rsid w:val="00B91A90"/>
    <w:rPr>
      <w:i/>
      <w:iCs/>
    </w:rPr>
  </w:style>
  <w:style w:type="character" w:styleId="HTMLTypewriter">
    <w:name w:val="HTML Typewriter"/>
    <w:semiHidden/>
    <w:rsid w:val="00B91A90"/>
    <w:rPr>
      <w:rFonts w:ascii="Courier New" w:hAnsi="Courier New" w:cs="Courier New"/>
      <w:sz w:val="20"/>
      <w:szCs w:val="20"/>
    </w:rPr>
  </w:style>
  <w:style w:type="character" w:styleId="HTMLKeyboard">
    <w:name w:val="HTML Keyboard"/>
    <w:semiHidden/>
    <w:rsid w:val="00B91A90"/>
    <w:rPr>
      <w:rFonts w:ascii="Courier New" w:hAnsi="Courier New" w:cs="Courier New"/>
      <w:sz w:val="20"/>
      <w:szCs w:val="20"/>
    </w:rPr>
  </w:style>
  <w:style w:type="character" w:styleId="HTMLVariable">
    <w:name w:val="HTML Variable"/>
    <w:semiHidden/>
    <w:rsid w:val="00B91A90"/>
    <w:rPr>
      <w:i/>
      <w:iCs/>
    </w:rPr>
  </w:style>
  <w:style w:type="paragraph" w:styleId="HTMLPreformatted">
    <w:name w:val="HTML Preformatted"/>
    <w:basedOn w:val="Normal"/>
    <w:link w:val="HTMLPreformattedChar"/>
    <w:uiPriority w:val="99"/>
    <w:rsid w:val="00B91A90"/>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B91A90"/>
    <w:rPr>
      <w:rFonts w:ascii="Courier New" w:eastAsia="Times New Roman" w:hAnsi="Courier New" w:cs="Times New Roman"/>
      <w:sz w:val="20"/>
      <w:lang w:val="de-AT" w:eastAsia="de-DE"/>
    </w:rPr>
  </w:style>
  <w:style w:type="character" w:styleId="HTMLCite">
    <w:name w:val="HTML Cite"/>
    <w:semiHidden/>
    <w:rsid w:val="00B91A90"/>
    <w:rPr>
      <w:i/>
      <w:iCs/>
    </w:rPr>
  </w:style>
  <w:style w:type="table" w:styleId="Table3Deffects1">
    <w:name w:val="Table 3D effects 1"/>
    <w:basedOn w:val="TableNormal"/>
    <w:semiHidden/>
    <w:rsid w:val="00B91A9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91A9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91A9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B91A9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91A9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B91A9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91A9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91A9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B91A90"/>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B91A9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91A9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91A9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91A9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91A9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91A9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91A9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91A9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B91A9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91A9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91A9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91A9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91A9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B91A9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91A9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B91A9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91A9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91A9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B91A9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B91A9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B91A90"/>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B91A90"/>
    <w:rPr>
      <w:rFonts w:ascii="Tahoma" w:eastAsia="Times New Roman" w:hAnsi="Tahoma" w:cs="Times New Roman"/>
      <w:lang w:val="de-AT" w:eastAsia="de-DE"/>
    </w:rPr>
  </w:style>
  <w:style w:type="paragraph" w:styleId="E-mailSignature">
    <w:name w:val="E-mail Signature"/>
    <w:basedOn w:val="Normal"/>
    <w:link w:val="E-mailSignatureChar"/>
    <w:rsid w:val="00B91A90"/>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B91A90"/>
    <w:rPr>
      <w:rFonts w:ascii="Tahoma" w:eastAsia="Times New Roman" w:hAnsi="Tahoma" w:cs="Times New Roman"/>
      <w:lang w:val="de-AT" w:eastAsia="de-DE"/>
    </w:rPr>
  </w:style>
  <w:style w:type="paragraph" w:styleId="BodyText2">
    <w:name w:val="Body Text 2"/>
    <w:basedOn w:val="Normal"/>
    <w:link w:val="BodyText2Char"/>
    <w:rsid w:val="00B91A90"/>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B91A90"/>
    <w:rPr>
      <w:rFonts w:ascii="Tahoma" w:eastAsia="Times New Roman" w:hAnsi="Tahoma" w:cs="Times New Roman"/>
      <w:lang w:val="de-AT" w:eastAsia="de-DE"/>
    </w:rPr>
  </w:style>
  <w:style w:type="paragraph" w:styleId="BodyTextIndent2">
    <w:name w:val="Body Text Indent 2"/>
    <w:basedOn w:val="Normal"/>
    <w:link w:val="BodyTextIndent2Char"/>
    <w:rsid w:val="00B91A90"/>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B91A90"/>
    <w:rPr>
      <w:rFonts w:ascii="Tahoma" w:eastAsia="Times New Roman" w:hAnsi="Tahoma" w:cs="Times New Roman"/>
      <w:lang w:val="de-AT" w:eastAsia="de-DE"/>
    </w:rPr>
  </w:style>
  <w:style w:type="paragraph" w:styleId="BodyTextIndent3">
    <w:name w:val="Body Text Indent 3"/>
    <w:basedOn w:val="Normal"/>
    <w:link w:val="BodyTextIndent3Char"/>
    <w:rsid w:val="00B91A90"/>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B91A9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B91A9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B91A90"/>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B91A90"/>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B91A90"/>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B91A90"/>
    <w:rPr>
      <w:rFonts w:ascii="CG Times" w:eastAsia="Times New Roman" w:hAnsi="CG Times" w:cs="Times New Roman"/>
      <w:b/>
      <w:szCs w:val="24"/>
    </w:rPr>
  </w:style>
  <w:style w:type="character" w:customStyle="1" w:styleId="SubtitleChar1">
    <w:name w:val="Subtitle Char1"/>
    <w:locked/>
    <w:rsid w:val="00B91A90"/>
    <w:rPr>
      <w:rFonts w:ascii="Cambria" w:hAnsi="Cambria"/>
      <w:sz w:val="24"/>
      <w:szCs w:val="24"/>
    </w:rPr>
  </w:style>
  <w:style w:type="paragraph" w:customStyle="1" w:styleId="Char1">
    <w:name w:val="Char1"/>
    <w:basedOn w:val="Normal"/>
    <w:rsid w:val="00B91A90"/>
    <w:pPr>
      <w:spacing w:line="240" w:lineRule="exact"/>
    </w:pPr>
    <w:rPr>
      <w:rFonts w:ascii="Arial" w:eastAsia="Times New Roman" w:hAnsi="Arial" w:cs="Arial"/>
      <w:sz w:val="20"/>
      <w:szCs w:val="20"/>
    </w:rPr>
  </w:style>
  <w:style w:type="character" w:customStyle="1" w:styleId="CharChar11">
    <w:name w:val="Char Char11"/>
    <w:semiHidden/>
    <w:locked/>
    <w:rsid w:val="00B91A90"/>
    <w:rPr>
      <w:rFonts w:ascii="Tahoma" w:hAnsi="Tahoma" w:cs="Tahoma"/>
      <w:i/>
      <w:iCs/>
      <w:sz w:val="22"/>
      <w:szCs w:val="22"/>
      <w:lang w:val="de-AT" w:eastAsia="de-DE" w:bidi="ar-SA"/>
    </w:rPr>
  </w:style>
  <w:style w:type="character" w:customStyle="1" w:styleId="CharChar36">
    <w:name w:val="Char Char36"/>
    <w:locked/>
    <w:rsid w:val="00B91A90"/>
    <w:rPr>
      <w:rFonts w:ascii="Arial" w:hAnsi="Arial" w:cs="Arial"/>
      <w:b/>
      <w:bCs/>
      <w:kern w:val="32"/>
      <w:sz w:val="32"/>
      <w:szCs w:val="32"/>
      <w:lang w:val="sq-AL" w:eastAsia="en-US" w:bidi="ar-SA"/>
    </w:rPr>
  </w:style>
  <w:style w:type="character" w:customStyle="1" w:styleId="CharChar35">
    <w:name w:val="Char Char35"/>
    <w:locked/>
    <w:rsid w:val="00B91A90"/>
    <w:rPr>
      <w:rFonts w:ascii="Arial" w:hAnsi="Arial" w:cs="Arial"/>
      <w:b/>
      <w:bCs/>
      <w:i/>
      <w:iCs/>
      <w:sz w:val="28"/>
      <w:szCs w:val="28"/>
      <w:lang w:val="sq-AL" w:eastAsia="en-US" w:bidi="ar-SA"/>
    </w:rPr>
  </w:style>
  <w:style w:type="character" w:customStyle="1" w:styleId="CharChar34">
    <w:name w:val="Char Char34"/>
    <w:locked/>
    <w:rsid w:val="00B91A90"/>
    <w:rPr>
      <w:rFonts w:ascii="Tahoma" w:hAnsi="Tahoma"/>
      <w:b/>
      <w:kern w:val="28"/>
      <w:sz w:val="24"/>
      <w:szCs w:val="28"/>
      <w:lang w:val="de-AT" w:eastAsia="de-DE" w:bidi="ar-SA"/>
    </w:rPr>
  </w:style>
  <w:style w:type="character" w:customStyle="1" w:styleId="CharChar33">
    <w:name w:val="Char Char33"/>
    <w:locked/>
    <w:rsid w:val="00B91A90"/>
    <w:rPr>
      <w:rFonts w:ascii="Tahoma" w:hAnsi="Tahoma"/>
      <w:b/>
      <w:i/>
      <w:kern w:val="28"/>
      <w:sz w:val="22"/>
      <w:szCs w:val="22"/>
      <w:lang w:val="de-AT" w:eastAsia="de-DE" w:bidi="ar-SA"/>
    </w:rPr>
  </w:style>
  <w:style w:type="character" w:customStyle="1" w:styleId="CharChar32">
    <w:name w:val="Char Char32"/>
    <w:locked/>
    <w:rsid w:val="00B91A90"/>
    <w:rPr>
      <w:rFonts w:ascii="Tahoma" w:hAnsi="Tahoma"/>
      <w:b/>
      <w:i/>
      <w:kern w:val="28"/>
      <w:sz w:val="22"/>
      <w:szCs w:val="22"/>
      <w:lang w:val="de-AT" w:eastAsia="de-DE" w:bidi="ar-SA"/>
    </w:rPr>
  </w:style>
  <w:style w:type="character" w:customStyle="1" w:styleId="CharChar31">
    <w:name w:val="Char Char31"/>
    <w:locked/>
    <w:rsid w:val="00B91A90"/>
    <w:rPr>
      <w:rFonts w:ascii="Tahoma" w:hAnsi="Tahoma"/>
      <w:b/>
      <w:i/>
      <w:kern w:val="28"/>
      <w:sz w:val="22"/>
      <w:szCs w:val="22"/>
      <w:lang w:val="de-AT" w:eastAsia="de-DE" w:bidi="ar-SA"/>
    </w:rPr>
  </w:style>
  <w:style w:type="character" w:customStyle="1" w:styleId="CharChar10">
    <w:name w:val="Char Char10"/>
    <w:semiHidden/>
    <w:locked/>
    <w:rsid w:val="00B91A90"/>
    <w:rPr>
      <w:rFonts w:ascii="Courier New" w:hAnsi="Courier New" w:cs="Courier New"/>
      <w:szCs w:val="22"/>
      <w:lang w:val="de-AT" w:eastAsia="de-DE" w:bidi="ar-SA"/>
    </w:rPr>
  </w:style>
  <w:style w:type="character" w:customStyle="1" w:styleId="CharChar30">
    <w:name w:val="Char Char30"/>
    <w:locked/>
    <w:rsid w:val="00B91A90"/>
    <w:rPr>
      <w:rFonts w:ascii="Tahoma" w:hAnsi="Tahoma"/>
      <w:b/>
      <w:i/>
      <w:kern w:val="28"/>
      <w:sz w:val="22"/>
      <w:szCs w:val="22"/>
      <w:lang w:val="de-AT" w:eastAsia="de-DE" w:bidi="ar-SA"/>
    </w:rPr>
  </w:style>
  <w:style w:type="character" w:customStyle="1" w:styleId="CharChar29">
    <w:name w:val="Char Char29"/>
    <w:locked/>
    <w:rsid w:val="00B91A90"/>
    <w:rPr>
      <w:rFonts w:ascii="Tahoma" w:hAnsi="Tahoma"/>
      <w:b/>
      <w:i/>
      <w:kern w:val="28"/>
      <w:sz w:val="22"/>
      <w:szCs w:val="22"/>
      <w:lang w:val="de-AT" w:eastAsia="de-DE" w:bidi="ar-SA"/>
    </w:rPr>
  </w:style>
  <w:style w:type="character" w:customStyle="1" w:styleId="CharChar28">
    <w:name w:val="Char Char28"/>
    <w:locked/>
    <w:rsid w:val="00B91A90"/>
    <w:rPr>
      <w:rFonts w:ascii="Tahoma" w:hAnsi="Tahoma"/>
      <w:b/>
      <w:i/>
      <w:kern w:val="28"/>
      <w:sz w:val="22"/>
      <w:szCs w:val="22"/>
      <w:lang w:val="de-AT" w:eastAsia="de-DE" w:bidi="ar-SA"/>
    </w:rPr>
  </w:style>
  <w:style w:type="character" w:customStyle="1" w:styleId="CharChar27">
    <w:name w:val="Char Char27"/>
    <w:locked/>
    <w:rsid w:val="00B91A90"/>
    <w:rPr>
      <w:rFonts w:ascii="Calibri" w:eastAsia="Calibri" w:hAnsi="Calibri"/>
      <w:lang w:val="sq-AL" w:eastAsia="en-US" w:bidi="ar-SA"/>
    </w:rPr>
  </w:style>
  <w:style w:type="character" w:customStyle="1" w:styleId="CharChar24">
    <w:name w:val="Char Char24"/>
    <w:locked/>
    <w:rsid w:val="00B91A90"/>
    <w:rPr>
      <w:rFonts w:ascii="Tahoma" w:hAnsi="Tahoma" w:cs="Tahoma"/>
      <w:sz w:val="22"/>
      <w:szCs w:val="22"/>
      <w:lang w:val="de-AT" w:eastAsia="de-DE" w:bidi="ar-SA"/>
    </w:rPr>
  </w:style>
  <w:style w:type="character" w:customStyle="1" w:styleId="CharChar23">
    <w:name w:val="Char Char23"/>
    <w:locked/>
    <w:rsid w:val="00B91A90"/>
    <w:rPr>
      <w:rFonts w:ascii="Tahoma" w:hAnsi="Tahoma" w:cs="Tahoma"/>
      <w:sz w:val="22"/>
      <w:szCs w:val="22"/>
      <w:lang w:val="de-AT" w:eastAsia="de-DE" w:bidi="ar-SA"/>
    </w:rPr>
  </w:style>
  <w:style w:type="character" w:customStyle="1" w:styleId="CharChar22">
    <w:name w:val="Char Char22"/>
    <w:semiHidden/>
    <w:locked/>
    <w:rsid w:val="00B91A90"/>
    <w:rPr>
      <w:rFonts w:ascii="Courier New" w:hAnsi="Courier New" w:cs="Courier New"/>
      <w:sz w:val="22"/>
      <w:szCs w:val="22"/>
      <w:lang w:val="de-DE" w:eastAsia="de-DE" w:bidi="ar-SA"/>
    </w:rPr>
  </w:style>
  <w:style w:type="character" w:customStyle="1" w:styleId="CharChar21">
    <w:name w:val="Char Char21"/>
    <w:locked/>
    <w:rsid w:val="00B91A90"/>
    <w:rPr>
      <w:rFonts w:ascii="Tahoma" w:hAnsi="Tahoma" w:cs="Tahoma"/>
      <w:b/>
      <w:kern w:val="28"/>
      <w:sz w:val="36"/>
      <w:szCs w:val="36"/>
      <w:lang w:val="de-AT" w:eastAsia="de-DE" w:bidi="ar-SA"/>
    </w:rPr>
  </w:style>
  <w:style w:type="character" w:customStyle="1" w:styleId="CharChar12">
    <w:name w:val="Char Char12"/>
    <w:semiHidden/>
    <w:locked/>
    <w:rsid w:val="00B91A90"/>
    <w:rPr>
      <w:rFonts w:ascii="Tahoma" w:hAnsi="Tahoma" w:cs="Tahoma"/>
      <w:sz w:val="22"/>
      <w:szCs w:val="22"/>
      <w:lang w:val="de-AT" w:eastAsia="de-DE" w:bidi="ar-SA"/>
    </w:rPr>
  </w:style>
  <w:style w:type="character" w:customStyle="1" w:styleId="CharChar9">
    <w:name w:val="Char Char9"/>
    <w:semiHidden/>
    <w:locked/>
    <w:rsid w:val="00B91A90"/>
    <w:rPr>
      <w:rFonts w:ascii="Tahoma" w:hAnsi="Tahoma" w:cs="Tahoma"/>
      <w:sz w:val="22"/>
      <w:szCs w:val="22"/>
      <w:lang w:val="de-AT" w:eastAsia="de-DE" w:bidi="ar-SA"/>
    </w:rPr>
  </w:style>
  <w:style w:type="character" w:customStyle="1" w:styleId="CharChar25">
    <w:name w:val="Char Char25"/>
    <w:semiHidden/>
    <w:locked/>
    <w:rsid w:val="00B91A90"/>
    <w:rPr>
      <w:rFonts w:ascii="Tahoma" w:hAnsi="Tahoma" w:cs="Tahoma"/>
      <w:sz w:val="22"/>
      <w:szCs w:val="22"/>
      <w:lang w:val="de-AT" w:eastAsia="de-DE" w:bidi="ar-SA"/>
    </w:rPr>
  </w:style>
  <w:style w:type="character" w:customStyle="1" w:styleId="CharChar15">
    <w:name w:val="Char Char15"/>
    <w:semiHidden/>
    <w:locked/>
    <w:rsid w:val="00B91A90"/>
    <w:rPr>
      <w:rFonts w:ascii="Tahoma" w:hAnsi="Tahoma" w:cs="Tahoma"/>
      <w:sz w:val="22"/>
      <w:szCs w:val="22"/>
      <w:lang w:val="de-AT" w:eastAsia="de-DE" w:bidi="ar-SA"/>
    </w:rPr>
  </w:style>
  <w:style w:type="character" w:customStyle="1" w:styleId="CharChar16">
    <w:name w:val="Char Char16"/>
    <w:semiHidden/>
    <w:locked/>
    <w:rsid w:val="00B91A90"/>
    <w:rPr>
      <w:rFonts w:ascii="Tahoma" w:hAnsi="Tahoma" w:cs="Arial"/>
      <w:sz w:val="24"/>
      <w:szCs w:val="24"/>
      <w:lang w:val="de-AT" w:eastAsia="de-DE" w:bidi="ar-SA"/>
    </w:rPr>
  </w:style>
  <w:style w:type="character" w:customStyle="1" w:styleId="CharChar20">
    <w:name w:val="Char Char20"/>
    <w:locked/>
    <w:rsid w:val="00B91A90"/>
    <w:rPr>
      <w:rFonts w:ascii="Tahoma" w:hAnsi="Tahoma" w:cs="Tahoma"/>
      <w:b/>
      <w:kern w:val="28"/>
      <w:sz w:val="32"/>
      <w:szCs w:val="36"/>
      <w:lang w:val="de-AT" w:eastAsia="de-DE" w:bidi="ar-SA"/>
    </w:rPr>
  </w:style>
  <w:style w:type="character" w:customStyle="1" w:styleId="CharChar13">
    <w:name w:val="Char Char13"/>
    <w:semiHidden/>
    <w:locked/>
    <w:rsid w:val="00B91A90"/>
    <w:rPr>
      <w:rFonts w:ascii="Tahoma" w:hAnsi="Tahoma" w:cs="Tahoma"/>
      <w:sz w:val="22"/>
      <w:szCs w:val="22"/>
      <w:lang w:val="de-AT" w:eastAsia="de-DE" w:bidi="ar-SA"/>
    </w:rPr>
  </w:style>
  <w:style w:type="character" w:customStyle="1" w:styleId="CharChar19">
    <w:name w:val="Char Char19"/>
    <w:semiHidden/>
    <w:locked/>
    <w:rsid w:val="00B91A90"/>
    <w:rPr>
      <w:rFonts w:ascii="Tahoma" w:hAnsi="Tahoma" w:cs="Tahoma"/>
      <w:sz w:val="22"/>
      <w:szCs w:val="22"/>
      <w:lang w:val="de-AT" w:eastAsia="de-DE" w:bidi="ar-SA"/>
    </w:rPr>
  </w:style>
  <w:style w:type="character" w:customStyle="1" w:styleId="CharChar3">
    <w:name w:val="Char Char3"/>
    <w:semiHidden/>
    <w:locked/>
    <w:rsid w:val="00B91A90"/>
  </w:style>
  <w:style w:type="character" w:customStyle="1" w:styleId="CharChar14">
    <w:name w:val="Char Char14"/>
    <w:semiHidden/>
    <w:locked/>
    <w:rsid w:val="00B91A90"/>
  </w:style>
  <w:style w:type="character" w:customStyle="1" w:styleId="CharChar17">
    <w:name w:val="Char Char17"/>
    <w:locked/>
    <w:rsid w:val="00B91A90"/>
    <w:rPr>
      <w:rFonts w:ascii="Tahoma" w:hAnsi="Tahoma" w:cs="Tahoma"/>
      <w:sz w:val="22"/>
      <w:szCs w:val="22"/>
      <w:lang w:val="de-AT" w:eastAsia="de-DE" w:bidi="ar-SA"/>
    </w:rPr>
  </w:style>
  <w:style w:type="character" w:customStyle="1" w:styleId="CharChar7">
    <w:name w:val="Char Char7"/>
    <w:semiHidden/>
    <w:locked/>
    <w:rsid w:val="00B91A90"/>
    <w:rPr>
      <w:rFonts w:ascii="Tahoma" w:hAnsi="Tahoma" w:cs="Tahoma"/>
      <w:sz w:val="22"/>
      <w:szCs w:val="22"/>
      <w:lang w:val="de-AT" w:eastAsia="de-DE" w:bidi="ar-SA"/>
    </w:rPr>
  </w:style>
  <w:style w:type="character" w:customStyle="1" w:styleId="CharChar6">
    <w:name w:val="Char Char6"/>
    <w:semiHidden/>
    <w:locked/>
    <w:rsid w:val="00B91A90"/>
    <w:rPr>
      <w:rFonts w:ascii="Tahoma" w:hAnsi="Tahoma" w:cs="Tahoma"/>
      <w:sz w:val="16"/>
      <w:szCs w:val="16"/>
      <w:lang w:val="de-AT" w:eastAsia="de-DE" w:bidi="ar-SA"/>
    </w:rPr>
  </w:style>
  <w:style w:type="character" w:customStyle="1" w:styleId="CharChar5">
    <w:name w:val="Char Char5"/>
    <w:semiHidden/>
    <w:locked/>
    <w:rsid w:val="00B91A90"/>
    <w:rPr>
      <w:rFonts w:ascii="Tahoma" w:hAnsi="Tahoma" w:cs="Tahoma"/>
      <w:sz w:val="22"/>
      <w:szCs w:val="22"/>
      <w:lang w:val="de-AT" w:eastAsia="de-DE" w:bidi="ar-SA"/>
    </w:rPr>
  </w:style>
  <w:style w:type="character" w:customStyle="1" w:styleId="CharChar4">
    <w:name w:val="Char Char4"/>
    <w:semiHidden/>
    <w:locked/>
    <w:rsid w:val="00B91A90"/>
    <w:rPr>
      <w:rFonts w:ascii="Tahoma" w:hAnsi="Tahoma" w:cs="Tahoma"/>
      <w:sz w:val="16"/>
      <w:szCs w:val="16"/>
      <w:lang w:val="de-AT" w:eastAsia="de-DE" w:bidi="ar-SA"/>
    </w:rPr>
  </w:style>
  <w:style w:type="character" w:customStyle="1" w:styleId="CharChar18">
    <w:name w:val="Char Char18"/>
    <w:semiHidden/>
    <w:locked/>
    <w:rsid w:val="00B91A90"/>
    <w:rPr>
      <w:rFonts w:ascii="Tahoma" w:hAnsi="Tahoma" w:cs="Tahoma"/>
      <w:sz w:val="22"/>
      <w:szCs w:val="22"/>
      <w:lang w:val="de-AT" w:eastAsia="de-DE" w:bidi="ar-SA"/>
    </w:rPr>
  </w:style>
  <w:style w:type="character" w:customStyle="1" w:styleId="CharChar8">
    <w:name w:val="Char Char8"/>
    <w:locked/>
    <w:rsid w:val="00B91A90"/>
    <w:rPr>
      <w:rFonts w:ascii="Tahoma" w:hAnsi="Tahoma" w:cs="Tahoma"/>
      <w:sz w:val="22"/>
      <w:szCs w:val="22"/>
      <w:lang w:val="de-AT" w:eastAsia="de-DE" w:bidi="ar-SA"/>
    </w:rPr>
  </w:style>
  <w:style w:type="character" w:customStyle="1" w:styleId="CharChar2">
    <w:name w:val="Char Char2"/>
    <w:locked/>
    <w:rsid w:val="00B91A90"/>
    <w:rPr>
      <w:rFonts w:ascii="Calibri" w:eastAsia="Calibri" w:hAnsi="Calibri" w:cs="Times New Roman"/>
      <w:b/>
      <w:bCs/>
      <w:sz w:val="20"/>
      <w:szCs w:val="20"/>
      <w:lang w:val="sq-AL" w:eastAsia="en-US" w:bidi="ar-SA"/>
    </w:rPr>
  </w:style>
  <w:style w:type="character" w:customStyle="1" w:styleId="CharChar26">
    <w:name w:val="Char Char26"/>
    <w:semiHidden/>
    <w:locked/>
    <w:rsid w:val="00B91A90"/>
    <w:rPr>
      <w:rFonts w:ascii="Tahoma" w:hAnsi="Tahoma" w:cs="Tahoma"/>
      <w:sz w:val="16"/>
      <w:szCs w:val="16"/>
      <w:lang w:val="sq-AL" w:eastAsia="en-US" w:bidi="ar-SA"/>
    </w:rPr>
  </w:style>
  <w:style w:type="character" w:customStyle="1" w:styleId="CommentTextChar11">
    <w:name w:val="Comment Text Char11"/>
    <w:aliases w:val="Char Char37"/>
    <w:semiHidden/>
    <w:rsid w:val="00B91A90"/>
    <w:rPr>
      <w:rFonts w:ascii="Calibri" w:hAnsi="Calibri" w:hint="default"/>
      <w:lang w:val="sq-AL"/>
    </w:rPr>
  </w:style>
  <w:style w:type="character" w:customStyle="1" w:styleId="NormalIndentChar">
    <w:name w:val="Normal Indent Char"/>
    <w:link w:val="NormalIndent"/>
    <w:rsid w:val="00B91A9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B91A90"/>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B91A90"/>
    <w:pPr>
      <w:tabs>
        <w:tab w:val="num" w:pos="360"/>
        <w:tab w:val="num" w:pos="1935"/>
        <w:tab w:val="num" w:pos="2563"/>
        <w:tab w:val="num" w:pos="3474"/>
      </w:tabs>
      <w:ind w:left="1935" w:hanging="360"/>
      <w:outlineLvl w:val="6"/>
    </w:pPr>
  </w:style>
  <w:style w:type="character" w:customStyle="1" w:styleId="AODefHeadChar">
    <w:name w:val="AODefHead Char"/>
    <w:link w:val="AODefHead"/>
    <w:rsid w:val="00B91A90"/>
    <w:rPr>
      <w:rFonts w:ascii="Times New Roman" w:eastAsia="Times New Roman" w:hAnsi="Times New Roman" w:cs="Times New Roman"/>
      <w:szCs w:val="20"/>
      <w:lang w:val="sq-AL" w:eastAsia="sq-AL" w:bidi="sq-AL"/>
    </w:rPr>
  </w:style>
  <w:style w:type="paragraph" w:customStyle="1" w:styleId="PARA">
    <w:name w:val="PARA"/>
    <w:basedOn w:val="Normal"/>
    <w:locked/>
    <w:rsid w:val="00B91A90"/>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B91A90"/>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B91A9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B91A90"/>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B91A9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B91A90"/>
    <w:rPr>
      <w:color w:val="0000FF"/>
      <w:spacing w:val="0"/>
      <w:u w:val="double"/>
    </w:rPr>
  </w:style>
  <w:style w:type="paragraph" w:customStyle="1" w:styleId="dia">
    <w:name w:val="di(a)"/>
    <w:basedOn w:val="Normal"/>
    <w:rsid w:val="00B91A90"/>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B91A90"/>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B91A90"/>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B91A90"/>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B91A90"/>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B91A9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B91A90"/>
    <w:rPr>
      <w:rFonts w:cs="Times New Roman"/>
      <w:color w:val="808080"/>
    </w:rPr>
  </w:style>
  <w:style w:type="character" w:customStyle="1" w:styleId="az12">
    <w:name w:val="az12"/>
    <w:uiPriority w:val="99"/>
    <w:rsid w:val="00B91A9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B91A90"/>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B91A90"/>
    <w:rPr>
      <w:rFonts w:ascii="Calibri" w:eastAsia="Times New Roman" w:hAnsi="Calibri" w:cs="Times New Roman"/>
      <w:sz w:val="24"/>
      <w:szCs w:val="24"/>
      <w:lang w:val="en-GB" w:eastAsia="en-GB"/>
    </w:rPr>
  </w:style>
  <w:style w:type="paragraph" w:customStyle="1" w:styleId="Paragraf02">
    <w:name w:val="Paragraf 0.2"/>
    <w:basedOn w:val="Paragrafi"/>
    <w:qFormat/>
    <w:rsid w:val="00B91A90"/>
    <w:pPr>
      <w:tabs>
        <w:tab w:val="left" w:pos="6575"/>
      </w:tabs>
    </w:pPr>
    <w:rPr>
      <w:spacing w:val="-4"/>
    </w:rPr>
  </w:style>
  <w:style w:type="table" w:customStyle="1" w:styleId="TableGrid30">
    <w:name w:val="Table Grid3"/>
    <w:basedOn w:val="TableNormal"/>
    <w:next w:val="TableGrid"/>
    <w:uiPriority w:val="59"/>
    <w:rsid w:val="00B91A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91A90"/>
  </w:style>
  <w:style w:type="character" w:styleId="BookTitle">
    <w:name w:val="Book Title"/>
    <w:uiPriority w:val="33"/>
    <w:qFormat/>
    <w:rsid w:val="00B91A90"/>
    <w:rPr>
      <w:b/>
      <w:bCs/>
      <w:smallCaps/>
      <w:spacing w:val="5"/>
    </w:rPr>
  </w:style>
  <w:style w:type="paragraph" w:customStyle="1" w:styleId="Cover1">
    <w:name w:val="Cover1"/>
    <w:basedOn w:val="Normal"/>
    <w:next w:val="Normal"/>
    <w:rsid w:val="00B91A90"/>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B91A90"/>
    <w:pPr>
      <w:spacing w:after="240" w:line="240" w:lineRule="auto"/>
    </w:pPr>
    <w:rPr>
      <w:rFonts w:ascii="Arial" w:eastAsia="Times New Roman" w:hAnsi="Arial" w:cs="Times New Roman"/>
      <w:szCs w:val="20"/>
      <w:lang w:val="sq-AL" w:eastAsia="sq-AL" w:bidi="sq-AL"/>
    </w:rPr>
  </w:style>
  <w:style w:type="paragraph" w:customStyle="1" w:styleId="Stile">
    <w:name w:val="Stile"/>
    <w:rsid w:val="00B91A9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B91A90"/>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B91A90"/>
    <w:rPr>
      <w:rFonts w:ascii="Times New Roman" w:eastAsia="Times New Roman" w:hAnsi="Times New Roman" w:cs="Times New Roman"/>
      <w:szCs w:val="20"/>
      <w:lang w:val="sq-AL"/>
    </w:rPr>
  </w:style>
  <w:style w:type="character" w:customStyle="1" w:styleId="Bodytext0">
    <w:name w:val="Body text_"/>
    <w:link w:val="BodyText1"/>
    <w:rsid w:val="00B91A90"/>
    <w:rPr>
      <w:rFonts w:ascii="Times New Roman" w:hAnsi="Times New Roman"/>
      <w:sz w:val="21"/>
      <w:szCs w:val="21"/>
      <w:shd w:val="clear" w:color="auto" w:fill="FFFFFF"/>
    </w:rPr>
  </w:style>
  <w:style w:type="paragraph" w:customStyle="1" w:styleId="BodyText1">
    <w:name w:val="Body Text1"/>
    <w:basedOn w:val="Normal"/>
    <w:link w:val="Bodytext0"/>
    <w:rsid w:val="00B91A90"/>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B91A90"/>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B91A90"/>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B91A90"/>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B91A90"/>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B91A90"/>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B91A90"/>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B91A90"/>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B91A90"/>
    <w:pPr>
      <w:widowControl w:val="0"/>
      <w:spacing w:after="0" w:line="240" w:lineRule="auto"/>
    </w:pPr>
  </w:style>
  <w:style w:type="paragraph" w:customStyle="1" w:styleId="xl63">
    <w:name w:val="xl63"/>
    <w:basedOn w:val="Normal"/>
    <w:rsid w:val="00B91A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B91A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paragraph" w:customStyle="1" w:styleId="PreformattedText">
    <w:name w:val="Preformatted Text"/>
    <w:basedOn w:val="Normal"/>
    <w:rsid w:val="00B91A90"/>
    <w:pPr>
      <w:widowControl w:val="0"/>
      <w:suppressAutoHyphens/>
      <w:spacing w:after="0" w:line="240" w:lineRule="auto"/>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15149</Words>
  <Characters>86353</Characters>
  <Application>Microsoft Office Word</Application>
  <DocSecurity>0</DocSecurity>
  <Lines>719</Lines>
  <Paragraphs>202</Paragraphs>
  <ScaleCrop>false</ScaleCrop>
  <Company/>
  <LinksUpToDate>false</LinksUpToDate>
  <CharactersWithSpaces>101300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4</cp:revision>
  <dcterms:created xsi:type="dcterms:W3CDTF">2017-03-31T09:30:00Z</dcterms:created>
  <dcterms:modified xsi:type="dcterms:W3CDTF">2018-01-29T12:35:00Z</dcterms:modified>
</cp:coreProperties>
</file>