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1030" w:rsidRPr="000C348D" w:rsidRDefault="00EB70B8">
      <w:pPr>
        <w:widowControl w:val="0"/>
        <w:spacing w:after="0" w:line="240" w:lineRule="auto"/>
        <w:jc w:val="center"/>
        <w:outlineLvl w:val="2"/>
        <w:rPr>
          <w:rFonts w:ascii="Garamond" w:eastAsia="MS Mincho" w:hAnsi="Garamond" w:cs="CG Times"/>
          <w:b/>
          <w:bCs/>
          <w:spacing w:val="-4"/>
          <w:sz w:val="24"/>
          <w:lang w:val="sq-AL"/>
        </w:rPr>
      </w:pPr>
      <w:r w:rsidRPr="000C348D">
        <w:rPr>
          <w:rFonts w:ascii="Garamond" w:eastAsia="MS Mincho" w:hAnsi="Garamond" w:cs="CG Times"/>
          <w:b/>
          <w:bCs/>
          <w:spacing w:val="-4"/>
          <w:sz w:val="24"/>
          <w:lang w:val="sq-AL"/>
        </w:rPr>
        <w:t>VENDIM</w:t>
      </w:r>
    </w:p>
    <w:p w:rsidR="00CB1030" w:rsidRPr="000C348D" w:rsidRDefault="00EB70B8">
      <w:pPr>
        <w:widowControl w:val="0"/>
        <w:spacing w:after="0" w:line="240" w:lineRule="auto"/>
        <w:jc w:val="center"/>
        <w:outlineLvl w:val="2"/>
        <w:rPr>
          <w:rFonts w:ascii="Garamond" w:eastAsia="MS Mincho" w:hAnsi="Garamond" w:cs="CG Times"/>
          <w:b/>
          <w:bCs/>
          <w:spacing w:val="-4"/>
          <w:sz w:val="24"/>
          <w:lang w:val="sq-AL"/>
        </w:rPr>
      </w:pPr>
      <w:r w:rsidRPr="000C348D">
        <w:rPr>
          <w:rFonts w:ascii="Garamond" w:eastAsia="MS Mincho" w:hAnsi="Garamond" w:cs="CG Times"/>
          <w:b/>
          <w:bCs/>
          <w:spacing w:val="-4"/>
          <w:sz w:val="24"/>
          <w:lang w:val="sq-AL"/>
        </w:rPr>
        <w:t>Nr. 686, datë 22.11.2017</w:t>
      </w:r>
    </w:p>
    <w:p w:rsidR="00CB1030" w:rsidRPr="000C348D" w:rsidRDefault="00CB1030">
      <w:pPr>
        <w:widowControl w:val="0"/>
        <w:spacing w:after="0" w:line="240" w:lineRule="auto"/>
        <w:jc w:val="center"/>
        <w:outlineLvl w:val="2"/>
        <w:rPr>
          <w:rFonts w:ascii="Garamond" w:eastAsia="MS Mincho" w:hAnsi="Garamond" w:cs="CG Times"/>
          <w:b/>
          <w:bCs/>
          <w:spacing w:val="-4"/>
          <w:sz w:val="14"/>
          <w:lang w:val="sq-AL"/>
        </w:rPr>
      </w:pPr>
    </w:p>
    <w:p w:rsidR="00CB1030" w:rsidRPr="000C348D" w:rsidRDefault="00EB70B8">
      <w:pPr>
        <w:widowControl w:val="0"/>
        <w:spacing w:after="0" w:line="240" w:lineRule="auto"/>
        <w:jc w:val="center"/>
        <w:outlineLvl w:val="2"/>
        <w:rPr>
          <w:rFonts w:ascii="Garamond" w:eastAsia="MS Mincho" w:hAnsi="Garamond" w:cs="CG Times"/>
          <w:b/>
          <w:bCs/>
          <w:spacing w:val="-4"/>
          <w:sz w:val="24"/>
          <w:lang w:val="sq-AL"/>
        </w:rPr>
      </w:pPr>
      <w:r w:rsidRPr="000C348D">
        <w:rPr>
          <w:rFonts w:ascii="Garamond" w:eastAsia="MS Mincho" w:hAnsi="Garamond" w:cs="CG Times"/>
          <w:b/>
          <w:bCs/>
          <w:spacing w:val="-4"/>
          <w:sz w:val="24"/>
          <w:lang w:val="sq-AL"/>
        </w:rPr>
        <w:t>PËR MIRATIMIN E RREGULLORES SË PLANIFIKIMIT TË TERRITORIT</w:t>
      </w:r>
    </w:p>
    <w:p w:rsidR="00CB1030" w:rsidRPr="000C348D" w:rsidRDefault="00EB70B8">
      <w:pPr>
        <w:widowControl w:val="0"/>
        <w:spacing w:after="0" w:line="240" w:lineRule="auto"/>
        <w:jc w:val="center"/>
        <w:outlineLvl w:val="2"/>
        <w:rPr>
          <w:rFonts w:ascii="Garamond" w:eastAsia="MS Mincho" w:hAnsi="Garamond" w:cs="CG Times"/>
          <w:bCs/>
          <w:i/>
          <w:spacing w:val="-4"/>
          <w:sz w:val="24"/>
          <w:lang w:val="sq-AL"/>
        </w:rPr>
      </w:pPr>
      <w:r w:rsidRPr="000C348D">
        <w:rPr>
          <w:rFonts w:ascii="Garamond" w:eastAsia="MS Mincho" w:hAnsi="Garamond" w:cs="CG Times"/>
          <w:bCs/>
          <w:i/>
          <w:spacing w:val="-4"/>
          <w:sz w:val="24"/>
          <w:lang w:val="sq-AL"/>
        </w:rPr>
        <w:t>(Ndryshuar</w:t>
      </w:r>
      <w:r w:rsidR="00392D7E" w:rsidRPr="000C348D">
        <w:rPr>
          <w:rFonts w:ascii="Garamond" w:eastAsia="MS Mincho" w:hAnsi="Garamond" w:cs="CG Times"/>
          <w:bCs/>
          <w:i/>
          <w:spacing w:val="-4"/>
          <w:sz w:val="24"/>
          <w:lang w:val="sq-AL"/>
        </w:rPr>
        <w:t xml:space="preserve"> me VKM nr. 232, datë 17.4.2019;</w:t>
      </w:r>
      <w:r w:rsidRPr="000C348D">
        <w:rPr>
          <w:rFonts w:ascii="Garamond" w:eastAsia="MS Mincho" w:hAnsi="Garamond" w:cs="CG Times"/>
          <w:bCs/>
          <w:i/>
          <w:spacing w:val="-4"/>
          <w:sz w:val="24"/>
          <w:lang w:val="sq-AL"/>
        </w:rPr>
        <w:t xml:space="preserve"> nr. 694, datë 2.10.2019</w:t>
      </w:r>
      <w:r w:rsidR="00392D7E" w:rsidRPr="000C348D">
        <w:rPr>
          <w:rFonts w:ascii="Garamond" w:eastAsia="MS Mincho" w:hAnsi="Garamond" w:cs="CG Times"/>
          <w:bCs/>
          <w:i/>
          <w:spacing w:val="-4"/>
          <w:sz w:val="24"/>
          <w:lang w:val="sq-AL"/>
        </w:rPr>
        <w:t>; nr. 718, datë 20.11.2024</w:t>
      </w:r>
      <w:r w:rsidRPr="000C348D">
        <w:rPr>
          <w:rFonts w:ascii="Garamond" w:eastAsia="MS Mincho" w:hAnsi="Garamond" w:cs="CG Times"/>
          <w:bCs/>
          <w:i/>
          <w:spacing w:val="-4"/>
          <w:sz w:val="24"/>
          <w:lang w:val="sq-AL"/>
        </w:rPr>
        <w:t>)</w:t>
      </w:r>
    </w:p>
    <w:p w:rsidR="00392D7E" w:rsidRPr="000C348D" w:rsidRDefault="00392D7E">
      <w:pPr>
        <w:widowControl w:val="0"/>
        <w:spacing w:after="0" w:line="240" w:lineRule="auto"/>
        <w:jc w:val="center"/>
        <w:outlineLvl w:val="2"/>
        <w:rPr>
          <w:rFonts w:ascii="Garamond" w:eastAsia="MS Mincho" w:hAnsi="Garamond" w:cs="CG Times"/>
          <w:b/>
          <w:bCs/>
          <w:i/>
          <w:spacing w:val="-4"/>
          <w:sz w:val="24"/>
          <w:lang w:val="sq-AL"/>
        </w:rPr>
      </w:pPr>
    </w:p>
    <w:p w:rsidR="00CB1030" w:rsidRPr="000C348D" w:rsidRDefault="00392D7E">
      <w:pPr>
        <w:widowControl w:val="0"/>
        <w:spacing w:after="0" w:line="240" w:lineRule="auto"/>
        <w:jc w:val="right"/>
        <w:outlineLvl w:val="2"/>
        <w:rPr>
          <w:rFonts w:ascii="Garamond" w:eastAsia="MS Mincho" w:hAnsi="Garamond" w:cs="CG Times"/>
          <w:bCs/>
          <w:i/>
          <w:spacing w:val="-4"/>
          <w:sz w:val="24"/>
          <w:lang w:val="sq-AL"/>
        </w:rPr>
      </w:pPr>
      <w:r w:rsidRPr="000C348D">
        <w:rPr>
          <w:rFonts w:ascii="Garamond" w:eastAsia="MS Mincho" w:hAnsi="Garamond" w:cs="CG Times"/>
          <w:bCs/>
          <w:i/>
          <w:spacing w:val="-4"/>
          <w:sz w:val="24"/>
          <w:lang w:val="sq-AL"/>
        </w:rPr>
        <w:t>(i</w:t>
      </w:r>
      <w:r w:rsidR="00EB70B8" w:rsidRPr="000C348D">
        <w:rPr>
          <w:rFonts w:ascii="Garamond" w:eastAsia="MS Mincho" w:hAnsi="Garamond" w:cs="CG Times"/>
          <w:bCs/>
          <w:i/>
          <w:spacing w:val="-4"/>
          <w:sz w:val="24"/>
          <w:lang w:val="sq-AL"/>
        </w:rPr>
        <w:t xml:space="preserve"> përditësuar)</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Në mbështetje të nenit 100 të Kushtetutës dhe të pikës 3, të nenit 6, të nenit 15, të ligjit nr. 107/2014, “Për planifikimin dhe zhvillimin e territorit”, me propozimin e ministrit të Infrastrukturës dhe Energjisë, Këshilli i Ministrave</w:t>
      </w:r>
    </w:p>
    <w:p w:rsidR="00CB1030" w:rsidRPr="000C348D" w:rsidRDefault="00CB1030">
      <w:pPr>
        <w:widowControl w:val="0"/>
        <w:spacing w:after="0" w:line="240" w:lineRule="auto"/>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VENDOSI:</w:t>
      </w:r>
    </w:p>
    <w:p w:rsidR="00CB1030" w:rsidRPr="000C348D" w:rsidRDefault="00CB1030">
      <w:pPr>
        <w:widowControl w:val="0"/>
        <w:spacing w:after="0" w:line="240" w:lineRule="auto"/>
        <w:ind w:firstLine="284"/>
        <w:jc w:val="both"/>
        <w:rPr>
          <w:rFonts w:ascii="Garamond" w:eastAsia="MS Mincho" w:hAnsi="Garamond" w:cs="CG Times"/>
          <w:spacing w:val="-4"/>
          <w:sz w:val="2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Miratimin e rregullores së planifikimit të territorit, e cila i bashkëlidhet këtij vendimi dhe është pjesë përbërëse e tij.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Ngarkohen autoritetet e planifikimit, të përcaktuara në ligjin nr. 107/2014, “Për planifikimin dhe zhvillimin e territorit”, të ndryshuar, për zbatimin e këtij vendimi.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Ky vendim hyn në fuqi pas botimit në Fletoren zyrtare.</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right"/>
        <w:rPr>
          <w:rFonts w:ascii="Garamond" w:eastAsia="MS Mincho" w:hAnsi="Garamond" w:cs="CG Times"/>
          <w:spacing w:val="-4"/>
          <w:sz w:val="24"/>
          <w:lang w:val="sq-AL"/>
        </w:rPr>
      </w:pPr>
      <w:r w:rsidRPr="000C348D">
        <w:rPr>
          <w:rFonts w:ascii="Garamond" w:eastAsia="MS Mincho" w:hAnsi="Garamond" w:cs="CG Times"/>
          <w:spacing w:val="-4"/>
          <w:sz w:val="24"/>
          <w:lang w:val="sq-AL"/>
        </w:rPr>
        <w:t>KRYEMINISTRI</w:t>
      </w:r>
    </w:p>
    <w:p w:rsidR="00CB1030" w:rsidRPr="000C348D" w:rsidRDefault="00EB70B8">
      <w:pPr>
        <w:widowControl w:val="0"/>
        <w:spacing w:after="0" w:line="240" w:lineRule="auto"/>
        <w:ind w:firstLine="284"/>
        <w:jc w:val="right"/>
        <w:rPr>
          <w:rFonts w:ascii="Garamond" w:eastAsia="MS Mincho" w:hAnsi="Garamond" w:cs="CG Times"/>
          <w:b/>
          <w:spacing w:val="-4"/>
          <w:sz w:val="24"/>
          <w:lang w:val="sq-AL"/>
        </w:rPr>
      </w:pPr>
      <w:r w:rsidRPr="000C348D">
        <w:rPr>
          <w:rFonts w:ascii="Garamond" w:eastAsia="MS Mincho" w:hAnsi="Garamond" w:cs="CG Times"/>
          <w:b/>
          <w:spacing w:val="-4"/>
          <w:sz w:val="24"/>
          <w:lang w:val="sq-AL"/>
        </w:rPr>
        <w:t>Edi Rama</w:t>
      </w:r>
    </w:p>
    <w:p w:rsidR="00EB70B8" w:rsidRPr="000C348D" w:rsidRDefault="00EB70B8">
      <w:pPr>
        <w:widowControl w:val="0"/>
        <w:spacing w:after="0" w:line="240" w:lineRule="auto"/>
        <w:ind w:firstLine="284"/>
        <w:jc w:val="right"/>
        <w:rPr>
          <w:rFonts w:ascii="Garamond" w:eastAsia="MS Mincho" w:hAnsi="Garamond" w:cs="CG Times"/>
          <w:b/>
          <w:spacing w:val="-4"/>
          <w:sz w:val="24"/>
          <w:lang w:val="sq-AL"/>
        </w:rPr>
      </w:pPr>
    </w:p>
    <w:p w:rsidR="00CB1030" w:rsidRPr="000C348D" w:rsidRDefault="00CB1030">
      <w:pPr>
        <w:widowControl w:val="0"/>
        <w:spacing w:after="0" w:line="240" w:lineRule="auto"/>
        <w:jc w:val="center"/>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RREGULLORE </w:t>
      </w: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E PLANIFIKIMIT TË TERRITORIT</w:t>
      </w:r>
    </w:p>
    <w:p w:rsidR="00CB1030" w:rsidRPr="000C348D" w:rsidRDefault="00CB1030">
      <w:pPr>
        <w:widowControl w:val="0"/>
        <w:spacing w:after="0" w:line="240" w:lineRule="auto"/>
        <w:jc w:val="center"/>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KREU I</w:t>
      </w: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DISPOZITA TË PËRGJITHSHME</w:t>
      </w:r>
    </w:p>
    <w:p w:rsidR="00CB1030" w:rsidRPr="000C348D" w:rsidRDefault="00CB1030">
      <w:pPr>
        <w:widowControl w:val="0"/>
        <w:spacing w:after="0" w:line="240" w:lineRule="auto"/>
        <w:jc w:val="center"/>
        <w:rPr>
          <w:rFonts w:ascii="Garamond" w:eastAsia="MS Mincho" w:hAnsi="Garamond" w:cs="CG Times"/>
          <w:spacing w:val="-4"/>
          <w:sz w:val="14"/>
          <w:lang w:val="sq-AL"/>
        </w:rPr>
      </w:pPr>
    </w:p>
    <w:p w:rsidR="00EB70B8" w:rsidRPr="000C348D" w:rsidRDefault="00EB70B8">
      <w:pPr>
        <w:widowControl w:val="0"/>
        <w:spacing w:after="0" w:line="240" w:lineRule="auto"/>
        <w:jc w:val="center"/>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1</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Qëllimi</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Rregullorja e planifikimit të territorit hartohet në zbatim të ligjit nr. 107/2014, “Për planifikimin dhe zhvillimin e territorit”, të ndryshuar, me qëllim përmbushjen dhe shtjellimin e përcaktimeve të tij.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Rregullorja e planifikimit të territorit paraqet rregulla të unifikuara për strukturën, përmbajtjen dhe hapat e hartimit, zbatimit, monitorimit të zbatimit të planeve, me qëllim detajimin e procedurave të planifikimit në nivel qendror dhe vendor dhe arritjen e njëtrajtshmërisë së formës e të strukturës së dokumenteve të planifikimit në zbatim të ligjit.</w:t>
      </w:r>
    </w:p>
    <w:p w:rsidR="00CB1030" w:rsidRPr="000C348D" w:rsidRDefault="00CB1030">
      <w:pPr>
        <w:widowControl w:val="0"/>
        <w:spacing w:after="0" w:line="240" w:lineRule="auto"/>
        <w:jc w:val="center"/>
        <w:rPr>
          <w:rFonts w:ascii="Garamond" w:eastAsia="MS Mincho" w:hAnsi="Garamond" w:cs="CG Times"/>
          <w:spacing w:val="-4"/>
          <w:sz w:val="2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2</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Përkufizime</w:t>
      </w:r>
    </w:p>
    <w:p w:rsidR="00CB1030" w:rsidRPr="000C348D" w:rsidRDefault="00EB70B8">
      <w:pPr>
        <w:widowControl w:val="0"/>
        <w:spacing w:after="0" w:line="240" w:lineRule="auto"/>
        <w:jc w:val="center"/>
        <w:rPr>
          <w:rFonts w:ascii="Garamond" w:eastAsia="MS Mincho" w:hAnsi="Garamond" w:cs="CG Times"/>
          <w:i/>
          <w:spacing w:val="-4"/>
          <w:sz w:val="24"/>
          <w:lang w:val="sq-AL"/>
        </w:rPr>
      </w:pPr>
      <w:r w:rsidRPr="000C348D">
        <w:rPr>
          <w:rFonts w:ascii="Garamond" w:eastAsia="MS Mincho" w:hAnsi="Garamond" w:cs="CG Times"/>
          <w:i/>
          <w:spacing w:val="-4"/>
          <w:sz w:val="24"/>
          <w:lang w:val="sq-AL"/>
        </w:rPr>
        <w:t xml:space="preserve">(Shtuar pika 38 me VKM nr. 232, datë 17.4.2019; shtuar pika 15/1 me VKM </w:t>
      </w:r>
      <w:r w:rsidRPr="000C348D">
        <w:rPr>
          <w:rFonts w:ascii="Garamond" w:eastAsia="MS Mincho" w:hAnsi="Garamond" w:cs="CG Times"/>
          <w:bCs/>
          <w:i/>
          <w:spacing w:val="-4"/>
          <w:sz w:val="24"/>
          <w:lang w:val="sq-AL"/>
        </w:rPr>
        <w:t>nr. 694, datë 2.10.2019; shtuar togfjalësh n</w:t>
      </w:r>
      <w:r w:rsidRPr="000C348D">
        <w:rPr>
          <w:rFonts w:ascii="Times New Roman" w:eastAsia="MS Mincho" w:hAnsi="Times New Roman" w:cs="Times New Roman"/>
          <w:bCs/>
          <w:i/>
          <w:spacing w:val="-4"/>
          <w:sz w:val="24"/>
          <w:lang w:val="sq-AL"/>
        </w:rPr>
        <w:t>ë</w:t>
      </w:r>
      <w:r w:rsidRPr="000C348D">
        <w:rPr>
          <w:rFonts w:ascii="Garamond" w:eastAsia="MS Mincho" w:hAnsi="Garamond" w:cs="Times New Roman"/>
          <w:bCs/>
          <w:i/>
          <w:spacing w:val="-4"/>
          <w:sz w:val="24"/>
          <w:lang w:val="sq-AL"/>
        </w:rPr>
        <w:t xml:space="preserve"> pikën 11 dhe pikat 39- 46 me VKM nr. 718, datë 20.11.2024</w:t>
      </w:r>
      <w:r w:rsidRPr="000C348D">
        <w:rPr>
          <w:rFonts w:ascii="Garamond" w:eastAsia="MS Mincho" w:hAnsi="Garamond" w:cs="CG Times"/>
          <w:bCs/>
          <w:i/>
          <w:spacing w:val="-4"/>
          <w:sz w:val="24"/>
          <w:lang w:val="sq-AL"/>
        </w:rPr>
        <w:t>)</w:t>
      </w:r>
    </w:p>
    <w:p w:rsidR="00CB1030" w:rsidRPr="000C348D" w:rsidRDefault="00CB1030">
      <w:pPr>
        <w:widowControl w:val="0"/>
        <w:spacing w:after="0" w:line="240" w:lineRule="auto"/>
        <w:ind w:firstLine="284"/>
        <w:jc w:val="both"/>
        <w:rPr>
          <w:rFonts w:ascii="Garamond" w:eastAsia="MS Mincho" w:hAnsi="Garamond" w:cs="CG Times"/>
          <w:spacing w:val="-4"/>
          <w:sz w:val="2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Termat e përdorur në këtë rregullore kanë të njëjtin kuptim me ata të përcaktuar në nenin 3, të ligjit nr. 107/2014, “Për planifikimin dhe zhvillimin e territorit”, të ndryshuar. Përveç tyre, në këtë rregullore termat e mëposhtëm kanë këto kuptime: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“Agjencia”, termi i përdorur në këtë rregullore, i cili ka të njëjtin kuptim me përkufizimin “Agjencia Kombëtare e Planifikimit të Territorit (AKPT)”, sipas përcaktimeve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“Akti i përputhshmërisë”, dokumenti zyrtar i lëshuar nga autoriteti i ngarkuar me ligj ose akt nënligjor për kontrollin e përputhshmërisë së dokumentit të plotë të planifikimit me akte të tjera në fuqi.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3. “Aktivitet”, veprimtaria njerëzore që kryhet ose propozohet të kryhet në tokë, mbi dhe nën tokë, si </w:t>
      </w:r>
      <w:r w:rsidRPr="000C348D">
        <w:rPr>
          <w:rFonts w:ascii="Garamond" w:eastAsia="MS Mincho" w:hAnsi="Garamond" w:cs="CG Times"/>
          <w:spacing w:val="-4"/>
          <w:sz w:val="24"/>
          <w:lang w:val="sq-AL"/>
        </w:rPr>
        <w:lastRenderedPageBreak/>
        <w:t>dhe në ndërtim.</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4. “Bashkërendim”, ndërveprimi ndërmjet autoriteteve kombëtare të planifikimit, ndërmjet tyre dhe autoriteteve vendore apo ndërmjet autoriteteve vendore të planifikimit gjatë procesit të planifikimit në nivel kombëtar apo vendor, me synim harmonizimin e trajtimit të çështjeve të rëndësisë kombëtare e vendore, të fushave e sektorëve të ndryshëm në planifikimin e territorit.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5. “Deklarata e përputhshmërisë në heshtje”, dokumenti zyrtar i lëshuar nga Regjistri Kombëtar i Planifikimit të Territorit dhe, në mungesë të funksionimit të tij nga autoriteti kërkues, në përfundim të afatit zyrtar të përcaktuar në ligj ose rregullore, ku deklarohet mungesa e përgjigjes zyrtare nga ana e autoritetit përgjegjës për shprehjen mbi përputhshmërinë e dokumentit të plotë të planifikimit dhe, si rrjedhojë, marrjen e përputhshmërisë në heshtje.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6. “Dendësim”, procesi i rritjes së dendësisë së ndërtimit në një territor të caktuar.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7. “Fondi i planifikimit”, depozita publike e krijuar për të mbështetur proceset planifikuese në nivel vendor dhe qendror.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8. “Forumi këshillimor vendor”, një bashkim vullnetar i përfaqësuesve të komunitetit, të cilët shprehin angazhimin e tyre në konsultimin e vendimmarrjes vendore dhe në procesin e përcaktimit të përparësive.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9. “Forumi për bashkërendimin e planifikimit”, një mekanizëm për të nxitur diskutimet strategjike të përfaqësuesve të autoritetit përgjegjës për hartimin e dokumentit të planifikimit, pushtetit vendor, pushtetit qendror dhe ekspertëve, për të arritur koordinimin e çështjeve të planifikimit për një zonë, njësi vendore, rajon apo territorin në përgjithësi.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10. “Funksion”, qëllimi të cilit i shërben ose duhet t’i shërbejë toka dhe/ose ndërtimi në të dhe mund të realizohet nga një ose disa aktivitete.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11. “Hapësirë publike”, sipas përkufizimit të bërë në ligjin nr. 107/2014, “Për planifikimin dhe zhvillimin e territorit”, të ndryshuar, është hapësira e jashtme, si trotuari, rruga, sheshi, lulishtja,</w:t>
      </w:r>
      <w:r w:rsidRPr="000C348D">
        <w:rPr>
          <w:rFonts w:ascii="Garamond" w:hAnsi="Garamond" w:cs="Times New Roman"/>
          <w:sz w:val="24"/>
          <w:szCs w:val="24"/>
          <w:lang w:val="sq-AL"/>
        </w:rPr>
        <w:t xml:space="preserve"> kënde lojërash për fëmijë,</w:t>
      </w:r>
      <w:r w:rsidRPr="000C348D">
        <w:rPr>
          <w:rFonts w:ascii="Garamond" w:eastAsia="MS Mincho" w:hAnsi="Garamond" w:cs="CG Times"/>
          <w:spacing w:val="-4"/>
          <w:sz w:val="24"/>
          <w:lang w:val="sq-AL"/>
        </w:rPr>
        <w:t xml:space="preserve"> parku e të tjera të ngjashme, në shërbim të komunitetit, ku menaxhimi mund të jetë publik dhe/ose privat. Hapësira publike përfshin rrugëkalime publike dhe mjedise që janë të hapura për publikun ose në shërbim të përdorimit publik, pavarësisht nga regjimi juridik i tokës dhe përtej përcaktimeve të pronës publike, sipas ligjit nr. 8743, datë 22.2.2001, “Për pronat e paluajtshme të shtetit”.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12. “Kategorizimi i përdorimit të tokës”, klasifikimi i tokës sipas përdorimit të saj, i shprehur në kategori, nënkategori dhe funksione.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13. “Këshillim publik”, takim i hapur, akt konsultimi me publikun ku tentohet tërheqja e mendimeve dhe sugjerimeve të palëve të interesuara për përmbajtjen dhe përmirësimin e projektaktit, nga momenti i publikimit të projektaktit deri në miratimin përfundimtar të tij.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14. “Konservim”, procesi i ruajtjes dhe i mbrojtjes së një territori ose ndërtimi të caktuar në formën e tij ekzistuese/aktuale.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15. “Konsolidim”, procesi i zhvillimit të territorit, i cili ka për qëllim përmirësimin dhe forcimin e infrastrukturës e të strukturës urbane ekzistuese, duke nxitur ndërtimin brenda zonave të urbanizuara.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15/1 “Konsolidim urban”, është procesi i densifikimit dhe i mbushjes urbane të njësisë strukturore apo të një a më shumë pjesëve të saj, të cilat janë të zhvilluara në mënyrë homogjene, sa u përket kushteve të zhvillimit, ndërtimeve në territor, si dhe rrjetit rrugor e infrastrukturor.</w:t>
      </w:r>
    </w:p>
    <w:p w:rsidR="00CB1030" w:rsidRPr="000C348D" w:rsidRDefault="00EB70B8">
      <w:pPr>
        <w:widowControl w:val="0"/>
        <w:spacing w:after="0" w:line="240" w:lineRule="auto"/>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     16. “Ligj”, ligji nr. 107/2014, “Për planifikimin dhe zhvillimin e territorit”, të ndryshuar.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17 “Metabolizmi i territorit”, modeli që përdoret për identifikimin dhe analizën e flukseve të materialeve dhe të energjisë brenda territoreve të caktuara.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18. “Njësi”, njësia strukturore e territorit që përdoret për qëllime planifikimi, pjesë përbërëse e zonës.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19. “Nënnjësi”, pjesë përbërëse e njësisë, që përdoret për qëllime planifikimi, gjatë planifikimit të detajuar të territorit.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20. “Planifikimi si një proces pune në vazhdimësi”, qasja bashkëkohore e prezantuar në ligj dhe në këtë rregullore, ku procesi i planifikimit trajtohet si një cikël i vazhduar që vendos në një marrëdhënie të ndërsjellë dhe të ndërvarur të gjitha dokumentet e planifikimit, të cilat përbëjnë instrumente që u përgjigjen dinamikave të aktivitetit njerëzor dhe territorit.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21. “PDV”, Plani i Detajuar Vendor.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lastRenderedPageBreak/>
        <w:t>22. “PDZRK”, Plani i Detajuar për Zonën me Rëndësi Kombëtare.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23. “PKS”, Plani Kombëtar Sektorial.</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24. “PPKT”, Plani i Përgjithshëm Kombëtar i Territorit.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25. “PPV”, Plani i Përgjithshëm Vendor.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26. “PSNQ”, Plani Sektorial në Nivel Qarku.</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27. “PSNB”, Plani Sektorial në Nivel Bashkie.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28. “Regjistër”, Regjistri Kombëtar i Planifikimit të Territorit, i cili ka të njëjtin kuptim me përkufizimin sipas përcaktimeve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29. “Rigjenerim/përtëritje”, procesi i përmirësimit të kushteve ekonomike, fizike, sociale dhe mjedisore të një territori apo ndërtimi.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30. “Rizhvillim”, procesi i zhvillimit dhe i rindërtimit të një territori, i cili është i ndërtuar, por i degraduar dhe kryesisht me mungesa të funksioneve kryesore.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31. “Sistem territorial”, bashkësia e një seri përbërësish territorialë për qëllime planifikimi, të ndërvarur dhe bashkëveprues me njëri-tjetrin, të cilët formojnë një tërësi.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32. “Standardet e planifikimit”, nivelet optimale të cilësisë, që përdoren si norma e referenca gjatë procesit të planifikimit, të cilat mundësojnë një zhvillim të qëndrueshëm të territorit.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33. “Treguesit e planifikimit”, norma që diktojnë parashikimet gjatë procesit të planifikimit dhe tregojnë kufirin minimal ose maksimal që mund të parashikohet.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34. “Urbanizim”, procesi i ndërhyrjes në territor nëpërmjet zhvillimeve të reja, i cili sjell ndryshime të strukturës së popullsisë dhe territorit, në funksion të rritjes së sistemit urban.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35. “Vija blu”, vija kufizuese e zhvillimit me funksion mbrojtjen e të gjitha burimeve ujore.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36. “Vija e gjelbër” ose “Kufiri i territorit urban”, perimetri që përcakton/kufizon shtrirjen territoriale të ndërtimeve në funksion të sistemit urban. Në këtë kufizim nuk hyjnë ndërtimet që janë në funksion të sistemit bujqësor dhe natyror.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37. “Vija e kuqe” ose “Vija e ndërtimit”, kufiri i lejuar për vendosjen e një ndërtimi në raport me infrastrukturën, në përputhje me legjislacionin sektorial në fuqi.</w:t>
      </w:r>
    </w:p>
    <w:p w:rsidR="00CB1030" w:rsidRPr="000C348D" w:rsidRDefault="00EB70B8">
      <w:pPr>
        <w:widowControl w:val="0"/>
        <w:spacing w:after="0" w:line="240" w:lineRule="auto"/>
        <w:ind w:firstLine="284"/>
        <w:jc w:val="both"/>
        <w:rPr>
          <w:rFonts w:ascii="Garamond" w:hAnsi="Garamond"/>
          <w:spacing w:val="-4"/>
          <w:sz w:val="24"/>
          <w:szCs w:val="24"/>
        </w:rPr>
      </w:pPr>
      <w:r w:rsidRPr="000C348D">
        <w:rPr>
          <w:rFonts w:ascii="Garamond" w:hAnsi="Garamond"/>
          <w:spacing w:val="-4"/>
          <w:sz w:val="24"/>
          <w:szCs w:val="24"/>
        </w:rPr>
        <w:t>38. “Korrigjim i dokumentit të planifikimit”, procesi i korrigjimit të dokumentit të planifikimit në fuqi, për rastet kur konstatohen: gabime drejtshkrimore; dy ose më shumë parashikime të ndryshme për të njëjtën zonë/njësi strukturore në dokumente të ndryshme përbërëse të planit; mospërputhje e treguesit të lartësisë në kate me atë të lartësisë në metra; mospërputhje të përcaktimeve në dokumentin e planifikimit me gjendjen faktike të zhvillimeve në territor.</w:t>
      </w:r>
    </w:p>
    <w:p w:rsidR="00EB70B8" w:rsidRPr="000C348D" w:rsidRDefault="00EB70B8" w:rsidP="00EB70B8">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39. “PDQ”, Plani i Detajuar Qendror.</w:t>
      </w:r>
    </w:p>
    <w:p w:rsidR="00EB70B8" w:rsidRPr="000C348D" w:rsidRDefault="00EB70B8" w:rsidP="00EB70B8">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40. “PKHD”, Plani Kombëtar i Hapësirës Detare.</w:t>
      </w:r>
    </w:p>
    <w:p w:rsidR="00EB70B8" w:rsidRPr="000C348D" w:rsidRDefault="00EB70B8" w:rsidP="00EB70B8">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41. “Hapësirë detare”, është territori ujor i cili përbëhet nga ujërat e brendshme detare, deti territorial, zona fqinje (në vazhdim), zona ekskluzive ekonomike dhe shelfi kontinental, sipas Kodit Detar të Republikës së Shqipërisë.  </w:t>
      </w:r>
    </w:p>
    <w:p w:rsidR="00EB70B8" w:rsidRPr="000C348D" w:rsidRDefault="00EB70B8" w:rsidP="00EB70B8">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42. “Mjedis detar”, është territori ujor i cili përbëhet nga vija e bregdetit shqiptar, plazhet, portet, radat e porteve dhe territoret tokësore të tyre, lagunat, grykëderdhjet e lumenjve në det, liqenet e vijës së ujit, që komunikojnë vazhdimisht ose përkohësisht me detin, ujërat e brendshme detare, territoriale dhe ekonomike. </w:t>
      </w:r>
    </w:p>
    <w:p w:rsidR="00EB70B8" w:rsidRPr="000C348D" w:rsidRDefault="00EB70B8" w:rsidP="00EB70B8">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43. “Tipologji hapësinore” është karakteri i një njësie strukturore bazuar në ndërthurjen e njëtrajtshmërisë së llojit dhe volumit të strukturave, mënyrës së vendosjes së tyre në territor, skemës rrugore dhe të hapësirave publike.</w:t>
      </w:r>
    </w:p>
    <w:p w:rsidR="00EB70B8" w:rsidRPr="000C348D" w:rsidRDefault="00EB70B8" w:rsidP="00EB70B8">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44. “Parcelë minimale” është sipërfaqja minimale që duhet të ketë parcela ose një grup parcelash për t’u zhvilluar.</w:t>
      </w:r>
    </w:p>
    <w:p w:rsidR="00EB70B8" w:rsidRPr="000C348D" w:rsidRDefault="00EB70B8" w:rsidP="00EB70B8">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45. “Politika e integruar detare” (PID) është një politikë e BE-së, qëllimi i së cilës është të nxisë vendimmarrje të koordinuar dhe koherente për të maksimizuar zhvillimin e qëndrueshëm, rritjen ekonomike dhe kohezionin social të shteteve anëtare dhe, veçanërisht të zonave bregdetare, ishullore dhe më të largëta në BE, si dhe të sektorëve detarë, përmes politikave detare dhe koherente të bashkëpunimit ndërkombëtar në këtë fushë;</w:t>
      </w:r>
    </w:p>
    <w:p w:rsidR="00EB70B8" w:rsidRPr="000C348D" w:rsidRDefault="00EB70B8" w:rsidP="00EB70B8">
      <w:pPr>
        <w:widowControl w:val="0"/>
        <w:spacing w:after="0" w:line="240" w:lineRule="auto"/>
        <w:ind w:firstLine="284"/>
        <w:jc w:val="both"/>
        <w:rPr>
          <w:rFonts w:ascii="Garamond" w:hAnsi="Garamond"/>
          <w:spacing w:val="-4"/>
          <w:sz w:val="24"/>
          <w:szCs w:val="24"/>
        </w:rPr>
      </w:pPr>
      <w:r w:rsidRPr="000C348D">
        <w:rPr>
          <w:rFonts w:ascii="Garamond" w:hAnsi="Garamond" w:cs="Times New Roman"/>
          <w:sz w:val="24"/>
          <w:szCs w:val="24"/>
          <w:lang w:val="sq-AL"/>
        </w:rPr>
        <w:lastRenderedPageBreak/>
        <w:t>46. “Planifikimi hapësinor detar” është një proces me anë të të cilit analizohen dhe organizohen aktivitetet njerëzore në zonat detare për të arritur objektivat ekologjikë, ekonomikë dhe socialë.</w:t>
      </w:r>
    </w:p>
    <w:p w:rsidR="00EB70B8" w:rsidRPr="000C348D" w:rsidRDefault="00EB70B8">
      <w:pPr>
        <w:widowControl w:val="0"/>
        <w:spacing w:after="0" w:line="240" w:lineRule="auto"/>
        <w:ind w:firstLine="284"/>
        <w:jc w:val="both"/>
        <w:rPr>
          <w:rFonts w:ascii="Garamond" w:eastAsia="MS Mincho" w:hAnsi="Garamond" w:cs="CG Times"/>
          <w:spacing w:val="-4"/>
          <w:sz w:val="24"/>
          <w:lang w:val="sq-AL"/>
        </w:rPr>
      </w:pP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KREU II</w:t>
      </w: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DOKUMENTET E PLANIFIKIMIT: PËRMBAJTJA DHE PROCESI I HARTIMIT</w:t>
      </w:r>
    </w:p>
    <w:p w:rsidR="00CB1030" w:rsidRPr="000C348D" w:rsidRDefault="00CB1030">
      <w:pPr>
        <w:widowControl w:val="0"/>
        <w:spacing w:after="0" w:line="240" w:lineRule="auto"/>
        <w:jc w:val="center"/>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SEKSIONI 1</w:t>
      </w: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DISPOZITA TË PËRGJITHSHME</w:t>
      </w:r>
    </w:p>
    <w:p w:rsidR="00CB1030" w:rsidRPr="000C348D" w:rsidRDefault="00CB1030">
      <w:pPr>
        <w:widowControl w:val="0"/>
        <w:spacing w:after="0" w:line="240" w:lineRule="auto"/>
        <w:jc w:val="center"/>
        <w:rPr>
          <w:rFonts w:ascii="Garamond" w:eastAsia="MS Mincho" w:hAnsi="Garamond" w:cs="CG Times"/>
          <w:spacing w:val="-4"/>
          <w:sz w:val="2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3</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Nisma për hartimin e dokumentit të planifikimit</w:t>
      </w:r>
    </w:p>
    <w:p w:rsidR="00CB1030" w:rsidRPr="000C348D" w:rsidRDefault="00CB1030">
      <w:pPr>
        <w:widowControl w:val="0"/>
        <w:spacing w:after="0" w:line="240" w:lineRule="auto"/>
        <w:jc w:val="center"/>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Çdo subjekt i interesuar mund t’i kërkojë autoritetit përgjegjës të planifikimit marrjen e nismës për hartimin e dokumenteve të planifikimit, nëpërmjet një kërkese drejtuar autoritetit përgjegjës, sipas përcaktimeve të ligjit dhe kësaj rregulloreje. Gjithashtu, vetë autoriteti përgjegjës i planifikimit mbart detyrimin ligjor të ndërmarrë nisma planifikimi në zbatim të planeve që qëndrojnë më lart në hierarki, sipas përcaktimeve të ligjit apo kur e çmon të nevojshëm rishikimin e dokumenteve ekzistuese të planifikimit.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Kërkesa dhe dokumentacioni shoqërues për marrjen e nismës botohen në regjistër nga autoriteti përgjegjës i planifikimit.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Palët e interesuara të sektorit publik dhe privat mund të shprehin me shkrim vërejtjet dhe sugjerimet e tyre në lidhje me nismën para miratimit të saj nga autoriteti përgjegjës. Këto vërejtje dhe sugjerime botohen menjëherë në regjistër.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Autoriteti përgjegjës i planifikimit mund të vendosë pezullimin e zhvillimit sipas ligjit përpara ose me marrjen e nismës.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5. Autoriteti përgjegjës për miratimin e nismës mund të organizojë brenda kësaj periudhe takime publike. Data, ora dhe vendi i takimit publik njoftohen përmes regjistrit dhe nëpërmjet një ose disa mjeteve tradicionale të informimit të paktën 30 (tridhjetë) ditë para takimit publik.</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6. Përmbledhja e vërejtjeve dhe sugjerimeve gjatë takimit publik botohet në regjistër brenda 10 (dhjetë) ditëve nga data e takimit publik.</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7. Agjencia, brenda 15 (pesëmbëdhjetë) ditëve nga data e botimit në regjistër, sipas rasteve përkatëse në këtë rregullore, i dërgon autoritetit përgjegjës rekomandimet e mundshme për dokumentin e nismës.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8. Autoriteti përgjegjës për miratimin e nismës mund të shtyjë shqyrtimin e kërkesës për marrjen e nismës, për një afat 60-ditor, në rastet kur vlerëson se faktet janë të pamjaftueshme, të pasakta ose të papërshtatshme për nisjen e procesit për hartimin e dokumentit.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9. Vendimi mbi marrjen e nismës botohet në regjistër nga autoriteti përgjegjës për miratimin, brenda 10 (dhjetë) ditëve nga data e miratimit të tij.</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4</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Hartimi i dokumentit të planifikimit</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Dokumentet e planifikimit të territorit hartohen nën përgjegjësinë e autoritetit përkatës të planifikimit, sipas përcaktimeve të ligjit dhe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Autoriteti përgjegjës për hartimin e dokumentit të planifikimit siguron një proces dialogu, bashkëpunimi dhe bashkërendimi me çdo autoritet të planifikimit e palë të interesuar, përpara fillimit dhe gjatë hartimit të dokumentit të planifikimit.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Autoriteti përgjegjës për hartimin e dokumentit të planifikimit këshillohet me palët e interesuara, të cilat i vë në dijeni rregullisht për ecurinë e procesit, nëpërmjet botimeve në regjistër.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Hartimi i dokumenteve të planifikimit kryhet në faza, në përputhje me përmbajtjen e dokumenteve përkatëse.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5. Në përfundim të secilës fazë, autoriteti përgjegjës për hartimin e dokumentit të planifikimit boton </w:t>
      </w:r>
      <w:r w:rsidRPr="000C348D">
        <w:rPr>
          <w:rFonts w:ascii="Garamond" w:eastAsia="MS Mincho" w:hAnsi="Garamond" w:cs="CG Times"/>
          <w:spacing w:val="-4"/>
          <w:sz w:val="24"/>
          <w:lang w:val="sq-AL"/>
        </w:rPr>
        <w:lastRenderedPageBreak/>
        <w:t>materialin e përgatitur në Regjistrin Kombëtar të Planifikimit të Territorit, për të cilin Agjencia duhet të kryejë një vlerësim teknik dhe të japë konfirmimin për kalimin në fazën pasardhëse, me përjashtim të fazës përgatitore për të cilën jep rekomandime të mundshme. Konfirmimi për kalimin e fazës i referohet hapit korrespondues në procedurën e hartimit të planit në Regjistrin Kombëtar të Planifikimit të Territorit ose, në mungesë të funksionimit të tij, i referohet një konfirmimi në rrugë shkresore ndaj autoritetit përgjegjës për dokumentin e planifikimit.</w:t>
      </w:r>
    </w:p>
    <w:p w:rsidR="00CB1030" w:rsidRPr="000C348D" w:rsidRDefault="00CB1030">
      <w:pPr>
        <w:widowControl w:val="0"/>
        <w:spacing w:after="0" w:line="240" w:lineRule="auto"/>
        <w:ind w:firstLine="284"/>
        <w:jc w:val="both"/>
        <w:rPr>
          <w:rFonts w:ascii="Garamond" w:eastAsia="MS Mincho" w:hAnsi="Garamond" w:cs="CG Times"/>
          <w:spacing w:val="-4"/>
          <w:sz w:val="10"/>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5</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Bashkërendimi i dokumenteve të planifikimit</w:t>
      </w:r>
    </w:p>
    <w:p w:rsidR="00EB70B8" w:rsidRPr="000C348D" w:rsidRDefault="00EB70B8" w:rsidP="00EB70B8">
      <w:pPr>
        <w:widowControl w:val="0"/>
        <w:spacing w:after="0" w:line="240" w:lineRule="auto"/>
        <w:jc w:val="center"/>
        <w:rPr>
          <w:rFonts w:ascii="Garamond" w:eastAsia="MS Mincho" w:hAnsi="Garamond" w:cs="CG Times"/>
          <w:i/>
          <w:spacing w:val="-4"/>
          <w:sz w:val="24"/>
          <w:lang w:val="sq-AL"/>
        </w:rPr>
      </w:pPr>
      <w:r w:rsidRPr="000C348D">
        <w:rPr>
          <w:rFonts w:ascii="Garamond" w:eastAsia="MS Mincho" w:hAnsi="Garamond" w:cs="Times New Roman"/>
          <w:bCs/>
          <w:i/>
          <w:spacing w:val="-4"/>
          <w:sz w:val="24"/>
          <w:lang w:val="sq-AL"/>
        </w:rPr>
        <w:t>(Ndryshuar nëndarja ‘’iii’’ dhe shtuar nëndarjet ‘’iv’’ dhe ‘’v’’ të shkronjës ‘’a’’ të pikës 2 me VKM nr. 718, datë 20.11.2024</w:t>
      </w:r>
      <w:r w:rsidRPr="000C348D">
        <w:rPr>
          <w:rFonts w:ascii="Garamond" w:eastAsia="MS Mincho" w:hAnsi="Garamond" w:cs="CG Times"/>
          <w:bCs/>
          <w:i/>
          <w:spacing w:val="-4"/>
          <w:sz w:val="24"/>
          <w:lang w:val="sq-AL"/>
        </w:rPr>
        <w:t>)</w:t>
      </w:r>
    </w:p>
    <w:p w:rsidR="00CB1030" w:rsidRPr="000C348D" w:rsidRDefault="00CB1030">
      <w:pPr>
        <w:widowControl w:val="0"/>
        <w:spacing w:after="0" w:line="240" w:lineRule="auto"/>
        <w:ind w:firstLine="284"/>
        <w:jc w:val="both"/>
        <w:rPr>
          <w:rFonts w:ascii="Garamond" w:eastAsia="MS Mincho" w:hAnsi="Garamond" w:cs="CG Times"/>
          <w:spacing w:val="-4"/>
          <w:sz w:val="10"/>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Bashkërendimi horizontal ndërmjet autoriteteve kombëtare të planifikimit dhe bashkërendimi vertikal ndërmjet autoriteteve kombëtare dhe atyre vendore të planifikimit janë përgjegjësi funksionale e agjencisë përgjegjëse për planifikimin, në përputhje me nenin 9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Bashkërendimi i dokumenteve të planifikimit kryhet në përputhje me përcaktimet e nenit 23, të ligjit, nëpërmjet mekanizmit të forumit për bashkërendimin e planifikimit.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Forumi për bashkërendimin e planifikimit zhvillohet në dy nivele: Forumi për bashkërendimin e planifikimit në nivel qendror (FBPQ), për dokumentet 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Planit të Përgjithshëm Kombëtar të Territorit;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Planit Kombëtar Sektorial;</w:t>
      </w:r>
    </w:p>
    <w:p w:rsidR="00EB70B8" w:rsidRPr="000C348D" w:rsidRDefault="00EB70B8">
      <w:pPr>
        <w:widowControl w:val="0"/>
        <w:spacing w:after="0" w:line="240" w:lineRule="auto"/>
        <w:ind w:firstLine="284"/>
        <w:jc w:val="both"/>
        <w:rPr>
          <w:rFonts w:ascii="Garamond" w:hAnsi="Garamond" w:cs="Times New Roman"/>
          <w:sz w:val="24"/>
          <w:szCs w:val="24"/>
          <w:lang w:val="sq-AL"/>
        </w:rPr>
      </w:pPr>
      <w:r w:rsidRPr="000C348D">
        <w:rPr>
          <w:rFonts w:ascii="Garamond" w:eastAsia="MS Mincho" w:hAnsi="Garamond" w:cs="CG Times"/>
          <w:spacing w:val="-4"/>
          <w:sz w:val="24"/>
          <w:lang w:val="sq-AL"/>
        </w:rPr>
        <w:t xml:space="preserve">iii) </w:t>
      </w:r>
      <w:r w:rsidRPr="000C348D">
        <w:rPr>
          <w:rFonts w:ascii="Garamond" w:hAnsi="Garamond" w:cs="Times New Roman"/>
          <w:sz w:val="24"/>
          <w:szCs w:val="24"/>
          <w:lang w:val="sq-AL"/>
        </w:rPr>
        <w:t>Planit Kombëtar të Hapësirës Detare;</w:t>
      </w:r>
    </w:p>
    <w:p w:rsidR="00EB70B8" w:rsidRPr="000C348D" w:rsidRDefault="00EB70B8" w:rsidP="00EB70B8">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iv) Planit të Detajuar për Zonën me Rëndësi Kombëtare;</w:t>
      </w:r>
    </w:p>
    <w:p w:rsidR="00EB70B8" w:rsidRPr="000C348D" w:rsidRDefault="00EB70B8" w:rsidP="00EB70B8">
      <w:pPr>
        <w:widowControl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 v) Planet e detajuara qendrore.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Forumi për bashkërendimin e planifikimit në nivel vendor (FBPV), për dokumentet 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Planit sektorial në nivel qarku;</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Planit të përgjithshëm vendor.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Forumi nuk është entitet vendimmarrës, miratues apo zgjidhës i konflikteve. Forumi është një mekanizëm që synon të nxitë diskutimet strategjike mes anëtarëve të tij, të cilët përfaqësojnë politikat e disa institucioneve në nivel qendror dhe vendor, për të arritur bashkërendimin e çështjeve të planifikimit.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Forumi konstituohet pas ndërmarrjes së nismës për hartimin e dokumentit të planifikimit, me urdhër të drejtorit të Agjencisë, ku përcaktohen detyrat, përgjegjësitë e forumit dhe programi i punës së forumit. Drejtuesi njofton anëtarët, pjesë e këtij forumi, mbi konstituimin e tij, duke botuar, brenda 10 (dhjetë) ditëve, urdhrin në regjistër.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5. Forumi drejtohet nga drejtori i agjencisë dhe sipas niveleve të planifikimit ka përbërjen, si më poshtë: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FBPQ-ja përbëhet nga përfaqësues të ministrive të cilat trajtojnë çështje që ndikojnë direkt në planifikimin e territorit, si: turizmi, mjedisi, bujqësia, burimet natyrore, transporti, infrastruktura etj.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FBPV-ja përbëhet nga: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drejtuesi i organit përgjegjës për planifikimin në qark, në rastin e hartimit të planit sektorial në nivel qarku, që ka ndërmarrë nismën, përfaqësues planifikues të qarqeve kufitare, përfaqësues planifikues të bashkive, pjesë të qarkut;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drejtuesi i organit përgjegjës për planifikimin në njësinë vendore që ka ndërmarrë nismën, përfaqësues planifikues të bashkive kufitare dhe përfaqësuesi planifikues i qarkut.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Sipas rastit, forumi mund të ketë në përbërjen e tij edhe përfaqësues të grupeve të interesit.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6. FBPQ/FBPV bashkërendon dokumentin e planifikimit, sipas programit të punës, dhe në çdo rast sipas fazave të hartimit të pjesëve të veçanta të dokumentit të planifikimit, si më poshtë vijon: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Agjencia njofton organizimin e takimit të forumit të paktën 7 (shtatë)  ditë përpara mbajtjes së tij.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Pjesët e dokumentit të planifikimit, subjekt bashkërendimi, apo sipas rastit dokumenti i plotë i planifikimit duhet të jenë të botuara në regjistër të paktën 7 (shtatë) ditë përpara takimit të FBPQ/FBPV.</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c) Pjesët e dokumentit, subjekt bashkërendimi, janë publike dhe mund të këshillohen nga publiku i </w:t>
      </w:r>
      <w:r w:rsidRPr="000C348D">
        <w:rPr>
          <w:rFonts w:ascii="Garamond" w:eastAsia="MS Mincho" w:hAnsi="Garamond" w:cs="CG Times"/>
          <w:spacing w:val="-4"/>
          <w:sz w:val="24"/>
          <w:lang w:val="sq-AL"/>
        </w:rPr>
        <w:lastRenderedPageBreak/>
        <w:t>interesuar, si dhe nga autoritetet e tjera të planifikimit, të cilat nuk janë pjesë e FBPQ/FBPV. Këta të fundit kanë mundësinë që të adresojnë vërejtjet dhe/apo sugjerimet e tyre në adresë të autoritetit i cili drejton FBPQ/FBPV, përpara mbajtjes së takimit nga autoriteti. Autoriteti drejtues do t’i prezantojë vërejtjet dhe/apo sugjerimet e ardhura në takimin e FBPQ/FBPV.</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AKPT-ja përgatit raportet e takimeve të bashkërendimit pas çdo takimi të forumit duke shprehur qartë vërejtjet dhe/apo propozimet e autoriteteve të tjera të planifikimit, pjesë e FBPQ/FBPV, si dhe qëndrimet e autoritetit përgjegjës për hartimin e dokumentit, për secilën prej vërejtjeve dhe/apo propozimeve.</w:t>
      </w:r>
    </w:p>
    <w:p w:rsidR="00CB1030" w:rsidRPr="000C348D" w:rsidRDefault="00EB70B8" w:rsidP="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AKPT-ja boton raportet e takimeve të forumit në regjistër, sipas afateve të caktuara në ligj për botimin.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dh) Autoritetet përgjegjëse të planifikimit reflektojnë në dokumentet e planifikimit komentet/sugjerimet e raporteve të takimeve të bashkërendimit ose japin arsyet e argumentuara të moskryerjes së reflektimeve.</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6</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Këshillimi dhe takimi publik</w:t>
      </w:r>
    </w:p>
    <w:p w:rsidR="00EB70B8" w:rsidRPr="000C348D" w:rsidRDefault="00EB70B8" w:rsidP="00EB70B8">
      <w:pPr>
        <w:widowControl w:val="0"/>
        <w:spacing w:after="0" w:line="240" w:lineRule="auto"/>
        <w:jc w:val="center"/>
        <w:rPr>
          <w:rFonts w:ascii="Garamond" w:eastAsia="MS Mincho" w:hAnsi="Garamond" w:cs="CG Times"/>
          <w:i/>
          <w:spacing w:val="-4"/>
          <w:sz w:val="24"/>
          <w:lang w:val="sq-AL"/>
        </w:rPr>
      </w:pPr>
      <w:r w:rsidRPr="000C348D">
        <w:rPr>
          <w:rFonts w:ascii="Garamond" w:eastAsia="MS Mincho" w:hAnsi="Garamond" w:cs="Times New Roman"/>
          <w:bCs/>
          <w:i/>
          <w:spacing w:val="-4"/>
          <w:sz w:val="24"/>
          <w:lang w:val="sq-AL"/>
        </w:rPr>
        <w:t>(Shtuar fjalë në pikën 1 dhe 2 me VKM nr. 718, datë 20.11.2024</w:t>
      </w:r>
      <w:r w:rsidRPr="000C348D">
        <w:rPr>
          <w:rFonts w:ascii="Garamond" w:eastAsia="MS Mincho" w:hAnsi="Garamond" w:cs="CG Times"/>
          <w:bCs/>
          <w:i/>
          <w:spacing w:val="-4"/>
          <w:sz w:val="24"/>
          <w:lang w:val="sq-AL"/>
        </w:rPr>
        <w:t>)</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Këshillimi dhe takimet publike gjatë hartimit</w:t>
      </w:r>
      <w:r w:rsidRPr="000C348D">
        <w:rPr>
          <w:rFonts w:ascii="Garamond" w:hAnsi="Garamond" w:cs="Times New Roman"/>
          <w:sz w:val="24"/>
          <w:szCs w:val="24"/>
          <w:lang w:val="sq-AL"/>
        </w:rPr>
        <w:t xml:space="preserve"> dhe rishikimit</w:t>
      </w:r>
      <w:r w:rsidRPr="000C348D">
        <w:rPr>
          <w:rFonts w:ascii="Garamond" w:eastAsia="MS Mincho" w:hAnsi="Garamond" w:cs="CG Times"/>
          <w:spacing w:val="-4"/>
          <w:sz w:val="24"/>
          <w:lang w:val="sq-AL"/>
        </w:rPr>
        <w:t xml:space="preserve"> të dokumenteve të planifikimit kryhen në përputhje me përcaktimet e nenit 24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2. Takimi publik zhvillohet me një publik të gjerë, i cili përfaqëson të gjitha shtresat dhe profilet e shoqërisë, që jeton apo punon brenda territorit për të cilin hartohet </w:t>
      </w:r>
      <w:r w:rsidRPr="000C348D">
        <w:rPr>
          <w:rFonts w:ascii="Garamond" w:hAnsi="Garamond" w:cs="Times New Roman"/>
          <w:sz w:val="24"/>
          <w:szCs w:val="24"/>
          <w:lang w:val="sq-AL"/>
        </w:rPr>
        <w:t xml:space="preserve">apo rishikohet, </w:t>
      </w:r>
      <w:r w:rsidRPr="000C348D">
        <w:rPr>
          <w:rFonts w:ascii="Garamond" w:eastAsia="MS Mincho" w:hAnsi="Garamond" w:cs="CG Times"/>
          <w:spacing w:val="-4"/>
          <w:sz w:val="24"/>
          <w:lang w:val="sq-AL"/>
        </w:rPr>
        <w:t>dokumenti i planifikimit.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w:t>
      </w:r>
      <w:r w:rsidRPr="000C348D">
        <w:rPr>
          <w:rFonts w:ascii="Garamond" w:eastAsia="MS Mincho" w:hAnsi="Garamond" w:cs="CG Times"/>
          <w:spacing w:val="-4"/>
          <w:sz w:val="4"/>
          <w:lang w:val="sq-AL"/>
        </w:rPr>
        <w:t xml:space="preserve"> </w:t>
      </w:r>
      <w:r w:rsidRPr="000C348D">
        <w:rPr>
          <w:rFonts w:ascii="Garamond" w:eastAsia="MS Mincho" w:hAnsi="Garamond" w:cs="CG Times"/>
          <w:spacing w:val="-4"/>
          <w:sz w:val="24"/>
          <w:lang w:val="sq-AL"/>
        </w:rPr>
        <w:t>Autoriteti përgjegjës për hartimin e doku-mentit të planifikimit në nivel qendror dhe të planeve të përgjithshme vendore organizon një ose më shumë takime publike përpara çdo vendimmarrjeje planifikuese dhe i përsërit ato sipas nevojës për informimin e plotë të palëve të interesuara dhe zgjidhjen e konflikteve.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Organizimi i takimeve publike kryhet si më poshtë vijon: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Autoriteti përgjegjës i planifikimit njofton vendin, datën dhe orën e takimit këshillimor dhe atij publik, të paktën 30 (tridhjetë) ditë para secilit takim, si dhe vë në dispozicion dokumentin e nismës apo atë të planifikimit, subjekt këshillimi. Njoftimi kryhet përmes botimit në regjistër dhe një ose disa mjeteve tradicionale të informimit publik.</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Raporti me përmbledhjet e vërejtjeve dhe/apo propozimeve të shprehura gjatë takimeve këshilluese dhe atyre informuese me publikun botohen në regjistër brenda 10 (dhjetë) ditëve nga data e mbajtjes së takimit nga autoriteti përgjegjës i planifikimit.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Autoriteti përgjegjës i planifikimit reflekton në dokumentet e planifikimit vërejtjet dhe/apo propozimet e publikut ose jep arsyet e argumentuara të moskryerjes së një ndryshimi të tillë.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5. Dokumentet e planifikimit diskutohen edhe nëpërmjet organizimit të takimeve këshillimore me grupet e interesit dhe ekspertë të fushës, si dhe, në rast se janë ngritur pranë njësive vendore, me forumet këshillimore vendore (FKV). Takimet këshillimore kanë në fokus tërheqjen e mendimeve dhe sugjerimeve nga grupet e specializuara ose që preken drejtpërdrejt nga dokumenti i planifikimit.</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7</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Forumi këshillimor vendor</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Forumi këshillimor vendor (FKV) është një bashkim vullnetar i përfaqësuesve të komunitetit dhe si i tillë vetëm prezantohet në këtë rregullore, por nuk rregullohet prej saj.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Forumi organizohet në mbështetje të interesave të komunitetit për të konsultuar me bashkinë lidhur me vendimmarrjet për çështjet dhe zhvillimet kryesore, të tilla si: planifikimi urban, planifikimi strategjik për zhvillimin ekonomik, buxheti, paketa fiskale dhe ofrimi i shërbimeve.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Forumi mund të institucionalizohet me anë të një marrëveshjeje me kryetarin e njësisë vendore.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4. Autoritetet përgjegjëse për planifikimin vendor duhet të stimulojnë ngritjen e bashkimeve vullnetare </w:t>
      </w:r>
      <w:r w:rsidRPr="000C348D">
        <w:rPr>
          <w:rFonts w:ascii="Garamond" w:eastAsia="MS Mincho" w:hAnsi="Garamond" w:cs="CG Times"/>
          <w:spacing w:val="-4"/>
          <w:sz w:val="24"/>
          <w:lang w:val="sq-AL"/>
        </w:rPr>
        <w:lastRenderedPageBreak/>
        <w:t>në përgjithësi, për të krijuar forumet këshillimore vendore. Në kuadër të kësaj rregulloreje, autoritetet vendore të planifikimit duhet të stimulojnë forumet këshillimore vendore për planifikimin dhe zhvillimin e territorit.</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8</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Miratimi i dokumentit të planifikimit</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Përveçse kur përcaktohet ndryshe në ligj dhe në seksionet përkatëse të çdo dokumenti planifikimi në këtë rregullore: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Autoriteti përgjegjës për miratimin e dokumentit të planifikimit miraton projektaktin për dokumentin përkatës ose ia rikthen atë për rishikim autoritetit propozues, së bashku me arsyet e mosmiratimit në rastet kur vlerëson se: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a) nuk janë kryer bashkërendimi, këshillimi dhe takimi publik ose nuk janë respektuar procedurat e tjera të detyrueshme të planifikimit, sipas përcaktimeve të ligjit dhe rregulloreve në zbatim të tij;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projekti i dokumentit ka mospërputhje me dokumentet e planifikimit të miratuar ose me legjislacionin në fuqi.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2. Në këto raste, për dokumentet që miratohen nga </w:t>
      </w:r>
      <w:r w:rsidR="00452FAD" w:rsidRPr="000C348D">
        <w:rPr>
          <w:rFonts w:ascii="Garamond" w:hAnsi="Garamond" w:cs="Times New Roman"/>
          <w:sz w:val="24"/>
          <w:szCs w:val="24"/>
          <w:lang w:val="sq-AL"/>
        </w:rPr>
        <w:t>KKTU</w:t>
      </w:r>
      <w:r w:rsidR="00452FAD"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-ja, autoriteti propozues, në bashkëpunim me Agjencinë, kryen procesin e duhur të rishikimit të projektaktit.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Në përfundim të rishikimit, projektakti i dokumentit të planifikimit i ridërgohet për miratim autoritetit miratues.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Autoriteti përgjegjës për miratimin përfundimtar miraton dokumentin e planifikimit dhe, jo më vonë se 15 (pesëmbëdhjetë) ditë pas miratimit të tij, boton në regjistër vendimin e miratimit së bashku me dokumentet shoqëruese, në përputhje me pikën 4, të nenit 25 të ligjit.</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9</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 xml:space="preserve">Botimi në Regjistrin Kombëtar të Planifikimit të Territorit </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Të gjitha dokumentet dhe vendimet e parashikuara në këtë rregullore duhet të botohen në Regjistrin Kombëtar të Planifikimit të Territorit, në përputhje me përcaktimin e ligjit, dhe të njoftohen nëpërmjet një ose disa mjeteve tradicionale të informimit.</w:t>
      </w:r>
    </w:p>
    <w:p w:rsidR="00CB1030" w:rsidRPr="000C348D" w:rsidRDefault="00CB1030" w:rsidP="00861DB9">
      <w:pPr>
        <w:widowControl w:val="0"/>
        <w:spacing w:after="0" w:line="240" w:lineRule="auto"/>
        <w:rPr>
          <w:rFonts w:ascii="Garamond" w:eastAsia="MS Mincho" w:hAnsi="Garamond" w:cs="CG Times"/>
          <w:spacing w:val="-4"/>
          <w:sz w:val="2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10</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Monitorimi i zbatimit të dokumentit të planifikimit</w:t>
      </w:r>
    </w:p>
    <w:p w:rsidR="00861DB9" w:rsidRPr="000C348D" w:rsidRDefault="00861DB9" w:rsidP="00861DB9">
      <w:pPr>
        <w:widowControl w:val="0"/>
        <w:spacing w:after="0" w:line="240" w:lineRule="auto"/>
        <w:jc w:val="center"/>
        <w:rPr>
          <w:rFonts w:ascii="Garamond" w:eastAsia="MS Mincho" w:hAnsi="Garamond" w:cs="CG Times"/>
          <w:i/>
          <w:spacing w:val="-4"/>
          <w:sz w:val="24"/>
          <w:lang w:val="sq-AL"/>
        </w:rPr>
      </w:pPr>
      <w:r w:rsidRPr="000C348D">
        <w:rPr>
          <w:rFonts w:ascii="Garamond" w:eastAsia="MS Mincho" w:hAnsi="Garamond" w:cs="CG Times"/>
          <w:i/>
          <w:spacing w:val="-4"/>
          <w:sz w:val="24"/>
          <w:lang w:val="sq-AL"/>
        </w:rPr>
        <w:t>(S</w:t>
      </w:r>
      <w:r w:rsidR="00EB70B8" w:rsidRPr="000C348D">
        <w:rPr>
          <w:rFonts w:ascii="Garamond" w:eastAsia="MS Mincho" w:hAnsi="Garamond" w:cs="CG Times"/>
          <w:i/>
          <w:spacing w:val="-4"/>
          <w:sz w:val="24"/>
          <w:lang w:val="sq-AL"/>
        </w:rPr>
        <w:t>htuar pika 3 me VKM nr. 232, datë 17.4.2019</w:t>
      </w:r>
      <w:r w:rsidRPr="000C348D">
        <w:rPr>
          <w:rFonts w:ascii="Garamond" w:eastAsia="MS Mincho" w:hAnsi="Garamond" w:cs="CG Times"/>
          <w:i/>
          <w:spacing w:val="-4"/>
          <w:sz w:val="24"/>
          <w:lang w:val="sq-AL"/>
        </w:rPr>
        <w:t xml:space="preserve">; </w:t>
      </w:r>
      <w:r w:rsidR="005E6C40" w:rsidRPr="000C348D">
        <w:rPr>
          <w:rFonts w:ascii="Garamond" w:eastAsia="MS Mincho" w:hAnsi="Garamond" w:cs="CG Times"/>
          <w:i/>
          <w:spacing w:val="-4"/>
          <w:sz w:val="24"/>
          <w:lang w:val="sq-AL"/>
        </w:rPr>
        <w:t>shtuar togfjalësha në pikën 3</w:t>
      </w:r>
      <w:r w:rsidRPr="000C348D">
        <w:rPr>
          <w:rFonts w:ascii="Garamond" w:eastAsia="MS Mincho" w:hAnsi="Garamond" w:cs="Times New Roman"/>
          <w:bCs/>
          <w:i/>
          <w:spacing w:val="-4"/>
          <w:sz w:val="24"/>
          <w:lang w:val="sq-AL"/>
        </w:rPr>
        <w:t xml:space="preserve"> me VKM nr. 718, datë 20.11.2024</w:t>
      </w:r>
      <w:r w:rsidRPr="000C348D">
        <w:rPr>
          <w:rFonts w:ascii="Garamond" w:eastAsia="MS Mincho" w:hAnsi="Garamond" w:cs="CG Times"/>
          <w:bCs/>
          <w:i/>
          <w:spacing w:val="-4"/>
          <w:sz w:val="24"/>
          <w:lang w:val="sq-AL"/>
        </w:rPr>
        <w:t>)</w:t>
      </w:r>
    </w:p>
    <w:p w:rsidR="00CB1030" w:rsidRPr="000C348D" w:rsidRDefault="00CB1030" w:rsidP="00861DB9">
      <w:pPr>
        <w:widowControl w:val="0"/>
        <w:spacing w:after="0" w:line="240" w:lineRule="auto"/>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Monitorimi i zbatimit të dokumentit të planifikimit bëhet nga autoriteti përgjegjës për hartimin e tij, sipas planit përkatës të veprimeve, i miratuar si pjesë e dokumentit të planifikimit.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Procesi i zbatimit të dokumenteve të planifikimit monitorohet edhe nga agjencia në bashkërendimin me autoritetet përgjegjëse për planifikimin.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Nëse, gjatë zbatimit</w:t>
      </w:r>
      <w:r w:rsidR="00861DB9" w:rsidRPr="000C348D">
        <w:rPr>
          <w:rFonts w:ascii="Garamond" w:eastAsia="MS Mincho" w:hAnsi="Garamond" w:cs="CG Times"/>
          <w:spacing w:val="-4"/>
          <w:sz w:val="24"/>
          <w:lang w:val="sq-AL"/>
        </w:rPr>
        <w:t xml:space="preserve"> të dokumenteve të planifikimit</w:t>
      </w:r>
      <w:r w:rsidR="00861DB9" w:rsidRPr="000C348D">
        <w:rPr>
          <w:rFonts w:ascii="Garamond" w:hAnsi="Garamond" w:cs="Times New Roman"/>
          <w:sz w:val="24"/>
          <w:szCs w:val="24"/>
          <w:lang w:val="sq-AL"/>
        </w:rPr>
        <w:t xml:space="preserve"> dhe vendimmarrjeve të KKTU-së</w:t>
      </w:r>
      <w:r w:rsidRPr="000C348D">
        <w:rPr>
          <w:rFonts w:ascii="Garamond" w:eastAsia="MS Mincho" w:hAnsi="Garamond" w:cs="CG Times"/>
          <w:spacing w:val="-4"/>
          <w:sz w:val="24"/>
          <w:lang w:val="sq-AL"/>
        </w:rPr>
        <w:t xml:space="preserve"> lind nevoja e korrigjimit të dokumenteve të planifikimit, sipas rasteve të përcaktuara</w:t>
      </w:r>
      <w:r w:rsidR="00861DB9" w:rsidRPr="000C348D">
        <w:rPr>
          <w:rFonts w:ascii="Garamond" w:hAnsi="Garamond" w:cs="Times New Roman"/>
          <w:sz w:val="24"/>
          <w:szCs w:val="24"/>
          <w:lang w:val="sq-AL"/>
        </w:rPr>
        <w:t xml:space="preserve"> në pikën 2/1 të nenit 26 të ligjit dhe</w:t>
      </w:r>
      <w:r w:rsidRPr="000C348D">
        <w:rPr>
          <w:rFonts w:ascii="Garamond" w:eastAsia="MS Mincho" w:hAnsi="Garamond" w:cs="CG Times"/>
          <w:spacing w:val="-4"/>
          <w:sz w:val="24"/>
          <w:lang w:val="sq-AL"/>
        </w:rPr>
        <w:t xml:space="preserve"> </w:t>
      </w:r>
      <w:r w:rsidR="00861DB9" w:rsidRPr="000C348D">
        <w:rPr>
          <w:rFonts w:ascii="Garamond" w:eastAsia="MS Mincho" w:hAnsi="Garamond" w:cs="CG Times"/>
          <w:spacing w:val="-4"/>
          <w:sz w:val="24"/>
          <w:lang w:val="sq-AL"/>
        </w:rPr>
        <w:t>në pikën 38 të nenit 2</w:t>
      </w:r>
      <w:r w:rsidRPr="000C348D">
        <w:rPr>
          <w:rFonts w:ascii="Garamond" w:eastAsia="MS Mincho" w:hAnsi="Garamond" w:cs="CG Times"/>
          <w:spacing w:val="-4"/>
          <w:sz w:val="24"/>
          <w:lang w:val="sq-AL"/>
        </w:rPr>
        <w:t xml:space="preserve"> të këtij vendimi, autoriteti përgjegjës për planifikimin e territorit përgatit një relacion shpjegues dhe njofton Agjencinë për  konstatimet. Agjencia, në bashkëpunim me autoritetin përgjegjës për planifikimin, shqyrton dhe vlerëson rastet e konstatuara. Në përfundim të këtij procesi, Agjencia dërgon në </w:t>
      </w:r>
      <w:r w:rsidR="00452FAD" w:rsidRPr="000C348D">
        <w:rPr>
          <w:rFonts w:ascii="Garamond" w:hAnsi="Garamond" w:cs="Times New Roman"/>
          <w:sz w:val="24"/>
          <w:szCs w:val="24"/>
          <w:lang w:val="sq-AL"/>
        </w:rPr>
        <w:t>KKTU</w:t>
      </w:r>
      <w:r w:rsidRPr="000C348D">
        <w:rPr>
          <w:rFonts w:ascii="Garamond" w:eastAsia="MS Mincho" w:hAnsi="Garamond" w:cs="CG Times"/>
          <w:spacing w:val="-4"/>
          <w:sz w:val="24"/>
          <w:lang w:val="sq-AL"/>
        </w:rPr>
        <w:t xml:space="preserve"> kërkesën për miratimin e vendimit për korrigjimin e dokumentit të planifikimit, shoqëruar nga një relacion shpjegues. Vendimi hyn në fuqi pas botimit në Regjistrin Kombëtar të Planifikimit të Territorit.</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keepNext/>
        <w:widowControl w:val="0"/>
        <w:spacing w:after="0" w:line="240" w:lineRule="auto"/>
        <w:jc w:val="center"/>
        <w:rPr>
          <w:rFonts w:ascii="Garamond" w:eastAsia="MS Mincho" w:hAnsi="Garamond" w:cs="CG Times"/>
          <w:sz w:val="24"/>
          <w:lang w:val="en-GB"/>
        </w:rPr>
      </w:pPr>
      <w:r w:rsidRPr="000C348D">
        <w:rPr>
          <w:rFonts w:ascii="Garamond" w:eastAsia="MS Mincho" w:hAnsi="Garamond" w:cs="CG Times"/>
          <w:sz w:val="24"/>
          <w:lang w:val="en-GB"/>
        </w:rPr>
        <w:t>Neni 11</w:t>
      </w:r>
    </w:p>
    <w:p w:rsidR="00CB1030" w:rsidRPr="000C348D" w:rsidRDefault="00EB70B8">
      <w:pPr>
        <w:keepNext/>
        <w:widowControl w:val="0"/>
        <w:spacing w:after="0" w:line="240" w:lineRule="auto"/>
        <w:jc w:val="center"/>
        <w:outlineLvl w:val="2"/>
        <w:rPr>
          <w:rFonts w:ascii="Garamond" w:eastAsia="MS Mincho" w:hAnsi="Garamond" w:cs="CG Times"/>
          <w:b/>
          <w:bCs/>
          <w:sz w:val="24"/>
          <w:lang w:val="en-GB"/>
        </w:rPr>
      </w:pPr>
      <w:r w:rsidRPr="000C348D">
        <w:rPr>
          <w:rFonts w:ascii="Garamond" w:eastAsia="MS Mincho" w:hAnsi="Garamond" w:cs="CG Times"/>
          <w:b/>
          <w:bCs/>
          <w:sz w:val="24"/>
          <w:lang w:val="en-GB"/>
        </w:rPr>
        <w:t>Rishikimi i dokumentit të planifikimit dhe procedura e thjeshtuar</w:t>
      </w:r>
    </w:p>
    <w:p w:rsidR="00F9228D" w:rsidRPr="000C348D" w:rsidRDefault="00F9228D" w:rsidP="00F9228D">
      <w:pPr>
        <w:widowControl w:val="0"/>
        <w:spacing w:after="0" w:line="240" w:lineRule="auto"/>
        <w:jc w:val="center"/>
        <w:rPr>
          <w:rFonts w:ascii="Garamond" w:eastAsia="MS Mincho" w:hAnsi="Garamond" w:cs="CG Times"/>
          <w:i/>
          <w:spacing w:val="-4"/>
          <w:sz w:val="24"/>
          <w:lang w:val="sq-AL"/>
        </w:rPr>
      </w:pPr>
      <w:r w:rsidRPr="000C348D">
        <w:rPr>
          <w:rFonts w:ascii="Garamond" w:eastAsia="MS Mincho" w:hAnsi="Garamond" w:cs="CG Times"/>
          <w:bCs/>
          <w:i/>
          <w:sz w:val="24"/>
          <w:lang w:val="sq-AL"/>
        </w:rPr>
        <w:t xml:space="preserve">(Ndryshuar pika 1 </w:t>
      </w:r>
      <w:r w:rsidR="00EB70B8" w:rsidRPr="000C348D">
        <w:rPr>
          <w:rFonts w:ascii="Garamond" w:eastAsia="MS Mincho" w:hAnsi="Garamond" w:cs="CG Times"/>
          <w:bCs/>
          <w:i/>
          <w:sz w:val="24"/>
          <w:lang w:val="sq-AL"/>
        </w:rPr>
        <w:t>me VKM nr. 694, datë 2.10.2019</w:t>
      </w:r>
      <w:r w:rsidRPr="000C348D">
        <w:rPr>
          <w:rFonts w:ascii="Garamond" w:eastAsia="MS Mincho" w:hAnsi="Garamond" w:cs="CG Times"/>
          <w:bCs/>
          <w:i/>
          <w:sz w:val="24"/>
          <w:lang w:val="sq-AL"/>
        </w:rPr>
        <w:t xml:space="preserve">; ndryshuar pika 4 </w:t>
      </w:r>
      <w:r w:rsidRPr="000C348D">
        <w:rPr>
          <w:rFonts w:ascii="Garamond" w:eastAsia="MS Mincho" w:hAnsi="Garamond" w:cs="Times New Roman"/>
          <w:bCs/>
          <w:i/>
          <w:spacing w:val="-4"/>
          <w:sz w:val="24"/>
          <w:lang w:val="sq-AL"/>
        </w:rPr>
        <w:t>me VKM  nr. 718, datë 20.11.2024</w:t>
      </w:r>
      <w:r w:rsidRPr="000C348D">
        <w:rPr>
          <w:rFonts w:ascii="Garamond" w:eastAsia="MS Mincho" w:hAnsi="Garamond" w:cs="CG Times"/>
          <w:bCs/>
          <w:i/>
          <w:spacing w:val="-4"/>
          <w:sz w:val="24"/>
          <w:lang w:val="sq-AL"/>
        </w:rPr>
        <w:t>)</w:t>
      </w:r>
    </w:p>
    <w:p w:rsidR="00CB1030" w:rsidRPr="000C348D" w:rsidRDefault="00CB1030">
      <w:pPr>
        <w:keepNext/>
        <w:widowControl w:val="0"/>
        <w:spacing w:after="0" w:line="240" w:lineRule="auto"/>
        <w:jc w:val="center"/>
        <w:outlineLvl w:val="2"/>
        <w:rPr>
          <w:rFonts w:ascii="Garamond" w:eastAsia="MS Mincho" w:hAnsi="Garamond" w:cs="CG Times"/>
          <w:bCs/>
          <w:i/>
          <w:sz w:val="24"/>
          <w:lang w:val="en-GB"/>
        </w:rPr>
      </w:pP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lastRenderedPageBreak/>
        <w:t>1. Rishikimi i dokumentit të planifikimit kryhet në përputhje me nenin 26, të ligjit, për shkak të forcave madhore, si: tërmete, përmbytje, zjarre masive, rrëshqitje të tokës, erozion etj., të ngjashme, për shkak të ndarjeve administrative e territoriale, ndryshimeve të paparashikuara demografike, sociale e ekonomike, ndryshimeve të shkaktuara nga kriza sektoriale, si edhe kur lind nevoja e harmonizimit me dokumente të një niveli më të lartë planifikimi apo me ndryshime të kuadrit ligjor në fushën e mbrojtjes e të menaxhimit të territorit, si dhe për arsye të përafrimit me legjislacionin e Bashkimit Evropian.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Rishikimi i çdo dokumenti planifikimi kryhet në përputhje me seksionet përkatëse në këtë rregullore, ku tregohen procesi dhe përmbajtja e dokumentit.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Në disa raste, procesi i rishikimit të dokumentit të planifikimit realizohet duke ndjekur një procedurë të thjeshtuar, e cila ka për qëllim të shkurtojë afatet e procesit të planifikimit, këshillimit e të bashkërendimit, të përjashtojë miratimin e nismës dhe të trajtojë vetëm pjesët e dokumentit të planifikimit, subjekt rishikimi, në varësi të rastit dhe nevojave.</w:t>
      </w:r>
    </w:p>
    <w:p w:rsidR="00F9228D" w:rsidRPr="000C348D" w:rsidRDefault="00EB70B8" w:rsidP="00F9228D">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eastAsia="MS Mincho" w:hAnsi="Garamond" w:cs="CG Times"/>
          <w:spacing w:val="-4"/>
          <w:sz w:val="24"/>
          <w:lang w:val="sq-AL"/>
        </w:rPr>
        <w:t xml:space="preserve">4. </w:t>
      </w:r>
      <w:r w:rsidR="00F9228D" w:rsidRPr="000C348D">
        <w:rPr>
          <w:rFonts w:ascii="Garamond" w:hAnsi="Garamond" w:cs="Times New Roman"/>
          <w:sz w:val="24"/>
          <w:szCs w:val="24"/>
          <w:lang w:val="sq-AL"/>
        </w:rPr>
        <w:t>Procedura e thjeshtuar ndiqet:</w:t>
      </w:r>
    </w:p>
    <w:p w:rsidR="00F9228D" w:rsidRPr="000C348D" w:rsidRDefault="00F9228D" w:rsidP="00F9228D">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a) kur rishikimi i dokumentit të planifikimit bëhet për një pjesë të territorit, për çështje të zhvillimit, të cilat duhet të marrin konfirmimin e institucioneve të fushës për garantimin e ruajtjes së vlerave natyrore e mjedisore, të trashëgimisë historike e kulturore dhe çështjeve të tjera sektoriale;</w:t>
      </w:r>
    </w:p>
    <w:p w:rsidR="00CB1030" w:rsidRPr="000C348D" w:rsidRDefault="00F9228D" w:rsidP="00F9228D">
      <w:pPr>
        <w:widowControl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b) për integrimin e vendimeve të KKTU-së.</w:t>
      </w:r>
    </w:p>
    <w:p w:rsidR="00F9228D" w:rsidRPr="000C348D" w:rsidRDefault="00F9228D" w:rsidP="00F9228D">
      <w:pPr>
        <w:widowControl w:val="0"/>
        <w:spacing w:after="0" w:line="240" w:lineRule="auto"/>
        <w:ind w:firstLine="284"/>
        <w:jc w:val="both"/>
        <w:rPr>
          <w:rFonts w:ascii="Garamond" w:eastAsia="MS Mincho" w:hAnsi="Garamond" w:cs="CG Times"/>
          <w:spacing w:val="-4"/>
          <w:sz w:val="2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12</w:t>
      </w:r>
      <w:r w:rsidR="00E81F7C" w:rsidRPr="000C348D">
        <w:rPr>
          <w:rFonts w:ascii="Garamond" w:eastAsia="MS Mincho" w:hAnsi="Garamond" w:cs="CG Times"/>
          <w:spacing w:val="-4"/>
          <w:sz w:val="24"/>
          <w:lang w:val="sq-AL"/>
        </w:rPr>
        <w:t xml:space="preserve"> </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Hapat e procedurës së thjeshtuar për rishikimin e dokumentit të planifikimit</w:t>
      </w:r>
    </w:p>
    <w:p w:rsidR="00CB1030" w:rsidRPr="000C348D" w:rsidRDefault="00EB70B8">
      <w:pPr>
        <w:widowControl w:val="0"/>
        <w:spacing w:after="0" w:line="240" w:lineRule="auto"/>
        <w:jc w:val="center"/>
        <w:rPr>
          <w:rFonts w:ascii="Garamond" w:eastAsia="MS Mincho" w:hAnsi="Garamond" w:cs="CG Times"/>
          <w:i/>
          <w:spacing w:val="-4"/>
          <w:sz w:val="24"/>
          <w:lang w:val="sq-AL"/>
        </w:rPr>
      </w:pPr>
      <w:r w:rsidRPr="000C348D">
        <w:rPr>
          <w:rFonts w:ascii="Garamond" w:eastAsia="MS Mincho" w:hAnsi="Garamond" w:cs="CG Times"/>
          <w:i/>
          <w:spacing w:val="-4"/>
          <w:sz w:val="24"/>
          <w:lang w:val="sq-AL"/>
        </w:rPr>
        <w:t>(Ndryshuar nëndarja “ii” e shkronjës “b”, të pikës 4 me VKM nr. 232, datë 17.4.2019)</w:t>
      </w:r>
    </w:p>
    <w:p w:rsidR="00CB1030" w:rsidRPr="000C348D" w:rsidRDefault="00CB1030">
      <w:pPr>
        <w:widowControl w:val="0"/>
        <w:spacing w:after="0" w:line="240" w:lineRule="auto"/>
        <w:jc w:val="center"/>
        <w:rPr>
          <w:rFonts w:ascii="Garamond" w:eastAsia="MS Mincho" w:hAnsi="Garamond" w:cs="CG Times"/>
          <w:b/>
          <w:spacing w:val="-4"/>
          <w:sz w:val="24"/>
          <w:lang w:val="sq-AL"/>
        </w:rPr>
      </w:pP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Procedura e thjeshtuar zhvillohet sipas hapave të mëposhtëm:</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Nisma, e cila përmban: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hartimin e dokumentit të nismës për rishikimin e pjesshëm të dokumentit përkatës të planifikimit, duke specifikuar: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qëllimin dhe nevojën e rishikimit të planit;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dokumentet apo pjesët përbërëse të tyre, subjekt rishikimi;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iii) ekspertët që do të përbëjnë grupin e punës për rishikimin e dokumentit;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iv) përcaktime për procesin e bashkërendimit, këshillimit dhe takimeve publike duke specifikuar afatet;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 planin e veprimeve për rishikimin e dokumentit;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vi) sipas rastit, vendimin për pezullimin e zhvillimit për të gjithë, ose një pjesë të territorit subjekt rishikimi, sipas nenit 33 të ligjit, shoqëruar me hartën përkatëse.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këshillimin e projektdokumentit të nismës me Agjencinë dhe publikun nëpërmjet Regjistrit Kombëtar të Planifikimit të Territorit;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botimin e dokumentit përfundimtar të nismës, me reflektimet përkatëse në rast të komenteve, shoqëruar me vendimin e autoritetit përgjegjës për hartimin e dokumentit të planifikimit për ndërmarrjen e nismës.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Hartimi i dokumentit të rishikuar të planifikimit, në bazë të planit të veprimeve, i paracaktuar dhe i dakordësuar në dokumentin e nismës.</w:t>
      </w:r>
    </w:p>
    <w:p w:rsidR="00CB1030" w:rsidRPr="000C348D" w:rsidRDefault="00EB70B8">
      <w:pPr>
        <w:widowControl w:val="0"/>
        <w:spacing w:after="0" w:line="240" w:lineRule="auto"/>
        <w:ind w:firstLine="284"/>
        <w:jc w:val="both"/>
        <w:rPr>
          <w:rFonts w:ascii="Garamond" w:eastAsia="MS Mincho" w:hAnsi="Garamond" w:cs="CG Times"/>
          <w:spacing w:val="-6"/>
          <w:sz w:val="24"/>
          <w:lang w:val="sq-AL"/>
        </w:rPr>
      </w:pPr>
      <w:r w:rsidRPr="000C348D">
        <w:rPr>
          <w:rFonts w:ascii="Garamond" w:eastAsia="MS Mincho" w:hAnsi="Garamond" w:cs="CG Times"/>
          <w:spacing w:val="-6"/>
          <w:sz w:val="24"/>
          <w:lang w:val="sq-AL"/>
        </w:rPr>
        <w:t>3. Bashkërendimi, këshillimi dhe takimet publike, sipas përcaktimeve të dokumentit të nismës, të vendosura në bashkëpunim me Agjencinë.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Miratimi i dokumentit të rishikuar të planifikimit: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Në nivel qendror, miratimi kryhet sipas përcaktimeve në seksionet përkatëse në këtë rregullore, ku tregohet procesi i miratimit.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Në nivel vendor: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Dokumenti i rishikuar i PSNQ-së miratohet sipas përcaktimeve të nenit 47, të kësaj rregulloreje;</w:t>
      </w:r>
    </w:p>
    <w:p w:rsidR="00CB1030" w:rsidRPr="000C348D" w:rsidRDefault="00EB70B8">
      <w:pPr>
        <w:widowControl w:val="0"/>
        <w:spacing w:after="0" w:line="240" w:lineRule="auto"/>
        <w:ind w:firstLine="284"/>
        <w:jc w:val="both"/>
        <w:rPr>
          <w:rFonts w:ascii="Garamond" w:eastAsia="MS Mincho" w:hAnsi="Garamond" w:cs="CG Times"/>
          <w:i/>
          <w:spacing w:val="-4"/>
          <w:sz w:val="24"/>
          <w:lang w:val="sq-AL"/>
        </w:rPr>
      </w:pPr>
      <w:r w:rsidRPr="000C348D">
        <w:rPr>
          <w:rFonts w:ascii="Garamond" w:eastAsia="MS Mincho" w:hAnsi="Garamond" w:cs="CG Times"/>
          <w:i/>
          <w:spacing w:val="-4"/>
          <w:sz w:val="24"/>
          <w:lang w:val="sq-AL"/>
        </w:rPr>
        <w:t>ii) Dokumenti i rishikuar i PPV-së miratohet sipas përcaktimeve të nenit 62, të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iii) Dokumenti i rishikuar i PSNB-së miratohet sipas përcaktimeve të nenit 67, të kësaj rregulloreje.</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lastRenderedPageBreak/>
        <w:t>Neni 13</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Deklarata e përgjegjësisë profesionale</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1. Hartuesit e dokumentit të planifikimit, ekspertë të fushave të ndryshme, pjesë e institucioneve publike apo private, duhet të nënshkruajnë një deklaratë përgjegjësie, ku dëshmojnë se dokumenti i planifikimit është në përputhje me legjislacionin në fuqi në fushën e planifikimit e të zhvillimit të territorit, si dhe me legjislacionet e tjera që ndikojnë në planifikimin e territorit.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Në rast se gjatë procesit të miratimit të dokumentit të planifikimit apo gjatë zbatimit të tij konstatohen shkelje të dispozitave ligjore në fuqi, atëherë autoriteti që konstaton shkeljen apo subjekti ka detyrimin të bëjë me dije ministrinë përgjegjëse për lëshimin e licencave në fushën e planifikimit, si dhe autoritetin e planifikimit përgjegjës për hartimin, të cilët duhet të marrin masat e nevojshme ndaj hartuesve të dokumentit, si edhe gjithë zinxhirit të institucioneve kontrolluese, në varësi të nivelit të dëmit të shkaktuar nga mungesa e përgjegjësisë profesionale.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3. Për sa më sipër, Agjencia, pasi të kryejë vlerësimin e saj për rastin, do t’i kërkojë </w:t>
      </w:r>
      <w:r w:rsidR="00452FAD" w:rsidRPr="000C348D">
        <w:rPr>
          <w:rFonts w:ascii="Garamond" w:hAnsi="Garamond" w:cs="Times New Roman"/>
          <w:sz w:val="24"/>
          <w:szCs w:val="24"/>
          <w:lang w:val="sq-AL"/>
        </w:rPr>
        <w:t>KKTU</w:t>
      </w:r>
      <w:r w:rsidR="00452FAD"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-së rishikimin e plotë apo të pjesshëm të dokumentit të planifikimit në fjalë, duke ndjekur hapat e procedurës së thjeshtuar.</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14</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Fondi i planifikimit</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Propozohet që fondi i planifikimit të krijohet nga buxheti i shtetit dhe nga vjelja e kundërvajtjeve administrative, sipas botimeve në regjistër, afateve të miratimit dhe gjithçkaje tjetër që ndërthuret me procesin e planifikimit dhe jo vetëm. Përdorimi i fondit planifikohet dhe miratohet nga autoritetet e planifikimit në përputhje me kuadrin ligjor dhe nënligjor në fuqi. </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SEKSIONI 2</w:t>
      </w: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HIERARKIA E DOKUMENTEVE TË PLANIFIKIMIT</w:t>
      </w:r>
    </w:p>
    <w:p w:rsidR="00CB1030" w:rsidRPr="000C348D" w:rsidRDefault="00CB1030">
      <w:pPr>
        <w:widowControl w:val="0"/>
        <w:spacing w:after="0" w:line="240" w:lineRule="auto"/>
        <w:jc w:val="center"/>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15</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Nivelet e planifikimit</w:t>
      </w:r>
    </w:p>
    <w:p w:rsidR="00A00190" w:rsidRPr="000C348D" w:rsidRDefault="00350D7C" w:rsidP="00A00190">
      <w:pPr>
        <w:widowControl w:val="0"/>
        <w:spacing w:after="0" w:line="240" w:lineRule="auto"/>
        <w:jc w:val="center"/>
        <w:rPr>
          <w:rFonts w:ascii="Garamond" w:eastAsia="MS Mincho" w:hAnsi="Garamond" w:cs="CG Times"/>
          <w:i/>
          <w:spacing w:val="-4"/>
          <w:sz w:val="24"/>
          <w:lang w:val="sq-AL"/>
        </w:rPr>
      </w:pPr>
      <w:r w:rsidRPr="000C348D">
        <w:rPr>
          <w:rFonts w:ascii="Garamond" w:eastAsia="MS Mincho" w:hAnsi="Garamond" w:cs="Times New Roman"/>
          <w:bCs/>
          <w:i/>
          <w:spacing w:val="-4"/>
          <w:sz w:val="24"/>
          <w:lang w:val="sq-AL"/>
        </w:rPr>
        <w:t xml:space="preserve">(Ndryshuar shkronja ‘’a’’ e pikës 1 </w:t>
      </w:r>
      <w:r w:rsidR="00A00190" w:rsidRPr="000C348D">
        <w:rPr>
          <w:rFonts w:ascii="Garamond" w:eastAsia="MS Mincho" w:hAnsi="Garamond" w:cs="Times New Roman"/>
          <w:bCs/>
          <w:i/>
          <w:spacing w:val="-4"/>
          <w:sz w:val="24"/>
          <w:lang w:val="sq-AL"/>
        </w:rPr>
        <w:t>m</w:t>
      </w:r>
      <w:r w:rsidR="00A00190" w:rsidRPr="000C348D">
        <w:rPr>
          <w:rFonts w:ascii="Times New Roman" w:eastAsia="MS Mincho" w:hAnsi="Times New Roman" w:cs="Times New Roman"/>
          <w:bCs/>
          <w:i/>
          <w:spacing w:val="-4"/>
          <w:sz w:val="24"/>
          <w:lang w:val="sq-AL"/>
        </w:rPr>
        <w:t>e VKM  nr. 718, datë 20.11.2024</w:t>
      </w:r>
      <w:r w:rsidR="00A00190" w:rsidRPr="000C348D">
        <w:rPr>
          <w:rFonts w:ascii="Garamond" w:eastAsia="MS Mincho" w:hAnsi="Garamond" w:cs="CG Times"/>
          <w:bCs/>
          <w:i/>
          <w:spacing w:val="-4"/>
          <w:sz w:val="24"/>
          <w:lang w:val="sq-AL"/>
        </w:rPr>
        <w:t>)</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1. Planifikimi dhe dokumentet e planifikimit në territorin e Republikës së Shqipërisë organizohen në dy nivele: </w:t>
      </w:r>
    </w:p>
    <w:p w:rsidR="00A00190" w:rsidRPr="000C348D" w:rsidRDefault="00EB70B8" w:rsidP="00A00190">
      <w:pPr>
        <w:autoSpaceDE w:val="0"/>
        <w:autoSpaceDN w:val="0"/>
        <w:adjustRightInd w:val="0"/>
        <w:spacing w:after="0" w:line="240" w:lineRule="auto"/>
        <w:ind w:firstLine="284"/>
        <w:rPr>
          <w:rFonts w:ascii="Garamond" w:hAnsi="Garamond" w:cs="Times New Roman"/>
          <w:sz w:val="24"/>
          <w:szCs w:val="24"/>
          <w:lang w:val="sq-AL"/>
        </w:rPr>
      </w:pPr>
      <w:r w:rsidRPr="000C348D">
        <w:rPr>
          <w:rFonts w:ascii="Garamond" w:eastAsia="MS Mincho" w:hAnsi="Garamond" w:cs="CG Times"/>
          <w:spacing w:val="-4"/>
          <w:sz w:val="24"/>
          <w:lang w:val="sq-AL"/>
        </w:rPr>
        <w:t xml:space="preserve">a) </w:t>
      </w:r>
      <w:r w:rsidR="00A00190" w:rsidRPr="000C348D">
        <w:rPr>
          <w:rFonts w:ascii="Garamond" w:hAnsi="Garamond" w:cs="Times New Roman"/>
          <w:sz w:val="24"/>
          <w:szCs w:val="24"/>
          <w:lang w:val="sq-AL"/>
        </w:rPr>
        <w:t>Planifikimi në nivel qendror:</w:t>
      </w:r>
    </w:p>
    <w:p w:rsidR="00A00190" w:rsidRPr="000C348D" w:rsidRDefault="00A00190" w:rsidP="00A00190">
      <w:pPr>
        <w:autoSpaceDE w:val="0"/>
        <w:autoSpaceDN w:val="0"/>
        <w:adjustRightInd w:val="0"/>
        <w:spacing w:after="0" w:line="240" w:lineRule="auto"/>
        <w:ind w:firstLine="284"/>
        <w:rPr>
          <w:rFonts w:ascii="Garamond" w:hAnsi="Garamond" w:cs="Times New Roman"/>
          <w:sz w:val="24"/>
          <w:szCs w:val="24"/>
          <w:lang w:val="sq-AL"/>
        </w:rPr>
      </w:pPr>
      <w:r w:rsidRPr="000C348D">
        <w:rPr>
          <w:rFonts w:ascii="Garamond" w:hAnsi="Garamond" w:cs="Times New Roman"/>
          <w:sz w:val="24"/>
          <w:szCs w:val="24"/>
          <w:lang w:val="sq-AL"/>
        </w:rPr>
        <w:t>i. Plani i Përgjithshëm Kombëtar i Territorit (PPKT);</w:t>
      </w:r>
    </w:p>
    <w:p w:rsidR="00A00190" w:rsidRPr="000C348D" w:rsidRDefault="00A00190" w:rsidP="00A00190">
      <w:pPr>
        <w:autoSpaceDE w:val="0"/>
        <w:autoSpaceDN w:val="0"/>
        <w:adjustRightInd w:val="0"/>
        <w:spacing w:after="0" w:line="240" w:lineRule="auto"/>
        <w:ind w:firstLine="284"/>
        <w:rPr>
          <w:rFonts w:ascii="Garamond" w:hAnsi="Garamond" w:cs="Times New Roman"/>
          <w:sz w:val="24"/>
          <w:szCs w:val="24"/>
          <w:lang w:val="sq-AL"/>
        </w:rPr>
      </w:pPr>
      <w:r w:rsidRPr="000C348D">
        <w:rPr>
          <w:rFonts w:ascii="Garamond" w:hAnsi="Garamond" w:cs="Times New Roman"/>
          <w:sz w:val="24"/>
          <w:szCs w:val="24"/>
          <w:lang w:val="sq-AL"/>
        </w:rPr>
        <w:t>ii. Planet kombëtare sektoriale (PKS);</w:t>
      </w:r>
    </w:p>
    <w:p w:rsidR="00A00190" w:rsidRPr="000C348D" w:rsidRDefault="00A00190" w:rsidP="00A00190">
      <w:pPr>
        <w:autoSpaceDE w:val="0"/>
        <w:autoSpaceDN w:val="0"/>
        <w:adjustRightInd w:val="0"/>
        <w:spacing w:after="0" w:line="240" w:lineRule="auto"/>
        <w:ind w:firstLine="284"/>
        <w:rPr>
          <w:rFonts w:ascii="Garamond" w:hAnsi="Garamond" w:cs="Times New Roman"/>
          <w:sz w:val="24"/>
          <w:szCs w:val="24"/>
          <w:lang w:val="sq-AL"/>
        </w:rPr>
      </w:pPr>
      <w:r w:rsidRPr="000C348D">
        <w:rPr>
          <w:rFonts w:ascii="Garamond" w:hAnsi="Garamond" w:cs="Times New Roman"/>
          <w:sz w:val="24"/>
          <w:szCs w:val="24"/>
          <w:lang w:val="sq-AL"/>
        </w:rPr>
        <w:t>iii. Plani Kombëtar i Hapësirës Detare (PKHD);</w:t>
      </w:r>
    </w:p>
    <w:p w:rsidR="00A00190" w:rsidRPr="000C348D" w:rsidRDefault="00A00190" w:rsidP="00A00190">
      <w:pPr>
        <w:autoSpaceDE w:val="0"/>
        <w:autoSpaceDN w:val="0"/>
        <w:adjustRightInd w:val="0"/>
        <w:spacing w:after="0" w:line="240" w:lineRule="auto"/>
        <w:ind w:firstLine="284"/>
        <w:rPr>
          <w:rFonts w:ascii="Garamond" w:hAnsi="Garamond" w:cs="Times New Roman"/>
          <w:sz w:val="24"/>
          <w:szCs w:val="24"/>
          <w:lang w:val="sq-AL"/>
        </w:rPr>
      </w:pPr>
      <w:r w:rsidRPr="000C348D">
        <w:rPr>
          <w:rFonts w:ascii="Garamond" w:hAnsi="Garamond" w:cs="Times New Roman"/>
          <w:sz w:val="24"/>
          <w:szCs w:val="24"/>
          <w:lang w:val="sq-AL"/>
        </w:rPr>
        <w:t>iv. Planet e detajuara për zonat e rëndësisë kombëtare (PDZRK).</w:t>
      </w:r>
    </w:p>
    <w:p w:rsidR="00A00190" w:rsidRPr="000C348D" w:rsidRDefault="00A00190" w:rsidP="00A00190">
      <w:pPr>
        <w:widowControl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v. Planet e detyruara qendrore (PDQ).</w:t>
      </w:r>
    </w:p>
    <w:p w:rsidR="00CB1030" w:rsidRPr="000C348D" w:rsidRDefault="00EB70B8" w:rsidP="00A00190">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Planifikimi në nivel vendor: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Planet sektoriale në nivel qarku (PSNQ);</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Planet e përgjithshme vendore (PPV);</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iii) Planet sektoriale në nivel bashkie (PSNB);</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iv) Planet e detajuara vendore (PDV).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Renditja e dokumenteve të planifikimit është hierarkike. Secili dokument planifikimi duhet të hartohet në përputhje dhe në zbatim të dokumenteve që qëndrojnë më lart në hierarki.</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SEKSIONI 3</w:t>
      </w: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PLANI I PËRGJITHSHËM KOMBËTAR I TERRITORIT</w:t>
      </w:r>
    </w:p>
    <w:p w:rsidR="00CB1030" w:rsidRPr="000C348D" w:rsidRDefault="00CB1030">
      <w:pPr>
        <w:widowControl w:val="0"/>
        <w:spacing w:after="0" w:line="240" w:lineRule="auto"/>
        <w:jc w:val="center"/>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16</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Objekti i PPKT-së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lastRenderedPageBreak/>
        <w:t>1. Plani i Përgjithshëm Kombëtar i Territorit përcakton kuadrin referues të detyrueshëm për të gjitha planet që hartohen në Republikën e Shqipërisë.</w:t>
      </w:r>
    </w:p>
    <w:p w:rsidR="00CB1030" w:rsidRPr="000C348D" w:rsidRDefault="00EB70B8" w:rsidP="004F7C39">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Objektivat e Planit të Përgjithshëm Kombëtar të Territorit janë të përcaktuar në pikën 2, të nenit 16,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Plani i Përgjithshëm Kombëtar i Territorit, teksa hartohet e zbatohet duhet të ndjekë parimet e planifikimit, si një proces pune në vazhdimësi.</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Neni17</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Autoriteti përgjegjës për hartimin e PPKT-së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Procesi i hartimit të PPKT-së koordinohet nga autoriteti përgjegjës për planifikimin e territorit në nivel qendror, i cili është edhe autoriteti përgjegjës për hartimin e planit në përputhje me shkronjën “c”, të pikës 1, të nenit 8,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Plani i veprimeve për hartimin e PPKT-së zbatohet nga Agjencia.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Plani i Përgjithshëm Kombëtar i Territorit (PPKT) hartohet nga grupe pune të kryesuara nga Agjencia, me specialistë të institucioneve publike, me ekspertë të fushave të ndryshme, vendës apo edhe të huaj, sipas parashikimeve të ligjit për organizimin dhe funksionimin e Këshillit të Ministrave.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Plani konsultohet rregullisht me komitetin ndërministror, të ngritur pranë Këshillit të Ministrave, me urdhër të posaçëm të Kryeministrit.</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18</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Nisma për hartimin e PPKT-së</w:t>
      </w:r>
    </w:p>
    <w:p w:rsidR="00CB1030" w:rsidRPr="000C348D" w:rsidRDefault="00CB1030">
      <w:pPr>
        <w:widowControl w:val="0"/>
        <w:spacing w:after="0" w:line="240" w:lineRule="auto"/>
        <w:jc w:val="center"/>
        <w:rPr>
          <w:rFonts w:ascii="Garamond" w:eastAsia="MS Mincho" w:hAnsi="Garamond" w:cs="CG Times"/>
          <w:b/>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Procesit të punës për PPKT-në i paraprin ndërmarrja e nismës për hartimin e tij.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Ndërmarrja e nismës mund të iniciohet nga autoriteti përgjegjës për planifikimin e territorit në nivel qendror, nëpërmjet ose me propozim të Agjencisë përgjegjëse për planifikimin e territorit.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Autoriteti përgjegjës për hartimin e nismës është autoriteti përgjegjës për planifikimin e territorit në nivel qendror, në bashkëpunim me Agjencinë përgjegjëse për planifikimin e territorit, i cili e paraqet atë pranë Këshillit Kombëtar të Territorit për miratim.</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c) Autoriteti përgjegjës për miratimin e nismës është </w:t>
      </w:r>
      <w:r w:rsidR="004F7C39" w:rsidRPr="000C348D">
        <w:rPr>
          <w:rFonts w:ascii="Garamond" w:hAnsi="Garamond" w:cs="Times New Roman"/>
          <w:sz w:val="24"/>
          <w:szCs w:val="24"/>
          <w:lang w:val="sq-AL"/>
        </w:rPr>
        <w:t>Këshilli Kombëtar i Territorit dhe Ujit</w:t>
      </w:r>
      <w:r w:rsidRPr="000C348D">
        <w:rPr>
          <w:rFonts w:ascii="Garamond" w:eastAsia="MS Mincho" w:hAnsi="Garamond" w:cs="CG Times"/>
          <w:spacing w:val="-4"/>
          <w:sz w:val="24"/>
          <w:lang w:val="sq-AL"/>
        </w:rPr>
        <w: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Dokumenti i nismës për hartimin e PPKT-së përmban: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analizën, e cila përcakton qëllimin dhe nevojën për hartim ose rishqyrtim të dokumentit të planifikimit;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dokumentet që përcaktojnë zonat e rëndësisë kombëtare, sipas parashikimeve të pikës 3, të nenit 16, të ligjit, nëse ka të tilla;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listën e dokumenteve përbërëse të PPKT-së;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të dhëna për ekspertët (fushat e ekspertizës) që do të përbëjnë grupin e punës që do të hartojnë PPKT-në;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përcaktime për procesin e bashkërendimit, këshillimit e të takimeve publike dhe për afatet përkatëse;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dh) planin e veprimeve për hartimin e dokumentit të Planit të Përgjithshëm Kombëtar të Territorit;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e) të dhëna për buxhetin për hartimin e PPKT-së;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ë)</w:t>
      </w:r>
      <w:r w:rsidRPr="000C348D">
        <w:rPr>
          <w:rFonts w:ascii="Garamond" w:eastAsia="MS Mincho" w:hAnsi="Garamond" w:cs="CG Times"/>
          <w:spacing w:val="-4"/>
          <w:sz w:val="24"/>
          <w:lang w:val="sq-AL"/>
        </w:rPr>
        <w:tab/>
        <w:t>sipas rastit, vendimin për pezullimin e zhvillimit për të gjithë ose një pjesë të territorit, sipas nenit 33 të ligjit, të shoqëruar me hartën përkatëse.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Nisma duhet të bëhet publike dhe të botohet në regjistër nga autoriteti përgjegjës, si më poshtë vijon: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Vendimi i autoritetit përgjegjës për planifikimin e territorit në nivel qendror për marrjen e nismës botohet në regjistër, brenda 10 (dhjetë) ditëve nga data e marrjes së nismës, sipas pikave 1 dhe 4, të nenit 56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Vendimi i autoritetit përgjegjës për planifikimin e territorit në nivel qendror për marrjen e nismës botohet edhe në faqen zyrtare të tij dhe Agjencisë.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4. Hyrja në fuqi e vendimit të </w:t>
      </w:r>
      <w:r w:rsidR="00452FAD" w:rsidRPr="000C348D">
        <w:rPr>
          <w:rFonts w:ascii="Garamond" w:hAnsi="Garamond" w:cs="Times New Roman"/>
          <w:sz w:val="24"/>
          <w:szCs w:val="24"/>
          <w:lang w:val="sq-AL"/>
        </w:rPr>
        <w:t>KKTU</w:t>
      </w:r>
      <w:r w:rsidR="00452FAD"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 xml:space="preserve">-së për miratimin e nismës bëhet pasi ky vendim së bashku me </w:t>
      </w:r>
      <w:r w:rsidRPr="000C348D">
        <w:rPr>
          <w:rFonts w:ascii="Garamond" w:eastAsia="MS Mincho" w:hAnsi="Garamond" w:cs="CG Times"/>
          <w:spacing w:val="-4"/>
          <w:sz w:val="24"/>
          <w:lang w:val="sq-AL"/>
        </w:rPr>
        <w:lastRenderedPageBreak/>
        <w:t>dokumentin e nismës: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a) botohen në regjistër nga sekretariati i </w:t>
      </w:r>
      <w:r w:rsidR="00452FAD" w:rsidRPr="000C348D">
        <w:rPr>
          <w:rFonts w:ascii="Garamond" w:hAnsi="Garamond" w:cs="Times New Roman"/>
          <w:sz w:val="24"/>
          <w:szCs w:val="24"/>
          <w:lang w:val="sq-AL"/>
        </w:rPr>
        <w:t>KKTU</w:t>
      </w:r>
      <w:r w:rsidR="00452FAD"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 xml:space="preserve">-së, brenda 10 (dhjetë) ditëve nga data e miratimit, sipas pikave 1 dhe 4, të nenit 56 të ligjit. </w:t>
      </w:r>
      <w:r w:rsidR="00452FAD" w:rsidRPr="000C348D">
        <w:rPr>
          <w:rFonts w:ascii="Garamond" w:eastAsia="MS Mincho" w:hAnsi="Garamond" w:cs="CG Times"/>
          <w:spacing w:val="-4"/>
          <w:sz w:val="24"/>
          <w:lang w:val="sq-AL"/>
        </w:rPr>
        <w:t xml:space="preserve">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b) botohen edhe në faqen zyrtare të sekretariatit të </w:t>
      </w:r>
      <w:r w:rsidR="00452FAD" w:rsidRPr="000C348D">
        <w:rPr>
          <w:rFonts w:ascii="Garamond" w:hAnsi="Garamond" w:cs="Times New Roman"/>
          <w:sz w:val="24"/>
          <w:szCs w:val="24"/>
          <w:lang w:val="sq-AL"/>
        </w:rPr>
        <w:t>KKTU</w:t>
      </w:r>
      <w:r w:rsidR="00452FAD"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-së, autoritetit përgjegjës për planifikimin e territorit në nivel qendror dhe Agjencisë.</w:t>
      </w:r>
      <w:r w:rsidR="00452FAD" w:rsidRPr="000C348D">
        <w:rPr>
          <w:rFonts w:ascii="Garamond" w:eastAsia="MS Mincho" w:hAnsi="Garamond" w:cs="CG Times"/>
          <w:spacing w:val="-4"/>
          <w:sz w:val="24"/>
          <w:lang w:val="sq-AL"/>
        </w:rPr>
        <w:t xml:space="preserve"> </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19</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Përmbajtja e dokumentit të PPKT-së</w:t>
      </w:r>
    </w:p>
    <w:p w:rsidR="00CB1030" w:rsidRPr="000C348D" w:rsidRDefault="00CB1030">
      <w:pPr>
        <w:widowControl w:val="0"/>
        <w:spacing w:after="0" w:line="240" w:lineRule="auto"/>
        <w:jc w:val="center"/>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Dokumenti i PPKT-së përmban, të paktën: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Analizën metabolike të flukseve dhe atë të thelluar të territorit për elementet infrastrukturore, mjedisore, makroekonomike, sociale, demografike, sektoriale, ndikimet e politikave (direktivave) evropiane dhe pabarazive.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Vizionin strategjik dhe objektivat e zhvillimit, të bazuar në programin qeverisës dhe analizën e thelluar.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Propozimin me përcaktime territoriale, si: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përcaktimin e zonave me prioritet strategjik të zhvillimit, përfshirë zonat kryesore për zhvillimin e industrisë, energjisë, bujqësisë dhe turizmit;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përcaktimin ose rishikimin e çështjeve, zonave dhe objekteve të rëndësisë kombëtare;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përcaktimin e qartë të sistemeve territoriale (natyrore, ujore, bujqësore, urbane, dhe infrastrukturore), mbi bazën e të cilave do të detajohen dokumentet e planifikimit të hierarkive më të ulëta;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përcaktimin në territor të linjave, rrjeteve, instalimeve, nyjeve (përfshirë edhe strukturat /objektet/ndërtimet) apo territoreve të infra-strukturës kombëtare;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përcaktimin në territor dhe masat mbrojtëse për burimet natyrore, monumentet e kulturës dhe zonat e trashëgimisë kulturore, në përputhje me legjislacionin e posaçëm;</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dh) programet themelore strategjike sektoriale dhe ndërsektoriale;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e) drejtimet strategjike për çështje të zhvillimit rajonal dhe të zhvillimit territorial të njësive të qeverisjes vendore;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ë) përcaktime që rregullojnë ndikimin e sektorëve të tjerë në territor dhe, sipas rastit, rregulla për kategoritë e sistemit rrugor, ruajtjen e zonave dhe vlerave të trashëgimisë kulturore, shëndetit dhe burimeve mjedisore.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Planin e veprimeve, të projekteve dhe të investimeve strategjike për zbatimin e PPKT-së, që përcakton zbatimin nëpërmjet planeve sektoriale e ndërsektoriale, programeve strategjike të proceseve integruese në BE, instrumenteve kombëtare financiare afatmesme dhe afatgjata, investimeve strategjike (jo vetëm në infrastrukturë) dhe projekteve pilot të zhvillimit.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5. Hartat që shoqërojnë dhe pasqyrojnë përmbajtjen e secilës prej pikave më sipër, në shkallën  që  varion  nga  1:100 000  deri  në  1:250 000;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6. Relacionin e propozimeve për investime strategjike dhe projekte pilot të zhvillimit.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7. Studimin e vlerësimit strategjik mjedisor.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8. Propozime për ndryshimin e kuadrit institucional dhe ligjor.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9. Indikatorët për monitorimin e zbatimit të PPKT-së.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20</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Miratimi dhe hyrja në fuqi e PPKT-së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Procesi i miratimit të Planit të Përgjithshëm Kombëtar të Territorit (PPKT) bëhet në përputhje me përcaktimet e nenit 25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Procesi i miratimit të planit përmban, të paktën, këta hapa: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a) Paraqitjen e kërkesës së autoritetit përgjegjës për miratimin e planit;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b) Vendimmarrjen e </w:t>
      </w:r>
      <w:r w:rsidR="00452FAD" w:rsidRPr="000C348D">
        <w:rPr>
          <w:rFonts w:ascii="Garamond" w:hAnsi="Garamond" w:cs="Times New Roman"/>
          <w:sz w:val="24"/>
          <w:szCs w:val="24"/>
          <w:lang w:val="sq-AL"/>
        </w:rPr>
        <w:t>KKTU</w:t>
      </w:r>
      <w:r w:rsidR="00452FAD"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Vendimmarrjen e Këshillit të Ministrave.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lastRenderedPageBreak/>
        <w:t>3. Materialet që dorëzohen/botohen për miratimin e dokumentit të planifikimit janë: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a) Nisma e miratuar në </w:t>
      </w:r>
      <w:r w:rsidR="00452FAD" w:rsidRPr="000C348D">
        <w:rPr>
          <w:rFonts w:ascii="Garamond" w:hAnsi="Garamond" w:cs="Times New Roman"/>
          <w:sz w:val="24"/>
          <w:szCs w:val="24"/>
          <w:lang w:val="sq-AL"/>
        </w:rPr>
        <w:t>KKTU</w:t>
      </w:r>
      <w:r w:rsidRPr="000C348D">
        <w:rPr>
          <w:rFonts w:ascii="Garamond" w:eastAsia="MS Mincho" w:hAnsi="Garamond" w:cs="CG Times"/>
          <w:spacing w:val="-4"/>
          <w:sz w:val="24"/>
          <w:lang w:val="sq-AL"/>
        </w:rPr>
        <w: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Dokumenti i plotë i PPKT-së;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Deklarata Mjedisore për Vlerësimin Strategjik Mjedisor, referuar legjislacionit të posaçëm në fuqi.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4. Pas botimit në regjistër të dokumentit të plotë të PPKT-së, autoriteti përgjegjës bën kërkesën për miratimin e planit në </w:t>
      </w:r>
      <w:r w:rsidR="00452FAD" w:rsidRPr="000C348D">
        <w:rPr>
          <w:rFonts w:ascii="Garamond" w:hAnsi="Garamond" w:cs="Times New Roman"/>
          <w:sz w:val="24"/>
          <w:szCs w:val="24"/>
          <w:lang w:val="sq-AL"/>
        </w:rPr>
        <w:t>KKTU</w:t>
      </w:r>
      <w:r w:rsidRPr="000C348D">
        <w:rPr>
          <w:rFonts w:ascii="Garamond" w:eastAsia="MS Mincho" w:hAnsi="Garamond" w:cs="CG Times"/>
          <w:spacing w:val="-4"/>
          <w:sz w:val="24"/>
          <w:lang w:val="sq-AL"/>
        </w:rPr>
        <w: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5. Plani i Përgjithshëm Kombëtar i Territorit (PPKT) miratohet nga </w:t>
      </w:r>
      <w:r w:rsidR="004F7C39" w:rsidRPr="000C348D">
        <w:rPr>
          <w:rFonts w:ascii="Garamond" w:hAnsi="Garamond" w:cs="Times New Roman"/>
          <w:sz w:val="24"/>
          <w:szCs w:val="24"/>
          <w:lang w:val="sq-AL"/>
        </w:rPr>
        <w:t>KKTU</w:t>
      </w:r>
      <w:r w:rsidR="004F7C39"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-ja në përputhje me pikën 4, të nenit 25,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6. Vendimi i </w:t>
      </w:r>
      <w:r w:rsidR="004F7C39" w:rsidRPr="000C348D">
        <w:rPr>
          <w:rFonts w:ascii="Garamond" w:hAnsi="Garamond" w:cs="Times New Roman"/>
          <w:sz w:val="24"/>
          <w:szCs w:val="24"/>
          <w:lang w:val="sq-AL"/>
        </w:rPr>
        <w:t>KKTU</w:t>
      </w:r>
      <w:r w:rsidR="004F7C39"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 xml:space="preserve">-së botohet në regjistër dhe në çdo rast edhe në faqen zyrtare të sekretariatit të </w:t>
      </w:r>
      <w:r w:rsidR="004F7C39" w:rsidRPr="000C348D">
        <w:rPr>
          <w:rFonts w:ascii="Garamond" w:hAnsi="Garamond" w:cs="Times New Roman"/>
          <w:sz w:val="24"/>
          <w:szCs w:val="24"/>
          <w:lang w:val="sq-AL"/>
        </w:rPr>
        <w:t>KKTU</w:t>
      </w:r>
      <w:r w:rsidR="004F7C39"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-së, autoritetit përgjegjës për planifikimin e territorit në nivel qendror dhe agjencisë, brenda 15 (pesëmbëdhjetë) ditëve nga data e miratimit, në përputhje me pikën 4, të nenit 25,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7. Pas botimit në regjistër të vendimit të </w:t>
      </w:r>
      <w:r w:rsidR="004F7C39" w:rsidRPr="000C348D">
        <w:rPr>
          <w:rFonts w:ascii="Garamond" w:hAnsi="Garamond" w:cs="Times New Roman"/>
          <w:sz w:val="24"/>
          <w:szCs w:val="24"/>
          <w:lang w:val="sq-AL"/>
        </w:rPr>
        <w:t>KKTU</w:t>
      </w:r>
      <w:r w:rsidR="004F7C39"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-së dhe dokumenteve shoqëruese të tij, autoriteti kombëtar i planifikimit të territorit bën kërkesë për miratimin e planit në Këshillin e Ministrave.</w:t>
      </w:r>
      <w:r w:rsidR="004F7C39" w:rsidRPr="000C348D">
        <w:rPr>
          <w:rFonts w:ascii="Garamond" w:eastAsia="MS Mincho" w:hAnsi="Garamond" w:cs="CG Times"/>
          <w:spacing w:val="-4"/>
          <w:sz w:val="24"/>
          <w:lang w:val="sq-AL"/>
        </w:rPr>
        <w:t xml:space="preserve">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8. Plani i Përgjithshëm Kombëtar i Territorit (PPKT) miratohet nga Këshilli i Ministrave në përputhje me pikën 1, të nenit 58,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9. Dokumenti i Planit të Përgjithshëm Kombëtar të Territorit (PPKT) hyn në fuqi pas miratimit nga Këshilli i Ministrave dhe botimit të plotë të dokumenteve të tij në Fletoren Zyrtare.</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21</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Zbatimi dhe monitorimi i zbatimit të PPKT-së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Monitorimi i zbatimit të PPKT-së bëhet nga autoritetet përgjegjëse në procesin e hartimit të planit, në përputhje me pikën 3, të nenit 6; shkronjën “d”, të pikës 1, të nenit 8; shkronjën “b”, të pikës 3, të nenit 9; dhe shkronjat “c” e “g”, të pikës 1, të nenit 10,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Monitorimi i zbatimit të planit bëhet mbi bazën e planit të veprimeve dhe dokumentit të indikatorëve të monitorimit, të miratuar si pjesë përbërëse e dokumentit të planit.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Plani i Përgjithshëm Kombëtar i Territorit zbatohet nëpërmjet planeve kombëtare sektoriale, planeve të detajuara për zona të rëndësisë kombëtare, planeve sektoriale në nivel qarku, planeve të përgjithshme vendore, investimeve strategjike dhe projekteve pilot të zhvillimit, sipas planit të veprimeve të tij.</w:t>
      </w:r>
    </w:p>
    <w:p w:rsidR="00C15C83" w:rsidRPr="000C348D" w:rsidRDefault="00C15C83">
      <w:pPr>
        <w:widowControl w:val="0"/>
        <w:spacing w:after="0" w:line="240" w:lineRule="auto"/>
        <w:ind w:firstLine="284"/>
        <w:jc w:val="both"/>
        <w:rPr>
          <w:rFonts w:ascii="Garamond" w:eastAsia="MS Mincho" w:hAnsi="Garamond" w:cs="CG Times"/>
          <w:spacing w:val="-4"/>
          <w:sz w:val="24"/>
          <w:lang w:val="sq-AL"/>
        </w:rPr>
      </w:pPr>
    </w:p>
    <w:p w:rsidR="00C15C83" w:rsidRPr="000C348D" w:rsidRDefault="00C15C83" w:rsidP="00C15C83">
      <w:pPr>
        <w:autoSpaceDE w:val="0"/>
        <w:autoSpaceDN w:val="0"/>
        <w:adjustRightInd w:val="0"/>
        <w:spacing w:after="0" w:line="240" w:lineRule="auto"/>
        <w:ind w:firstLine="284"/>
        <w:jc w:val="center"/>
        <w:rPr>
          <w:rFonts w:ascii="Garamond" w:hAnsi="Garamond" w:cs="Times New Roman"/>
          <w:sz w:val="24"/>
          <w:szCs w:val="24"/>
          <w:lang w:val="sq-AL"/>
        </w:rPr>
      </w:pPr>
      <w:r w:rsidRPr="000C348D">
        <w:rPr>
          <w:rFonts w:ascii="Garamond" w:hAnsi="Garamond" w:cs="Times New Roman"/>
          <w:sz w:val="24"/>
          <w:szCs w:val="24"/>
          <w:lang w:val="sq-AL"/>
        </w:rPr>
        <w:t>SEKSIONI 3/1</w:t>
      </w:r>
    </w:p>
    <w:p w:rsidR="00C15C83" w:rsidRPr="000C348D" w:rsidRDefault="00C15C83" w:rsidP="00C15C83">
      <w:pPr>
        <w:autoSpaceDE w:val="0"/>
        <w:autoSpaceDN w:val="0"/>
        <w:adjustRightInd w:val="0"/>
        <w:spacing w:after="0" w:line="240" w:lineRule="auto"/>
        <w:ind w:firstLine="284"/>
        <w:jc w:val="center"/>
        <w:rPr>
          <w:rFonts w:ascii="Garamond" w:hAnsi="Garamond" w:cs="Times New Roman"/>
          <w:sz w:val="24"/>
          <w:szCs w:val="24"/>
          <w:lang w:val="sq-AL"/>
        </w:rPr>
      </w:pPr>
      <w:r w:rsidRPr="000C348D">
        <w:rPr>
          <w:rFonts w:ascii="Garamond" w:hAnsi="Garamond" w:cs="Times New Roman"/>
          <w:sz w:val="24"/>
          <w:szCs w:val="24"/>
          <w:lang w:val="sq-AL"/>
        </w:rPr>
        <w:t>PLANI KOMBËTAR I HAPËSIRËS DETARE</w:t>
      </w:r>
    </w:p>
    <w:p w:rsidR="00C15C83" w:rsidRPr="000C348D" w:rsidRDefault="00891AEF" w:rsidP="00C15C83">
      <w:pPr>
        <w:autoSpaceDE w:val="0"/>
        <w:autoSpaceDN w:val="0"/>
        <w:adjustRightInd w:val="0"/>
        <w:spacing w:after="0" w:line="240" w:lineRule="auto"/>
        <w:ind w:firstLine="284"/>
        <w:jc w:val="center"/>
        <w:rPr>
          <w:rFonts w:ascii="Garamond" w:hAnsi="Garamond" w:cs="Times New Roman"/>
          <w:i/>
          <w:sz w:val="24"/>
          <w:szCs w:val="24"/>
          <w:lang w:val="sq-AL"/>
        </w:rPr>
      </w:pPr>
      <w:r w:rsidRPr="000C348D">
        <w:rPr>
          <w:rFonts w:ascii="Garamond" w:hAnsi="Garamond" w:cs="Times New Roman"/>
          <w:i/>
          <w:sz w:val="24"/>
          <w:szCs w:val="24"/>
          <w:lang w:val="sq-AL"/>
        </w:rPr>
        <w:t>(Shtuar seksioni 3/1 nenet 21/1 – 21/ 7 me VKM nr. 718, datë 20.11.2024)</w:t>
      </w:r>
    </w:p>
    <w:p w:rsidR="00891AEF" w:rsidRPr="000C348D" w:rsidRDefault="00891AEF" w:rsidP="00C15C83">
      <w:pPr>
        <w:autoSpaceDE w:val="0"/>
        <w:autoSpaceDN w:val="0"/>
        <w:adjustRightInd w:val="0"/>
        <w:spacing w:after="0" w:line="240" w:lineRule="auto"/>
        <w:ind w:firstLine="284"/>
        <w:jc w:val="center"/>
        <w:rPr>
          <w:rFonts w:ascii="Garamond" w:hAnsi="Garamond" w:cs="Times New Roman"/>
          <w:i/>
          <w:sz w:val="24"/>
          <w:szCs w:val="24"/>
          <w:lang w:val="sq-AL"/>
        </w:rPr>
      </w:pPr>
    </w:p>
    <w:p w:rsidR="00891AEF" w:rsidRPr="000C348D" w:rsidRDefault="00C15C83" w:rsidP="00891AEF">
      <w:pPr>
        <w:autoSpaceDE w:val="0"/>
        <w:autoSpaceDN w:val="0"/>
        <w:adjustRightInd w:val="0"/>
        <w:spacing w:after="0" w:line="240" w:lineRule="auto"/>
        <w:ind w:firstLine="284"/>
        <w:jc w:val="center"/>
        <w:rPr>
          <w:rFonts w:ascii="Garamond" w:hAnsi="Garamond" w:cs="Times New Roman"/>
          <w:sz w:val="24"/>
          <w:szCs w:val="24"/>
          <w:lang w:val="sq-AL"/>
        </w:rPr>
      </w:pPr>
      <w:r w:rsidRPr="000C348D">
        <w:rPr>
          <w:rFonts w:ascii="Garamond" w:hAnsi="Garamond" w:cs="Times New Roman"/>
          <w:sz w:val="24"/>
          <w:szCs w:val="24"/>
          <w:lang w:val="sq-AL"/>
        </w:rPr>
        <w:t>Neni 21/1</w:t>
      </w:r>
    </w:p>
    <w:p w:rsidR="00C15C83" w:rsidRPr="000C348D" w:rsidRDefault="00C15C83" w:rsidP="00C15C83">
      <w:pPr>
        <w:autoSpaceDE w:val="0"/>
        <w:autoSpaceDN w:val="0"/>
        <w:adjustRightInd w:val="0"/>
        <w:spacing w:after="0" w:line="240" w:lineRule="auto"/>
        <w:ind w:firstLine="284"/>
        <w:jc w:val="center"/>
        <w:rPr>
          <w:rFonts w:ascii="Garamond" w:hAnsi="Garamond" w:cs="Times New Roman"/>
          <w:b/>
          <w:sz w:val="24"/>
          <w:szCs w:val="24"/>
          <w:lang w:val="sq-AL"/>
        </w:rPr>
      </w:pPr>
      <w:r w:rsidRPr="000C348D">
        <w:rPr>
          <w:rFonts w:ascii="Garamond" w:hAnsi="Garamond" w:cs="Times New Roman"/>
          <w:b/>
          <w:sz w:val="24"/>
          <w:szCs w:val="24"/>
          <w:lang w:val="sq-AL"/>
        </w:rPr>
        <w:t>Objekti i PKHD-së</w:t>
      </w:r>
    </w:p>
    <w:p w:rsidR="00C15C83" w:rsidRPr="000C348D" w:rsidRDefault="00C15C83" w:rsidP="00C15C83">
      <w:pPr>
        <w:autoSpaceDE w:val="0"/>
        <w:autoSpaceDN w:val="0"/>
        <w:adjustRightInd w:val="0"/>
        <w:spacing w:after="0" w:line="240" w:lineRule="auto"/>
        <w:ind w:firstLine="284"/>
        <w:jc w:val="center"/>
        <w:rPr>
          <w:rFonts w:ascii="Garamond" w:hAnsi="Garamond" w:cs="Times New Roman"/>
          <w:sz w:val="24"/>
          <w:szCs w:val="24"/>
          <w:lang w:val="sq-AL"/>
        </w:rPr>
      </w:pP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1. Kuadri referues i PKHD-së synon promovimin e rritjes së qëndrueshme të ekonomive detare, zhvillimin e qëndrueshëm të zonave detare, përdorimin e qëndrueshëm të burimeve detare dhe mban në konsideratë të veçantë ndërveprimet tokë-det dhe bashkëpunimin ndërkufitar.</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2. Planifikimi hapësinor detar është procesi me anë të të cilit analizohen dhe organizohen aktivitetet njerëzore në zonat detare për të arritur objektivat mjedisorë, ekologjikë, ekonomikë dhe socialë.</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3. Plani Kombëtar i Hapësirës Detare ka për qëllim zhvillimin e qëndrueshëm të sektorëve dhe përdorimeve përkatëse të hapësirave detare, të tashme dhe të ardhshme, të cilat përfshijnë:</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a) peshkimin dhe akuakulturën;</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b) zonat e peshkimit;</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c) energjinë në zonat detare: kërkimin, shfrytëzimin dhe nxjerrjen e naftës, gazit dhe burimeve të tjera energjetike, mineraleve dhe agregateve, si dhe prodhimin e energjisë nga burimet e rinovueshme;</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lastRenderedPageBreak/>
        <w:t>ç) transportin detar dhe trafikun detar;</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d) sigurinë kombëtare dhe stërvitjen ushtarake;</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dh) natyrën, biodiversitetin, speciet dhe zonat e mbrojtura, mjedisin dhe konsideratat për ndryshimet klimatike;</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e) nxjerrjen dhe shfrytëzimin e lëndës së parë;</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ë) rrugët e kabllove dhe tubacioneve nënujore;</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f) trashëgiminë kulturore nënujore;</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g) aktivitetet e turizmit detar.</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4. Plani Kombëtar i Hapësirës Detare, teksa hartohet e zbatohet duhet të ndjekë parimet e planifikimit si një proces pune në vazhdimësi.</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p>
    <w:p w:rsidR="00C15C83" w:rsidRPr="000C348D" w:rsidRDefault="00C15C83" w:rsidP="00C15C83">
      <w:pPr>
        <w:autoSpaceDE w:val="0"/>
        <w:autoSpaceDN w:val="0"/>
        <w:adjustRightInd w:val="0"/>
        <w:spacing w:after="0" w:line="240" w:lineRule="auto"/>
        <w:ind w:firstLine="284"/>
        <w:jc w:val="center"/>
        <w:rPr>
          <w:rFonts w:ascii="Garamond" w:hAnsi="Garamond" w:cs="Times New Roman"/>
          <w:sz w:val="24"/>
          <w:szCs w:val="24"/>
          <w:lang w:val="sq-AL"/>
        </w:rPr>
      </w:pPr>
      <w:r w:rsidRPr="000C348D">
        <w:rPr>
          <w:rFonts w:ascii="Garamond" w:hAnsi="Garamond" w:cs="Times New Roman"/>
          <w:sz w:val="24"/>
          <w:szCs w:val="24"/>
          <w:lang w:val="sq-AL"/>
        </w:rPr>
        <w:t>Neni 21/2</w:t>
      </w:r>
    </w:p>
    <w:p w:rsidR="00C15C83" w:rsidRPr="000C348D" w:rsidRDefault="00C15C83" w:rsidP="00C15C83">
      <w:pPr>
        <w:autoSpaceDE w:val="0"/>
        <w:autoSpaceDN w:val="0"/>
        <w:adjustRightInd w:val="0"/>
        <w:spacing w:after="0" w:line="240" w:lineRule="auto"/>
        <w:ind w:firstLine="284"/>
        <w:jc w:val="center"/>
        <w:rPr>
          <w:rFonts w:ascii="Garamond" w:hAnsi="Garamond" w:cs="Times New Roman"/>
          <w:b/>
          <w:sz w:val="24"/>
          <w:szCs w:val="24"/>
          <w:lang w:val="sq-AL"/>
        </w:rPr>
      </w:pPr>
      <w:r w:rsidRPr="000C348D">
        <w:rPr>
          <w:rFonts w:ascii="Garamond" w:hAnsi="Garamond" w:cs="Times New Roman"/>
          <w:b/>
          <w:sz w:val="24"/>
          <w:szCs w:val="24"/>
          <w:lang w:val="sq-AL"/>
        </w:rPr>
        <w:t>Autoriteti përgjegjës për hartimin e PKHD-së</w:t>
      </w:r>
    </w:p>
    <w:p w:rsidR="00C15C83" w:rsidRPr="000C348D" w:rsidRDefault="00C15C83" w:rsidP="00C15C83">
      <w:pPr>
        <w:autoSpaceDE w:val="0"/>
        <w:autoSpaceDN w:val="0"/>
        <w:adjustRightInd w:val="0"/>
        <w:spacing w:after="0" w:line="240" w:lineRule="auto"/>
        <w:ind w:firstLine="284"/>
        <w:jc w:val="center"/>
        <w:rPr>
          <w:rFonts w:ascii="Garamond" w:hAnsi="Garamond" w:cs="Times New Roman"/>
          <w:sz w:val="24"/>
          <w:szCs w:val="24"/>
          <w:lang w:val="sq-AL"/>
        </w:rPr>
      </w:pP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1. Procesi i hartimit të PKHD-së koordinohet nga ministria përgjegjëse për planifikimin dhe zhvillimin e territorit e cila është edhe autoriteti kompetent për hartimin e planit, në përputhje me shkronjën “c”, të pikës 1, të nenit 8, të ligjit.</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2. Pranë ministrisë përgjegjëse për planifikimin dhe zhvillimin e territorit, me urdhër të ministrit, ngrihet një grup pune me përfaqësues të institucioneve publike, me ekspertë të fushave të ndryshme me interes në hapësirat detare, vendës dhe të huaj si dhe me përfaqësues të Agjencisë. Përfaqësuesit e ministrisë përgjegjëse për planifikimin dhe zhvillimin e territorit kryesojnë grupin e punës.</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3. Plani i veprimeve për hartimin e PKHD-së zbatohet nga grupi i punës i ngritur me urdhër të ministrit përgjegjës për planifikimin dhe zhvillimin e territorit.</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4. Plani Kombëtar i Hapësirës Detare hartohet nga grupi i punës i ngritur me urdhër të ministrit përgjegjës për planifikimin dhe zhvillimin e territorit në cilësinë e autoritetit kompetent, sipas parashikimeve të ligjit për organizimin dhe funksionimin e Këshillit të Ministrave.</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5. Dokumenti i Planit Kombëtar të Hapësirës Detare (PKHD) i miratuar i njoftohet Komisionit Evropian. </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p>
    <w:p w:rsidR="00C15C83" w:rsidRPr="000C348D" w:rsidRDefault="00C15C83" w:rsidP="00C15C83">
      <w:pPr>
        <w:autoSpaceDE w:val="0"/>
        <w:autoSpaceDN w:val="0"/>
        <w:adjustRightInd w:val="0"/>
        <w:spacing w:after="0" w:line="240" w:lineRule="auto"/>
        <w:ind w:firstLine="284"/>
        <w:jc w:val="center"/>
        <w:rPr>
          <w:rFonts w:ascii="Garamond" w:hAnsi="Garamond" w:cs="Times New Roman"/>
          <w:sz w:val="24"/>
          <w:szCs w:val="24"/>
          <w:lang w:val="sq-AL"/>
        </w:rPr>
      </w:pPr>
      <w:r w:rsidRPr="000C348D">
        <w:rPr>
          <w:rFonts w:ascii="Garamond" w:hAnsi="Garamond" w:cs="Times New Roman"/>
          <w:sz w:val="24"/>
          <w:szCs w:val="24"/>
          <w:lang w:val="sq-AL"/>
        </w:rPr>
        <w:t>Neni 21/3</w:t>
      </w:r>
    </w:p>
    <w:p w:rsidR="00C15C83" w:rsidRPr="000C348D" w:rsidRDefault="00C15C83" w:rsidP="00C15C83">
      <w:pPr>
        <w:autoSpaceDE w:val="0"/>
        <w:autoSpaceDN w:val="0"/>
        <w:adjustRightInd w:val="0"/>
        <w:spacing w:after="0" w:line="240" w:lineRule="auto"/>
        <w:ind w:firstLine="284"/>
        <w:jc w:val="center"/>
        <w:rPr>
          <w:rFonts w:ascii="Garamond" w:hAnsi="Garamond" w:cs="Times New Roman"/>
          <w:b/>
          <w:sz w:val="24"/>
          <w:szCs w:val="24"/>
          <w:lang w:val="sq-AL"/>
        </w:rPr>
      </w:pPr>
      <w:r w:rsidRPr="000C348D">
        <w:rPr>
          <w:rFonts w:ascii="Garamond" w:hAnsi="Garamond" w:cs="Times New Roman"/>
          <w:b/>
          <w:sz w:val="24"/>
          <w:szCs w:val="24"/>
          <w:lang w:val="sq-AL"/>
        </w:rPr>
        <w:t xml:space="preserve">Bashkëpunimi ndërmjet shteteve </w:t>
      </w:r>
    </w:p>
    <w:p w:rsidR="00C15C83" w:rsidRPr="000C348D" w:rsidRDefault="00C15C83" w:rsidP="00C15C83">
      <w:pPr>
        <w:autoSpaceDE w:val="0"/>
        <w:autoSpaceDN w:val="0"/>
        <w:adjustRightInd w:val="0"/>
        <w:spacing w:after="0" w:line="240" w:lineRule="auto"/>
        <w:ind w:firstLine="284"/>
        <w:jc w:val="center"/>
        <w:rPr>
          <w:rFonts w:ascii="Garamond" w:hAnsi="Garamond" w:cs="Times New Roman"/>
          <w:sz w:val="24"/>
          <w:szCs w:val="24"/>
          <w:lang w:val="sq-AL"/>
        </w:rPr>
      </w:pP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1. Në kuadër të procesit të planifikimit dhe menaxhimit, bashkëpunohet me shtetet anëtare që kufizohen me ujëra detare, me qëllim për të garantuar që planet hapësinore detare të jenë koherente dhe të koordinuara në të gjithë rajonin detar shqiptar. Një bashkëpunim i tillë merr parasysh, në veçanti, çështjet me natyrë ndërkufitare.</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2. Bashkëpunimi i përmendur në pikën 1 të këtij neni realizohet nëpërmjet:</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a) strukturave ekzistuese të bashkëpunimit institucional rajonal, të tilla si konventat rajonale detare; </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b) rrjeteve ose strukturave të autoriteteve kompetente të shteteve anëtare; </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c) çdo metode tjetër që përmbush kërkesat e pikës 1 të këtij neni.</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trike/>
          <w:sz w:val="24"/>
          <w:szCs w:val="24"/>
          <w:lang w:val="sq-AL"/>
        </w:rPr>
      </w:pPr>
      <w:r w:rsidRPr="000C348D">
        <w:rPr>
          <w:rFonts w:ascii="Garamond" w:hAnsi="Garamond" w:cs="Times New Roman"/>
          <w:sz w:val="24"/>
          <w:szCs w:val="24"/>
          <w:lang w:val="sq-AL"/>
        </w:rPr>
        <w:t>3. Autoritetet shqiptare përpiqen, kur është e mundur, të bashkëpunojnë me vendet e treta për veprimet e tyre në lidhje me planifikimin hapësinor detar në rajonet përkatëse detare dhe në përputhje me ligjet dhe konventat ndërkombëtare.</w:t>
      </w:r>
    </w:p>
    <w:p w:rsidR="00C15C83" w:rsidRPr="000C348D" w:rsidRDefault="00C15C83" w:rsidP="00C15C83">
      <w:pPr>
        <w:autoSpaceDE w:val="0"/>
        <w:autoSpaceDN w:val="0"/>
        <w:adjustRightInd w:val="0"/>
        <w:spacing w:after="0" w:line="240" w:lineRule="auto"/>
        <w:ind w:firstLine="284"/>
        <w:jc w:val="center"/>
        <w:rPr>
          <w:rFonts w:ascii="Garamond" w:hAnsi="Garamond" w:cs="Times New Roman"/>
          <w:sz w:val="24"/>
          <w:szCs w:val="24"/>
          <w:lang w:val="sq-AL"/>
        </w:rPr>
      </w:pPr>
    </w:p>
    <w:p w:rsidR="00C15C83" w:rsidRPr="000C348D" w:rsidRDefault="00C15C83" w:rsidP="00C15C83">
      <w:pPr>
        <w:autoSpaceDE w:val="0"/>
        <w:autoSpaceDN w:val="0"/>
        <w:adjustRightInd w:val="0"/>
        <w:spacing w:after="0" w:line="240" w:lineRule="auto"/>
        <w:ind w:firstLine="284"/>
        <w:jc w:val="center"/>
        <w:rPr>
          <w:rFonts w:ascii="Garamond" w:hAnsi="Garamond" w:cs="Times New Roman"/>
          <w:sz w:val="24"/>
          <w:szCs w:val="24"/>
          <w:lang w:val="sq-AL"/>
        </w:rPr>
      </w:pPr>
      <w:r w:rsidRPr="000C348D">
        <w:rPr>
          <w:rFonts w:ascii="Garamond" w:hAnsi="Garamond" w:cs="Times New Roman"/>
          <w:sz w:val="24"/>
          <w:szCs w:val="24"/>
          <w:lang w:val="sq-AL"/>
        </w:rPr>
        <w:t>Neni 21/4</w:t>
      </w:r>
    </w:p>
    <w:p w:rsidR="00C15C83" w:rsidRPr="000C348D" w:rsidRDefault="00C15C83" w:rsidP="00C15C83">
      <w:pPr>
        <w:autoSpaceDE w:val="0"/>
        <w:autoSpaceDN w:val="0"/>
        <w:adjustRightInd w:val="0"/>
        <w:spacing w:after="0" w:line="240" w:lineRule="auto"/>
        <w:ind w:firstLine="284"/>
        <w:jc w:val="center"/>
        <w:rPr>
          <w:rFonts w:ascii="Garamond" w:hAnsi="Garamond" w:cs="Times New Roman"/>
          <w:b/>
          <w:sz w:val="24"/>
          <w:szCs w:val="24"/>
          <w:lang w:val="sq-AL"/>
        </w:rPr>
      </w:pPr>
      <w:r w:rsidRPr="000C348D">
        <w:rPr>
          <w:rFonts w:ascii="Garamond" w:hAnsi="Garamond" w:cs="Times New Roman"/>
          <w:b/>
          <w:sz w:val="24"/>
          <w:szCs w:val="24"/>
          <w:lang w:val="sq-AL"/>
        </w:rPr>
        <w:t>Nisma për hartimin e PKHD-së</w:t>
      </w:r>
    </w:p>
    <w:p w:rsidR="00C15C83" w:rsidRPr="000C348D" w:rsidRDefault="00C15C83" w:rsidP="00C15C83">
      <w:pPr>
        <w:autoSpaceDE w:val="0"/>
        <w:autoSpaceDN w:val="0"/>
        <w:adjustRightInd w:val="0"/>
        <w:spacing w:after="0" w:line="240" w:lineRule="auto"/>
        <w:ind w:firstLine="284"/>
        <w:jc w:val="center"/>
        <w:rPr>
          <w:rFonts w:ascii="Garamond" w:hAnsi="Garamond" w:cs="Times New Roman"/>
          <w:sz w:val="24"/>
          <w:szCs w:val="24"/>
          <w:lang w:val="sq-AL"/>
        </w:rPr>
      </w:pP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1. Procesit të punës për PKHD-në i paraprin ndërmarrja e nismës për hartimin e tij.</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lastRenderedPageBreak/>
        <w:t>2. Autoriteti përgjegjës për ndërmarrjen dhe hartimin e nismës është ministri përgjegjës për planifikimin e territorit, i cili e paraqet atë pranë Këshillit Kombëtar të Territorit dhe Ujit për miratim.</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3. Dokumenti i nismës për hartimin e PKHD-së përmban:</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a) analizën, e cila përcakton qëllimin dhe nevojën për hartim ose rishqyrtim të dokumentit të planifikimit;</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b) kufirin e hapësirës/territorit, subjekt i PKHD-së;</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c) dokumentet që përcaktojnë zonat e rëndësisë kombëtare, sipas parashikimeve të pikës 3, të nenit 16, të ligjit, nëse ka të tilla;</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ç) listën e dokumenteve përbërëse të PKHD-së;</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d) të dhëna për ekspertët (fushat e ekspertizës) që do të përbëjnë grupin e punës që do të hartojnë PKHD-në;</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dh) përcaktime për procesin e bashkërendimit, këshillimit e të takimeve publike dhe për afatet përkatëse;</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e) planin e veprimeve për hartimin e dokumentit të PKHD-së;</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ë) të dhëna për buxhetin për hartimin e PKHD-së;</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f) sipas rastit, vendimin për pezullimin e zhvillimit për të gjithë ose një pjesë të territorit, sipas nenit 33 të ligjit, të shoqëruar me hartën përkatëse.</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4. Nisma duhet të bëhet publike dhe të botohet në regjistër nga autoriteti përgjegjës, si më poshtë vijon:</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a) Vendimi i autoritetit përgjegjës për planifikimin e territorit në nivel qendror për marrjen e nismës botohet në regjistër, brenda 10 (dhjetë) ditëve nga data e marrjes së nismës, sipas pikave 1 dhe 4, të nenit 56 të ligjit;</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b) Vendimi i autoritetit përgjegjës për planifikimin e territorit në nivel qendror për marrjen e nismës botohet edhe në faqen zyrtare të tij.</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5. Hyrja në fuqi e vendimit të KKTU-së për miratimin e nismës bëhet pasi ky vendim së bashku me dokumentin e nismës:</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a) botohen në regjistër nga sekretariati i KKTU-së, brenda 10 (dhjetë) ditëve nga data e miratimit, sipas pikave 1 dhe 4, të nenit 56 të ligjit.</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b) botohen edhe në faqen zyrtare të sekretariatit të KKTU-së, autoritetit përgjegjës për planifikimin e territorit në nivel qendror dhe Agjencisë.</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p>
    <w:p w:rsidR="00C15C83" w:rsidRPr="000C348D" w:rsidRDefault="00C15C83" w:rsidP="00C15C83">
      <w:pPr>
        <w:autoSpaceDE w:val="0"/>
        <w:autoSpaceDN w:val="0"/>
        <w:adjustRightInd w:val="0"/>
        <w:spacing w:after="0" w:line="240" w:lineRule="auto"/>
        <w:ind w:firstLine="284"/>
        <w:jc w:val="center"/>
        <w:rPr>
          <w:rFonts w:ascii="Garamond" w:hAnsi="Garamond" w:cs="Times New Roman"/>
          <w:sz w:val="24"/>
          <w:szCs w:val="24"/>
          <w:lang w:val="sq-AL"/>
        </w:rPr>
      </w:pPr>
      <w:r w:rsidRPr="000C348D">
        <w:rPr>
          <w:rFonts w:ascii="Garamond" w:hAnsi="Garamond" w:cs="Times New Roman"/>
          <w:sz w:val="24"/>
          <w:szCs w:val="24"/>
          <w:lang w:val="sq-AL"/>
        </w:rPr>
        <w:t>Neni 21/5</w:t>
      </w:r>
    </w:p>
    <w:p w:rsidR="00C15C83" w:rsidRPr="000C348D" w:rsidRDefault="00C15C83" w:rsidP="00C15C83">
      <w:pPr>
        <w:autoSpaceDE w:val="0"/>
        <w:autoSpaceDN w:val="0"/>
        <w:adjustRightInd w:val="0"/>
        <w:spacing w:after="0" w:line="240" w:lineRule="auto"/>
        <w:ind w:firstLine="284"/>
        <w:jc w:val="center"/>
        <w:rPr>
          <w:rFonts w:ascii="Garamond" w:hAnsi="Garamond" w:cs="Times New Roman"/>
          <w:b/>
          <w:sz w:val="24"/>
          <w:szCs w:val="24"/>
          <w:lang w:val="sq-AL"/>
        </w:rPr>
      </w:pPr>
      <w:r w:rsidRPr="000C348D">
        <w:rPr>
          <w:rFonts w:ascii="Garamond" w:hAnsi="Garamond" w:cs="Times New Roman"/>
          <w:b/>
          <w:sz w:val="24"/>
          <w:szCs w:val="24"/>
          <w:lang w:val="sq-AL"/>
        </w:rPr>
        <w:t>Përmbajtja e dokumentit të PKHD-së</w:t>
      </w:r>
    </w:p>
    <w:p w:rsidR="00C15C83" w:rsidRPr="000C348D" w:rsidRDefault="00C15C83" w:rsidP="00C15C83">
      <w:pPr>
        <w:autoSpaceDE w:val="0"/>
        <w:autoSpaceDN w:val="0"/>
        <w:adjustRightInd w:val="0"/>
        <w:spacing w:after="0" w:line="240" w:lineRule="auto"/>
        <w:ind w:firstLine="284"/>
        <w:jc w:val="center"/>
        <w:rPr>
          <w:rFonts w:ascii="Garamond" w:hAnsi="Garamond" w:cs="Times New Roman"/>
          <w:sz w:val="24"/>
          <w:szCs w:val="24"/>
          <w:lang w:val="sq-AL"/>
        </w:rPr>
      </w:pPr>
    </w:p>
    <w:p w:rsidR="00C15C83" w:rsidRPr="000C348D" w:rsidRDefault="00C15C83" w:rsidP="00C15C83">
      <w:pPr>
        <w:autoSpaceDE w:val="0"/>
        <w:autoSpaceDN w:val="0"/>
        <w:adjustRightInd w:val="0"/>
        <w:spacing w:after="0" w:line="240" w:lineRule="auto"/>
        <w:ind w:firstLine="284"/>
        <w:rPr>
          <w:rFonts w:ascii="Garamond" w:hAnsi="Garamond" w:cs="Times New Roman"/>
          <w:sz w:val="24"/>
          <w:szCs w:val="24"/>
          <w:lang w:val="sq-AL"/>
        </w:rPr>
      </w:pPr>
      <w:r w:rsidRPr="000C348D">
        <w:rPr>
          <w:rFonts w:ascii="Garamond" w:hAnsi="Garamond" w:cs="Times New Roman"/>
          <w:sz w:val="24"/>
          <w:szCs w:val="24"/>
          <w:lang w:val="sq-AL"/>
        </w:rPr>
        <w:t>Dokumenti i PKHD-së përmban të paktën:</w:t>
      </w:r>
    </w:p>
    <w:p w:rsidR="00C15C83" w:rsidRPr="000C348D" w:rsidRDefault="00C15C83" w:rsidP="00C15C83">
      <w:pPr>
        <w:autoSpaceDE w:val="0"/>
        <w:autoSpaceDN w:val="0"/>
        <w:adjustRightInd w:val="0"/>
        <w:spacing w:after="0" w:line="240" w:lineRule="auto"/>
        <w:ind w:firstLine="284"/>
        <w:rPr>
          <w:rFonts w:ascii="Garamond" w:hAnsi="Garamond" w:cs="Times New Roman"/>
          <w:sz w:val="24"/>
          <w:szCs w:val="24"/>
          <w:lang w:val="sq-AL"/>
        </w:rPr>
      </w:pPr>
      <w:r w:rsidRPr="000C348D">
        <w:rPr>
          <w:rFonts w:ascii="Garamond" w:hAnsi="Garamond" w:cs="Times New Roman"/>
          <w:sz w:val="24"/>
          <w:szCs w:val="24"/>
          <w:lang w:val="sq-AL"/>
        </w:rPr>
        <w:t>1. Analizën e hapësirës detare dhe territorit që e ndikon, e cila përmban:</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a) analizën e përgjithshme për përcaktimin e statusit aktual dhe të ardhshëm të hapësirës detare, duke evidentuar dhe përshkruar në mënyrë të detajuar elementet apo sektorët që përfshihen në PKHD;</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b) databazën e të dhënave të nevojshme për hartimin e PKHD-së, që përfshin:</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i. kushtet fizike dhe mjedisore: të dhëna oqeanografike dhe karakteristika të tjera fizike e mjedisore (batimetria, rrymat, sedimentet), shpërndarjet biologjike dhe ekologjike, duke përfshirë zona me rëndësi të njohur për një specie ose komunitet biologjik të caktuar, cilësinë e ujërave dhe parametrat ekologjikë e biologjikë;</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ii. aktivitetin njerëzor ekonomik dhe social.</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c) analizën e ndërveprimit tokë-det, në aspektet e aktivitetit njerëzor ekonomik e social, të mjedisit, të natyrës, ndryshimeve klimatike dhe sigurisë. Kjo analizë duhet të marrë parasysh gjendjen ekzistuese në territor dhe hapësirën detare, si dhe propozimet e dokumenteve të tjera të planifikimit në fuqi për të ardhmen. </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lastRenderedPageBreak/>
        <w:t>2. Analizën e dokumenteve të planifikimit të shteteve fqinje për zonat ndërkufitare.</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3. Kuadrin ligjor, si dhe politikat dhe strategjitë kombëtare e ndërkombëtare ku bazohet plani.</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4. Vizionin dhe objektivat strategjikë të zhvillimit dhe përdorimit të hapësirës detare dhe mjedisit detar.</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5. Planin e veprimeve, të projekteve dhe të investimeve strategjike për zbatimin e PKHD-së.</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6. Përcaktimin e saktë në planifikim të përdorimit dhe ndërveprimit të hapësirave detare, mjedisit detar dhe territoreve tokësore të lidhura me detin, të cilat mund të përfshijnë:</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a) zonat e akuakulturës;</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b) zonat e peshkimit;</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c) instalimet dhe infrastrukturat për kërkimin, shfrytëzimin dhe nxjerrjen e hidrokarbureve të lëngshme, gazit dhe burimeve të tjera të energjisë, të mineraleve dhe agregateve, si dhe për prodhimin e energjisë nga burimet e rinovueshme;</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ç) rrugët e transportit detar dhe flukset e trafikut;</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d) zonat e stërvitjes ushtarake;</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dh) vendet për ruajtjen e natyrës e specieve dhe zonat e mbrojtura;</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e) zonat e nxjerrjes së lëndëve të para;</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ë) kërkimin shkencor;</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f) trajektoret e kabllove dhe tubacioneve nënujore;</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g) turizmin;</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gj) trashëgiminë kulturore nënujore etj.</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7. Përcaktimet e procesit të harmonizimit të planeve ekzistuese me PKHD-në. </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8. Përcaktimin e masave mbrojtëse në zbatim të legjislacionit sektorial, për:</w:t>
      </w:r>
    </w:p>
    <w:p w:rsidR="00C15C83" w:rsidRPr="000C348D" w:rsidRDefault="00C15C83" w:rsidP="00C15C83">
      <w:pPr>
        <w:autoSpaceDE w:val="0"/>
        <w:autoSpaceDN w:val="0"/>
        <w:adjustRightInd w:val="0"/>
        <w:spacing w:after="0" w:line="240" w:lineRule="auto"/>
        <w:ind w:firstLine="284"/>
        <w:rPr>
          <w:rFonts w:ascii="Garamond" w:hAnsi="Garamond" w:cs="Times New Roman"/>
          <w:sz w:val="24"/>
          <w:szCs w:val="24"/>
          <w:lang w:val="sq-AL"/>
        </w:rPr>
      </w:pPr>
      <w:r w:rsidRPr="000C348D">
        <w:rPr>
          <w:rFonts w:ascii="Garamond" w:hAnsi="Garamond" w:cs="Times New Roman"/>
          <w:sz w:val="24"/>
          <w:szCs w:val="24"/>
          <w:lang w:val="sq-AL"/>
        </w:rPr>
        <w:t>a) interesat dhe aktivitetet detare;</w:t>
      </w:r>
    </w:p>
    <w:p w:rsidR="00C15C83" w:rsidRPr="000C348D" w:rsidRDefault="00C15C83" w:rsidP="00C15C83">
      <w:pPr>
        <w:autoSpaceDE w:val="0"/>
        <w:autoSpaceDN w:val="0"/>
        <w:adjustRightInd w:val="0"/>
        <w:spacing w:after="0" w:line="240" w:lineRule="auto"/>
        <w:ind w:firstLine="284"/>
        <w:rPr>
          <w:rFonts w:ascii="Garamond" w:hAnsi="Garamond" w:cs="Times New Roman"/>
          <w:sz w:val="24"/>
          <w:szCs w:val="24"/>
          <w:lang w:val="sq-AL"/>
        </w:rPr>
      </w:pPr>
      <w:r w:rsidRPr="000C348D">
        <w:rPr>
          <w:rFonts w:ascii="Garamond" w:hAnsi="Garamond" w:cs="Times New Roman"/>
          <w:sz w:val="24"/>
          <w:szCs w:val="24"/>
          <w:lang w:val="sq-AL"/>
        </w:rPr>
        <w:t>b) burimet natyrore;</w:t>
      </w:r>
    </w:p>
    <w:p w:rsidR="00C15C83" w:rsidRPr="000C348D" w:rsidRDefault="00C15C83" w:rsidP="00C15C83">
      <w:pPr>
        <w:autoSpaceDE w:val="0"/>
        <w:autoSpaceDN w:val="0"/>
        <w:adjustRightInd w:val="0"/>
        <w:spacing w:after="0" w:line="240" w:lineRule="auto"/>
        <w:ind w:firstLine="284"/>
        <w:rPr>
          <w:rFonts w:ascii="Garamond" w:hAnsi="Garamond" w:cs="Times New Roman"/>
          <w:sz w:val="24"/>
          <w:szCs w:val="24"/>
          <w:lang w:val="sq-AL"/>
        </w:rPr>
      </w:pPr>
      <w:r w:rsidRPr="000C348D">
        <w:rPr>
          <w:rFonts w:ascii="Garamond" w:hAnsi="Garamond" w:cs="Times New Roman"/>
          <w:sz w:val="24"/>
          <w:szCs w:val="24"/>
          <w:lang w:val="sq-AL"/>
        </w:rPr>
        <w:t>c) zonat e trashëgimisë kulturore nënujore;</w:t>
      </w:r>
    </w:p>
    <w:p w:rsidR="00C15C83" w:rsidRPr="000C348D" w:rsidRDefault="00C15C83" w:rsidP="00C15C83">
      <w:pPr>
        <w:autoSpaceDE w:val="0"/>
        <w:autoSpaceDN w:val="0"/>
        <w:adjustRightInd w:val="0"/>
        <w:spacing w:after="0" w:line="240" w:lineRule="auto"/>
        <w:ind w:firstLine="284"/>
        <w:rPr>
          <w:rFonts w:ascii="Garamond" w:hAnsi="Garamond" w:cs="Times New Roman"/>
          <w:sz w:val="24"/>
          <w:szCs w:val="24"/>
          <w:lang w:val="sq-AL"/>
        </w:rPr>
      </w:pPr>
      <w:r w:rsidRPr="000C348D">
        <w:rPr>
          <w:rFonts w:ascii="Garamond" w:hAnsi="Garamond" w:cs="Times New Roman"/>
          <w:sz w:val="24"/>
          <w:szCs w:val="24"/>
          <w:lang w:val="sq-AL"/>
        </w:rPr>
        <w:t>ç) ndotjen detare;</w:t>
      </w:r>
    </w:p>
    <w:p w:rsidR="00C15C83" w:rsidRPr="000C348D" w:rsidRDefault="00C15C83" w:rsidP="00C15C83">
      <w:pPr>
        <w:autoSpaceDE w:val="0"/>
        <w:autoSpaceDN w:val="0"/>
        <w:adjustRightInd w:val="0"/>
        <w:spacing w:after="0" w:line="240" w:lineRule="auto"/>
        <w:ind w:firstLine="284"/>
        <w:rPr>
          <w:rFonts w:ascii="Garamond" w:hAnsi="Garamond" w:cs="Times New Roman"/>
          <w:sz w:val="24"/>
          <w:szCs w:val="24"/>
          <w:lang w:val="sq-AL"/>
        </w:rPr>
      </w:pPr>
      <w:r w:rsidRPr="000C348D">
        <w:rPr>
          <w:rFonts w:ascii="Garamond" w:hAnsi="Garamond" w:cs="Times New Roman"/>
          <w:sz w:val="24"/>
          <w:szCs w:val="24"/>
          <w:lang w:val="sq-AL"/>
        </w:rPr>
        <w:t>d) aktivitetet e nxjerrjes së mineraleve në det të hapur;</w:t>
      </w:r>
    </w:p>
    <w:p w:rsidR="00C15C83" w:rsidRPr="000C348D" w:rsidRDefault="00C15C83" w:rsidP="00C15C83">
      <w:pPr>
        <w:autoSpaceDE w:val="0"/>
        <w:autoSpaceDN w:val="0"/>
        <w:adjustRightInd w:val="0"/>
        <w:spacing w:after="0" w:line="240" w:lineRule="auto"/>
        <w:ind w:firstLine="284"/>
        <w:rPr>
          <w:rFonts w:ascii="Garamond" w:hAnsi="Garamond" w:cs="Times New Roman"/>
          <w:sz w:val="24"/>
          <w:szCs w:val="24"/>
          <w:lang w:val="sq-AL"/>
        </w:rPr>
      </w:pPr>
      <w:r w:rsidRPr="000C348D">
        <w:rPr>
          <w:rFonts w:ascii="Garamond" w:hAnsi="Garamond" w:cs="Times New Roman"/>
          <w:sz w:val="24"/>
          <w:szCs w:val="24"/>
          <w:lang w:val="sq-AL"/>
        </w:rPr>
        <w:t>dh) fatkeqësitë natyrore.</w:t>
      </w:r>
    </w:p>
    <w:p w:rsidR="00C15C83" w:rsidRPr="000C348D" w:rsidRDefault="00C15C83" w:rsidP="00C15C83">
      <w:pPr>
        <w:autoSpaceDE w:val="0"/>
        <w:autoSpaceDN w:val="0"/>
        <w:adjustRightInd w:val="0"/>
        <w:spacing w:after="0" w:line="240" w:lineRule="auto"/>
        <w:ind w:firstLine="284"/>
        <w:rPr>
          <w:rFonts w:ascii="Garamond" w:hAnsi="Garamond" w:cs="Times New Roman"/>
          <w:sz w:val="24"/>
          <w:szCs w:val="24"/>
          <w:lang w:val="sq-AL"/>
        </w:rPr>
      </w:pPr>
      <w:r w:rsidRPr="000C348D">
        <w:rPr>
          <w:rFonts w:ascii="Garamond" w:hAnsi="Garamond" w:cs="Times New Roman"/>
          <w:sz w:val="24"/>
          <w:szCs w:val="24"/>
          <w:lang w:val="sq-AL"/>
        </w:rPr>
        <w:t>9. Studimin e vlerësimit strategjik mjedisor, si dhe vlerësimin e ndikimit në mjedis të planit.</w:t>
      </w:r>
    </w:p>
    <w:p w:rsidR="00C15C83" w:rsidRPr="000C348D" w:rsidRDefault="00C15C83" w:rsidP="00C15C83">
      <w:pPr>
        <w:autoSpaceDE w:val="0"/>
        <w:autoSpaceDN w:val="0"/>
        <w:adjustRightInd w:val="0"/>
        <w:spacing w:after="0" w:line="240" w:lineRule="auto"/>
        <w:ind w:firstLine="284"/>
        <w:rPr>
          <w:rFonts w:ascii="Garamond" w:hAnsi="Garamond" w:cs="Times New Roman"/>
          <w:sz w:val="24"/>
          <w:szCs w:val="24"/>
          <w:lang w:val="sq-AL"/>
        </w:rPr>
      </w:pPr>
      <w:r w:rsidRPr="000C348D">
        <w:rPr>
          <w:rFonts w:ascii="Garamond" w:hAnsi="Garamond" w:cs="Times New Roman"/>
          <w:sz w:val="24"/>
          <w:szCs w:val="24"/>
          <w:lang w:val="sq-AL"/>
        </w:rPr>
        <w:t xml:space="preserve">10. Metodologjinë dhe treguesit për monitorimin e zbatimit të PKHD-së dhe afatet për rishikimin e tij. </w:t>
      </w:r>
    </w:p>
    <w:p w:rsidR="00C15C83" w:rsidRPr="000C348D" w:rsidRDefault="00C15C83" w:rsidP="00C15C83">
      <w:pPr>
        <w:autoSpaceDE w:val="0"/>
        <w:autoSpaceDN w:val="0"/>
        <w:adjustRightInd w:val="0"/>
        <w:spacing w:after="0" w:line="240" w:lineRule="auto"/>
        <w:ind w:firstLine="284"/>
        <w:rPr>
          <w:rFonts w:ascii="Garamond" w:hAnsi="Garamond" w:cs="Times New Roman"/>
          <w:sz w:val="24"/>
          <w:szCs w:val="24"/>
          <w:lang w:val="sq-AL"/>
        </w:rPr>
      </w:pPr>
      <w:r w:rsidRPr="000C348D">
        <w:rPr>
          <w:rFonts w:ascii="Garamond" w:hAnsi="Garamond" w:cs="Times New Roman"/>
          <w:sz w:val="24"/>
          <w:szCs w:val="24"/>
          <w:lang w:val="sq-AL"/>
        </w:rPr>
        <w:t>11. Hartat që shoqërojnë dhe pasqyrojnë përmbajtjen e PKHD-së.</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12. Relacionin e propozimeve për investime strategjike dhe projekte pilote të zhvillimit.  </w:t>
      </w:r>
    </w:p>
    <w:p w:rsidR="00C15C83" w:rsidRPr="000C348D" w:rsidRDefault="00C15C83" w:rsidP="00C15C83">
      <w:pPr>
        <w:autoSpaceDE w:val="0"/>
        <w:autoSpaceDN w:val="0"/>
        <w:adjustRightInd w:val="0"/>
        <w:spacing w:after="0" w:line="240" w:lineRule="auto"/>
        <w:ind w:firstLine="284"/>
        <w:jc w:val="center"/>
        <w:rPr>
          <w:rFonts w:ascii="Garamond" w:hAnsi="Garamond" w:cs="Times New Roman"/>
          <w:sz w:val="24"/>
          <w:szCs w:val="24"/>
          <w:lang w:val="sq-AL"/>
        </w:rPr>
      </w:pPr>
    </w:p>
    <w:p w:rsidR="00C15C83" w:rsidRPr="000C348D" w:rsidRDefault="00C15C83" w:rsidP="00C15C83">
      <w:pPr>
        <w:autoSpaceDE w:val="0"/>
        <w:autoSpaceDN w:val="0"/>
        <w:adjustRightInd w:val="0"/>
        <w:spacing w:after="0" w:line="240" w:lineRule="auto"/>
        <w:ind w:firstLine="284"/>
        <w:jc w:val="center"/>
        <w:rPr>
          <w:rFonts w:ascii="Garamond" w:hAnsi="Garamond" w:cs="Times New Roman"/>
          <w:sz w:val="24"/>
          <w:szCs w:val="24"/>
          <w:lang w:val="sq-AL"/>
        </w:rPr>
      </w:pPr>
      <w:r w:rsidRPr="000C348D">
        <w:rPr>
          <w:rFonts w:ascii="Garamond" w:hAnsi="Garamond" w:cs="Times New Roman"/>
          <w:sz w:val="24"/>
          <w:szCs w:val="24"/>
          <w:lang w:val="sq-AL"/>
        </w:rPr>
        <w:t>Neni 21/6</w:t>
      </w:r>
    </w:p>
    <w:p w:rsidR="00C15C83" w:rsidRPr="000C348D" w:rsidRDefault="00C15C83" w:rsidP="00C15C83">
      <w:pPr>
        <w:autoSpaceDE w:val="0"/>
        <w:autoSpaceDN w:val="0"/>
        <w:adjustRightInd w:val="0"/>
        <w:spacing w:after="0" w:line="240" w:lineRule="auto"/>
        <w:ind w:firstLine="284"/>
        <w:jc w:val="center"/>
        <w:rPr>
          <w:rFonts w:ascii="Garamond" w:hAnsi="Garamond" w:cs="Times New Roman"/>
          <w:b/>
          <w:sz w:val="24"/>
          <w:szCs w:val="24"/>
          <w:lang w:val="sq-AL"/>
        </w:rPr>
      </w:pPr>
      <w:r w:rsidRPr="000C348D">
        <w:rPr>
          <w:rFonts w:ascii="Garamond" w:hAnsi="Garamond" w:cs="Times New Roman"/>
          <w:b/>
          <w:sz w:val="24"/>
          <w:szCs w:val="24"/>
          <w:lang w:val="sq-AL"/>
        </w:rPr>
        <w:t>Miratimi dhe hyrja në fuqi e PKHD-së</w:t>
      </w:r>
    </w:p>
    <w:p w:rsidR="00C15C83" w:rsidRPr="000C348D" w:rsidRDefault="00C15C83" w:rsidP="00C15C83">
      <w:pPr>
        <w:autoSpaceDE w:val="0"/>
        <w:autoSpaceDN w:val="0"/>
        <w:adjustRightInd w:val="0"/>
        <w:spacing w:after="0" w:line="240" w:lineRule="auto"/>
        <w:ind w:firstLine="284"/>
        <w:jc w:val="center"/>
        <w:rPr>
          <w:rFonts w:ascii="Garamond" w:hAnsi="Garamond" w:cs="Times New Roman"/>
          <w:sz w:val="24"/>
          <w:szCs w:val="24"/>
          <w:lang w:val="sq-AL"/>
        </w:rPr>
      </w:pP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1. Procesi i miratimit të Planit Kombëtar të Hapësirës detare (PKHD) bëhet, në përputhje me përcaktimet e nenit 25 të ligjit.</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2. Procesi i miratimit të planit përmban, të paktën, këta hapa:</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a) paraqitjen e kërkesës së autoritetit përgjegjës për miratimin e planit;</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b) vendimmarrjen e KKTU-së;</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c) vendimmarrjen e Këshillit të Ministrave.</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3. Materialet që dorëzohen/botohen për miratimin e dokumentit të planifikimit janë:</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a) nisma e miratuar në KKTU;</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b) dokumenti i plotë i PKHD-së;</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c) deklarata Mjedisore për Vlerësimin Strategjik Mjedisor, referuar legjislacionit të posaçëm në fuqi.</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4. Pas botimit në regjistër të dokumentit të plotë të PKHD-së, autoriteti përgjegjës bën kërkesën për miratimin e planit në KKTU.</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lastRenderedPageBreak/>
        <w:t>5. Plani Kombëtar i Hapësirës Detare (PKHD) miratohet nga KKTU-ja, në përputhje me nenin 25 të ligjit.</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6. Vendimi i KKTU-së botohet në regjistër dhe në çdo rast edhe në faqen zyrtare të sekretariatit të KKTU-së, autoritetit përgjegjës për planifikimin e territorit në nivel qendror dhe agjencisë, brenda 15 (pesëmbëdhjetë) ditëve nga data e miratimit, në përputhje me pikën 4, të nenit 25 të ligjit.</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7. Pas botimit në regjistër të vendimit të KKTU-së dhe dokumenteve shoqëruese të tij, autoriteti kombëtar i planifikimit të territorit bën kërkesë për miratimin e planit në Këshillin e Ministrave.</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8. Plani Kombëtar i Hapësirës Detare (PKHD) miratohet nga Këshilli i Ministrave, në përputhje me pikën 2, të nenit 6, të ligjit.</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9. Plani Kombëtar i Hapësirës Detare (PKHD) hyn në fuqi pas miratimit nga Këshilli i Ministrave dhe botimit të plotë të dokumenteve të tij në Fletoren Zyrtare.</w:t>
      </w: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10. PKHD-ja rishikohet kur është e nevojshme, sipas nenit 26, të ligjit, por të paktën çdo dhjetë vjet.</w:t>
      </w:r>
    </w:p>
    <w:p w:rsidR="00C15C83" w:rsidRPr="000C348D" w:rsidRDefault="00C15C83" w:rsidP="00C15C83">
      <w:pPr>
        <w:autoSpaceDE w:val="0"/>
        <w:autoSpaceDN w:val="0"/>
        <w:adjustRightInd w:val="0"/>
        <w:spacing w:after="0" w:line="240" w:lineRule="auto"/>
        <w:ind w:firstLine="284"/>
        <w:rPr>
          <w:rFonts w:ascii="Garamond" w:hAnsi="Garamond" w:cs="Times New Roman"/>
          <w:sz w:val="24"/>
          <w:szCs w:val="24"/>
          <w:lang w:val="sq-AL"/>
        </w:rPr>
      </w:pPr>
    </w:p>
    <w:p w:rsidR="00C15C83" w:rsidRPr="000C348D" w:rsidRDefault="00C15C83" w:rsidP="00C15C83">
      <w:pPr>
        <w:autoSpaceDE w:val="0"/>
        <w:autoSpaceDN w:val="0"/>
        <w:adjustRightInd w:val="0"/>
        <w:spacing w:after="0" w:line="240" w:lineRule="auto"/>
        <w:ind w:firstLine="284"/>
        <w:jc w:val="center"/>
        <w:rPr>
          <w:rFonts w:ascii="Garamond" w:hAnsi="Garamond" w:cs="Times New Roman"/>
          <w:sz w:val="24"/>
          <w:szCs w:val="24"/>
          <w:lang w:val="sq-AL"/>
        </w:rPr>
      </w:pPr>
      <w:r w:rsidRPr="000C348D">
        <w:rPr>
          <w:rFonts w:ascii="Garamond" w:hAnsi="Garamond" w:cs="Times New Roman"/>
          <w:sz w:val="24"/>
          <w:szCs w:val="24"/>
          <w:lang w:val="sq-AL"/>
        </w:rPr>
        <w:t>Neni 21/7</w:t>
      </w:r>
    </w:p>
    <w:p w:rsidR="00C15C83" w:rsidRPr="000C348D" w:rsidRDefault="00C15C83" w:rsidP="00C15C83">
      <w:pPr>
        <w:autoSpaceDE w:val="0"/>
        <w:autoSpaceDN w:val="0"/>
        <w:adjustRightInd w:val="0"/>
        <w:spacing w:after="0" w:line="240" w:lineRule="auto"/>
        <w:ind w:firstLine="284"/>
        <w:jc w:val="center"/>
        <w:rPr>
          <w:rFonts w:ascii="Garamond" w:hAnsi="Garamond" w:cs="Times New Roman"/>
          <w:b/>
          <w:sz w:val="24"/>
          <w:szCs w:val="24"/>
          <w:lang w:val="sq-AL"/>
        </w:rPr>
      </w:pPr>
      <w:r w:rsidRPr="000C348D">
        <w:rPr>
          <w:rFonts w:ascii="Garamond" w:hAnsi="Garamond" w:cs="Times New Roman"/>
          <w:b/>
          <w:sz w:val="24"/>
          <w:szCs w:val="24"/>
          <w:lang w:val="sq-AL"/>
        </w:rPr>
        <w:t>Zbatimi dhe monitorimi i zbatimit të PKHD-së</w:t>
      </w:r>
    </w:p>
    <w:p w:rsidR="00C15C83" w:rsidRPr="000C348D" w:rsidRDefault="00C15C83" w:rsidP="00C15C83">
      <w:pPr>
        <w:autoSpaceDE w:val="0"/>
        <w:autoSpaceDN w:val="0"/>
        <w:adjustRightInd w:val="0"/>
        <w:spacing w:after="0" w:line="240" w:lineRule="auto"/>
        <w:ind w:firstLine="284"/>
        <w:jc w:val="center"/>
        <w:rPr>
          <w:rFonts w:ascii="Garamond" w:hAnsi="Garamond" w:cs="Times New Roman"/>
          <w:sz w:val="24"/>
          <w:szCs w:val="24"/>
          <w:lang w:val="sq-AL"/>
        </w:rPr>
      </w:pPr>
    </w:p>
    <w:p w:rsidR="00C15C83" w:rsidRPr="000C348D" w:rsidRDefault="00C15C83" w:rsidP="00C15C83">
      <w:pPr>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1. Monitorimi i zbatimit të PKHD-së bëhet nga autoritetet përgjegjëse në procesin e hartimit të planit, në përputhje me shkronjën “d”, të pikës 1, të nenit 8, dhe shkronjën “c”, të pikës 1, të nenit 10, të ligjit, si dhe nga agjencia, në përputhje me pikën 2, të nenit 10, të kësaj rregulloreje.</w:t>
      </w:r>
    </w:p>
    <w:p w:rsidR="00C15C83" w:rsidRPr="000C348D" w:rsidRDefault="00C15C83" w:rsidP="00C15C83">
      <w:pPr>
        <w:widowControl w:val="0"/>
        <w:spacing w:after="0" w:line="240" w:lineRule="auto"/>
        <w:ind w:firstLine="284"/>
        <w:jc w:val="both"/>
        <w:rPr>
          <w:rFonts w:ascii="Garamond" w:eastAsia="MS Mincho" w:hAnsi="Garamond" w:cs="CG Times"/>
          <w:spacing w:val="-4"/>
          <w:sz w:val="24"/>
          <w:lang w:val="sq-AL"/>
        </w:rPr>
      </w:pPr>
      <w:r w:rsidRPr="000C348D">
        <w:rPr>
          <w:rFonts w:ascii="Garamond" w:hAnsi="Garamond" w:cs="Times New Roman"/>
          <w:sz w:val="24"/>
          <w:szCs w:val="24"/>
          <w:lang w:val="sq-AL"/>
        </w:rPr>
        <w:t>2. Monitorimi i zbatimit të planit bëhet mbi bazën e planit të veprimeve dhe dokumentit të indikatorëve të monitorimit, të miratuar si pjesë përbërëse e dokumentit të planit.</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SEKSIONI 4</w:t>
      </w: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PLANI KOMBËTAR SEKTORIAL</w:t>
      </w:r>
    </w:p>
    <w:p w:rsidR="00CB1030" w:rsidRPr="000C348D" w:rsidRDefault="00CB1030">
      <w:pPr>
        <w:widowControl w:val="0"/>
        <w:spacing w:after="0" w:line="240" w:lineRule="auto"/>
        <w:jc w:val="center"/>
        <w:rPr>
          <w:rFonts w:ascii="Garamond" w:eastAsia="MS Mincho" w:hAnsi="Garamond" w:cs="CG Times"/>
          <w:spacing w:val="-4"/>
          <w:sz w:val="2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22</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Objekti i PKS-së</w:t>
      </w:r>
    </w:p>
    <w:p w:rsidR="00CB1030" w:rsidRPr="000C348D" w:rsidRDefault="00C15C83">
      <w:pPr>
        <w:widowControl w:val="0"/>
        <w:spacing w:after="0" w:line="240" w:lineRule="auto"/>
        <w:jc w:val="center"/>
        <w:rPr>
          <w:rFonts w:ascii="Garamond" w:eastAsia="MS Mincho" w:hAnsi="Garamond" w:cs="CG Times"/>
          <w:bCs/>
          <w:i/>
          <w:spacing w:val="-4"/>
          <w:sz w:val="24"/>
          <w:lang w:val="en-GB"/>
        </w:rPr>
      </w:pPr>
      <w:r w:rsidRPr="000C348D">
        <w:rPr>
          <w:rFonts w:ascii="Garamond" w:eastAsia="MS Mincho" w:hAnsi="Garamond" w:cs="CG Times"/>
          <w:bCs/>
          <w:i/>
          <w:spacing w:val="-4"/>
          <w:sz w:val="24"/>
          <w:lang w:val="sq-AL"/>
        </w:rPr>
        <w:t xml:space="preserve">(Ndryshuar pika 1 </w:t>
      </w:r>
      <w:r w:rsidR="00EB70B8" w:rsidRPr="000C348D">
        <w:rPr>
          <w:rFonts w:ascii="Garamond" w:eastAsia="MS Mincho" w:hAnsi="Garamond" w:cs="CG Times"/>
          <w:bCs/>
          <w:i/>
          <w:spacing w:val="-4"/>
          <w:sz w:val="24"/>
          <w:lang w:val="sq-AL"/>
        </w:rPr>
        <w:t>me VKM nr. 694, datë 2.10.2019)</w:t>
      </w:r>
    </w:p>
    <w:p w:rsidR="00CB1030" w:rsidRPr="000C348D" w:rsidRDefault="00CB1030">
      <w:pPr>
        <w:widowControl w:val="0"/>
        <w:spacing w:after="0" w:line="240" w:lineRule="auto"/>
        <w:jc w:val="center"/>
        <w:rPr>
          <w:rFonts w:ascii="Garamond" w:eastAsia="MS Mincho" w:hAnsi="Garamond" w:cs="CG Times"/>
          <w:b/>
          <w:spacing w:val="-4"/>
          <w:sz w:val="2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Planet kombëtare sektoriale hartohen nga ministritë, me qëllim zhvillimin strategjik të një ose më shumë sektorëve, sipas fushave të kompetencës, si: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siguria kombëtare;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mbrojtja nga fatkeqësitë natyrore, të lidhura me: sizmicitetin, hidrogjeologjinë, hidrografinë, gjeologo-inxhinierinë, ndryshimet klimatike etj.;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energjia;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industria;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transporti;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dh) infrastruktura;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e) turizmi;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ë) zonat detare dhe infrastruktura e ujit;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f) zonat ekonomike;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g) arsimi;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gj) sporti;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h) trashëgimia kulturore dhe natyrore;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burimet natyrore;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j) shëndetësia;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k) bujqësia etj.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Plani Kombëtar Sektorial mund të hartohet për të gjithë territorin e Republikës së Shqipërisë apo për pjesë të tij, në varësi të sektorit dhe interesit kombëtar.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3. Plani Kombëtar Sektorial, teksa hartohet e zbatohet, duhet të ndjekë parimet e planifikimit si një </w:t>
      </w:r>
      <w:r w:rsidRPr="000C348D">
        <w:rPr>
          <w:rFonts w:ascii="Garamond" w:eastAsia="MS Mincho" w:hAnsi="Garamond" w:cs="CG Times"/>
          <w:spacing w:val="-4"/>
          <w:sz w:val="24"/>
          <w:lang w:val="sq-AL"/>
        </w:rPr>
        <w:lastRenderedPageBreak/>
        <w:t>proces pune në vazhdimësi.</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23</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Autoriteti përgjegjës për hartimin e PKS-së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Procesi i hartimit të PKS-së koordinohet nga ministri që mbulon sektorin për të cilin hartohet plani, i cili është edhe autoriteti përgjegjës për hartimin e planit në përputhje me shkronjën “a”, të pikës 1, të nenit 10,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Nëse plani hartohet për të studiuar në formë të integruar disa sektorë së bashku, atëherë koordinimi realizohet në bashkëpunim, nën kryesimin e autoritetit përgjegjës për planifikimin e territorit në nivel qendror.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Plani i veprimeve për hartimin e PKS-së zbatohet nga grupi i punës i ngritur me urdhër të ministrit që mbulon sektorin apo autoriteti përgjegjës për planifikimin e territorit në nivel qendror, kur plani përfshin studimin e disa sektorëve.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Plani Kombëtar Sektorial (PKS) hartohet nga grupe pune me specialistë të institucioneve publike, me ekspertë të fushave të ndryshme, vendës apo edhe të huaj, sipas parashikimeve të ligjit për organizimin dhe funksionimin e Këshillit të Ministrave.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5. Agjencia është në çdo rast pjesë e grupit të punës.</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24</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Hartimi, këshillimi dhe bashkërendimi i PKS-së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1. Hartimi i PKS-së nis me ndërmarrjen e nismës dhe miratimin e saj nga </w:t>
      </w:r>
      <w:r w:rsidR="00452FAD" w:rsidRPr="000C348D">
        <w:rPr>
          <w:rFonts w:ascii="Garamond" w:hAnsi="Garamond" w:cs="Times New Roman"/>
          <w:sz w:val="24"/>
          <w:szCs w:val="24"/>
          <w:lang w:val="sq-AL"/>
        </w:rPr>
        <w:t>KKTU</w:t>
      </w:r>
      <w:r w:rsidR="00452FAD"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-ja, me botimin e vendimit të tij në RKPT.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Hartimi i PKS-së kryhet në disa faza, në përputhje me përgatitjen e dokumenteve përbërëse të tij: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Faza përgatitore: Hartimi i nismës dhe përgatitja e bazës të të dhënave fillestare për hartimin e tij;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Faza I: Analiza e sektorit;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Faza II : Hartimi i strategjisë sektoriale dhe vizionit të zhvillimit të sektorit;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Faza III: Hartimi i planit të zhvillimit të sektorit, rregullores së zbatimit të tij;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3. Gjatë fazave II dhe III hartohet paralelisht edhe Vlerësimi Strategjik Mjedisor për PKS-në.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Në përfundim të secilës fazë, autoriteti përgjegjës për hartimin e PKS-së boton materialin e përgatitur në Regjistrin Kombëtar të Planifikimit të Territorit, për të cilin Agjencia duhet të kryejë një vlerësim teknik dhe të japë konfirmimin për kalimin në fazën pasardhëse, me përjashtim të fazës përgatitore për të cilën jep rekomandime të mundshme, në përputhje me pikën 5, të nenit 4, të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5. PKS-ja këshillohet nëpërmjet: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a) botimit të dokumenteve në Regjistrin Kombëtar të Planifikimit;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informimit të palëve të interesuara nëpërmjet një a më shumë mjeteve tradicionale të informimit;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organizimit të së paku dy dëgjesave publike, përkatësisht në fazat II dhe III të hartimit të tij, në përputhje me nenin 8, të kësaj rregulloreje.</w:t>
      </w:r>
    </w:p>
    <w:p w:rsidR="00CB1030" w:rsidRPr="000C348D" w:rsidRDefault="00CB1030">
      <w:pPr>
        <w:widowControl w:val="0"/>
        <w:spacing w:after="0" w:line="240" w:lineRule="auto"/>
        <w:ind w:firstLine="284"/>
        <w:jc w:val="both"/>
        <w:rPr>
          <w:rFonts w:ascii="Garamond" w:eastAsia="MS Mincho" w:hAnsi="Garamond" w:cs="CG Times"/>
          <w:spacing w:val="-4"/>
          <w:sz w:val="2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6. PKS-ja bashkërendohet nëpërmjet Forumit të Bashkërendimit të Planifikimit në nivel qendror, në përputhje me nenin 5, të kësaj rregulloreje. Agjencia organizon së paku dy takime të FBPQ-së, përkatësisht në fazat II dhe III të hartimit të PKS-së, pas mbajtjes së dëgjesave publike nga autoriteti përgjegjës për PKS-në.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25</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Nisma për hartimin e PKS-së</w:t>
      </w:r>
    </w:p>
    <w:p w:rsidR="00CB1030" w:rsidRPr="000C348D" w:rsidRDefault="00CB1030">
      <w:pPr>
        <w:widowControl w:val="0"/>
        <w:spacing w:after="0" w:line="240" w:lineRule="auto"/>
        <w:jc w:val="center"/>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Procesit të punës për PKS-në i paraprin ndërmarrja e nismës për hartimin e tij.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a) Autoriteti përgjegjës për ndërmarrjen dhe hartimin e nismës është ministri që mbulon sektorin, i cili e paraqet atë pranë </w:t>
      </w:r>
      <w:r w:rsidR="004F7C39" w:rsidRPr="000C348D">
        <w:rPr>
          <w:rFonts w:ascii="Garamond" w:hAnsi="Garamond" w:cs="Times New Roman"/>
          <w:sz w:val="24"/>
          <w:szCs w:val="24"/>
          <w:lang w:val="sq-AL"/>
        </w:rPr>
        <w:t>Këshillit Kombëtar i Territorit dhe Ujit</w:t>
      </w:r>
      <w:r w:rsidR="004F7C39"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 xml:space="preserve">për miratim. Në rast së plani hartohet për të analizuar në formë të integruar disa sektorë, atëherë nisma ndërmerret nga autoriteti përgjegjës për </w:t>
      </w:r>
      <w:r w:rsidRPr="000C348D">
        <w:rPr>
          <w:rFonts w:ascii="Garamond" w:eastAsia="MS Mincho" w:hAnsi="Garamond" w:cs="CG Times"/>
          <w:spacing w:val="-4"/>
          <w:sz w:val="24"/>
          <w:lang w:val="sq-AL"/>
        </w:rPr>
        <w:lastRenderedPageBreak/>
        <w:t>planifikimin e territorit në nivel qendror.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b) Autoriteti përgjegjës për miratimin e nismës është </w:t>
      </w:r>
      <w:r w:rsidR="00245071" w:rsidRPr="000C348D">
        <w:rPr>
          <w:rFonts w:ascii="Garamond" w:hAnsi="Garamond" w:cs="Times New Roman"/>
          <w:sz w:val="24"/>
          <w:szCs w:val="24"/>
          <w:lang w:val="sq-AL"/>
        </w:rPr>
        <w:t>Këshilli Kombëtar i Territorit dhe Ujit</w:t>
      </w:r>
      <w:r w:rsidRPr="000C348D">
        <w:rPr>
          <w:rFonts w:ascii="Garamond" w:eastAsia="MS Mincho" w:hAnsi="Garamond" w:cs="CG Times"/>
          <w:spacing w:val="-4"/>
          <w:sz w:val="24"/>
          <w:lang w:val="sq-AL"/>
        </w:rPr>
        <w: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Nisma për hartimin e PKS-së përmban: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analizën, e cila përcakton qëllimin dhe nevojën për hartim ose rishqyrtim të dokumentit të planifikimit;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kufijtë e territorit që mbulon dokumenti i planifikimit;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listën e dokumenteve përbërëse të PKS-së;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ekspertët (fushat e ekspertizës) që do të përbëjnë grupin e punës, hartues të PKS-së;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përcaktime për procesin e bashkërendimit, këshillimit e takimeve publike dhe afatet përkatëse;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dh) planin e veprimeve për hartimin e dokumentit të PKS-së;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e) buxhetin për hartimin e PKS-së;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ë)</w:t>
      </w:r>
      <w:r w:rsidRPr="000C348D">
        <w:rPr>
          <w:rFonts w:ascii="Garamond" w:eastAsia="MS Mincho" w:hAnsi="Garamond" w:cs="CG Times"/>
          <w:spacing w:val="-4"/>
          <w:sz w:val="24"/>
          <w:lang w:val="sq-AL"/>
        </w:rPr>
        <w:tab/>
        <w:t>sipas rastit, vendimin për pezullimin e zhvillimit për të gjithë ose një pjesë të territorit, sipas nenit 33, të ligjit, të shoqëruar me hartën përkatëse.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Nisma duhet të bëhet publike dhe të botohet në regjistër nga autoriteti përgjegjës:</w:t>
      </w:r>
    </w:p>
    <w:p w:rsidR="00CB1030" w:rsidRPr="000C348D" w:rsidRDefault="00EB70B8" w:rsidP="00F130F1">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a) Vendimi i autoritetit përgjegjës për marrjen e nismës botohet në regjistër, brenda 10 (dhjetë) ditëve nga data e marrjes së nismës, sipas pikave 1 dhe 4, të nenit 56, të ligjit.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Vendimi i autoritetit përgjegjës për marrjen e nismës botohet edhe në faqen zyrtare të autoritetit.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4. Hyrja në fuqi e vendimit të </w:t>
      </w:r>
      <w:r w:rsidR="00245071" w:rsidRPr="000C348D">
        <w:rPr>
          <w:rFonts w:ascii="Garamond" w:hAnsi="Garamond" w:cs="Times New Roman"/>
          <w:sz w:val="24"/>
          <w:szCs w:val="24"/>
          <w:lang w:val="sq-AL"/>
        </w:rPr>
        <w:t>KKTU</w:t>
      </w:r>
      <w:r w:rsidR="00245071"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 xml:space="preserve">-së për miratimin e nismës bëhet pas botimit të vendimit në regjistër nga sekretariati i </w:t>
      </w:r>
      <w:r w:rsidR="001B2F60" w:rsidRPr="000C348D">
        <w:rPr>
          <w:rFonts w:ascii="Garamond" w:hAnsi="Garamond" w:cs="Times New Roman"/>
          <w:sz w:val="24"/>
          <w:szCs w:val="24"/>
          <w:lang w:val="sq-AL"/>
        </w:rPr>
        <w:t>KKTU</w:t>
      </w:r>
      <w:r w:rsidR="001B2F60"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a) Vendimi i </w:t>
      </w:r>
      <w:r w:rsidR="001B2F60" w:rsidRPr="000C348D">
        <w:rPr>
          <w:rFonts w:ascii="Garamond" w:hAnsi="Garamond" w:cs="Times New Roman"/>
          <w:sz w:val="24"/>
          <w:szCs w:val="24"/>
          <w:lang w:val="sq-AL"/>
        </w:rPr>
        <w:t>KKTU</w:t>
      </w:r>
      <w:r w:rsidR="001B2F60"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 xml:space="preserve">-së për miratimin e nismës, së bashku me dokumentin e nismës botohen në regjistër brenda 10 (dhjetë) ditëve nga data e miratimit, sipas pikave 1 dhe 4, të nenit 56, të ligjit.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b) Vendimi i </w:t>
      </w:r>
      <w:r w:rsidR="001B2F60" w:rsidRPr="000C348D">
        <w:rPr>
          <w:rFonts w:ascii="Garamond" w:hAnsi="Garamond" w:cs="Times New Roman"/>
          <w:sz w:val="24"/>
          <w:szCs w:val="24"/>
          <w:lang w:val="sq-AL"/>
        </w:rPr>
        <w:t>KKTU</w:t>
      </w:r>
      <w:r w:rsidR="001B2F60"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 xml:space="preserve">-së dhe dokumenti i nismës bëhen publike edhe në faqen zyrtare të sekretariatit të </w:t>
      </w:r>
      <w:r w:rsidR="001B2F60" w:rsidRPr="000C348D">
        <w:rPr>
          <w:rFonts w:ascii="Garamond" w:hAnsi="Garamond" w:cs="Times New Roman"/>
          <w:sz w:val="24"/>
          <w:szCs w:val="24"/>
          <w:lang w:val="sq-AL"/>
        </w:rPr>
        <w:t>KKTU</w:t>
      </w:r>
      <w:r w:rsidR="001B2F60"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-së, autoriteti përgjegjës për planifikimin e territorit në nivel qendror, dhe Agjencisë.</w:t>
      </w:r>
    </w:p>
    <w:p w:rsidR="00CB1030" w:rsidRPr="000C348D" w:rsidRDefault="00CB1030" w:rsidP="00F130F1">
      <w:pPr>
        <w:widowControl w:val="0"/>
        <w:spacing w:after="0" w:line="240" w:lineRule="auto"/>
        <w:rPr>
          <w:rFonts w:ascii="Garamond" w:eastAsia="MS Mincho" w:hAnsi="Garamond" w:cs="CG Times"/>
          <w:spacing w:val="-4"/>
          <w:sz w:val="2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26</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Përmbajtja e PKS-së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Plani Kombëtar Sektorial përmban të paktën këto dokumente: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Analizën dhe vlerësimin e sektorit, ku përfshihen: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Analiza e dokumenteve të planifikimit pararendës dhe legjislacionit, si: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analiza e dokumenteve të planifikimit, të hartuara më parë për territorin, në të gjitha nivelet, përfshirë zbatueshmërinë e tyre dhe çështje që duhet të vlerësohen gjatë hartimit të planit të ri;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analiza e legjislacionit sektorial që prek territorin; çështjet, zonat dhe/ose objektet e rëndësisë kombëtare që ndodhen në territorin e njësisë së qeverisjes vendore dhe kufizimet që rrjedhin prej tyre;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iii) analiza e politikave/direktivave evropiane për zhvillimin e sektorit.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Analiza e përgjithshme e sektorit, si: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analiza dhe vlerësimi i pozicionimit strategjik të territorit, subjekt i PKS-së, në raport me rajonin ku ai shtrihet, në aspektin e zhvillimeve të sektorit përkatës;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analiza e përgjithshme e gjendjes së zhvillimit të sektorit e territorit të ndikuar prej tij;</w:t>
      </w:r>
    </w:p>
    <w:p w:rsidR="00CB1030" w:rsidRPr="000C348D" w:rsidRDefault="00EB70B8" w:rsidP="00F130F1">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iii) analiza metabolike e flukseve kryesore me rëndësi për sektorin në territor.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Përmbledhja dhe paraqitja e elementeve përjashtuese dhe kufizimeve që rrjedhin nga vlerësimet e mësipërme për zhvillimin e sektorit në territor.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Analiza e përdorimit të tokës, si: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leximi i territorit në bazë të 5 sistemeve: urban, natyror, bujqësor, ujor dhe infrastrukturor;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analiza e gjendjes ekzistuese së infrastrukturave me ndikim në zhvillimin e sektorit përkatës.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Analiza socio-ekonomike me rëndësi për sektorin.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dh) Hartat shoqëruese për pikat e mësipërme.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Strategjinë sektoriale, ku përfshihen: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parashikimet e detyrueshme që rrjedhin nga PPKT-ja në fuqi, me ndikim në sektor/territor;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përmbledhja e gjetjeve të vlerësimit të gjendjes ekzistuese të territorit, dhe identifikimi i çështjeve për të cilat PKS-ja duhet të propozojë zgjidhje dhe masa konkrete;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lastRenderedPageBreak/>
        <w:t>c) Formulimi i skenarëve të mundshëm të zhvillimit, bazuar në alterimin e kushteve të zhvillimit, sipas të dhënave aktuale dhe atyre të pritshme të sektorit, për të cilin hartohet plani;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vizioni i zhvillimit të sektorit në territor;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objektivat strategjikë për zhvillimin e sektorit;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dh) drejtimet për zhvillimin e sektorit;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e) programet dhe projektet e zhvillimit;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ë) projektet pilot të zhvillimit, shoqëruar me skedat përkatëse me detajet e vendndodhjes, tipologjisë, qëllimit kryesor dhe rëndësisë, përfituesit, përgjegjësit, koston e përafërt, veprimet për zbatimin e tij, afatet dhe kohëzgjatjen;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f) plani i veprimeve për realizimin e programeve e projekteve, përfshirë prioritetin dhe fazat kohore të realizimit, burimet njerëzore dhe financiare, ndryshimet e nevojshme institucionale dhe ligjore,  treguesit monitorues të zbatimit;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g) hartat shoqëruese për pikat e mësipërme.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Planin e zhvillimit të sektorit, i cili mund të përmbajë në varësi të sektorit: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planin e propozimeve sektoriale, ku përfshihen: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strukturimi i territorit sipas pesë sistemeve, shoqëruar me tabelën e treguesve përkatës për secilin sistem, duke evidentuar ndryshimet mbi gjendjen ekzistuese;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strukturimi i territorit në zona;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iii) në varësi të sektorit, propozimi i përdorimit të tokës, sipas kategorive dhe/ose nënkategorive;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iv) propozimet për zonat e rëndësisë kombëtare, sipas legjislacionit të planifikimit dhe atij sektorial, duke ndjekur përcaktimet e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 përcaktimi i zonave kryesore të zhvillimit të sektorit;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vi) përcaktimi i zonave të cilat do t’i nënshtrohen hartimit të PDZRK-ve, nisur nga qëllimet për zhvillim apo rizhvillim, ndryshim të përdorimit të tokës dhe kushteve të zhvillimit, përdorimin e instrumenteve për drejtimin e zhvillimit.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Planin e shërbimeve dhe infrastrukturave në varësi të sektorit.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Planin e mbrojtjes së mjedisit, i cili përmban: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parashikimet për mbrojtjen e peizazhit;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parashikimet për përmirësimin e cilësisë së ujit dhe mbrojtjen e trupave ujorë;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iii) parashikimet për përmirësimin e cilësisë së ajrit;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iv) parashikimet për shtimin dhe/ose zgjerimin e hapësirave të gjelbra;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 parashikimet për zgjidhjen e problematikës mjedisore dhe vatrave të evidentuara, sipas rastit;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Planin e veprimeve për zbatimin e PKS-së, i cili përmban: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përcaktimet për zbatimin e infrastrukturave publike dhe projekteve strategjike e pilot, sipas prioritetit dhe fazave kohore;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nevojat për ndryshime në kuadrin ligjor dhe administrativ në nivel vendor, për të mundësuar zbatimin e planit;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iii) indikatorët për monitorimin dhe udhëzime për vlerësimin e zbatimit të PKS-së.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Hartat shoqëruese për pikat e mësipërme.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Rregulloren e planit, ku jepen: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përkufizimet e termave dhe shpjegimet e nevojshme;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rregullat e kushtet e përgjithshme për zhvillimin e sektorit, që duhet të zbatohen nga autoritete të tjera planifikimi e zhvillimi të territorit;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rregullat për çdo zonë të përcaktuar për zhvillimin e sektorit, sipas rastit dhe në varësi të sektorit;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rregullat për infrastrukturën, sipas rastit dhe në varësi të sektorit;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d) rregullat për ruajtjen e mjedisit, peizazhit, burimeve natyrore dhe objekteve të trashëgimisë kulturore.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5. Vlerësimin Strategjik Mjedisor, sipas legjislacionit të posaçëm në fuqi.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6. Informacionin e plotë gjeohapësinor për sektorin/territorin e integruar në platformën GIS, sipas standardeve të Regjistrit Kombëtar të Planifikimit të Territorit.</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lastRenderedPageBreak/>
        <w:t>Neni 27</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 xml:space="preserve">Miratimi i PKS-së </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Procesi i miratimit të Planit Kombëtar Sektorial (PKS) bëhet në përputhje me përcaktimet e nenit 25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Procesi i miratimit të planit përmban të paktën këta hapa: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lëshimin e aktit të përputhshmërisë nga Agjencia;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b) kërkesën e autoritetit përgjegjës për shqyrtim dhe miratim të planit në </w:t>
      </w:r>
      <w:r w:rsidR="001B2F60" w:rsidRPr="000C348D">
        <w:rPr>
          <w:rFonts w:ascii="Garamond" w:hAnsi="Garamond" w:cs="Times New Roman"/>
          <w:sz w:val="24"/>
          <w:szCs w:val="24"/>
          <w:lang w:val="sq-AL"/>
        </w:rPr>
        <w:t>KKTU</w:t>
      </w:r>
      <w:r w:rsidRPr="000C348D">
        <w:rPr>
          <w:rFonts w:ascii="Garamond" w:eastAsia="MS Mincho" w:hAnsi="Garamond" w:cs="CG Times"/>
          <w:spacing w:val="-4"/>
          <w:sz w:val="24"/>
          <w:lang w:val="sq-AL"/>
        </w:rPr>
        <w: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c) vendimmarrjen e </w:t>
      </w:r>
      <w:r w:rsidR="001B2F60" w:rsidRPr="000C348D">
        <w:rPr>
          <w:rFonts w:ascii="Garamond" w:hAnsi="Garamond" w:cs="Times New Roman"/>
          <w:sz w:val="24"/>
          <w:szCs w:val="24"/>
          <w:lang w:val="sq-AL"/>
        </w:rPr>
        <w:t>KKTU</w:t>
      </w:r>
      <w:r w:rsidR="001B2F60"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Materialet që dorëzohen/botohen për miratimin e dokumentit të planifikimit janë: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a) nisma e miratuar në </w:t>
      </w:r>
      <w:r w:rsidR="001B2F60" w:rsidRPr="000C348D">
        <w:rPr>
          <w:rFonts w:ascii="Garamond" w:hAnsi="Garamond" w:cs="Times New Roman"/>
          <w:sz w:val="24"/>
          <w:szCs w:val="24"/>
          <w:lang w:val="sq-AL"/>
        </w:rPr>
        <w:t>KKTU</w:t>
      </w:r>
      <w:r w:rsidRPr="000C348D">
        <w:rPr>
          <w:rFonts w:ascii="Garamond" w:eastAsia="MS Mincho" w:hAnsi="Garamond" w:cs="CG Times"/>
          <w:spacing w:val="-4"/>
          <w:sz w:val="24"/>
          <w:lang w:val="sq-AL"/>
        </w:rPr>
        <w:t>;</w:t>
      </w:r>
      <w:r w:rsidR="001B2F60" w:rsidRPr="000C348D">
        <w:rPr>
          <w:rFonts w:ascii="Garamond" w:eastAsia="MS Mincho" w:hAnsi="Garamond" w:cs="CG Times"/>
          <w:spacing w:val="-4"/>
          <w:sz w:val="24"/>
          <w:lang w:val="sq-AL"/>
        </w:rPr>
        <w:t xml:space="preserve">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dokumenti i PKS-së i plotë;</w:t>
      </w:r>
      <w:r w:rsidR="001B2F60" w:rsidRPr="000C348D">
        <w:rPr>
          <w:rFonts w:ascii="Garamond" w:eastAsia="MS Mincho" w:hAnsi="Garamond" w:cs="CG Times"/>
          <w:spacing w:val="-4"/>
          <w:sz w:val="24"/>
          <w:lang w:val="sq-AL"/>
        </w:rPr>
        <w:t xml:space="preserve">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akti i përputhshmërisë nga Agjencia ose deklarata e përputhshmërisë në heshtje;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w:t>
      </w:r>
      <w:r w:rsidRPr="000C348D">
        <w:rPr>
          <w:rFonts w:ascii="Garamond" w:eastAsia="MS Mincho" w:hAnsi="Garamond" w:cs="CG Times"/>
          <w:spacing w:val="-4"/>
          <w:sz w:val="24"/>
          <w:lang w:val="sq-AL"/>
        </w:rPr>
        <w:tab/>
        <w:t>deklarata mjedisore për Vlerësimin Strategjik Mjedisor referuar legjislacionit të posaçëm në fuqi.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4. Pas botimit në regjistër të dokumentit të plotë të PKS-së, autoriteti përgjegjës bën kërkesën për marrjen e aktit të përputhshmërisë nga agjencia.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5. Shqyrtimi i dokumentit të planit realizohet sipas këtyre përcaktimeve: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a) Agjencia shqyrton përputhshmërinë e dokumentacionit të Planit Kombëtar Sektorial brenda 30 (tridhjetë) ditëve nga data e paraqitjes për shqyrtim përputhshmërie të dokumentacionit të plotë.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Në përfundim të periudhës 30-ditore të shqyrtimit të përputhshmërisë, Agjencia harton dhe boton në regjistër raportin e vlerësimit teknik të PKS-së dhe aktin e përputhshmërisë, sipas rastit.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c) Agjencia e përsërit procesin e shqyrtimit të përputhshmërisë së dokumentit të planit dhe hartimin e raportit të vlerësimit teknik, në rast se dokumenti i planit rishikohet/përmirësohet nga autoriteti përgjegjës, deri në arritjen e përputhshmërisë.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w:t>
      </w:r>
      <w:r w:rsidRPr="000C348D">
        <w:rPr>
          <w:rFonts w:ascii="Garamond" w:eastAsia="MS Mincho" w:hAnsi="Garamond" w:cs="CG Times"/>
          <w:spacing w:val="-4"/>
          <w:sz w:val="24"/>
          <w:lang w:val="sq-AL"/>
        </w:rPr>
        <w:tab/>
        <w:t>Në rast të moszbatimit të afateve të mësipërme, autoriteti kërkues njofton Agjencinë për mosrespektimin e afatit. Në përfundim të afatit regjistri lëshon deklaratën e përputhshmërisë në heshtje.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6. Rishikimi/përmirësimi i dokumentit dhe reflektimi i vërejtjeve të Agjencisë realizohet sipas këtyre përcaktimeve: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Pas botimit në regjistër të raportit të vlerësimit teknik të PKS-së nga Agjencia, autoriteti përgjegjës duhet të rishikojë/të përmirësojë dokumentin e planit për të reflektuar vërejtjet dhe sugjerimet, nëse ka të tilla.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Në përfundim të rishikimit/përmirësimit, autoriteti përgjegjës riboton dokumentin e plotë të planit me vërejtjet dhe sugjerimet e reflektuara, shoqëruar me raportin e ndryshimeve.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7. Pas botimit në regjistër të materialeve të plota të PKS-së, sipas pikës 3, të këtij neni, autoriteti përgjegjës bën kërkesën për shqyrtimin dhe miratimin e dokumentit të planifikimit në </w:t>
      </w:r>
      <w:r w:rsidR="00452FAD" w:rsidRPr="000C348D">
        <w:rPr>
          <w:rFonts w:ascii="Garamond" w:hAnsi="Garamond" w:cs="Times New Roman"/>
          <w:sz w:val="24"/>
          <w:szCs w:val="24"/>
          <w:lang w:val="sq-AL"/>
        </w:rPr>
        <w:t>KKTU</w:t>
      </w:r>
      <w:r w:rsidRPr="000C348D">
        <w:rPr>
          <w:rFonts w:ascii="Garamond" w:eastAsia="MS Mincho" w:hAnsi="Garamond" w:cs="CG Times"/>
          <w:spacing w:val="-4"/>
          <w:sz w:val="24"/>
          <w:lang w:val="sq-AL"/>
        </w:rPr>
        <w: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8. Plani Kombëtar Sektorial (PKS) miratohet nga </w:t>
      </w:r>
      <w:r w:rsidR="00452FAD" w:rsidRPr="000C348D">
        <w:rPr>
          <w:rFonts w:ascii="Garamond" w:hAnsi="Garamond" w:cs="Times New Roman"/>
          <w:sz w:val="24"/>
          <w:szCs w:val="24"/>
          <w:lang w:val="sq-AL"/>
        </w:rPr>
        <w:t>KKTU</w:t>
      </w:r>
      <w:r w:rsidR="00452FAD"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-ja në përputhje me shkronjën “b”, të nenit 7, të ligjit. Baza e gjykimit për vendimmarrjen mbi miratimin e PKS-së përbëhet nga dokumentet e pikës 3, të këtij neni.</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28</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Hyrja në fuqi e PKS-së</w:t>
      </w:r>
      <w:r w:rsidR="00452FAD" w:rsidRPr="000C348D">
        <w:rPr>
          <w:rFonts w:ascii="Garamond" w:eastAsia="MS Mincho" w:hAnsi="Garamond" w:cs="CG Times"/>
          <w:b/>
          <w:spacing w:val="-4"/>
          <w:sz w:val="24"/>
          <w:lang w:val="sq-AL"/>
        </w:rPr>
        <w:t xml:space="preserve"> </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1. Dokumenti i Planit Kombëtar Sektorial (PKS) hyn në fuqi me botimin e plotë në regjistër të vendimit të </w:t>
      </w:r>
      <w:r w:rsidR="00452FAD" w:rsidRPr="000C348D">
        <w:rPr>
          <w:rFonts w:ascii="Garamond" w:hAnsi="Garamond" w:cs="Times New Roman"/>
          <w:sz w:val="24"/>
          <w:szCs w:val="24"/>
          <w:lang w:val="sq-AL"/>
        </w:rPr>
        <w:t>KKTU</w:t>
      </w:r>
      <w:r w:rsidR="00452FAD"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-së dhe dokumenteve shoqëruese të tij, në përputhje me pikën 2, të nenit 56,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2. Vendimi i </w:t>
      </w:r>
      <w:r w:rsidR="00452FAD" w:rsidRPr="000C348D">
        <w:rPr>
          <w:rFonts w:ascii="Garamond" w:hAnsi="Garamond" w:cs="Times New Roman"/>
          <w:sz w:val="24"/>
          <w:szCs w:val="24"/>
          <w:lang w:val="sq-AL"/>
        </w:rPr>
        <w:t>KKTU</w:t>
      </w:r>
      <w:r w:rsidR="00452FAD"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 xml:space="preserve">-së botohet në regjistër dhe në çdo rast edhe në faqen zyrtare të sekretariatit të </w:t>
      </w:r>
      <w:r w:rsidR="00452FAD" w:rsidRPr="000C348D">
        <w:rPr>
          <w:rFonts w:ascii="Garamond" w:hAnsi="Garamond" w:cs="Times New Roman"/>
          <w:sz w:val="24"/>
          <w:szCs w:val="24"/>
          <w:lang w:val="sq-AL"/>
        </w:rPr>
        <w:t>KKTU</w:t>
      </w:r>
      <w:r w:rsidR="00452FAD"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-së, autoriteti përgjegjës për planifikimin e territorit në nivel qendror dhe Agjencisë, brenda 15 (pesëmbëdhjetë) ditëve nga data e miratimit, në përputhje me pikën 4, të nenit 25, të ligjit.</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29</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Zbatimi dhe monitorimi i zbatimit të PKS-së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1. Monitorimi i zbatimit të PKS-së bëhet nga autoriteti përgjegjës për hartimin e planit, në përputhje </w:t>
      </w:r>
      <w:r w:rsidRPr="000C348D">
        <w:rPr>
          <w:rFonts w:ascii="Garamond" w:eastAsia="MS Mincho" w:hAnsi="Garamond" w:cs="CG Times"/>
          <w:spacing w:val="-4"/>
          <w:sz w:val="24"/>
          <w:lang w:val="sq-AL"/>
        </w:rPr>
        <w:lastRenderedPageBreak/>
        <w:t>me pikën 1, shkronjat “c”, e “g” të nenit 10, të ligjit, si dhe nga Agjencia, në përputhje me pikën 2, të nenit 10, të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Monitorimi i zbatimit të planit bëhet mbi bazën e planit të veprimeve dhe dokumentit të indikatorëve të monitorimit, të miratuar si pjesë përbërëse e dokumentit të planit, duke vlerësuar periodikisht programet buxhetore afatmesme dhe realizimin e investimeve të parashikuara.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Plani Kombëtar Sektorial zbatohet nëpërmjet planeve të detajuara për zonat e rëndësisë kombëtare, planeve sektoriale në nivel qarku, planeve të përgjithshme vendore dhe planeve sektoriale në nivel bashkie, si edhe projekteve pilot të investimeve kapitale /strategjike, sipas planit të veprimeve dhe rregullores së tij.</w:t>
      </w:r>
    </w:p>
    <w:p w:rsidR="00CB1030" w:rsidRPr="000C348D" w:rsidRDefault="00CB1030" w:rsidP="00F130F1">
      <w:pPr>
        <w:widowControl w:val="0"/>
        <w:spacing w:after="0" w:line="240" w:lineRule="auto"/>
        <w:rPr>
          <w:rFonts w:ascii="Garamond" w:eastAsia="MS Mincho" w:hAnsi="Garamond" w:cs="CG Times"/>
          <w:spacing w:val="-4"/>
          <w:sz w:val="2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SEKSIONI 5</w:t>
      </w: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PLANI I DETAJUAR PËR ZONËN ME RËNDËSI KOMBËTARE</w:t>
      </w:r>
    </w:p>
    <w:p w:rsidR="00CB1030" w:rsidRPr="000C348D" w:rsidRDefault="00CB1030">
      <w:pPr>
        <w:widowControl w:val="0"/>
        <w:spacing w:after="0" w:line="240" w:lineRule="auto"/>
        <w:jc w:val="center"/>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30</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Çështjet, zonat dhe objektet e rëndësisë kombëtare në planifikim</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Çështjet, zonat dhe objektet e rëndësisë kombëtare në planifikim janë subjekt i planifikimit kombëtar.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Çështjet, zonat dhe objektet e rëndësisë kombëtare karakterizohen nga vlera të veçanta kulturore, historike, ekonomike, sociale ose mjedisore të një apo disa strukturave, instalimeve, rrjeteve ose zonave, që synojnë drejtpërdrejt realizimin e interesave kombëtarë në pjesë të territorit, si: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monumentet e kulturës, qendrat historike, zonat e parqet arkeologjike;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pyjet e zonat e mbrojtura natyrore, monumentet natyrore, rrjetet ekologjike, ekosistemet e rrezikuara dhe biodiversiteti;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brezi bregdetar, brigjet dhe burimet ujore, lagunat, lumenjtë, liqenet;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toka bujqësore;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zonat me rrezik natyror;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dh) digat e dambat;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e) burimet minerare e natyrore dhe rrjetet, komplekset e parqet industriale;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ë) infrastruktura kombëtare e transportit;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f) infrastrukturat inxhinierike të energjisë dhe telekomunikacionit;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g) zonat që kanë përparësi zhvillimin e turizmit;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gj) zonat ushtarake;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h) zhvillime ose struktura arsimore, shëndetësore, sociale, kulturore e artistike, sportive, të cilat, për shkak të veçorive të tyre, janë të rëndësishme për kryerjen e veprimtarisë së institucioneve shtetërore, sikurse përcaktohet me ligj.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3. Çështjet, zonat dhe objektet e rëndësisë kombëtare përfshijnë ato të shpallura me vendim të Këshillit të Ministrave, si dhe </w:t>
      </w:r>
      <w:r w:rsidR="001B2F60" w:rsidRPr="000C348D">
        <w:rPr>
          <w:rFonts w:ascii="Garamond" w:hAnsi="Garamond" w:cs="Times New Roman"/>
          <w:sz w:val="24"/>
          <w:szCs w:val="24"/>
          <w:lang w:val="sq-AL"/>
        </w:rPr>
        <w:t>Këshillit Kombëtar të Territorit dhe Ujit</w:t>
      </w:r>
      <w:r w:rsidRPr="000C348D">
        <w:rPr>
          <w:rFonts w:ascii="Garamond" w:eastAsia="MS Mincho" w:hAnsi="Garamond" w:cs="CG Times"/>
          <w:spacing w:val="-4"/>
          <w:sz w:val="24"/>
          <w:lang w:val="sq-AL"/>
        </w:rPr>
        <w:t>, sipas legjislacionit sektorial në fuqi për mjedisin, kulturën, ekonominë, tur</w:t>
      </w:r>
      <w:r w:rsidR="001B2F60" w:rsidRPr="000C348D">
        <w:rPr>
          <w:rFonts w:ascii="Garamond" w:eastAsia="MS Mincho" w:hAnsi="Garamond" w:cs="CG Times"/>
          <w:spacing w:val="-4"/>
          <w:sz w:val="24"/>
          <w:lang w:val="sq-AL"/>
        </w:rPr>
        <w:t>izmin, infrastrukturën, planifi</w:t>
      </w:r>
      <w:r w:rsidRPr="000C348D">
        <w:rPr>
          <w:rFonts w:ascii="Garamond" w:eastAsia="MS Mincho" w:hAnsi="Garamond" w:cs="CG Times"/>
          <w:spacing w:val="-4"/>
          <w:sz w:val="24"/>
          <w:lang w:val="sq-AL"/>
        </w:rPr>
        <w:t>kimin/zhvillimin urban etj.</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31</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Përcaktimi i çështjes, zonës dhe objektit të rëndësisë kombëtare</w:t>
      </w:r>
    </w:p>
    <w:p w:rsidR="00CB1030" w:rsidRPr="000C348D" w:rsidRDefault="00CB1030">
      <w:pPr>
        <w:widowControl w:val="0"/>
        <w:spacing w:after="0" w:line="240" w:lineRule="auto"/>
        <w:jc w:val="center"/>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1. Agjencia, kryesisht ose me kërkesë të një ministrie apo të një organi tjetër qendror ose vendor, ndërmerr nismën dhe i propozon për miratim </w:t>
      </w:r>
      <w:r w:rsidR="001B2F60" w:rsidRPr="000C348D">
        <w:rPr>
          <w:rFonts w:ascii="Garamond" w:hAnsi="Garamond" w:cs="Times New Roman"/>
          <w:sz w:val="24"/>
          <w:szCs w:val="24"/>
          <w:lang w:val="sq-AL"/>
        </w:rPr>
        <w:t>KKTU</w:t>
      </w:r>
      <w:r w:rsidR="001B2F60"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-së përcaktimin e një çështjeje, zone ose objekti si të rëndësisë kombëtare në planifikim.</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Çështjet, zonat dhe objektet e rëndësisë kombëtare propozohen edhe gjatë procesit të hartimit të Planit të Përgjithshëm Kombëtar të Territorit dhe planeve kombëtare sektoriale.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3. </w:t>
      </w:r>
      <w:r w:rsidR="001B2F60" w:rsidRPr="000C348D">
        <w:rPr>
          <w:rFonts w:ascii="Garamond" w:hAnsi="Garamond" w:cs="Times New Roman"/>
          <w:sz w:val="24"/>
          <w:szCs w:val="24"/>
          <w:lang w:val="sq-AL"/>
        </w:rPr>
        <w:t>KKTU</w:t>
      </w:r>
      <w:r w:rsidR="001B2F60"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-ja miraton një çështje, zonë apo objekt si të rëndësisë kombëtare, si pjesë e Planit të Përgjithshëm Kombëtar të Territorit, planeve kombëtare sektoriale, ose përmes një procesi të veçantë me propozim të Agjencisë Kombëtare të Planifikimit të Territorit.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4. Kur miratimi sipas pikës 3, të këtij neni, kryhet përmes një procesi të veçantë, projektakti për </w:t>
      </w:r>
      <w:r w:rsidRPr="000C348D">
        <w:rPr>
          <w:rFonts w:ascii="Garamond" w:eastAsia="MS Mincho" w:hAnsi="Garamond" w:cs="CG Times"/>
          <w:spacing w:val="-4"/>
          <w:sz w:val="24"/>
          <w:lang w:val="sq-AL"/>
        </w:rPr>
        <w:lastRenderedPageBreak/>
        <w:t>miratimin e nismës përmban: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llojin dhe veçoritë e çështjes, të zonës ose objektit të rëndësisë kombëtare;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kufijtë apo vendndodhjen në territor, sipas rastit;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referencën në legjislacionin e posaçëm dhe/ose në dokumentet e planifikimit në fuqi ku mbështetet nevoja për përcaktimin e rëndësisë kombëtare;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objektivat që kërkohen të arrihen dhe arsyet e rrethanat ekonomike e teknike që e bëjnë të domosdoshëm këtë përcaktim;</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propozimin për pezullimin e zhvillimit, sipas ligjit, nëse është i nevojshëm;</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dh) përcaktimin e detyrimit për hartimin e Planit të Detajuar për Zonën e Rëndësisë Kombëtare, sipas rastit;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e) përcaktimin e autoritetit përgjegjës për hartimin e Planit të Detajuar për Zonën e Rëndësisë Kombëtare, sipas rastit.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5. Vendimi i </w:t>
      </w:r>
      <w:r w:rsidR="001B2F60" w:rsidRPr="000C348D">
        <w:rPr>
          <w:rFonts w:ascii="Garamond" w:hAnsi="Garamond" w:cs="Times New Roman"/>
          <w:sz w:val="24"/>
          <w:szCs w:val="24"/>
          <w:lang w:val="sq-AL"/>
        </w:rPr>
        <w:t>KKTU</w:t>
      </w:r>
      <w:r w:rsidR="001B2F60"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 xml:space="preserve">-së së bashku me dokume-ntacionin e plotë shoqërues botohen në regjistër dhe, në çdo rast, në faqen zyrtare të sekretariatit të </w:t>
      </w:r>
      <w:r w:rsidR="001B2F60" w:rsidRPr="000C348D">
        <w:rPr>
          <w:rFonts w:ascii="Garamond" w:hAnsi="Garamond" w:cs="Times New Roman"/>
          <w:sz w:val="24"/>
          <w:szCs w:val="24"/>
          <w:lang w:val="sq-AL"/>
        </w:rPr>
        <w:t>KKTU</w:t>
      </w:r>
      <w:r w:rsidR="001B2F60"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-së, brenda 10 (dhjetë) ditëve nga data e miratimit, në përputhje me pikën 4, të nenit 56, të ligjit.</w:t>
      </w:r>
      <w:r w:rsidR="001B2F60" w:rsidRPr="000C348D">
        <w:rPr>
          <w:rFonts w:ascii="Garamond" w:eastAsia="MS Mincho" w:hAnsi="Garamond" w:cs="CG Times"/>
          <w:spacing w:val="-4"/>
          <w:sz w:val="24"/>
          <w:lang w:val="sq-AL"/>
        </w:rPr>
        <w:t xml:space="preserve">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6. Kur në planet kombëtare apo në vendimin e </w:t>
      </w:r>
      <w:r w:rsidR="001B2F60" w:rsidRPr="000C348D">
        <w:rPr>
          <w:rFonts w:ascii="Garamond" w:hAnsi="Garamond" w:cs="Times New Roman"/>
          <w:sz w:val="24"/>
          <w:szCs w:val="24"/>
          <w:lang w:val="sq-AL"/>
        </w:rPr>
        <w:t>KKTU</w:t>
      </w:r>
      <w:r w:rsidR="001B2F60"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-së përcaktohet detyrimi për hartimin e Planit të Detajuar për Zonën e Rëndësisë Kombëtare, autoriteti përgjegjës për çështjen duhet të ndërmarrë hapat për hartimin e tij.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7. Struktura dhe forma, si dhe procesi për nismën, hartimin dhe miratimin e Planit të Detajuar për një Zonë të Rëndësisë Kombëtare përcaktohen në këtë rregullore, ndërsa zbatimi i PDZRK-së nëpërmjet instrumenteve të zhvillimit dhe lejeve të ndërtimit përcaktohen në rregulloren e zhvillimit sipas përcaktimeve të pikës 5, neni 18, të ligjit.</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32</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Zhvillimi i zonave të rëndësisë kombëtare në planifikim</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Zhvillimi i zonave të rëndësisë kombëtare në përputhje me kufizimet dhe kushtëzimet e legjislacionit sektorial kryhet nëpërmjet lejeve të ndërtimit, në territore me kushte zhvillimi të paracaktuara si rezultat i proceseve të planifikimit të territorit.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Kur zhvillimi propozohet në zona të paurbanizuara, territori përkatës, pjesë e zonës së rëndësisë kombëtare, duhet t’i nënshtrohet detyrimisht një planifikimi të detajuar e të posaçëm.</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Ky proces planifikimi kryhet nëpërmjet hartimit të Planit të Detajuar të Zonës me Rëndësi Kombëtare.</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33</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Objekti i PDZRK-së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Planet e detajuara për zonat me rëndësi kombëtare hartohen me qëllim mbrojtjen, ruajtjen dhe zhvillimin e qëndrueshëm të zonave të rëndësisë kombëtare.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Objekti i Planit të Detajuar për një Zonë të Rëndësisë Kombëtare është: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Zona dhe/ose çështja e rëndësisë kombëtare në planifikimin e territorit apo pjesë të saj, të paprekura nga zhvillimi, në të cilat propozohen ndërhyrje me prioritet zhvillimi brenda kufizimeve ligjore e sektoriale.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Investime të rëndësishme dhe strategjike që nxisin zhvillimin e territorit dhe kanë ndikim kombëtar.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Plani i Detajuar për një Zonë të Rëndësisë Kombëtare hartohet për vetë zonën të shpallur si të tillë apo për pjesë të saj.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Kufiri i territorit të PDZRK-së përcaktohet në bazë të: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Zonimit të planeve me karakter sektorial për zonën e rëndësisë kombëtare (trashëgimia kulturore, zonat e mbrojtura, zonat ekonomike etj.), sipas rastit.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Zonimit të parashikuar nga dokumentet e planifikimit, duke respektuar hierarkinë e tyre në lidhje me PDZRK-në: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lastRenderedPageBreak/>
        <w:t>i) Plani i Përgjithshëm Kombëtar i Territorit;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Plani Kombëtar Sektorial;</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iii) Plani i Përgjithshëm Vendor, i cili sipas rastit mund të bëhet kuadri referues në mungesë të zonimeve të mësipërme.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5. Plani i Detajuar për një Zonë të Rëndësisë Kombëtare, teksa hartohet e zbatohet duhet të ndjekë parimet e planifikimit si një proces pune në vazhdimësi.</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34</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Aktorët në hartimin e PDZRK-së</w:t>
      </w:r>
    </w:p>
    <w:p w:rsidR="00CB1030" w:rsidRPr="000C348D" w:rsidRDefault="00F130F1">
      <w:pPr>
        <w:widowControl w:val="0"/>
        <w:spacing w:after="0" w:line="240" w:lineRule="auto"/>
        <w:jc w:val="center"/>
        <w:rPr>
          <w:rFonts w:ascii="Garamond" w:eastAsia="MS Mincho" w:hAnsi="Garamond" w:cs="CG Times"/>
          <w:i/>
          <w:spacing w:val="-4"/>
          <w:sz w:val="24"/>
          <w:szCs w:val="24"/>
          <w:lang w:val="sq-AL"/>
        </w:rPr>
      </w:pPr>
      <w:r w:rsidRPr="000C348D">
        <w:rPr>
          <w:rFonts w:ascii="Garamond" w:eastAsia="MS Mincho" w:hAnsi="Garamond" w:cs="CG Times"/>
          <w:i/>
          <w:spacing w:val="-4"/>
          <w:sz w:val="24"/>
          <w:szCs w:val="24"/>
          <w:lang w:val="sq-AL"/>
        </w:rPr>
        <w:t>(Ndryshuar pika 3 dhe shtuar pika 3/1 me VKM nr. 718, datë 20.11.2024)</w:t>
      </w:r>
    </w:p>
    <w:p w:rsidR="00F130F1" w:rsidRPr="000C348D" w:rsidRDefault="00F130F1">
      <w:pPr>
        <w:widowControl w:val="0"/>
        <w:spacing w:after="0" w:line="240" w:lineRule="auto"/>
        <w:jc w:val="center"/>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PDZRK-ja hartohet me iniciativë të një autoriteti publik apo me kërkesë të çdo pale të interesuar.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Procesi i hartimit të PDZRK-së kërkon bashkërendimin e disa sektorëve dhe si i tillë duhet të koordinohet nga autoriteti përgjegjës për planifikimin e territorit në nivel qendror dhe Agjencia përgjegjëse për planifikimin e territorit.</w:t>
      </w:r>
    </w:p>
    <w:p w:rsidR="00F130F1" w:rsidRPr="000C348D" w:rsidRDefault="00EB70B8">
      <w:pPr>
        <w:widowControl w:val="0"/>
        <w:spacing w:after="0" w:line="240" w:lineRule="auto"/>
        <w:ind w:firstLine="284"/>
        <w:jc w:val="both"/>
        <w:rPr>
          <w:rFonts w:ascii="Garamond" w:hAnsi="Garamond" w:cs="Times New Roman"/>
          <w:sz w:val="24"/>
          <w:szCs w:val="24"/>
          <w:lang w:val="sq-AL"/>
        </w:rPr>
      </w:pPr>
      <w:r w:rsidRPr="000C348D">
        <w:rPr>
          <w:rFonts w:ascii="Garamond" w:eastAsia="MS Mincho" w:hAnsi="Garamond" w:cs="CG Times"/>
          <w:spacing w:val="-4"/>
          <w:sz w:val="24"/>
          <w:lang w:val="sq-AL"/>
        </w:rPr>
        <w:t xml:space="preserve">3. </w:t>
      </w:r>
      <w:r w:rsidR="00F130F1" w:rsidRPr="000C348D">
        <w:rPr>
          <w:rFonts w:ascii="Garamond" w:hAnsi="Garamond" w:cs="Times New Roman"/>
          <w:sz w:val="24"/>
          <w:szCs w:val="24"/>
          <w:lang w:val="sq-AL"/>
        </w:rPr>
        <w:t>Në rast se PDZRK-ja hartohet me nismë publike, koordinimi dhe hartimi realizohen nëpërmjet një grupi pune ndërinstitucional, bazuar në urdhrin e ministrit të linjës për zonën/çështjen e rëndësisë kombëtare ose bazuar në urdhrin e autoritetit përgjegjës për planifikimin e territorit në nivel qendror, në rastet e përfshirjes së disa sektorëve ose nga Agjencia Kombëtare e Planifikimit të Territorit me kërkesë të ministrisë së linjës për zonën/çështjen e rëndësisë kombëtare.</w:t>
      </w:r>
    </w:p>
    <w:p w:rsidR="00F130F1" w:rsidRPr="000C348D" w:rsidRDefault="00F130F1">
      <w:pPr>
        <w:widowControl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3.1 Në rast se PDZRK-ja hartohet me nismë private, koordinimi realizohet nga Agjencia Kombëtare e Planifikimit të Territorit pas njoftimit të ministrisë së linjës për zonën/çështjen e rëndësisë kombëtare.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Plani i Detajuar për një Zonë të Rëndësisë Kombëtare (PDZRK) hartohet nga grupe pune me specialistë të institucioneve publike, me ekspertë të licencuar të fushave të ndryshme, vendës apo edhe të huaj, të kontraktuar nga autoriteti publik iniciues apo subjekti privat, të udhëhequr në secilin rast nga ministri përgjegjës për zonën/çështjen e rëndësisë kombëtare ose autoriteti përgjegjës për planifikimin e territorit në nivel qendror në rastet e përfshirjes së disa sektorëve.</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35</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Hartimi, bashkërendimi dhe këshillimi i PDZRK-së</w:t>
      </w:r>
    </w:p>
    <w:p w:rsidR="004B78E3" w:rsidRPr="000C348D" w:rsidRDefault="002B3A24" w:rsidP="004B78E3">
      <w:pPr>
        <w:widowControl w:val="0"/>
        <w:spacing w:after="0" w:line="240" w:lineRule="auto"/>
        <w:jc w:val="center"/>
        <w:rPr>
          <w:rFonts w:ascii="Garamond" w:eastAsia="MS Mincho" w:hAnsi="Garamond" w:cs="CG Times"/>
          <w:i/>
          <w:spacing w:val="-4"/>
          <w:sz w:val="24"/>
          <w:szCs w:val="24"/>
          <w:lang w:val="sq-AL"/>
        </w:rPr>
      </w:pPr>
      <w:r w:rsidRPr="000C348D">
        <w:rPr>
          <w:rFonts w:ascii="Garamond" w:eastAsia="MS Mincho" w:hAnsi="Garamond" w:cs="CG Times"/>
          <w:i/>
          <w:spacing w:val="-4"/>
          <w:sz w:val="24"/>
          <w:szCs w:val="24"/>
          <w:lang w:val="sq-AL"/>
        </w:rPr>
        <w:t xml:space="preserve">(Ndryshuar pika 1 dhe togfjalësh në pikën 5, shtuar pika 1/1 dhe togfjalësh në pikën 3 </w:t>
      </w:r>
      <w:r w:rsidR="004B78E3" w:rsidRPr="000C348D">
        <w:rPr>
          <w:rFonts w:ascii="Garamond" w:eastAsia="MS Mincho" w:hAnsi="Garamond" w:cs="CG Times"/>
          <w:i/>
          <w:spacing w:val="-4"/>
          <w:sz w:val="24"/>
          <w:szCs w:val="24"/>
          <w:lang w:val="sq-AL"/>
        </w:rPr>
        <w:t>me VKM nr. 718, datë 20.11.2024)</w:t>
      </w:r>
    </w:p>
    <w:p w:rsidR="00A43BEB" w:rsidRPr="000C348D" w:rsidRDefault="00A43BEB" w:rsidP="00A43BEB">
      <w:pPr>
        <w:widowControl w:val="0"/>
        <w:spacing w:after="0" w:line="240" w:lineRule="auto"/>
        <w:jc w:val="both"/>
        <w:rPr>
          <w:rFonts w:ascii="Garamond" w:eastAsia="MS Mincho" w:hAnsi="Garamond" w:cs="CG Times"/>
          <w:spacing w:val="-4"/>
          <w:sz w:val="14"/>
          <w:lang w:val="sq-AL"/>
        </w:rPr>
      </w:pPr>
    </w:p>
    <w:p w:rsidR="00CB1030" w:rsidRPr="000C348D" w:rsidRDefault="009F54E7" w:rsidP="009F54E7">
      <w:pPr>
        <w:widowControl w:val="0"/>
        <w:spacing w:after="0" w:line="240" w:lineRule="auto"/>
        <w:rPr>
          <w:rFonts w:ascii="Garamond" w:eastAsia="MS Mincho" w:hAnsi="Garamond" w:cs="CG Times"/>
          <w:spacing w:val="-4"/>
          <w:sz w:val="24"/>
          <w:lang w:val="sq-AL"/>
        </w:rPr>
      </w:pPr>
      <w:r w:rsidRPr="000C348D">
        <w:rPr>
          <w:rFonts w:ascii="Garamond" w:hAnsi="Garamond"/>
          <w:sz w:val="24"/>
          <w:szCs w:val="24"/>
          <w:lang w:val="sq-AL"/>
        </w:rPr>
        <w:t xml:space="preserve">      1. </w:t>
      </w:r>
      <w:r w:rsidR="004B78E3" w:rsidRPr="000C348D">
        <w:rPr>
          <w:rFonts w:ascii="Garamond" w:hAnsi="Garamond"/>
          <w:sz w:val="24"/>
          <w:szCs w:val="24"/>
          <w:lang w:val="sq-AL"/>
        </w:rPr>
        <w:t>Hartimi i PDZRK-së nis pas njoftimit të dokumentit të nismës së hartuar nga Agjencia Kombëtare e Planifikimit të Territorit te ministri përgjegjës</w:t>
      </w:r>
      <w:r w:rsidRPr="000C348D">
        <w:rPr>
          <w:rFonts w:ascii="Garamond" w:hAnsi="Garamond"/>
          <w:sz w:val="24"/>
          <w:szCs w:val="24"/>
          <w:lang w:val="sq-AL"/>
        </w:rPr>
        <w:t xml:space="preserve"> për çështjen/zonën e rëndësisë </w:t>
      </w:r>
      <w:r w:rsidR="004B78E3" w:rsidRPr="000C348D">
        <w:rPr>
          <w:rFonts w:ascii="Garamond" w:hAnsi="Garamond"/>
          <w:sz w:val="24"/>
          <w:szCs w:val="24"/>
          <w:lang w:val="sq-AL"/>
        </w:rPr>
        <w:t>kombëtare dhe botimit të dokumentit në regjistër</w:t>
      </w:r>
      <w:r w:rsidR="00EB70B8" w:rsidRPr="000C348D">
        <w:rPr>
          <w:rFonts w:ascii="Garamond" w:eastAsia="MS Mincho" w:hAnsi="Garamond" w:cs="CG Times"/>
          <w:spacing w:val="-4"/>
          <w:sz w:val="24"/>
          <w:lang w:val="sq-AL"/>
        </w:rPr>
        <w:t>.</w:t>
      </w:r>
    </w:p>
    <w:p w:rsidR="00A43BEB" w:rsidRPr="000C348D" w:rsidRDefault="009F54E7" w:rsidP="00A43BEB">
      <w:pPr>
        <w:widowControl w:val="0"/>
        <w:spacing w:after="0" w:line="240" w:lineRule="auto"/>
        <w:rPr>
          <w:rFonts w:ascii="Garamond" w:eastAsia="MS Mincho" w:hAnsi="Garamond" w:cs="CG Times"/>
          <w:spacing w:val="-4"/>
          <w:sz w:val="24"/>
          <w:lang w:val="sq-AL"/>
        </w:rPr>
      </w:pPr>
      <w:r w:rsidRPr="000C348D">
        <w:rPr>
          <w:rFonts w:ascii="Garamond" w:hAnsi="Garamond" w:cs="Times New Roman"/>
          <w:sz w:val="24"/>
          <w:szCs w:val="24"/>
          <w:lang w:val="sq-AL"/>
        </w:rPr>
        <w:t xml:space="preserve">     </w:t>
      </w:r>
      <w:r w:rsidR="00A43BEB" w:rsidRPr="000C348D">
        <w:rPr>
          <w:rFonts w:ascii="Garamond" w:hAnsi="Garamond" w:cs="Times New Roman"/>
          <w:sz w:val="24"/>
          <w:szCs w:val="24"/>
          <w:lang w:val="sq-AL"/>
        </w:rPr>
        <w:t>1.1. Plani i Detajuar për një Zonë të Rëndësisë Kombëtare (PDZRK), i iniciuar me nismë private, hartohet nga projektuesi i licencuar, i cili është i kontraktuar nga subjekti privat.</w:t>
      </w:r>
    </w:p>
    <w:p w:rsidR="00CB1030" w:rsidRPr="000C348D" w:rsidRDefault="00EB70B8" w:rsidP="00A43BEB">
      <w:pPr>
        <w:widowControl w:val="0"/>
        <w:spacing w:after="0" w:line="240" w:lineRule="auto"/>
        <w:ind w:firstLine="284"/>
        <w:rPr>
          <w:rFonts w:ascii="Garamond" w:eastAsia="MS Mincho" w:hAnsi="Garamond" w:cs="CG Times"/>
          <w:spacing w:val="-4"/>
          <w:sz w:val="24"/>
          <w:lang w:val="sq-AL"/>
        </w:rPr>
      </w:pPr>
      <w:r w:rsidRPr="000C348D">
        <w:rPr>
          <w:rFonts w:ascii="Garamond" w:eastAsia="MS Mincho" w:hAnsi="Garamond" w:cs="CG Times"/>
          <w:spacing w:val="-4"/>
          <w:sz w:val="24"/>
          <w:lang w:val="sq-AL"/>
        </w:rPr>
        <w:t>2. Plani i Detajuar për një Zonë të Rëndësisë Kombëtare (PDZRK) mund të hartohet në 1-3 faza, të paracaktuara në dokumentin e nismës.</w:t>
      </w:r>
    </w:p>
    <w:p w:rsidR="00CB1030" w:rsidRPr="000C348D" w:rsidRDefault="00EB70B8" w:rsidP="00A43BEB">
      <w:pPr>
        <w:widowControl w:val="0"/>
        <w:spacing w:after="0" w:line="240" w:lineRule="auto"/>
        <w:ind w:firstLine="284"/>
        <w:rPr>
          <w:rFonts w:ascii="Garamond" w:eastAsia="MS Mincho" w:hAnsi="Garamond" w:cs="CG Times"/>
          <w:spacing w:val="-4"/>
          <w:sz w:val="24"/>
          <w:lang w:val="sq-AL"/>
        </w:rPr>
      </w:pPr>
      <w:r w:rsidRPr="000C348D">
        <w:rPr>
          <w:rFonts w:ascii="Garamond" w:eastAsia="MS Mincho" w:hAnsi="Garamond" w:cs="CG Times"/>
          <w:spacing w:val="-4"/>
          <w:sz w:val="24"/>
          <w:lang w:val="sq-AL"/>
        </w:rPr>
        <w:t>3. Në përfundim të secilës fazë, autoriteti përgjegjës</w:t>
      </w:r>
      <w:r w:rsidR="009F54E7" w:rsidRPr="000C348D">
        <w:rPr>
          <w:rFonts w:ascii="Garamond" w:hAnsi="Garamond" w:cs="Times New Roman"/>
          <w:sz w:val="24"/>
          <w:szCs w:val="24"/>
          <w:lang w:val="sq-AL"/>
        </w:rPr>
        <w:t>/projektuesi i licencuar</w:t>
      </w:r>
      <w:r w:rsidRPr="000C348D">
        <w:rPr>
          <w:rFonts w:ascii="Garamond" w:eastAsia="MS Mincho" w:hAnsi="Garamond" w:cs="CG Times"/>
          <w:spacing w:val="-4"/>
          <w:sz w:val="24"/>
          <w:lang w:val="sq-AL"/>
        </w:rPr>
        <w:t xml:space="preserve"> për hartimin e PDZRK-së boton materialin e përgatitur në Regjistrin Kombëtar të Planifikimit të Territorit, për të cilin Agjencia duhet të kryejë një vlerësim teknik dhe të japë konfirmimin për kalimin në fazën pasardhëse.</w:t>
      </w:r>
    </w:p>
    <w:p w:rsidR="00CB1030" w:rsidRPr="000C348D" w:rsidRDefault="00EB70B8" w:rsidP="00A43BEB">
      <w:pPr>
        <w:widowControl w:val="0"/>
        <w:spacing w:after="0" w:line="240" w:lineRule="auto"/>
        <w:ind w:firstLine="284"/>
        <w:rPr>
          <w:rFonts w:ascii="Garamond" w:eastAsia="MS Mincho" w:hAnsi="Garamond" w:cs="CG Times"/>
          <w:spacing w:val="-4"/>
          <w:sz w:val="24"/>
          <w:lang w:val="sq-AL"/>
        </w:rPr>
      </w:pPr>
      <w:r w:rsidRPr="000C348D">
        <w:rPr>
          <w:rFonts w:ascii="Garamond" w:eastAsia="MS Mincho" w:hAnsi="Garamond" w:cs="CG Times"/>
          <w:spacing w:val="-4"/>
          <w:sz w:val="24"/>
          <w:lang w:val="sq-AL"/>
        </w:rPr>
        <w:t>4. PDZRK-ja hartohet në zbatim të parimeve kombëtare të planifikimit dhe të zhvillimit dhe në funksion të zhvillimit të qëndrueshëm të territorit, si dhe në zbatim të planeve sipas hierarkisë së planifikimit, të gjithë legjislacionit dhe rregulloreve në fuqi.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5. Dokumentet e PDZRK-së për secilën fazë këshillohen dhe bashkërendohen me të gjitha institucionet në nivel qendror e vendor, të cilat preken nga zhvillimi i territorit të zonës së rëndësisë kombëtare ose pjesë të saj, nëpërmjet </w:t>
      </w:r>
      <w:r w:rsidR="009F54E7" w:rsidRPr="000C348D">
        <w:rPr>
          <w:rFonts w:ascii="Garamond" w:hAnsi="Garamond" w:cs="Times New Roman"/>
          <w:sz w:val="24"/>
          <w:szCs w:val="24"/>
          <w:lang w:val="sq-AL"/>
        </w:rPr>
        <w:t xml:space="preserve">sistemit </w:t>
      </w:r>
      <w:r w:rsidR="009F54E7" w:rsidRPr="000C348D">
        <w:rPr>
          <w:rFonts w:ascii="Garamond" w:hAnsi="Garamond" w:cs="Times New Roman"/>
          <w:i/>
          <w:iCs/>
          <w:sz w:val="24"/>
          <w:szCs w:val="24"/>
          <w:lang w:val="sq-AL"/>
        </w:rPr>
        <w:t>e-Planifikimi</w:t>
      </w:r>
      <w:r w:rsidR="009F54E7" w:rsidRPr="000C348D">
        <w:rPr>
          <w:rFonts w:ascii="Garamond" w:hAnsi="Garamond" w:cs="Times New Roman"/>
          <w:sz w:val="24"/>
          <w:szCs w:val="24"/>
          <w:lang w:val="sq-AL"/>
        </w:rPr>
        <w:t xml:space="preserve"> ose mjeteve tradicionale të informimit</w:t>
      </w:r>
      <w:r w:rsidRPr="000C348D">
        <w:rPr>
          <w:rFonts w:ascii="Garamond" w:eastAsia="MS Mincho" w:hAnsi="Garamond" w:cs="CG Times"/>
          <w:spacing w:val="-4"/>
          <w:sz w:val="24"/>
          <w:lang w:val="sq-AL"/>
        </w:rPr>
        <w: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6. Bashkërendimi i PDZRK-së kryhet nëpërmjet Forumit të Bashkërendimit të Planifikimit në nivel qendror (FBPQ), sipas përcaktimeve të neneve 5 dhe 7 të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lastRenderedPageBreak/>
        <w:t>7. Këshillimi i PDZRK-së kryhet përmes botimit të dokumentit në regjistër, informimit të palëve të interesuara nëpërmjet një a më shumë mjeteve tradicionale të informimit dhe organizimit të takimeve publike me to, në rast se kërkohet.</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36</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Nisma për hartimin e PDZRK-së</w:t>
      </w:r>
    </w:p>
    <w:p w:rsidR="00BD2D83" w:rsidRPr="000C348D" w:rsidRDefault="003A110E" w:rsidP="00BD2D83">
      <w:pPr>
        <w:widowControl w:val="0"/>
        <w:spacing w:after="0" w:line="240" w:lineRule="auto"/>
        <w:jc w:val="center"/>
        <w:rPr>
          <w:rFonts w:ascii="Garamond" w:eastAsia="MS Mincho" w:hAnsi="Garamond" w:cs="CG Times"/>
          <w:i/>
          <w:spacing w:val="-4"/>
          <w:sz w:val="24"/>
          <w:szCs w:val="24"/>
          <w:lang w:val="sq-AL"/>
        </w:rPr>
      </w:pPr>
      <w:r w:rsidRPr="000C348D">
        <w:rPr>
          <w:rFonts w:ascii="Garamond" w:eastAsia="MS Mincho" w:hAnsi="Garamond" w:cs="CG Times"/>
          <w:i/>
          <w:spacing w:val="-4"/>
          <w:sz w:val="24"/>
          <w:szCs w:val="24"/>
          <w:lang w:val="sq-AL"/>
        </w:rPr>
        <w:t xml:space="preserve">(Ndryshuar shkronja ‘’a’’ e pikës 1 dhe pika 4, shtuar fjali në pikën 2 , shfuqizuar </w:t>
      </w:r>
      <w:r w:rsidR="001451D4" w:rsidRPr="000C348D">
        <w:rPr>
          <w:rFonts w:ascii="Garamond" w:eastAsia="MS Mincho" w:hAnsi="Garamond" w:cs="CG Times"/>
          <w:i/>
          <w:spacing w:val="-4"/>
          <w:sz w:val="24"/>
          <w:szCs w:val="24"/>
          <w:lang w:val="sq-AL"/>
        </w:rPr>
        <w:t xml:space="preserve">shkronja ‘’b’’ e pikës 1, pikat 5 dhe 6 </w:t>
      </w:r>
      <w:r w:rsidR="00BD2D83" w:rsidRPr="000C348D">
        <w:rPr>
          <w:rFonts w:ascii="Garamond" w:eastAsia="MS Mincho" w:hAnsi="Garamond" w:cs="CG Times"/>
          <w:i/>
          <w:spacing w:val="-4"/>
          <w:sz w:val="24"/>
          <w:szCs w:val="24"/>
          <w:lang w:val="sq-AL"/>
        </w:rPr>
        <w:t xml:space="preserve">me VKM nr. 718, datë 20.11.2024) </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Procesit të punës për PDZRK-në i paraprin ndërmarrja e nismës për hartimin e tij.</w:t>
      </w:r>
    </w:p>
    <w:p w:rsidR="00BD2D83" w:rsidRPr="000C348D" w:rsidRDefault="00EB70B8">
      <w:pPr>
        <w:widowControl w:val="0"/>
        <w:spacing w:after="0" w:line="240" w:lineRule="auto"/>
        <w:ind w:firstLine="284"/>
        <w:jc w:val="both"/>
        <w:rPr>
          <w:rFonts w:ascii="Garamond" w:hAnsi="Garamond" w:cs="Times New Roman"/>
          <w:sz w:val="24"/>
          <w:szCs w:val="24"/>
          <w:lang w:val="sq-AL"/>
        </w:rPr>
      </w:pPr>
      <w:r w:rsidRPr="000C348D">
        <w:rPr>
          <w:rFonts w:ascii="Garamond" w:eastAsia="MS Mincho" w:hAnsi="Garamond" w:cs="CG Times"/>
          <w:spacing w:val="-4"/>
          <w:sz w:val="24"/>
          <w:lang w:val="sq-AL"/>
        </w:rPr>
        <w:t xml:space="preserve">a) </w:t>
      </w:r>
      <w:r w:rsidR="00BD2D83" w:rsidRPr="000C348D">
        <w:rPr>
          <w:rFonts w:ascii="Garamond" w:hAnsi="Garamond" w:cs="Times New Roman"/>
          <w:sz w:val="24"/>
          <w:szCs w:val="24"/>
          <w:lang w:val="sq-AL"/>
        </w:rPr>
        <w:t>Autoriteti përgjegjës për ndërmarrjen e nismës, sipas pikës 2, të nenit 18, të ligjit, është ministri përgjegjës për zonën/çështjen përkatëse të rëndësisë kombëtare ose autoriteti përgjegjës për planifikimin e territorit në nivel qendror, në rastet e përfshirjes së disa sektorëve, Agjencia Kombëtare e Planifikimit të Territorit pas kërkesës së ministrisë ose palët e interesuara që kanë në pronësi jo më pak se 51% të sipërfaqes së territorit të PDZRK-së, në rastet kur hartimi i PDZRK-së kërkohet në Planin e Përgjithshëm Vendor.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b) </w:t>
      </w:r>
      <w:r w:rsidR="00BD2D83" w:rsidRPr="000C348D">
        <w:rPr>
          <w:rFonts w:ascii="Garamond" w:eastAsia="MS Mincho" w:hAnsi="Garamond" w:cs="CG Times"/>
          <w:spacing w:val="-4"/>
          <w:sz w:val="24"/>
          <w:lang w:val="sq-AL"/>
        </w:rPr>
        <w:t>Shfuqizuar.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Dokumenti i nismës hartohet nga Agjencia Kombëtare e Planifikimit të Territorit, në bashkëpunim me ministrinë përgjegjëse për zonën e rëndësisë kombëtare dhe aktorët iniciues.</w:t>
      </w:r>
      <w:r w:rsidR="00BD2D83" w:rsidRPr="000C348D">
        <w:rPr>
          <w:rFonts w:ascii="Garamond" w:hAnsi="Garamond" w:cs="Times New Roman"/>
          <w:sz w:val="24"/>
          <w:szCs w:val="24"/>
          <w:lang w:val="sq-AL"/>
        </w:rPr>
        <w:t xml:space="preserve"> Në rast se PDZRK-ja hartohet me nismë private, dokumenti hartohet nga subjekti i licencuar dhe i autorizuar nga palët e interesuara që kanë në pronësi jo më pak se 51% të sipërfaqes së territorit të PDZRK-së dhe që duhet të plotësojë deklaratën e përgjegjësisë profesionale.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Dokumenti i nismës për hartimin e PDZRK-së përcakton detyrat specifike të hartimit të PDZRK-së dhe përmban: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kufijtë territorialë të PDZRK-së;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qëllimin dhe nevojën për hartimin e PDZRK-së;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kufizimet dhe lejimet e paracaktuara nga planet dhe vendimet në fuqi;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fazën/fazat e hartimit të PDZRK-së;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dokumentet përbërëse të PDZRK-së, sipas fazave;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dh) ekspertët (fushat e ekspertizës) që do të përbëjnë grupin e punës që do të hartojnë PDZRK-në;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e) planin e veprimeve për hartimin, bashkërendimin dhe këshillimin e dokumenteve të PDZRK-së;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ë) buxhetin për hartimin e PDZRK-së;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f) sipas rastit, vendimin për pezullimin e zhvillimit për të gjithë ose një pjesë të territorit, sipas nenit 33, të ligjit, të shoqëruar me hartën përkatëse.</w:t>
      </w:r>
    </w:p>
    <w:p w:rsidR="00BD2D83" w:rsidRPr="000C348D" w:rsidRDefault="00BD2D83" w:rsidP="00BD2D83">
      <w:pPr>
        <w:widowControl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4. Dokumenti i nismës i njoftohet ministrit përgjegjës për zonën/çështjen përkatëse të rëndësisë kombëtare dhe KKTU-së. Dokumenti duhet të bëhet publik dhe të botohet në regjistër dhe në faqen zyrtare nga autoriteti përgjegjës.</w:t>
      </w:r>
    </w:p>
    <w:p w:rsidR="00CB1030" w:rsidRPr="000C348D" w:rsidRDefault="00EB70B8" w:rsidP="00BD2D83">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5. </w:t>
      </w:r>
      <w:r w:rsidR="00BD2D83" w:rsidRPr="000C348D">
        <w:rPr>
          <w:rFonts w:ascii="Garamond" w:eastAsia="MS Mincho" w:hAnsi="Garamond" w:cs="CG Times"/>
          <w:spacing w:val="-4"/>
          <w:sz w:val="24"/>
          <w:lang w:val="sq-AL"/>
        </w:rPr>
        <w:t>Shfuqizuar.</w:t>
      </w:r>
    </w:p>
    <w:p w:rsidR="00BD2D83" w:rsidRPr="000C348D" w:rsidRDefault="00EB70B8" w:rsidP="00BD2D83">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6. </w:t>
      </w:r>
      <w:r w:rsidR="00BD2D83" w:rsidRPr="000C348D">
        <w:rPr>
          <w:rFonts w:ascii="Garamond" w:eastAsia="MS Mincho" w:hAnsi="Garamond" w:cs="CG Times"/>
          <w:spacing w:val="-4"/>
          <w:sz w:val="24"/>
          <w:lang w:val="sq-AL"/>
        </w:rPr>
        <w:t>Shfuqizuar.</w:t>
      </w:r>
      <w:r w:rsidR="003A110E" w:rsidRPr="000C348D">
        <w:rPr>
          <w:rFonts w:ascii="Garamond" w:eastAsia="MS Mincho" w:hAnsi="Garamond" w:cs="CG Times"/>
          <w:spacing w:val="-4"/>
          <w:sz w:val="24"/>
          <w:lang w:val="sq-AL"/>
        </w:rPr>
        <w:t xml:space="preserve"> </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37</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Fazat e hartimit të PDZRK-së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Dokumenti i Planit të Detajuar për një Zonë të Rëndësisë Kombëtare (PDZRK) bazohet në dokumentet kombëtare të planifikimit dhe legjislacionin në fuqi.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Dokumenti i PDZRK-së hartohet sipas fazave të mëposhtme: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a) Faza I, ku përfshihen: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Analiza territoriale;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Strategjia territoriale.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Faza II, ku përfshihen: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Plani i zhvillimit;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Rregullorja paraprake e planit;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lastRenderedPageBreak/>
        <w:t>iii) Vlerësimi strategjik Mjedisor.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Faza III, ku përfshihen: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Plani i detajuar i zhvillimit;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Rregullorja e detajuar e planit.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Në varësi të PDZRK-së, fazat I dhe II mund të tejkalohen, në rastet kur përmbajtja e tyre është e plotësuar nga dokumente të mbivendosura planifikimi në fuqi, si Plane Kombëtare Sektoriale apo Plane të Përgjithshme Vendore.</w:t>
      </w:r>
    </w:p>
    <w:p w:rsidR="00CB1030" w:rsidRPr="000C348D" w:rsidRDefault="00CB1030" w:rsidP="0070794D">
      <w:pPr>
        <w:widowControl w:val="0"/>
        <w:spacing w:after="0" w:line="240" w:lineRule="auto"/>
        <w:rPr>
          <w:rFonts w:ascii="Garamond" w:eastAsia="MS Mincho" w:hAnsi="Garamond" w:cs="CG Times"/>
          <w:spacing w:val="-4"/>
          <w:sz w:val="2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38</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Përmbajtja e PDZRK-së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Përmbajtja e dokumenteve të PDZRK-së për secilën fazë është, së paku, si më poshtë vijon: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Faza 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Analiza territoriale, ku jepen:</w:t>
      </w:r>
    </w:p>
    <w:p w:rsidR="00CB1030" w:rsidRPr="000C348D" w:rsidRDefault="00EB70B8" w:rsidP="00C66553">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analiza e dokumenteve dhe legjislacionit për territorin e njësisë vendore;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analiza e përgjithshme e territorit: pozicionimi në zonën e rëndësisë kombëtare, kushtet e veçanta gjeografike dhe mjedisore, boniteti i tokave, burimet natyrore, zonat e mbrojtura natyrore dhe ato të trashëgimisë kulturore e historike, analiza mjedisore;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iii) analiza e kushtëzimeve specifike sektoriale dhe e elementeve përjashtuese të zhvillimit;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iv) analiza e gjendjes ekzistuese të përdorimit të tokës dhe infrastrukturave;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 analiza e marrëdhënieve të pronësisë mbi tokën.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Strategjia territoriale, ku jepen: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parashikimet e detyrueshme që rrjedhin nga PPKT-ja dhe sipas rastit PKS-ja në fuqi apo proces hartimi, të cilat ndikojnë në territor;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përmbledhja e gjetjeve të vlerësimit të gjendjes ekzistuese të territorit dhe identifikimi i çështjeve për t’u zgjidhur nga strategjia;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iii) vizioni i zhvillimit të zonës dhe drejtimet për zhvillimin e saj;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iv) objektivat strategjikë për zhvillimin e zonës;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 programet dhe projektet e zhvillimit;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vi) plani i veprimeve për realizimin e programeve e të projekteve, përfshirë prioritetin dhe fazat kohore të realizimit, burimet njerëzore dhe financiare, ndryshimet e nevojshme institucionale dhe ligjore,  treguesit monitorues të zbatimit;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vii) sistemet territoriale ekzistuese shoqëruar me tabelat dhe treguesit përkatës, ku evidentohen ndryshimet e nevojshme mes sistemeve që rrjedhin nga zbatimi i strategjisë.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Hartat shoqëruese për secilën nga pikat e mësipërme.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Faza II: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Plani i zhvillimit, ku përfshihen: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plani i përdorimit e tokës: strukturimi dhe zonimi i territorit sipas përcaktimeve të kreut III të kësaj rregulloreje, në përputhje me kushtëzimet e zonës së rëndësisë kombëtare dhe ato sektoriale; shpërndarjen e popullsisë në territor (kapaciteti mbajtës); përcaktimet për instrumentet për drejtimin e zhvillimit sipas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plani i infrastrukturave dhe shërbimeve publike: rrjetet e infrastrukturave të transportit (rrjeti rrugor e, sipas rastit, ai hekurudhor, ujor, ajror) dhe atyre inxhinierike (energjetike, telekomunikacioni, administrim uji e mbetjesh); përcaktimet për shërbimet publike të nevojshme;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iii) plani i mbrojtjes së mjedisit: peizazhit, hapësirave të gjelbra, cilësisë së mjedisit e zgjidhja e problematikave mjedisore sipas rastit;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iv) plani i veprimeve për zbatimin e tij: përcaktimi për zbatimin e zhvillimit të njësive strukturore, infrastrukturave publike e projekteve, sipas prioritetit e fazave kohore, shoqëruar me indikatorët e monitorimit.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Rregullorja paraprake e planit, ku jepen: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përkufizimet e termave të përdorur dhe shpjegimi i kodeve;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lastRenderedPageBreak/>
        <w:t>ii) rregullat e përgjithshme të përdorimit të tokës për kategoritë, nënkategoritë e përdorimit të tokës si dhe, sipas rastit, për përdorimet specifike, me shpjegimet përkatëse, sipas shtojcës II të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iii) rregullat për çdo njësi: kushtet e zhvillimit, përdorimet e lejuara, të kushtëzuara dhe të ndaluara; normat, treguesit dhe standardet e zbatueshme të planifikimit, sipas shtojcës II të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iv) të drejtat dhe kufizimet ligjore, publike apo private, që rrjedhin nga përdorimi i kushteve të zhvillimit;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 instrumentet që mund të përdoren për të drejtuar zhvillimin sipas ligjit, përfshirë të drejtat dhe kufizimet ligjore që rrjedhin prej tyre;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vi) rregullat për infrastrukturën: përcaktimi dhe përshkrimi i kategorive të rrjetit rrugor, në përputhje me legjislacionin e posaçëm, kushtet teknike dhe përmasat, përcaktimet për infrastrukturat inxhinierike;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vii) përcaktimi i vijës së ndërtimit (vija e kuqe);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viii) rregullat e ruajtjes së mjedisit, peizazhit, burimeve natyrore, zonave dhe objekteve të trashëgimisë kulturore: përcaktimi i vijës mbrojtëse përgjatë elementeve ujore (vija blu); normat dhe standardet për zhvillimet, që kanë ndikim në mjedis, shëndet, peizazh sipas legjislacionit të posaçëm në fuqi; normat, standardet dhe rregullat për zonat dhe objektet e trashëgimisë kulturore dhe historike;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ix) rregulla arkitektonike dhe estetike.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Vlerësimi Strategjik Mjedisor, sipas legjislacionit në fuqi.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Hartat shoqëruese për secilën nga pikat e mësipërme.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Faza III: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Plani i detajuar i zhvillimit, ku përfshihen: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ndarja e njësisë në nënnjësi strukturore, pas riorganizimit të parcelave përmes ndarjes dhe/ose bashkimit;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përcaktimet për përdorimin e tokës për çdo nënnjësi në nënkategori dhe funksione sipas shtojcave I dhe II të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iii) përcaktimet e infrastrukturave teknike;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iv) përcaktimet e kushteve të zhvillimit për çdo nënnjësi sipas shtojcës II të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 përcaktimet për zonat/objektet e mbrojtura kulturore, bazuar në legjislacionin përkatës në fuqi, sipas rastit;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vi) programet e përdorimit të instrumenteve të drejtimit të zhvillimit, bazuar në nenet 30-36 të ligjit, sipas rastit;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vii) plani i veprimit për zbatimin e planit të detajuar - ndërtimi i infrastrukturave dhe shërbimeve publike.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Rregullorja e detajuar e planit, ku jepen: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përkufizimet e termave të përdorur;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shpjegimi i kodeve të përdorura;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iii) rregullat, të dhënat dhe kushtet e zhvillimit për çdo nënnjësi, sipas shtojcës II të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iv) rregulla për ndarjen dhe bashkimin e parcelave;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 rregulla për zbatimin e instrumenteve për drejtimin e zhvillimit sipas neneve 30-36 të ligjit, sipas rastit;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vi) kushtet dhe rregullat teknike për zbatimin e infrastrukturave;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vii) rregullat për distancat, përcaktimi i vijës së kuqe dhe, sipas rastit, vijës blu;</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viii) rregullat e mbrojtjes së mjedisit dhe peizazhit;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ix) rregullat e ruajtjes së zonave, objekteve të trashëgimisë kulturore, sipas rastit;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x) rregullat arkitektonike;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xi) rregullat për përshtatjen e hapësirave për personat me aftësi të kufizuara.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Hartat shoqëruese për secilën nga pikat e mësipërme.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Pjesë përbërëse e dokumentit të PDZRK-së në çdo fazë është paketa e informacionit gjeohapësinor të integruar në platformën GIS, në përputhje me standardin e Regjistrit Kombëtar të Planifikimit të Territorit.</w:t>
      </w:r>
    </w:p>
    <w:p w:rsidR="00CB1030" w:rsidRPr="000C348D" w:rsidRDefault="00CB1030" w:rsidP="00C66553">
      <w:pPr>
        <w:widowControl w:val="0"/>
        <w:spacing w:after="0" w:line="240" w:lineRule="auto"/>
        <w:rPr>
          <w:rFonts w:ascii="Garamond" w:eastAsia="MS Mincho" w:hAnsi="Garamond" w:cs="CG Times"/>
          <w:spacing w:val="-4"/>
          <w:sz w:val="2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lastRenderedPageBreak/>
        <w:t>Neni 39</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Miratimi i PDZRK-së</w:t>
      </w:r>
    </w:p>
    <w:p w:rsidR="00C66553" w:rsidRPr="000C348D" w:rsidRDefault="00C66553" w:rsidP="00C66553">
      <w:pPr>
        <w:widowControl w:val="0"/>
        <w:spacing w:after="0" w:line="240" w:lineRule="auto"/>
        <w:jc w:val="center"/>
        <w:rPr>
          <w:rFonts w:ascii="Garamond" w:eastAsia="MS Mincho" w:hAnsi="Garamond" w:cs="CG Times"/>
          <w:i/>
          <w:spacing w:val="-4"/>
          <w:sz w:val="24"/>
          <w:szCs w:val="24"/>
          <w:lang w:val="sq-AL"/>
        </w:rPr>
      </w:pPr>
      <w:r w:rsidRPr="000C348D">
        <w:rPr>
          <w:rFonts w:ascii="Garamond" w:eastAsia="MS Mincho" w:hAnsi="Garamond" w:cs="CG Times"/>
          <w:i/>
          <w:spacing w:val="-4"/>
          <w:sz w:val="24"/>
          <w:szCs w:val="24"/>
          <w:lang w:val="sq-AL"/>
        </w:rPr>
        <w:t>(Shtuar togfjalësh n</w:t>
      </w:r>
      <w:r w:rsidRPr="000C348D">
        <w:rPr>
          <w:rFonts w:ascii="Garamond" w:eastAsia="MS Mincho" w:hAnsi="Garamond" w:cs="Times New Roman"/>
          <w:i/>
          <w:spacing w:val="-4"/>
          <w:sz w:val="24"/>
          <w:szCs w:val="24"/>
          <w:lang w:val="sq-AL"/>
        </w:rPr>
        <w:t xml:space="preserve">ë shkronjën ‘’a’’ të pikës 2, ndryshuar shkronja ‘’a’’ e pikës 3, pika  4 dhe shkronja ‘’a’’ e pikës 6 </w:t>
      </w:r>
      <w:r w:rsidRPr="000C348D">
        <w:rPr>
          <w:rFonts w:ascii="Garamond" w:eastAsia="MS Mincho" w:hAnsi="Garamond" w:cs="CG Times"/>
          <w:i/>
          <w:spacing w:val="-4"/>
          <w:sz w:val="24"/>
          <w:szCs w:val="24"/>
          <w:lang w:val="sq-AL"/>
        </w:rPr>
        <w:t xml:space="preserve">me VKM nr. 718, datë 20.11.2024) </w:t>
      </w:r>
    </w:p>
    <w:p w:rsidR="00C66553" w:rsidRPr="000C348D" w:rsidRDefault="00C66553">
      <w:pPr>
        <w:widowControl w:val="0"/>
        <w:spacing w:after="0" w:line="240" w:lineRule="auto"/>
        <w:jc w:val="center"/>
        <w:rPr>
          <w:rFonts w:ascii="Garamond" w:eastAsia="MS Mincho" w:hAnsi="Garamond" w:cs="CG Times"/>
          <w:b/>
          <w:spacing w:val="-4"/>
          <w:sz w:val="2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Procesi i miratimit të planit të detajuar për një zonë të rëndësisë kombëtare (PDZRK) bëhet në përputhje me përcaktimet e nenit 25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Procesi i miratimit të planit përmban, të paktën, këta hapa: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Lëshimin e aktit të përputhshmërisë nga Agjencia</w:t>
      </w:r>
      <w:r w:rsidR="00C66553" w:rsidRPr="000C348D">
        <w:rPr>
          <w:rFonts w:ascii="Garamond" w:eastAsia="MS Mincho" w:hAnsi="Garamond" w:cs="CG Times"/>
          <w:spacing w:val="-4"/>
          <w:sz w:val="24"/>
          <w:lang w:val="sq-AL"/>
        </w:rPr>
        <w:t>,</w:t>
      </w:r>
      <w:r w:rsidR="00C66553" w:rsidRPr="000C348D">
        <w:rPr>
          <w:rFonts w:ascii="Garamond" w:hAnsi="Garamond" w:cs="Times New Roman"/>
          <w:sz w:val="24"/>
          <w:szCs w:val="24"/>
          <w:lang w:val="sq-AL"/>
        </w:rPr>
        <w:t xml:space="preserve"> në rastet kur dokumenti i PDZRK-së nuk hartohet prej saj</w:t>
      </w:r>
      <w:r w:rsidRPr="000C348D">
        <w:rPr>
          <w:rFonts w:ascii="Garamond" w:eastAsia="MS Mincho" w:hAnsi="Garamond" w:cs="CG Times"/>
          <w:spacing w:val="-4"/>
          <w:sz w:val="24"/>
          <w:lang w:val="sq-AL"/>
        </w:rPr>
        <w: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b) Kërkesën e autoritetit përgjegjës për shqyrtim dhe miratim të dokumentit të planifikimit në </w:t>
      </w:r>
      <w:r w:rsidR="00452FAD" w:rsidRPr="000C348D">
        <w:rPr>
          <w:rFonts w:ascii="Garamond" w:hAnsi="Garamond" w:cs="Times New Roman"/>
          <w:sz w:val="24"/>
          <w:szCs w:val="24"/>
          <w:lang w:val="sq-AL"/>
        </w:rPr>
        <w:t>KKTU</w:t>
      </w:r>
      <w:r w:rsidRPr="000C348D">
        <w:rPr>
          <w:rFonts w:ascii="Garamond" w:eastAsia="MS Mincho" w:hAnsi="Garamond" w:cs="CG Times"/>
          <w:spacing w:val="-4"/>
          <w:sz w:val="24"/>
          <w:lang w:val="sq-AL"/>
        </w:rPr>
        <w: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c) Vendimmarrjen e </w:t>
      </w:r>
      <w:r w:rsidR="00452FAD" w:rsidRPr="000C348D">
        <w:rPr>
          <w:rFonts w:ascii="Garamond" w:hAnsi="Garamond" w:cs="Times New Roman"/>
          <w:sz w:val="24"/>
          <w:szCs w:val="24"/>
          <w:lang w:val="sq-AL"/>
        </w:rPr>
        <w:t>KKTU</w:t>
      </w:r>
      <w:r w:rsidR="00452FAD"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Materialet që dorëzohen/botohen për miratimin e dokumentit të planifikimit janë: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a) </w:t>
      </w:r>
      <w:r w:rsidR="00C66553" w:rsidRPr="000C348D">
        <w:rPr>
          <w:rFonts w:ascii="Garamond" w:hAnsi="Garamond" w:cs="Times New Roman"/>
          <w:sz w:val="24"/>
          <w:szCs w:val="24"/>
          <w:lang w:val="sq-AL"/>
        </w:rPr>
        <w:t>Dokumenti i nismës</w:t>
      </w:r>
      <w:r w:rsidRPr="000C348D">
        <w:rPr>
          <w:rFonts w:ascii="Garamond" w:eastAsia="MS Mincho" w:hAnsi="Garamond" w:cs="CG Times"/>
          <w:spacing w:val="-4"/>
          <w:sz w:val="24"/>
          <w:lang w:val="sq-AL"/>
        </w:rPr>
        <w: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Dokumentet e PDZRK-së sipas përcaktimeve të nismës;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Akti i përputhshmërisë nga Agjencia ose deklarata e përputhshmërisë në heshtje;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Deklarata mjedisore, sipas legjislacionit të posaçëm në fuqi, sipas rastit/përcaktimeve të dokumentit të nismës.</w:t>
      </w:r>
    </w:p>
    <w:p w:rsidR="00C66553" w:rsidRPr="000C348D" w:rsidRDefault="00C66553">
      <w:pPr>
        <w:widowControl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4. Pas botimit në regjistër të dokumenteve të plota të PDZRK-së, sipas përcaktimeve të dokumentit të nismës, autoriteti përgjegjës ose subjekti i interesuar, nëpërmjet projektuesit të licencuar, në rast se PDZRK- ja është me nismë private, bën kërkesën për marrjen e aktit të përputhshmërisë së dokumentit nga Agjencia.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5. Shqyrtimi i dokumentit të planit realizohet sipas këtyre përcaktimeve: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Agjencia shqyrton përputhshmërinë e dokumentacionit të planit të detajuar për zonën e rëndësisë kombëtare brenda 30 (tridhjetë) ditëve nga data e paraqitjes për shqyrtim të dokumentacionit të plotë.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Në përfundim të periudhës 30-ditore të shqyrtimit të përputhshmërisë së dokumentacionit, Agjencia boton në regjistër raportin e vlerësimit teknik të PDZRK-së, si edhe aktin e përputhshmërisë, sipas rastit.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Agjencia e përsërit procesin e shqyrtimit të përputhshmërisë së dokumentit të planit dhe hartimin e raportit të vlerësimit teknik, në rast se dokumenti i planit rishikohet/përmirësohet nga autoriteti përgjegjës, deri në arritjen e përputhshmërisë.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w:t>
      </w:r>
      <w:r w:rsidRPr="000C348D">
        <w:rPr>
          <w:rFonts w:ascii="Garamond" w:eastAsia="MS Mincho" w:hAnsi="Garamond" w:cs="CG Times"/>
          <w:spacing w:val="-4"/>
          <w:sz w:val="24"/>
          <w:lang w:val="sq-AL"/>
        </w:rPr>
        <w:tab/>
        <w:t>Në rast të moszbatimit të afateve të sipërpërmendura, autoriteti kërkues njofton Agjencinë për mosrespektimin e afatit dhe lëshohet deklarata e përputhshmërisë në heshtje.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6. Rishikimi/përmirësimi i dokumentit dhe reflektimi i vërejtjeve të Agjencisë realizohet sipas këtyre përcaktimeve:</w:t>
      </w:r>
    </w:p>
    <w:p w:rsidR="00C66553" w:rsidRPr="000C348D" w:rsidRDefault="00EB70B8">
      <w:pPr>
        <w:widowControl w:val="0"/>
        <w:spacing w:after="0" w:line="240" w:lineRule="auto"/>
        <w:ind w:firstLine="284"/>
        <w:jc w:val="both"/>
        <w:rPr>
          <w:rFonts w:ascii="Garamond" w:hAnsi="Garamond" w:cs="Times New Roman"/>
          <w:sz w:val="24"/>
          <w:szCs w:val="24"/>
          <w:lang w:val="sq-AL"/>
        </w:rPr>
      </w:pPr>
      <w:r w:rsidRPr="000C348D">
        <w:rPr>
          <w:rFonts w:ascii="Garamond" w:eastAsia="MS Mincho" w:hAnsi="Garamond" w:cs="CG Times"/>
          <w:spacing w:val="-4"/>
          <w:sz w:val="24"/>
          <w:lang w:val="sq-AL"/>
        </w:rPr>
        <w:t xml:space="preserve">a) </w:t>
      </w:r>
      <w:r w:rsidR="00C66553" w:rsidRPr="000C348D">
        <w:rPr>
          <w:rFonts w:ascii="Garamond" w:hAnsi="Garamond" w:cs="Times New Roman"/>
          <w:sz w:val="24"/>
          <w:szCs w:val="24"/>
          <w:lang w:val="sq-AL"/>
        </w:rPr>
        <w:t>Pas botimit në regjistër të raportit të vlerësimit teknik të PDZRK-së, Agjencia, autoriteti përgjegjës ose projektuesi i licencuar duhet të rishikojë/të përmirësojë dokumentin e planit për të pasqyruar vërejtjet dhe sugjerimet, nëse ka të tilla.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Autoriteti përgjegjës riboton dokumentin e plotë të planit me vërejtjet dhe sugjerimet e reflektuara, shoqëruar me raportin e ndryshimeve.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7. Pas botimit në regjistër të materialit të plotë të PDZRK-së, sipas përcaktimeve të pikës 3, të këtij neni, autoriteti përgjegjës bën kërkesën për shqyrtimin dhe miratimin e dokumentit të planifikimit në </w:t>
      </w:r>
      <w:r w:rsidR="00452FAD" w:rsidRPr="000C348D">
        <w:rPr>
          <w:rFonts w:ascii="Garamond" w:hAnsi="Garamond" w:cs="Times New Roman"/>
          <w:sz w:val="24"/>
          <w:szCs w:val="24"/>
          <w:lang w:val="sq-AL"/>
        </w:rPr>
        <w:t>KKTU</w:t>
      </w:r>
      <w:r w:rsidRPr="000C348D">
        <w:rPr>
          <w:rFonts w:ascii="Garamond" w:eastAsia="MS Mincho" w:hAnsi="Garamond" w:cs="CG Times"/>
          <w:spacing w:val="-4"/>
          <w:sz w:val="24"/>
          <w:lang w:val="sq-AL"/>
        </w:rPr>
        <w: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8. Plani i Detajuar për një Zonë të Rëndësisë Kombëtare (PDZRK) miratohet nga </w:t>
      </w:r>
      <w:r w:rsidR="00452FAD" w:rsidRPr="000C348D">
        <w:rPr>
          <w:rFonts w:ascii="Garamond" w:hAnsi="Garamond" w:cs="Times New Roman"/>
          <w:sz w:val="24"/>
          <w:szCs w:val="24"/>
          <w:lang w:val="sq-AL"/>
        </w:rPr>
        <w:t>KKTU</w:t>
      </w:r>
      <w:r w:rsidR="00452FAD"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-ja në përputhje me pikën 4, të nenit 18 të ligjit. Baza e gjykimit për vendimmarrjen mbi miratimin e PDZRK-së përbëhet nga dokumentet e listuara në pikën 3 të këtij neni.</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40</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Hyrja në fuqi e PDZRK-së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1. Dokumenti i planit të detajuar për një zonë të rëndësisë kombëtare (PDZRK) hyn në fuqi me </w:t>
      </w:r>
      <w:r w:rsidRPr="000C348D">
        <w:rPr>
          <w:rFonts w:ascii="Garamond" w:eastAsia="MS Mincho" w:hAnsi="Garamond" w:cs="CG Times"/>
          <w:spacing w:val="-4"/>
          <w:sz w:val="24"/>
          <w:lang w:val="sq-AL"/>
        </w:rPr>
        <w:lastRenderedPageBreak/>
        <w:t xml:space="preserve">botimin e plotë në regjistër të vendimit të </w:t>
      </w:r>
      <w:r w:rsidR="00D66319" w:rsidRPr="000C348D">
        <w:rPr>
          <w:rFonts w:ascii="Garamond" w:hAnsi="Garamond" w:cs="Times New Roman"/>
          <w:sz w:val="24"/>
          <w:szCs w:val="24"/>
          <w:lang w:val="sq-AL"/>
        </w:rPr>
        <w:t>KKTU</w:t>
      </w:r>
      <w:r w:rsidR="00D66319"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-së dhe dokumenteve shoqëruese të tij, në përputhje me pikën 2, të nenit 56,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2. Vendimi i </w:t>
      </w:r>
      <w:r w:rsidR="00D66319" w:rsidRPr="000C348D">
        <w:rPr>
          <w:rFonts w:ascii="Garamond" w:hAnsi="Garamond" w:cs="Times New Roman"/>
          <w:sz w:val="24"/>
          <w:szCs w:val="24"/>
          <w:lang w:val="sq-AL"/>
        </w:rPr>
        <w:t>KKTU</w:t>
      </w:r>
      <w:r w:rsidR="00D66319"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 xml:space="preserve">-së botohet në regjistër dhe, në çdo rast, edhe në faqen zyrtare të sekretariatit të </w:t>
      </w:r>
      <w:r w:rsidR="00D66319" w:rsidRPr="000C348D">
        <w:rPr>
          <w:rFonts w:ascii="Garamond" w:hAnsi="Garamond" w:cs="Times New Roman"/>
          <w:sz w:val="24"/>
          <w:szCs w:val="24"/>
          <w:lang w:val="sq-AL"/>
        </w:rPr>
        <w:t>KKTU</w:t>
      </w:r>
      <w:r w:rsidR="00D66319"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-së, autoritetit përgjegjës dhe Agjencisë, brenda 15 (pesëmbëdhjetë) ditëve nga data e miratimit, në përputhje me pikën 4, të nenit 25, të ligjit.</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41</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Zbatimi dhe monitorimi i zbatimit të PDZRK-së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Plani i detajuar për një Zonë të Rëndësisë Kombëtare zbatohet nëpërmjet lejeve të ndërtimit, sipas planit të veprimeve dhe rregullores së këtij plani.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Subjektet që përfitojnë të drejta zhvillimi bazuar në PDZRK-në e miratuar, mbi bazën e një kërkese pajisen me leje zhvillimi, në kuptimin e nenit 38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PDZRK-ja regjistrohet në regjistrin e pasurive të paluajtshme, si bazë për kryerjen e transaksioneve me pronën. Parcelat e reja që krijohen nga nënndarja dhe/ose bashkimi i parcelave ekzistuese janë objekt transaksioni vetëm pasi të jenë regjistruar në regjistrin e pasurive të paluajtshme, me kërkesë të zhvilluesit.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4. Lejet e ndërtimit për ndërtime brenda zonës, për të cilën është hartuar PDZRK-ja, jepen mbi bazën e këtij plani nga autoriteti përgjegjës, </w:t>
      </w:r>
      <w:r w:rsidR="001B2F60" w:rsidRPr="000C348D">
        <w:rPr>
          <w:rFonts w:ascii="Garamond" w:hAnsi="Garamond" w:cs="Times New Roman"/>
          <w:sz w:val="24"/>
          <w:szCs w:val="24"/>
          <w:lang w:val="sq-AL"/>
        </w:rPr>
        <w:t>Këshilli Kombëtar i Territorit dhe Ujit</w:t>
      </w:r>
      <w:r w:rsidR="001B2F60"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apo autoriteti vendor në rast delegimi kompetencash, në përputhje me shkronjën “a”, të nenit 29, të ligjit, dhe përcaktimeve të rregullores së zhvillimit, në zbatim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5. Monitorimi i zbatimit të PDZRK-së bëhet nga autoriteti përgjegjës për hartimin e planit, në përputhje me shkronjën “a”, të pikës 1, të nenit 10, të ligjit, si dhe nga Agjencia, në përputhje me pikën 2, të nenit 10, të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6. Monitorimi i zbatimit të planit bëhet mbi bazën e planit të veprimeve dhe dokumentit të indikatorëve të monitorimit, të miratuar si pjesë përbërëse e dokumentit të planit, duke vlerësuar periodikisht programet buxhetore afatmesme dhe realizimin e investimeve të parashikuara.</w:t>
      </w:r>
    </w:p>
    <w:p w:rsidR="00C66553" w:rsidRPr="000C348D" w:rsidRDefault="00C66553" w:rsidP="00C66553">
      <w:pPr>
        <w:tabs>
          <w:tab w:val="left" w:pos="4040"/>
        </w:tabs>
        <w:autoSpaceDE w:val="0"/>
        <w:autoSpaceDN w:val="0"/>
        <w:adjustRightInd w:val="0"/>
        <w:spacing w:after="0" w:line="240" w:lineRule="auto"/>
        <w:ind w:firstLine="284"/>
        <w:jc w:val="center"/>
        <w:rPr>
          <w:rFonts w:ascii="Garamond" w:hAnsi="Garamond" w:cs="Times New Roman"/>
          <w:sz w:val="24"/>
          <w:szCs w:val="24"/>
          <w:lang w:val="sq-AL"/>
        </w:rPr>
      </w:pPr>
    </w:p>
    <w:p w:rsidR="00C66553" w:rsidRPr="000C348D" w:rsidRDefault="00C66553" w:rsidP="00C66553">
      <w:pPr>
        <w:tabs>
          <w:tab w:val="left" w:pos="4040"/>
        </w:tabs>
        <w:autoSpaceDE w:val="0"/>
        <w:autoSpaceDN w:val="0"/>
        <w:adjustRightInd w:val="0"/>
        <w:spacing w:after="0" w:line="240" w:lineRule="auto"/>
        <w:ind w:firstLine="284"/>
        <w:jc w:val="center"/>
        <w:rPr>
          <w:rFonts w:ascii="Garamond" w:hAnsi="Garamond" w:cs="Times New Roman"/>
          <w:sz w:val="24"/>
          <w:szCs w:val="24"/>
          <w:lang w:val="sq-AL"/>
        </w:rPr>
      </w:pPr>
      <w:r w:rsidRPr="000C348D">
        <w:rPr>
          <w:rFonts w:ascii="Garamond" w:hAnsi="Garamond" w:cs="Times New Roman"/>
          <w:sz w:val="24"/>
          <w:szCs w:val="24"/>
          <w:lang w:val="sq-AL"/>
        </w:rPr>
        <w:t>SEKSIONI 5/1</w:t>
      </w:r>
    </w:p>
    <w:p w:rsidR="00C66553" w:rsidRPr="000C348D" w:rsidRDefault="00C66553" w:rsidP="00C66553">
      <w:pPr>
        <w:tabs>
          <w:tab w:val="left" w:pos="4040"/>
        </w:tabs>
        <w:autoSpaceDE w:val="0"/>
        <w:autoSpaceDN w:val="0"/>
        <w:adjustRightInd w:val="0"/>
        <w:spacing w:after="0" w:line="240" w:lineRule="auto"/>
        <w:ind w:firstLine="284"/>
        <w:jc w:val="center"/>
        <w:rPr>
          <w:rFonts w:ascii="Garamond" w:hAnsi="Garamond" w:cs="Times New Roman"/>
          <w:sz w:val="24"/>
          <w:szCs w:val="24"/>
          <w:lang w:val="sq-AL"/>
        </w:rPr>
      </w:pPr>
      <w:r w:rsidRPr="000C348D">
        <w:rPr>
          <w:rFonts w:ascii="Garamond" w:hAnsi="Garamond" w:cs="Times New Roman"/>
          <w:sz w:val="24"/>
          <w:szCs w:val="24"/>
          <w:lang w:val="sq-AL"/>
        </w:rPr>
        <w:t>PLANI I DETAJUAR QENDROR</w:t>
      </w:r>
    </w:p>
    <w:p w:rsidR="00C66553" w:rsidRPr="000C348D" w:rsidRDefault="00C66553" w:rsidP="00C66553">
      <w:pPr>
        <w:tabs>
          <w:tab w:val="left" w:pos="4040"/>
        </w:tabs>
        <w:autoSpaceDE w:val="0"/>
        <w:autoSpaceDN w:val="0"/>
        <w:adjustRightInd w:val="0"/>
        <w:spacing w:after="0" w:line="240" w:lineRule="auto"/>
        <w:ind w:firstLine="284"/>
        <w:jc w:val="center"/>
        <w:rPr>
          <w:rFonts w:ascii="Garamond" w:hAnsi="Garamond" w:cs="Times New Roman"/>
          <w:i/>
          <w:sz w:val="24"/>
          <w:szCs w:val="24"/>
          <w:lang w:val="sq-AL"/>
        </w:rPr>
      </w:pPr>
      <w:r w:rsidRPr="000C348D">
        <w:rPr>
          <w:rFonts w:ascii="Garamond" w:hAnsi="Garamond" w:cs="Times New Roman"/>
          <w:i/>
          <w:sz w:val="24"/>
          <w:szCs w:val="24"/>
          <w:lang w:val="sq-AL"/>
        </w:rPr>
        <w:t>(Shtuar seksioni 5/1</w:t>
      </w:r>
      <w:r w:rsidR="003721D1" w:rsidRPr="000C348D">
        <w:rPr>
          <w:rFonts w:ascii="Garamond" w:hAnsi="Garamond" w:cs="Times New Roman"/>
          <w:i/>
          <w:sz w:val="24"/>
          <w:szCs w:val="24"/>
          <w:lang w:val="sq-AL"/>
        </w:rPr>
        <w:t>,</w:t>
      </w:r>
      <w:r w:rsidRPr="000C348D">
        <w:rPr>
          <w:rFonts w:ascii="Garamond" w:hAnsi="Garamond" w:cs="Times New Roman"/>
          <w:i/>
          <w:sz w:val="24"/>
          <w:szCs w:val="24"/>
          <w:lang w:val="sq-AL"/>
        </w:rPr>
        <w:t xml:space="preserve"> nenet 41/1 – 41/6 me VKM nr. 718, datë 20.11.2024)</w:t>
      </w:r>
    </w:p>
    <w:p w:rsidR="00C66553" w:rsidRPr="000C348D" w:rsidRDefault="00C66553" w:rsidP="00C66553">
      <w:pPr>
        <w:tabs>
          <w:tab w:val="left" w:pos="4040"/>
        </w:tabs>
        <w:autoSpaceDE w:val="0"/>
        <w:autoSpaceDN w:val="0"/>
        <w:adjustRightInd w:val="0"/>
        <w:spacing w:after="0" w:line="240" w:lineRule="auto"/>
        <w:ind w:firstLine="284"/>
        <w:jc w:val="center"/>
        <w:rPr>
          <w:rFonts w:ascii="Garamond" w:hAnsi="Garamond" w:cs="Times New Roman"/>
          <w:sz w:val="24"/>
          <w:szCs w:val="24"/>
          <w:lang w:val="sq-AL"/>
        </w:rPr>
      </w:pPr>
    </w:p>
    <w:p w:rsidR="00C66553" w:rsidRPr="000C348D" w:rsidRDefault="00C66553" w:rsidP="00C66553">
      <w:pPr>
        <w:tabs>
          <w:tab w:val="left" w:pos="4040"/>
        </w:tabs>
        <w:autoSpaceDE w:val="0"/>
        <w:autoSpaceDN w:val="0"/>
        <w:adjustRightInd w:val="0"/>
        <w:spacing w:after="0" w:line="240" w:lineRule="auto"/>
        <w:ind w:firstLine="284"/>
        <w:jc w:val="center"/>
        <w:rPr>
          <w:rFonts w:ascii="Garamond" w:hAnsi="Garamond" w:cs="Times New Roman"/>
          <w:sz w:val="24"/>
          <w:szCs w:val="24"/>
          <w:lang w:val="sq-AL"/>
        </w:rPr>
      </w:pPr>
      <w:r w:rsidRPr="000C348D">
        <w:rPr>
          <w:rFonts w:ascii="Garamond" w:hAnsi="Garamond" w:cs="Times New Roman"/>
          <w:sz w:val="24"/>
          <w:szCs w:val="24"/>
          <w:lang w:val="sq-AL"/>
        </w:rPr>
        <w:t>Neni 41/1</w:t>
      </w:r>
    </w:p>
    <w:p w:rsidR="00C66553" w:rsidRPr="000C348D" w:rsidRDefault="00C66553" w:rsidP="00C66553">
      <w:pPr>
        <w:tabs>
          <w:tab w:val="left" w:pos="4040"/>
        </w:tabs>
        <w:autoSpaceDE w:val="0"/>
        <w:autoSpaceDN w:val="0"/>
        <w:adjustRightInd w:val="0"/>
        <w:spacing w:after="0" w:line="240" w:lineRule="auto"/>
        <w:ind w:firstLine="284"/>
        <w:jc w:val="center"/>
        <w:rPr>
          <w:rFonts w:ascii="Garamond" w:hAnsi="Garamond" w:cs="Times New Roman"/>
          <w:b/>
          <w:sz w:val="24"/>
          <w:szCs w:val="24"/>
          <w:lang w:val="sq-AL"/>
        </w:rPr>
      </w:pPr>
      <w:r w:rsidRPr="000C348D">
        <w:rPr>
          <w:rFonts w:ascii="Garamond" w:hAnsi="Garamond" w:cs="Times New Roman"/>
          <w:b/>
          <w:sz w:val="24"/>
          <w:szCs w:val="24"/>
          <w:lang w:val="sq-AL"/>
        </w:rPr>
        <w:t>Objekti dhe qëllimi i PDQ-së</w:t>
      </w:r>
    </w:p>
    <w:p w:rsidR="00C66553" w:rsidRPr="000C348D" w:rsidRDefault="00C66553" w:rsidP="00C66553">
      <w:pPr>
        <w:tabs>
          <w:tab w:val="left" w:pos="4040"/>
        </w:tabs>
        <w:autoSpaceDE w:val="0"/>
        <w:autoSpaceDN w:val="0"/>
        <w:adjustRightInd w:val="0"/>
        <w:spacing w:after="0" w:line="240" w:lineRule="auto"/>
        <w:ind w:firstLine="284"/>
        <w:jc w:val="center"/>
        <w:rPr>
          <w:rFonts w:ascii="Garamond" w:hAnsi="Garamond" w:cs="Times New Roman"/>
          <w:sz w:val="24"/>
          <w:szCs w:val="24"/>
          <w:lang w:val="sq-AL"/>
        </w:rPr>
      </w:pP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1. Plani i Detajuar Qendror është studim hapësinor territorial për një territor të caktuar në përgjegjësi të Këshillit Kombëtar të Territorit dhe Ujit, me ndikim dhe interes të veçantë për zhvillime me rëndësi kombëtare apo strategjike.</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2. PDQ-ja trajton territore të cilat kanë nevojë për studime dhe planifikime më të zgjeruara, kur nevojitet menaxhimi i integruar i disa zhvillimeve në territor, në funksion të një vizioni të përbashkët zhvillimi. </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3. Plani i Detajuar Qendror ka për qëllim krijimin e bazave për zhvillimin e kontrolluar të territorit për të cilin hartohet, si krijimin e bazave për zhvillimin e vendbanimeve, infrastrukturës, turizmit, industrisë etj. </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4. Për territorin, subjekt të tij, PDQ-ja ka për qëllim: </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a) zhvillimin dhe/ose rizhvillimin e territorit;</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b) rigjenerimin/ripërtëritjen urbane apo natyrore; </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c) përcaktimin e përdorimit të tokës, infrastrukturave, kushteve të zhvillimit dhe rregullave të nevojshme për zhvillim/rizhvillim.</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5. Struktura, forma, si dhe procesi për hartimin dhe miratimin e PDQ-së përcaktohen në këtë rregullore, ndërsa zbatimi i PDQ-së përcaktohet nëpërmjet instrumenteve të zhvillimit dhe lejeve të </w:t>
      </w:r>
      <w:r w:rsidRPr="000C348D">
        <w:rPr>
          <w:rFonts w:ascii="Garamond" w:hAnsi="Garamond" w:cs="Times New Roman"/>
          <w:sz w:val="24"/>
          <w:szCs w:val="24"/>
          <w:lang w:val="sq-AL"/>
        </w:rPr>
        <w:lastRenderedPageBreak/>
        <w:t>ndërtimit të detajuara në rregulloren e zhvillimit që jepet nga KKTU-ja mbi bazën e këtij dokumenti planifikimi.</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6. PDQ-ja teksa hartohet e zbatohet, duhet të ndjekë parimet e planifikimit si një proces pune në vazhdimësi.</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7. Parashikimet e PDQ-së pasqyrohen automatikisht në dokumentet e tjera të planifikimit, sipas parimit të hierarkisë dhe parashikimet e tij integrohen automatikisht në PDZRK-të në fuqi.</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p>
    <w:p w:rsidR="00C66553" w:rsidRPr="000C348D" w:rsidRDefault="00C66553" w:rsidP="00C66553">
      <w:pPr>
        <w:tabs>
          <w:tab w:val="left" w:pos="4040"/>
        </w:tabs>
        <w:autoSpaceDE w:val="0"/>
        <w:autoSpaceDN w:val="0"/>
        <w:adjustRightInd w:val="0"/>
        <w:spacing w:after="0" w:line="240" w:lineRule="auto"/>
        <w:ind w:firstLine="284"/>
        <w:jc w:val="center"/>
        <w:rPr>
          <w:rFonts w:ascii="Garamond" w:hAnsi="Garamond" w:cs="Times New Roman"/>
          <w:sz w:val="24"/>
          <w:szCs w:val="24"/>
          <w:lang w:val="sq-AL"/>
        </w:rPr>
      </w:pPr>
      <w:r w:rsidRPr="000C348D">
        <w:rPr>
          <w:rFonts w:ascii="Garamond" w:hAnsi="Garamond" w:cs="Times New Roman"/>
          <w:sz w:val="24"/>
          <w:szCs w:val="24"/>
          <w:lang w:val="sq-AL"/>
        </w:rPr>
        <w:t>Neni 41/2</w:t>
      </w:r>
    </w:p>
    <w:p w:rsidR="00C66553" w:rsidRPr="000C348D" w:rsidRDefault="00C66553" w:rsidP="00C66553">
      <w:pPr>
        <w:tabs>
          <w:tab w:val="left" w:pos="4040"/>
        </w:tabs>
        <w:autoSpaceDE w:val="0"/>
        <w:autoSpaceDN w:val="0"/>
        <w:adjustRightInd w:val="0"/>
        <w:spacing w:after="0" w:line="240" w:lineRule="auto"/>
        <w:ind w:firstLine="284"/>
        <w:jc w:val="center"/>
        <w:rPr>
          <w:rFonts w:ascii="Garamond" w:hAnsi="Garamond" w:cs="Times New Roman"/>
          <w:b/>
          <w:sz w:val="24"/>
          <w:szCs w:val="24"/>
          <w:lang w:val="sq-AL"/>
        </w:rPr>
      </w:pPr>
      <w:r w:rsidRPr="000C348D">
        <w:rPr>
          <w:rFonts w:ascii="Garamond" w:hAnsi="Garamond" w:cs="Times New Roman"/>
          <w:b/>
          <w:sz w:val="24"/>
          <w:szCs w:val="24"/>
          <w:lang w:val="sq-AL"/>
        </w:rPr>
        <w:t>Autoriteti përgjegjës për PDQ-në</w:t>
      </w:r>
    </w:p>
    <w:p w:rsidR="00C66553" w:rsidRPr="000C348D" w:rsidRDefault="00C66553" w:rsidP="00C66553">
      <w:pPr>
        <w:tabs>
          <w:tab w:val="left" w:pos="4040"/>
        </w:tabs>
        <w:autoSpaceDE w:val="0"/>
        <w:autoSpaceDN w:val="0"/>
        <w:adjustRightInd w:val="0"/>
        <w:spacing w:after="0" w:line="240" w:lineRule="auto"/>
        <w:ind w:firstLine="284"/>
        <w:jc w:val="center"/>
        <w:rPr>
          <w:rFonts w:ascii="Garamond" w:hAnsi="Garamond" w:cs="Times New Roman"/>
          <w:sz w:val="24"/>
          <w:szCs w:val="24"/>
          <w:lang w:val="sq-AL"/>
        </w:rPr>
      </w:pP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1. Plani i Detajuar Qendror fillon të hartohet pas njoftimit të KKTU-së, nisur nga interesi publik për pajisje me infrastrukturë, shërbime e facilitete publike dhe menaxhimi i integruar i disa zhvillimeve në territor, në funksion të një vizioni të përbashkët zhvillimi, për të cilin mund të shprehen me kërkesë edhe palët e interesuara për zhvillim.</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2. Agjencia Kombëtare e Planifikimit të Territorit harton PDQ-në në bashkëpunim me ministrinë përgjegjëse për çështjen/sektorin përkatës, sekretariatin teknik të KKTU-së, apo institucione të tjera qendrore, kompetente për çështjen/zonën.</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3. Plani i Detajuar Qendror hartohet nga grupe pune të kryesuara nga Agjencia, me specialistë të institucioneve publike, me ekspertë të fushave të ndryshme, vendës apo edhe të huaj.</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4. Në rast hartimi nga grupe pune me ekspertë të jashtëm, procesi mbikëqyret në çdo hap nga Agjencia Kombëtare e Planifikimit të Territorit.</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p>
    <w:p w:rsidR="00C66553" w:rsidRPr="000C348D" w:rsidRDefault="00C66553" w:rsidP="00C66553">
      <w:pPr>
        <w:tabs>
          <w:tab w:val="left" w:pos="4040"/>
        </w:tabs>
        <w:autoSpaceDE w:val="0"/>
        <w:autoSpaceDN w:val="0"/>
        <w:adjustRightInd w:val="0"/>
        <w:spacing w:after="0" w:line="240" w:lineRule="auto"/>
        <w:ind w:firstLine="284"/>
        <w:jc w:val="center"/>
        <w:rPr>
          <w:rFonts w:ascii="Garamond" w:hAnsi="Garamond" w:cs="Times New Roman"/>
          <w:sz w:val="24"/>
          <w:szCs w:val="24"/>
          <w:lang w:val="sq-AL"/>
        </w:rPr>
      </w:pPr>
      <w:r w:rsidRPr="000C348D">
        <w:rPr>
          <w:rFonts w:ascii="Garamond" w:hAnsi="Garamond" w:cs="Times New Roman"/>
          <w:sz w:val="24"/>
          <w:szCs w:val="24"/>
          <w:lang w:val="sq-AL"/>
        </w:rPr>
        <w:t>Neni 41/3</w:t>
      </w:r>
    </w:p>
    <w:p w:rsidR="00C66553" w:rsidRPr="000C348D" w:rsidRDefault="00C66553" w:rsidP="00C66553">
      <w:pPr>
        <w:tabs>
          <w:tab w:val="left" w:pos="4040"/>
        </w:tabs>
        <w:autoSpaceDE w:val="0"/>
        <w:autoSpaceDN w:val="0"/>
        <w:adjustRightInd w:val="0"/>
        <w:spacing w:after="0" w:line="240" w:lineRule="auto"/>
        <w:ind w:firstLine="284"/>
        <w:jc w:val="center"/>
        <w:rPr>
          <w:rFonts w:ascii="Garamond" w:hAnsi="Garamond" w:cs="Times New Roman"/>
          <w:b/>
          <w:sz w:val="24"/>
          <w:szCs w:val="24"/>
          <w:lang w:val="sq-AL"/>
        </w:rPr>
      </w:pPr>
      <w:r w:rsidRPr="000C348D">
        <w:rPr>
          <w:rFonts w:ascii="Garamond" w:hAnsi="Garamond" w:cs="Times New Roman"/>
          <w:b/>
          <w:sz w:val="24"/>
          <w:szCs w:val="24"/>
          <w:lang w:val="sq-AL"/>
        </w:rPr>
        <w:t>Hartimi, këshillimi dhe bashkërendimi i PDQ-së</w:t>
      </w:r>
    </w:p>
    <w:p w:rsidR="00C66553" w:rsidRPr="000C348D" w:rsidRDefault="00C66553" w:rsidP="00C66553">
      <w:pPr>
        <w:tabs>
          <w:tab w:val="left" w:pos="4040"/>
        </w:tabs>
        <w:autoSpaceDE w:val="0"/>
        <w:autoSpaceDN w:val="0"/>
        <w:adjustRightInd w:val="0"/>
        <w:spacing w:after="0" w:line="240" w:lineRule="auto"/>
        <w:ind w:firstLine="284"/>
        <w:jc w:val="center"/>
        <w:rPr>
          <w:rFonts w:ascii="Garamond" w:hAnsi="Garamond" w:cs="Times New Roman"/>
          <w:sz w:val="24"/>
          <w:szCs w:val="24"/>
          <w:lang w:val="sq-AL"/>
        </w:rPr>
      </w:pP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1. Fillimisht KKTU-ja njoftohet për nisjen e hartimit e PDQ-së.</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2. Njoftimi për nisjen e hartimit të PDQ-së përmban:</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a) kufijtë e territorit për të cilin do të hartohet PDQ-ja;</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b) kalendarin e aktiviteteve për hartimin e PDQ-së;</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c) profilet e ekspertizës së grupit të punës.</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3. PDQ-ja hartohet në zbatim të parimeve kombëtare të planifikimit dhe të zhvillimit, ligjit dhe akteve nënligjore të nxjerra në zbatim të tij, në funksion të zhvillimit të qëndrueshëm të territorit.</w:t>
      </w:r>
    </w:p>
    <w:p w:rsidR="00C66553" w:rsidRPr="000C348D" w:rsidRDefault="00C66553" w:rsidP="00C66553">
      <w:pPr>
        <w:tabs>
          <w:tab w:val="left" w:pos="540"/>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4. Bashkërendimi dhe këshillimi i PDQ-së është përgjegjësi e Agjencisë dhe kryhet përmes botimit të dokumentit në regjistër dhe informimit të palëve të interesuara dhe publikut nëpërmjet një a më shumë mjeteve tradicionale të informimit dhe, në rast se kërkohet, përmes organizimit të takimeve publike me ta.</w:t>
      </w:r>
    </w:p>
    <w:p w:rsidR="00C66553" w:rsidRPr="000C348D" w:rsidRDefault="00C66553" w:rsidP="00C66553">
      <w:pPr>
        <w:tabs>
          <w:tab w:val="left" w:pos="540"/>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5. Dokumentet e PDQ-së këshillohen dhe bashkërendohen me të gjitha institucionet në nivel qendror e vendor, të cilat preken nga zhvillimi i territorit të zonës së përcaktuar për hartimin e PDQ-së ose pjesë të saj nëpërmjet Forumit të Bashkërendimit të Planifikimit në nivel qendror (FBPQ), sipas përcaktimeve të nenit 5, të kësaj rregulloreje.</w:t>
      </w:r>
    </w:p>
    <w:p w:rsidR="00C66553" w:rsidRPr="000C348D" w:rsidRDefault="00C66553" w:rsidP="00C66553">
      <w:pPr>
        <w:tabs>
          <w:tab w:val="left" w:pos="540"/>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6. Në çdo rast, autoritetet vendore përkatëse të planifikimit dhe zhvillimit njoftohen për nisjen e procesit të hartimit të PDQ-së, për të marrë masa për respektimin e pezullimit së zhvillimit.</w:t>
      </w:r>
    </w:p>
    <w:p w:rsidR="00C66553" w:rsidRPr="000C348D" w:rsidRDefault="00C66553" w:rsidP="00C66553">
      <w:pPr>
        <w:tabs>
          <w:tab w:val="left" w:pos="540"/>
          <w:tab w:val="left" w:pos="4040"/>
        </w:tabs>
        <w:autoSpaceDE w:val="0"/>
        <w:autoSpaceDN w:val="0"/>
        <w:adjustRightInd w:val="0"/>
        <w:spacing w:after="0" w:line="240" w:lineRule="auto"/>
        <w:ind w:firstLine="284"/>
        <w:jc w:val="both"/>
        <w:rPr>
          <w:rFonts w:ascii="Garamond" w:hAnsi="Garamond" w:cs="Times New Roman"/>
          <w:sz w:val="24"/>
          <w:szCs w:val="24"/>
          <w:lang w:val="sq-AL"/>
        </w:rPr>
      </w:pPr>
    </w:p>
    <w:p w:rsidR="00C66553" w:rsidRPr="000C348D" w:rsidRDefault="00C66553" w:rsidP="00C66553">
      <w:pPr>
        <w:tabs>
          <w:tab w:val="left" w:pos="4040"/>
        </w:tabs>
        <w:autoSpaceDE w:val="0"/>
        <w:autoSpaceDN w:val="0"/>
        <w:adjustRightInd w:val="0"/>
        <w:spacing w:after="0" w:line="240" w:lineRule="auto"/>
        <w:ind w:firstLine="284"/>
        <w:jc w:val="center"/>
        <w:rPr>
          <w:rFonts w:ascii="Garamond" w:hAnsi="Garamond" w:cs="Times New Roman"/>
          <w:sz w:val="24"/>
          <w:szCs w:val="24"/>
          <w:lang w:val="sq-AL"/>
        </w:rPr>
      </w:pPr>
      <w:r w:rsidRPr="000C348D">
        <w:rPr>
          <w:rFonts w:ascii="Garamond" w:hAnsi="Garamond" w:cs="Times New Roman"/>
          <w:sz w:val="24"/>
          <w:szCs w:val="24"/>
          <w:lang w:val="sq-AL"/>
        </w:rPr>
        <w:t>Neni 41/4</w:t>
      </w:r>
    </w:p>
    <w:p w:rsidR="00C66553" w:rsidRPr="000C348D" w:rsidRDefault="00C66553" w:rsidP="00C66553">
      <w:pPr>
        <w:tabs>
          <w:tab w:val="left" w:pos="4040"/>
        </w:tabs>
        <w:autoSpaceDE w:val="0"/>
        <w:autoSpaceDN w:val="0"/>
        <w:adjustRightInd w:val="0"/>
        <w:spacing w:after="0" w:line="240" w:lineRule="auto"/>
        <w:ind w:firstLine="284"/>
        <w:jc w:val="center"/>
        <w:rPr>
          <w:rFonts w:ascii="Garamond" w:hAnsi="Garamond" w:cs="Times New Roman"/>
          <w:b/>
          <w:sz w:val="24"/>
          <w:szCs w:val="24"/>
          <w:lang w:val="sq-AL"/>
        </w:rPr>
      </w:pPr>
      <w:r w:rsidRPr="000C348D">
        <w:rPr>
          <w:rFonts w:ascii="Garamond" w:hAnsi="Garamond" w:cs="Times New Roman"/>
          <w:b/>
          <w:sz w:val="24"/>
          <w:szCs w:val="24"/>
          <w:lang w:val="sq-AL"/>
        </w:rPr>
        <w:t>Përmbajtja e PDQ-së</w:t>
      </w:r>
    </w:p>
    <w:p w:rsidR="00C66553" w:rsidRPr="000C348D" w:rsidRDefault="00C66553" w:rsidP="00C66553">
      <w:pPr>
        <w:tabs>
          <w:tab w:val="left" w:pos="4040"/>
        </w:tabs>
        <w:autoSpaceDE w:val="0"/>
        <w:autoSpaceDN w:val="0"/>
        <w:adjustRightInd w:val="0"/>
        <w:spacing w:after="0" w:line="240" w:lineRule="auto"/>
        <w:ind w:firstLine="284"/>
        <w:jc w:val="center"/>
        <w:rPr>
          <w:rFonts w:ascii="Garamond" w:hAnsi="Garamond" w:cs="Times New Roman"/>
          <w:sz w:val="24"/>
          <w:szCs w:val="24"/>
          <w:lang w:val="sq-AL"/>
        </w:rPr>
      </w:pP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1. Dokumenti i Planit të Detajuar Qendror hartohet në përputhje me dokumentet e planifikimit qendror dhe legjislacionin në fuqi, duke marrë në konsideratë dokumente të planifikimit vendor sektorial, në rast se ka.</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2. Plani i Detajuar Qendror përmban të paktën: </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lastRenderedPageBreak/>
        <w:t>a) Planin e detajuar të zhvillimit, i shprehur në relacion dhe harta shoqëruese për pikat e mëposhtme:</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i. analizën që paraprin përcaktimet territoriale; </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ii. përcaktimin e njësive strukturore, në përputhje me nenin 77 të kësaj rregulloreje; </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iii. përcaktimet për përdorimin e tokës për çdo njësi në kategori, nënkategori dhe funksione sipas kësaj rregulloreje; </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iv. përcaktimet e infrastrukturave teknike, duke përfshirë ato të transportit, energjisë, telekomunikacionit dhe ujësjellës-kanalizimeve; </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v. përcaktimet e kushteve të zhvillimit për njësitë, sipas rastit dhe/ose për parcelat;</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vi. përcaktimet për zonat/objektet e mbrojtura të trashëgimisë kulturore, bazuar në legjislacionin përkatës në fuqi, sipas rastit; </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vii. programet e përdorimit të instrumenteve të drejtimit të zhvillimit, bazuar në nenet 30–36 të ligjit, sipas rastit;</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viii. planin për zbatimin e PDQ-së për ndërtimin e infrastrukturave dhe shërbimeve publike, sipas rastit.</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b) Rregulloren e planit të detajuar, ku përfshihen:</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i. përkufizimet e termave të përdorur;  </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ii. shpjegimi i kodeve të përdorura; </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iii. rregullat, të dhënat dhe kushtet e zhvillimit për çdo njësi, sipas shtojcës II në fund të kësaj rregulloreje;  </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iv. rregulla për ndarjen dhe bashkimin e parcelave, sipas rastit; </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v. rregulla për zbatimin e instrumenteve për drejtimin e zhvillimit sipas neneve 30–36 të ligjit, sipas rastit; </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vi. kushtet dhe rregullat teknike për zbatimin e infrastrukturave; </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vii. rregullat për distancat, përcaktimi i vijës së kuqe dhe, sipas rastit, vijës blu; </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viii. rregullat e mbrojtjes së mjedisit dhe peizazhit; </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ix. rregullat e ruajtjes së zonave, objekteve të trashëgimisë kulturore, sipas rastit; </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x. rregulla arkitektonike dhe estetike; </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 xml:space="preserve">xi. rregulla për përshtatjen e hapësirave për personat me aftësi të kufizuara; </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xii. informacionin gjeohapësinor të integruar në platformën GIS;</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xiii. Raportin se si parashikimet e dokumentit ndikojnë në mjedis.</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p>
    <w:p w:rsidR="00C66553" w:rsidRPr="000C348D" w:rsidRDefault="00C66553" w:rsidP="00C66553">
      <w:pPr>
        <w:tabs>
          <w:tab w:val="left" w:pos="4040"/>
        </w:tabs>
        <w:autoSpaceDE w:val="0"/>
        <w:autoSpaceDN w:val="0"/>
        <w:adjustRightInd w:val="0"/>
        <w:spacing w:after="0" w:line="240" w:lineRule="auto"/>
        <w:ind w:firstLine="284"/>
        <w:jc w:val="center"/>
        <w:rPr>
          <w:rFonts w:ascii="Garamond" w:hAnsi="Garamond" w:cs="Times New Roman"/>
          <w:sz w:val="24"/>
          <w:szCs w:val="24"/>
          <w:lang w:val="sq-AL"/>
        </w:rPr>
      </w:pPr>
      <w:r w:rsidRPr="000C348D">
        <w:rPr>
          <w:rFonts w:ascii="Garamond" w:hAnsi="Garamond" w:cs="Times New Roman"/>
          <w:sz w:val="24"/>
          <w:szCs w:val="24"/>
          <w:lang w:val="sq-AL"/>
        </w:rPr>
        <w:t>Neni 41/5</w:t>
      </w:r>
    </w:p>
    <w:p w:rsidR="00C66553" w:rsidRPr="000C348D" w:rsidRDefault="00C66553" w:rsidP="00C66553">
      <w:pPr>
        <w:tabs>
          <w:tab w:val="left" w:pos="4040"/>
        </w:tabs>
        <w:autoSpaceDE w:val="0"/>
        <w:autoSpaceDN w:val="0"/>
        <w:adjustRightInd w:val="0"/>
        <w:spacing w:after="0" w:line="240" w:lineRule="auto"/>
        <w:ind w:firstLine="284"/>
        <w:jc w:val="center"/>
        <w:rPr>
          <w:rFonts w:ascii="Garamond" w:hAnsi="Garamond" w:cs="Times New Roman"/>
          <w:b/>
          <w:sz w:val="24"/>
          <w:szCs w:val="24"/>
          <w:lang w:val="sq-AL"/>
        </w:rPr>
      </w:pPr>
      <w:r w:rsidRPr="000C348D">
        <w:rPr>
          <w:rFonts w:ascii="Garamond" w:hAnsi="Garamond" w:cs="Times New Roman"/>
          <w:b/>
          <w:sz w:val="24"/>
          <w:szCs w:val="24"/>
          <w:lang w:val="sq-AL"/>
        </w:rPr>
        <w:t>Miratimi dhe hyrja në fuqi e PDQ-së</w:t>
      </w:r>
    </w:p>
    <w:p w:rsidR="00C66553" w:rsidRPr="000C348D" w:rsidRDefault="00C66553" w:rsidP="00C66553">
      <w:pPr>
        <w:tabs>
          <w:tab w:val="left" w:pos="4040"/>
        </w:tabs>
        <w:autoSpaceDE w:val="0"/>
        <w:autoSpaceDN w:val="0"/>
        <w:adjustRightInd w:val="0"/>
        <w:spacing w:after="0" w:line="240" w:lineRule="auto"/>
        <w:ind w:firstLine="284"/>
        <w:jc w:val="center"/>
        <w:rPr>
          <w:rFonts w:ascii="Garamond" w:hAnsi="Garamond" w:cs="Times New Roman"/>
          <w:sz w:val="24"/>
          <w:szCs w:val="24"/>
          <w:lang w:val="sq-AL"/>
        </w:rPr>
      </w:pP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1. Autoriteti përgjegjës për miratimin e PDQ-së është Këshilli Kombëtar i Territorit dhe Ujit.</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2. Procesi i miratimit të PDQ-së bëhet në përputhje me përcaktimet e neneve 18/1 dhe 25 të ligjit.</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3. Vendimi i KKTU-së së bashku me dokumentacionin e plotë shoqërues botohet në regjistër dhe, në çdo rast, në faqen zyrtare të sekretariatit të KKTU-së dhe autoritetit përgjegjës për planifikimin, brenda 15 ditëve nga data e konfirmimit, në përputhje me pikën 4, të nenit 25 të ligjit.</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4. Dokumenti i PDQ-së dhe pjesët përbërëse të tij, subjekt miratimi, hyjnë në fuqi me botimin e plotë në regjistër të vendimit të KKTU-së dhe dokumenteve shoqëruese të tij, në përputhje me pikën 2, të nenit 56 të ligjit.</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5. Me hyrjen në fuqi të PDQ-së, njësitë e vetëqeverisjes vendore marrin masa që dokumenti i PDQ-së të integrohet me planin e përgjithshëm vendor, duke ndjekur përcaktimet e kësaj rregulloreje.</w:t>
      </w:r>
    </w:p>
    <w:p w:rsidR="00C66553" w:rsidRPr="000C348D" w:rsidRDefault="00C66553" w:rsidP="00C66553">
      <w:pPr>
        <w:tabs>
          <w:tab w:val="left" w:pos="4040"/>
        </w:tabs>
        <w:autoSpaceDE w:val="0"/>
        <w:autoSpaceDN w:val="0"/>
        <w:adjustRightInd w:val="0"/>
        <w:spacing w:after="0" w:line="240" w:lineRule="auto"/>
        <w:ind w:firstLine="284"/>
        <w:jc w:val="center"/>
        <w:rPr>
          <w:rFonts w:ascii="Garamond" w:hAnsi="Garamond" w:cs="Times New Roman"/>
          <w:sz w:val="24"/>
          <w:szCs w:val="24"/>
          <w:lang w:val="sq-AL"/>
        </w:rPr>
      </w:pPr>
    </w:p>
    <w:p w:rsidR="00C66553" w:rsidRPr="000C348D" w:rsidRDefault="00C66553" w:rsidP="00C66553">
      <w:pPr>
        <w:tabs>
          <w:tab w:val="left" w:pos="4040"/>
        </w:tabs>
        <w:autoSpaceDE w:val="0"/>
        <w:autoSpaceDN w:val="0"/>
        <w:adjustRightInd w:val="0"/>
        <w:spacing w:after="0" w:line="240" w:lineRule="auto"/>
        <w:ind w:firstLine="284"/>
        <w:jc w:val="center"/>
        <w:rPr>
          <w:rFonts w:ascii="Garamond" w:hAnsi="Garamond" w:cs="Times New Roman"/>
          <w:sz w:val="24"/>
          <w:szCs w:val="24"/>
          <w:lang w:val="sq-AL"/>
        </w:rPr>
      </w:pPr>
      <w:r w:rsidRPr="000C348D">
        <w:rPr>
          <w:rFonts w:ascii="Garamond" w:hAnsi="Garamond" w:cs="Times New Roman"/>
          <w:sz w:val="24"/>
          <w:szCs w:val="24"/>
          <w:lang w:val="sq-AL"/>
        </w:rPr>
        <w:t>Neni 41/6</w:t>
      </w:r>
    </w:p>
    <w:p w:rsidR="00C66553" w:rsidRPr="000C348D" w:rsidRDefault="00C66553" w:rsidP="00C66553">
      <w:pPr>
        <w:tabs>
          <w:tab w:val="left" w:pos="4040"/>
        </w:tabs>
        <w:autoSpaceDE w:val="0"/>
        <w:autoSpaceDN w:val="0"/>
        <w:adjustRightInd w:val="0"/>
        <w:spacing w:after="0" w:line="240" w:lineRule="auto"/>
        <w:ind w:firstLine="284"/>
        <w:jc w:val="center"/>
        <w:rPr>
          <w:rFonts w:ascii="Garamond" w:hAnsi="Garamond" w:cs="Times New Roman"/>
          <w:b/>
          <w:sz w:val="24"/>
          <w:szCs w:val="24"/>
          <w:lang w:val="sq-AL"/>
        </w:rPr>
      </w:pPr>
      <w:r w:rsidRPr="000C348D">
        <w:rPr>
          <w:rFonts w:ascii="Garamond" w:hAnsi="Garamond" w:cs="Times New Roman"/>
          <w:b/>
          <w:sz w:val="24"/>
          <w:szCs w:val="24"/>
          <w:lang w:val="sq-AL"/>
        </w:rPr>
        <w:t>Zbatimi i PDQ-së</w:t>
      </w:r>
    </w:p>
    <w:p w:rsidR="00C66553" w:rsidRPr="000C348D" w:rsidRDefault="00C66553" w:rsidP="00C66553">
      <w:pPr>
        <w:tabs>
          <w:tab w:val="left" w:pos="4040"/>
        </w:tabs>
        <w:autoSpaceDE w:val="0"/>
        <w:autoSpaceDN w:val="0"/>
        <w:adjustRightInd w:val="0"/>
        <w:spacing w:after="0" w:line="240" w:lineRule="auto"/>
        <w:ind w:firstLine="284"/>
        <w:jc w:val="center"/>
        <w:rPr>
          <w:rFonts w:ascii="Garamond" w:hAnsi="Garamond" w:cs="Times New Roman"/>
          <w:sz w:val="24"/>
          <w:szCs w:val="24"/>
          <w:lang w:val="sq-AL"/>
        </w:rPr>
      </w:pP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1. Plani i Detajuar Qendror zbatohet nëpërmjet lejeve të zhvillimit dhe lejeve të ndërtimit, në zbatim të rregullores së tij.</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0C348D">
        <w:rPr>
          <w:rFonts w:ascii="Garamond" w:hAnsi="Garamond" w:cs="Times New Roman"/>
          <w:sz w:val="24"/>
          <w:szCs w:val="24"/>
          <w:lang w:val="sq-AL"/>
        </w:rPr>
        <w:t>2. Plani i Detajuar Qendror regjistrohet në regjistrin e pasurive të paluajtshme, si dhe shërben për ndarjen apo bashkimin e pasurive ekzistuese, si bazë për kryerjen e transaksioneve me pronën. Parcelat e reja që krijohen nga nënndarja dhe/ose bashkimi i parcelave ekzistuese janë objekt transaksioni, me kërkesë të zhvilluesit.</w:t>
      </w:r>
    </w:p>
    <w:p w:rsidR="00C66553" w:rsidRPr="000C348D" w:rsidRDefault="00C66553" w:rsidP="00C66553">
      <w:pPr>
        <w:tabs>
          <w:tab w:val="left" w:pos="4040"/>
        </w:tabs>
        <w:autoSpaceDE w:val="0"/>
        <w:autoSpaceDN w:val="0"/>
        <w:adjustRightInd w:val="0"/>
        <w:spacing w:after="0" w:line="240" w:lineRule="auto"/>
        <w:ind w:firstLine="284"/>
        <w:jc w:val="both"/>
        <w:rPr>
          <w:rFonts w:ascii="Garamond" w:eastAsia="MS Mincho" w:hAnsi="Garamond" w:cs="CG Times"/>
          <w:spacing w:val="-4"/>
          <w:sz w:val="24"/>
          <w:lang w:val="sq-AL"/>
        </w:rPr>
      </w:pPr>
      <w:r w:rsidRPr="000C348D">
        <w:rPr>
          <w:rFonts w:ascii="Garamond" w:hAnsi="Garamond" w:cs="Times New Roman"/>
          <w:sz w:val="24"/>
          <w:szCs w:val="24"/>
          <w:lang w:val="sq-AL"/>
        </w:rPr>
        <w:t>3. Lejet e ndërtimit, për ndërtime brenda zonës, për të cilën është hartuar PDQ-ja, jepen mbi bazën e këtij plani nga autoriteti përgjegjës, Këshilli Kombëtar i Territorit dhe i Ujit apo autoriteti vendor në rast delegimi kompetencash, në përputhje me shkronjën “a”, të nenit 29, të ligjit, dhe përcaktimeve të rregullores së zhvillimit, në zbatim të ligjit.</w:t>
      </w:r>
      <w:r w:rsidRPr="000C348D">
        <w:rPr>
          <w:rFonts w:ascii="Garamond" w:eastAsia="MS Mincho" w:hAnsi="Garamond" w:cs="CG Times"/>
          <w:spacing w:val="-4"/>
          <w:sz w:val="24"/>
          <w:lang w:val="sq-AL"/>
        </w:rPr>
        <w:t xml:space="preserve"> </w:t>
      </w:r>
    </w:p>
    <w:p w:rsidR="00CB1030" w:rsidRPr="000C348D" w:rsidRDefault="00CB1030" w:rsidP="00C66553">
      <w:pPr>
        <w:widowControl w:val="0"/>
        <w:spacing w:after="0" w:line="240" w:lineRule="auto"/>
        <w:jc w:val="both"/>
        <w:rPr>
          <w:rFonts w:ascii="Garamond" w:eastAsia="MS Mincho" w:hAnsi="Garamond" w:cs="CG Times"/>
          <w:spacing w:val="-4"/>
          <w:sz w:val="24"/>
          <w:lang w:val="sq-AL"/>
        </w:rPr>
      </w:pPr>
    </w:p>
    <w:p w:rsidR="00C66553" w:rsidRPr="000C348D" w:rsidRDefault="00C66553" w:rsidP="00C66553">
      <w:pPr>
        <w:widowControl w:val="0"/>
        <w:spacing w:after="0" w:line="240" w:lineRule="auto"/>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SEKSIONI 6</w:t>
      </w: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PLANI SEKTORIAL NË NIVEL QARKU</w:t>
      </w:r>
    </w:p>
    <w:p w:rsidR="00CB1030" w:rsidRPr="000C348D" w:rsidRDefault="00CB1030">
      <w:pPr>
        <w:widowControl w:val="0"/>
        <w:spacing w:after="0" w:line="240" w:lineRule="auto"/>
        <w:jc w:val="center"/>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42</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Objekti i PSNQ-së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Planet sektoriale në nivel qarku hartohen në zbatim të Planit të Përgjithshëm Kombëtar dhe/ose planeve kombëtare sektoriale.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Plani sektorial në nivel qarku mund të hartohet për të gjithë territorin administrativ të qarkut apo për pjesë të tij, në varësi të sektorit dhe interesit.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Planet sektoriale në nivel qarku, në funksion të sektorit apo sektorëve për të cilët hartohen, mund të kenë objekt: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bashkërendimin e punës, në nivelin e qarkut, për zbatimin e programeve dhe përcaktimeve që vijnë nga planet kombëtare;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balancimin e nevojave dhe interesave kombëtarë e vendorë për zhvillimet në nivelin e qarkut;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përcaktimin e një platforme dhe të drejtimeve strategjike të detyrueshme të zhvillimit në territor për njësinë përkatëse të qeverisjes dhe për planet e përgjithshme vendore të autoriteteve të nivelit bazë të qeverisjes vendore;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w:t>
      </w:r>
      <w:r w:rsidRPr="000C348D">
        <w:rPr>
          <w:rFonts w:ascii="Garamond" w:eastAsia="MS Mincho" w:hAnsi="Garamond" w:cs="CG Times"/>
          <w:spacing w:val="-4"/>
          <w:sz w:val="24"/>
          <w:lang w:val="sq-AL"/>
        </w:rPr>
        <w:tab/>
        <w:t>përcaktimin strategjik për rregullimin e përdorimeve të tokës sipas sistemeve territoriale;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planifikimin e programeve dhe masave për të garantuar mbrojtjen e mjedisit, zhvillimin e qëndrueshëm të burimeve natyrore, të tokës së kultivueshme, peizazheve dhe hapësirave të gjelbra;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dh) rregullimin e vendndodhjes dhe programeve për infrastrukturat publike e servitutet publike, sipas legjislacionit në fuqi;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e) rregullimin e ruajtjes, përdorimit dhe, sipas rastit, mbarështimit të zonave të mbrojtura natyrore dhe historike, sipas kërkesave të legjislacionit në fuqi.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Plani sektorial në nivel qarku, teksa hartohet e zbatohet duhet të ndjekë parimet e planifikimit si një proces pune në vazhdimësi.</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43</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Autoriteti përgjegjës për hartimin e PSNQ-së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Planet sektoriale në nivel qarku hartohen nga Këshilli i Qarkut në përputhje me pikën 1, të nenit 11,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Procesi i hartimit të PSNQ-së koordinohet nga kryetari i Këshillit të Qarkut, i cili, në këtë rast, është autoriteti përgjegjës për hartimin e planit.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Procesi i hartimit të PSNQ-së bashkërendohet me ministrinë që mbulon sektorin apo ministritë nëse plani hartohet për disa sektorë paralelisht.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Plani i veprimeve për hartimin e PSNQ-së zbatohet nga grupi i punës i ngritur sipas rastit me urdhër të kryetarit të Këshillit të Qarkut.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lastRenderedPageBreak/>
        <w:t>5. Plani sektorial në nivel qarku hartohet nga grupe pune me specialistë të institucioneve publike, me ekspertë të fushave të ndryshme, vendës apo edhe të huaj.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6. Këshilli i Qarkut dhe ministria apo ministritë që mbulojnë sektorët, për të cilët hartohet plani, janë pjesë e grupit të punës.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7. Agjencia është në çdo rast pjesë e grupit të punës.</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44</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Hartimi, këshillimi dhe bashkërendimi i PSNQ-së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Hartimi i PSNQ-së nis me ndërmarrjen e nismës dhe miratimin e saj nga Këshilli i Qarkut.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Hartimi i PSNQ-së kryhet në disa faza, në përputhje me përgatitjen e dokumenteve përbërëse të tij: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Faza përgatitore: Hartimi i nismës dhe përgatitja e bazës të të dhënave fillestare për hartimin e tij;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Faza I: Analiza e sektorit/territorit;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Faza II: Hartimi i strategjisë sektoriale dhe vizionit të zhvillimit të sektorit;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Faza III: Hartimi i planit të zhvillimit të sektorit, rregullores së zbatimit të tij;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Gjatë fazave II dhe III hartohet paralelisht edhe Vlerësimi Strategjik Mjedisor për PSNQ-në.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Në përfundim të secilës fazë, autoriteti përgjegjës për hartimin e PSNQ-së boton materialin e përgatitur në Regjistrin Kombëtar të Planifikimit të Territorit, për të cilin Agjencia duhet të kryejë një vlerësim teknik dhe të japë konfirmimin për kalimin në fazën pasardhëse, me përjashtim të fazës përgatitore për të cilën jep rekomandime të mundshme, në përputhje me pikën 5, të nenit 4, të kësaj rregullore.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PSNQ këshillohet nëpërmjet: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a) botimit të dokumenteve në Regjistrin Kombëtar të Planifikimit të Territorit;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b) informimit të palëve të interesuara nëpërmjet një a më shumë mjeteve tradicionale të informimit;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organizimit të së paku dy dëgjesave publike, përkatësisht në fazat II dhe III të hartimit të tij, në përputhje me nenin 8 të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5. PSNQ-ja bashkërendohet nëpërmjet Forumit të Bashkërendimit të Planifikimit në nivel vendor, në përputhje me nenin 5 të kësaj rregulloreje. Agjencia organizon së paku dy takime të FBPV-së, përkatësisht në fazat II dhe III të hartimit të PSNQ-së, pas mbajtjes së dëgjesave publike nga autoriteti përgjegjës për PSNQ-në.</w:t>
      </w:r>
    </w:p>
    <w:p w:rsidR="008058C5" w:rsidRPr="000C348D" w:rsidRDefault="008058C5">
      <w:pPr>
        <w:widowControl w:val="0"/>
        <w:spacing w:after="0" w:line="240" w:lineRule="auto"/>
        <w:ind w:firstLine="284"/>
        <w:jc w:val="both"/>
        <w:rPr>
          <w:rFonts w:ascii="Garamond" w:eastAsia="MS Mincho" w:hAnsi="Garamond" w:cs="CG Times"/>
          <w:spacing w:val="-4"/>
          <w:sz w:val="2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45</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Nisma për hartimin e PSNQ-së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Procesit të punës për PSNQ-në i paraprin ndërmarrja e nismës për hartimin e tij.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Ndërmarrja e nismës kryhet sipas përcaktimeve të mëposhtme:</w:t>
      </w:r>
    </w:p>
    <w:p w:rsidR="00CB1030" w:rsidRPr="000C348D" w:rsidRDefault="00EB70B8" w:rsidP="008058C5">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Autoriteti përgjegjës për ndërmarrjen dhe hartimin e nismës është kryetari i Këshillit i Qarkut.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Autoriteti përgjegjës për miratimin e nismës është Këshilli i Qarkut.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c) Nisma e miratuar në Këshillin e Qarkut duhet të konfirmohet edhe nga </w:t>
      </w:r>
      <w:r w:rsidR="001B2F60" w:rsidRPr="000C348D">
        <w:rPr>
          <w:rFonts w:ascii="Garamond" w:hAnsi="Garamond" w:cs="Times New Roman"/>
          <w:sz w:val="24"/>
          <w:szCs w:val="24"/>
          <w:lang w:val="sq-AL"/>
        </w:rPr>
        <w:t>Këshilli Kombëtar i Territorit dhe Ujit</w:t>
      </w:r>
      <w:r w:rsidRPr="000C348D">
        <w:rPr>
          <w:rFonts w:ascii="Garamond" w:eastAsia="MS Mincho" w:hAnsi="Garamond" w:cs="CG Times"/>
          <w:spacing w:val="-4"/>
          <w:sz w:val="24"/>
          <w:lang w:val="sq-AL"/>
        </w:rPr>
        <w:t>, nëse përcakton pezullimin e zhvillimit për të gjithë ose një pjesë të territorit administrativ të qarkut.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Nisma për hartimin e PSQN-së përmban: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analizën, e cila përcakton qëllimin dhe nevojën për hartim ose rishqyrtim të dokumentit të planifikimit;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kufijtë e territorit që mbulon dokumenti i planifikimit;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planin e veprimeve për hartimin e dokumentit të PSNQ-së;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listën e dokumenteve përbërëse të PSNQ-së;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ekspertët (fushat e ekspertizës) që do të përbëjnë grupin e punës që do të hartojnë PSQN-në;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dh)</w:t>
      </w:r>
      <w:r w:rsidRPr="000C348D">
        <w:rPr>
          <w:rFonts w:ascii="Garamond" w:eastAsia="MS Mincho" w:hAnsi="Garamond" w:cs="CG Times"/>
          <w:spacing w:val="-4"/>
          <w:sz w:val="24"/>
          <w:lang w:val="sq-AL"/>
        </w:rPr>
        <w:tab/>
        <w:t>përcaktime për procesin e bashkërendimit, këshillimit dhe takimeve publike dhe afatet përkatëse;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e) buxhetin për hartimin e PSQN-së;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ë) sipas rastit, vendimin për pezullimin e zhvillimit për të gjithë ose një pjesë të territorit, sipas nenit 33 </w:t>
      </w:r>
      <w:r w:rsidRPr="000C348D">
        <w:rPr>
          <w:rFonts w:ascii="Garamond" w:eastAsia="MS Mincho" w:hAnsi="Garamond" w:cs="CG Times"/>
          <w:spacing w:val="-4"/>
          <w:sz w:val="24"/>
          <w:lang w:val="sq-AL"/>
        </w:rPr>
        <w:lastRenderedPageBreak/>
        <w:t>të ligjit, të shoqëruar me hartën përkatëse.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Nisma duhet të bëhet publike dhe të botohet në regjistër nga autoriteti përgjegjës: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a) Vendimi i kryetarit të Këshillit të Qarkut për marrjen e nismës botohet në regjistër, brenda 10 (dhjetë) ditëve nga data e marrjes së nismës, sipas pikave 1 dhe 4, të nenit 56, të ligjit.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b) Vendimi i kryetarit të Këshillit të Qarkut për marrjen e nismës bëhet publik edhe nëpërmjet një ose disa mjeteve të tjera të informimit.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5. Në rastet kur nismën duhet ta konfirmojë edhe </w:t>
      </w:r>
      <w:r w:rsidR="00680C3C" w:rsidRPr="000C348D">
        <w:rPr>
          <w:rFonts w:ascii="Garamond" w:hAnsi="Garamond" w:cs="Times New Roman"/>
          <w:sz w:val="24"/>
          <w:szCs w:val="24"/>
          <w:lang w:val="sq-AL"/>
        </w:rPr>
        <w:t>KKTU</w:t>
      </w:r>
      <w:r w:rsidR="00680C3C"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 xml:space="preserve">-ja (kur nisma përcakton pezullimin e zhvillimit), hyrja në fuqi e vendimit të </w:t>
      </w:r>
      <w:r w:rsidR="00680C3C" w:rsidRPr="000C348D">
        <w:rPr>
          <w:rFonts w:ascii="Garamond" w:hAnsi="Garamond" w:cs="Times New Roman"/>
          <w:sz w:val="24"/>
          <w:szCs w:val="24"/>
          <w:lang w:val="sq-AL"/>
        </w:rPr>
        <w:t>KKTU</w:t>
      </w:r>
      <w:r w:rsidR="00680C3C"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 xml:space="preserve">-së për miratimin e nismës bëhet pas botimit të vendimit në regjistër nga sekretariati i </w:t>
      </w:r>
      <w:r w:rsidR="00680C3C" w:rsidRPr="000C348D">
        <w:rPr>
          <w:rFonts w:ascii="Garamond" w:hAnsi="Garamond" w:cs="Times New Roman"/>
          <w:sz w:val="24"/>
          <w:szCs w:val="24"/>
          <w:lang w:val="sq-AL"/>
        </w:rPr>
        <w:t>KKTU</w:t>
      </w:r>
      <w:r w:rsidR="00680C3C"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 xml:space="preserve">-së: </w:t>
      </w:r>
    </w:p>
    <w:p w:rsidR="00CB1030" w:rsidRPr="000C348D" w:rsidRDefault="00EB70B8" w:rsidP="008058C5">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a) Vendimi i </w:t>
      </w:r>
      <w:r w:rsidR="00680C3C" w:rsidRPr="000C348D">
        <w:rPr>
          <w:rFonts w:ascii="Garamond" w:hAnsi="Garamond" w:cs="Times New Roman"/>
          <w:sz w:val="24"/>
          <w:szCs w:val="24"/>
          <w:lang w:val="sq-AL"/>
        </w:rPr>
        <w:t>KKTU</w:t>
      </w:r>
      <w:r w:rsidR="00680C3C"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 xml:space="preserve">-së për miratimin e nismës, së bashku me dokumentin e nismës botohen në regjistër brenda 10 (dhjetë) ditëve nga data e miratimit, sipas pikave 1 dhe 4, të nenit 56, të ligjit.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b) Vendimi i </w:t>
      </w:r>
      <w:r w:rsidR="00BF1369" w:rsidRPr="000C348D">
        <w:rPr>
          <w:rFonts w:ascii="Garamond" w:hAnsi="Garamond" w:cs="Times New Roman"/>
          <w:sz w:val="24"/>
          <w:szCs w:val="24"/>
          <w:lang w:val="sq-AL"/>
        </w:rPr>
        <w:t>KKTU</w:t>
      </w:r>
      <w:r w:rsidR="00BF1369"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 xml:space="preserve">-së dhe dokumenti i nismës bëhen publike në faqen zyrtare të sekretariatit të </w:t>
      </w:r>
      <w:r w:rsidR="00680C3C" w:rsidRPr="000C348D">
        <w:rPr>
          <w:rFonts w:ascii="Garamond" w:hAnsi="Garamond" w:cs="Times New Roman"/>
          <w:sz w:val="24"/>
          <w:szCs w:val="24"/>
          <w:lang w:val="sq-AL"/>
        </w:rPr>
        <w:t>KKTU</w:t>
      </w:r>
      <w:r w:rsidR="00680C3C"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-së, autoritetit përgjegjës për planifikimin dhe Agjencisë.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46</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Përmbajtja e PSNQ-së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Plani sektorial në nivel qarku përmban të paktën këto dokumente: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Analizën dhe vlerësimin e sektorit, ku përfshihen: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Analiza e dokumenteve të planifikimit pararendëse dhe legjislacionit, si: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analiza e dokumenteve të planifikimit, të hartuara më parë për territorin në të gjitha nivelet, përfshirë zbatueshmërinë e tyre dhe çështje që duhet të vlerësohen gjatë hartimit të planit të ri;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analiza e legjislacionit sektorial që prek territorin; çështjet, zonat dhe/ose objektet e rëndësisë kombëtare që ndodhen në territorin e njësisë së qeverisjes vendore dhe kufizimet që rrjedhin prej tyre.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Analiza e përgjithshme e sektorit, si: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Analiza dhe vlerësimi i pozicionimit strategjik të territorit, subjekt i PSNQ-së, në raport me rajonin ku ajo shtrihet, në aspektin e zhvillimeve të sektorit përkatës;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analiza e përgjithshme e gjendjes së zhvillimit të sektorit e territorit të ndikuar prej tij;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iii) analiza metabolike e flukseve kryesore me rëndësi për sektorin në territor.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Përmbledhja dhe paraqitja e elementeve përjashtuese dhe kufizimeve që rrjedhin nga vlerësimet e mësipërme për zhvillimin e sektorit në territor.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Analiza e përdorimit të tokës, si: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leximi i territorit në bazë të 5 sistemeve: urban, natyror, bujqësor, ujor dhe infrastrukturor;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analiza e gjendjes ekzistuese së infrastrukturave me ndikim në zhvillimin e sektorit përkatës.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Analiza socioekonomike me rëndësi për sektorin.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dh) Hartat shoqëruese për pikat e mësipërme.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Strategjinë sektoriale, ku përfshihen: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Parashikimet e detyrueshme që rrjedhin nga PPKT-ja dhe PKS-ja në fuqi, me ndikim në sektor/territor.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Përmbledhja e gjetjeve të vlerësimit të gjendjes ekzistuese të territorit dhe identifikimi i çështjeve, për të cilat PSNQ-ja duhet të propozojë zgjidhje dhe masa konkrete.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Formulimi i skenarëve të mundshëm të zhvillimit, bazuar në alternimin e kushteve të zhvillimit, sipas të dhënave aktuale dhe atyre të pritshme të sektorit, për të cilin hartohet plani.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Vizioni i zhvillimit të sektorit në territor.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Objektivat strategjikë për zhvillimin e sektorit;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dh) Drejtimet për zhvillimin e sektorit.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e) Programet dhe projektet e zhvillimit.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ë) Projektet pilot të zhvillimit, shoqëruar me skedat përkatëse me detajet e vendndodhjes, tipologjisë, qëllimit kryesor dhe rëndësia, përfituesit, përgjegjësit, me koston e përafërt, veprimet për implementimin e tij, afatet dhe kohëzgjatjen.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f) Planin e veprimeve për realizimin e programeve e projekteve, përfshirë prioritetin dhe fazat kohore </w:t>
      </w:r>
      <w:r w:rsidRPr="000C348D">
        <w:rPr>
          <w:rFonts w:ascii="Garamond" w:eastAsia="MS Mincho" w:hAnsi="Garamond" w:cs="CG Times"/>
          <w:spacing w:val="-4"/>
          <w:sz w:val="24"/>
          <w:lang w:val="sq-AL"/>
        </w:rPr>
        <w:lastRenderedPageBreak/>
        <w:t>të realizimit, burimet njerëzore dhe financiare, ndryshimet e nevojshme institucionale dhe ligjore, treguesit monitorues të zbatimit.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g) Hartat shoqëruese për pikat e mësipërme.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Planin e zhvillimit të sektorit/territorit, me përmbajtje në varësi të sektorit, si: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Planin e propozimeve sektoriale/territoriale, ku përfshihen: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strukturimi i territorit sipas pesë sistemeve, duke evidentuar ndryshimet mbi gjendjen ekzistuese;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strukturimi i territorit të secilit prej pesë sistemeve në zona;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iii) në varësi të sektorit, propozimi i përdorimit të tokës, sipas kategorive dhe/ose nënkategorive;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iv) propozime për zonat e rëndësisë kombëtare, sipas legjislacionit të planifikimit dhe atij sektorial, duke ndjekur përcaktimet e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 përcaktimi i zonave kryesore të zhvillimit të sektorit.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Planin e shërbimeve dhe infrastrukturave në varësi të sektorit.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Planin e mbrojtjes së mjedisit, i cili përmban: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parashikimet për mbrojtjen e peizazhit;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parashikimet për përmirësimin e cilësisë së ujit dhe mbrojtjen e trupave ujorë;</w:t>
      </w:r>
    </w:p>
    <w:p w:rsidR="00CB1030" w:rsidRPr="000C348D" w:rsidRDefault="00EB70B8" w:rsidP="008058C5">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iii) parashikimet për përmirësimin e cilësisë së ajrit;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iv) parashikimet për shtimin dhe/ose zgjerimin e hapësirave të gjelbra;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 parashikimet për zgjidhjen e problematikës mjedisore dhe vatrave të evidentuara, sipas rastit.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Planin e veprimeve për zbatimin e PSNQ-së, i cili përmban: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përcaktimet për zbatimin e infrastrukturave publike dhe projekteve strategjike e pilot, sipas prioritetit dhe fazave kohore;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nevojat për ndryshime në kuadrin ligjor dhe administrativ në nivel vendor, që të mundësohet zbatimi i planit;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iii) indikatorët për monitorimin dhe udhëzime për vlerësimin e zbatimit të PSNQ-së.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Hartat shoqëruese për pikat e mësipërme.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Rregulloren e planit, ku përfshihen: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Përkufizimet e termave dhe shpjegime të nevojshme;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Rregullat e kushtet e përgjithshme për zhvillimin e sektorit që duhet të zbatohen nga autoritete të tjera planifikimi e zhvillimi të territorit;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Rregullat për çdo zonë të përcaktuar për zhvillimin e sektorit, sipas rastit dhe në varësi të sektorit;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Rregullat për infrastrukturën, sipas rastit dhe në varësi të sektorit;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Rregullat për ruajtjen e mjedisit, peizazhit, burimeve natyrore dhe objekteve të trashëgimisë kulturore.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5. Vlerësimin Strategjik Mjedisor, sipas legjislacionit të posaçëm në fuqi.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6. Informacionin e plotë gjeohapësinor për sektorin/territorin të integruar në platformën GIS, sipas standardeve të Regjistrit Kombëtar të Planifikimit të Territorit.</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47</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Miratimi i PSNQ-së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Procesi i miratimit të plani sektorial në nivel qarku (PSNQ) bëhet në përputhje me përcaktimet e nenit 25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Procesi i miratimit të planit përmban të paktën këta hapa: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lëshimin e aktit të përputhshmërisë nga Agjencia;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miratimin e dokumentit të planit në Këshillin e Qarkut;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c) paraqitjen e kërkesës së autoritetit përgjegjës për shqyrtim dhe miratim të planit në </w:t>
      </w:r>
      <w:r w:rsidR="00680C3C" w:rsidRPr="000C348D">
        <w:rPr>
          <w:rFonts w:ascii="Garamond" w:hAnsi="Garamond" w:cs="Times New Roman"/>
          <w:sz w:val="24"/>
          <w:szCs w:val="24"/>
          <w:lang w:val="sq-AL"/>
        </w:rPr>
        <w:t>KKTU</w:t>
      </w:r>
      <w:r w:rsidRPr="000C348D">
        <w:rPr>
          <w:rFonts w:ascii="Garamond" w:eastAsia="MS Mincho" w:hAnsi="Garamond" w:cs="CG Times"/>
          <w:spacing w:val="-4"/>
          <w:sz w:val="24"/>
          <w:lang w:val="sq-AL"/>
        </w:rPr>
        <w: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ç) vendimmarrjen e </w:t>
      </w:r>
      <w:r w:rsidR="00680C3C" w:rsidRPr="000C348D">
        <w:rPr>
          <w:rFonts w:ascii="Garamond" w:hAnsi="Garamond" w:cs="Times New Roman"/>
          <w:sz w:val="24"/>
          <w:szCs w:val="24"/>
          <w:lang w:val="sq-AL"/>
        </w:rPr>
        <w:t>KKTU</w:t>
      </w:r>
      <w:r w:rsidR="00680C3C"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Materialet që dorëzohen/botohen për miratimin e dokumentit të planifikimit janë: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nisma e miratuar;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dokumenti i plotë i PSNQ-së;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akti i përputhshmërisë nga Agjencia ose deklarata e përputhshmërisë në heshtje;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lastRenderedPageBreak/>
        <w:t>ç)</w:t>
      </w:r>
      <w:r w:rsidRPr="000C348D">
        <w:rPr>
          <w:rFonts w:ascii="Garamond" w:eastAsia="MS Mincho" w:hAnsi="Garamond" w:cs="CG Times"/>
          <w:spacing w:val="-4"/>
          <w:sz w:val="24"/>
          <w:lang w:val="sq-AL"/>
        </w:rPr>
        <w:tab/>
        <w:t>deklarata mjedisore për Vlerësimin Strategjik Mjedisor, referuar legjislacionit të posaçëm në fuqi.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Pas botimit në regjistër të dokumentit të plotë të PSNQ-së, autoriteti përgjegjës bën kërkesën për marrjen e aktit të përputhshmërisë nga Agjencia.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5. Shqyrtimi i dokumentit të planit realizohet sipas këtyre përcaktimeve: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a) Agjencia shqyrton përputhshmërinë e dokumentacionit të PSNQ-së brenda 30 (tridhjetë) ditëve nga data e paraqitjes për shqyrtim përputhshmërie të dokumentacionit të plotë.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Në përfundim të periudhës 30-ditore të shqyrtimit të përputhshmërisë, Agjencia harton dhe boton në regjistër raportin e vlerësimit teknik të PSNQ-së dhe aktin e përputhshmërisë, sipas rastit.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c) Agjencia e përsërit procesin e shqyrtimit të përputhshmërisë së dokumentit të planit dhe hartimin e raportit të vlerësimit teknik, në rast se dokumenti i planit rishikohet/përmirësohet nga autoriteti përgjegjës, deri në arritjen e përputhshmërisë.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w:t>
      </w:r>
      <w:r w:rsidRPr="000C348D">
        <w:rPr>
          <w:rFonts w:ascii="Garamond" w:eastAsia="MS Mincho" w:hAnsi="Garamond" w:cs="CG Times"/>
          <w:spacing w:val="-4"/>
          <w:sz w:val="24"/>
          <w:lang w:val="sq-AL"/>
        </w:rPr>
        <w:tab/>
        <w:t>Në rast të moszbatimit të afateve të mësipërme, autoriteti kërkues njofton Agjencinë për mosrespektimin e afatit dhe regjistri lëshon deklaratën e përputhshmërisë në heshtje.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6. Rishikimi/përmirësimi i dokumentit dhe reflektimi i vërejtjeve të Agjencisë realizohen sipas këtyre përcaktimeve: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Pas botimit në regjistër të raportit të vlerësimit teknik të PSNQ-së nga Agjencia, autoriteti përgjegjës duhet të rishikojë/të përmirësojë dokumentin e planit për të reflektuar vërejtjet dhe sugjerimet, nëse ka të tilla.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Autoriteti përgjegjës riboton dokumentin e plotë të planit me vërejtjet dhe sugjerimet e reflektuara, shoqëruar me raportin e ndryshimeve.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7. Pas botimit në regjistër të materialeve të plota të PSNQ-së, sipas pikës 3 të këtij neni, autoriteti përgjegjës bën kërkesën për shqyrtimin dhe miratimin e dokumentit të planifikimit në </w:t>
      </w:r>
      <w:r w:rsidR="00680C3C" w:rsidRPr="000C348D">
        <w:rPr>
          <w:rFonts w:ascii="Garamond" w:hAnsi="Garamond" w:cs="Times New Roman"/>
          <w:sz w:val="24"/>
          <w:szCs w:val="24"/>
          <w:lang w:val="sq-AL"/>
        </w:rPr>
        <w:t>KKTU</w:t>
      </w:r>
      <w:r w:rsidRPr="000C348D">
        <w:rPr>
          <w:rFonts w:ascii="Garamond" w:eastAsia="MS Mincho" w:hAnsi="Garamond" w:cs="CG Times"/>
          <w:spacing w:val="-4"/>
          <w:sz w:val="24"/>
          <w:lang w:val="sq-AL"/>
        </w:rPr>
        <w: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8. Plani sektorial në nivel qarku (PSNQ) miratohet nga </w:t>
      </w:r>
      <w:r w:rsidR="00680C3C" w:rsidRPr="000C348D">
        <w:rPr>
          <w:rFonts w:ascii="Garamond" w:hAnsi="Garamond" w:cs="Times New Roman"/>
          <w:sz w:val="24"/>
          <w:szCs w:val="24"/>
          <w:lang w:val="sq-AL"/>
        </w:rPr>
        <w:t>KKTU</w:t>
      </w:r>
      <w:r w:rsidR="00680C3C"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-ja në përputhje me nenin 25 të ligjit. Baza e gjykimit për vendimmarrjen mbi miratimin e PSNQ-së përbëhet nga dokumentet e përmendura në pikën 3 të këtij neni.</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48</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Hyrja në fuqi e PSNQ-së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1. Dokumenti i planit sektorial në nivel qarku (PSNQ) hyn në fuqi me botimin e plotë në regjistër të vendimit të </w:t>
      </w:r>
      <w:r w:rsidR="00680C3C" w:rsidRPr="000C348D">
        <w:rPr>
          <w:rFonts w:ascii="Garamond" w:hAnsi="Garamond" w:cs="Times New Roman"/>
          <w:sz w:val="24"/>
          <w:szCs w:val="24"/>
          <w:lang w:val="sq-AL"/>
        </w:rPr>
        <w:t>KKTU</w:t>
      </w:r>
      <w:r w:rsidR="00680C3C"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-së dhe dokumenteve shoqëruese të tij, në përputhje me pikën 2, të nenit 56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2. Vendimi i </w:t>
      </w:r>
      <w:r w:rsidR="00680C3C" w:rsidRPr="000C348D">
        <w:rPr>
          <w:rFonts w:ascii="Garamond" w:hAnsi="Garamond" w:cs="Times New Roman"/>
          <w:sz w:val="24"/>
          <w:szCs w:val="24"/>
          <w:lang w:val="sq-AL"/>
        </w:rPr>
        <w:t>KKTU</w:t>
      </w:r>
      <w:r w:rsidR="00680C3C"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 xml:space="preserve">-së botohet në regjistër dhe, në çdo rast edhe në faqen zyrtare të sekretariatit të </w:t>
      </w:r>
      <w:r w:rsidR="00680C3C" w:rsidRPr="000C348D">
        <w:rPr>
          <w:rFonts w:ascii="Garamond" w:hAnsi="Garamond" w:cs="Times New Roman"/>
          <w:sz w:val="24"/>
          <w:szCs w:val="24"/>
          <w:lang w:val="sq-AL"/>
        </w:rPr>
        <w:t>KKTU</w:t>
      </w:r>
      <w:r w:rsidR="00680C3C"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-së, autoritetit përgjegjës për planifikimin dhe Agjencisë, brenda 15 (pesëmbëdhjetë) ditëve nga data e miratimit, në përputhje me pikën 4, të nenit 25 të ligjit.</w:t>
      </w:r>
      <w:r w:rsidR="00680C3C" w:rsidRPr="000C348D">
        <w:rPr>
          <w:rFonts w:ascii="Garamond" w:eastAsia="MS Mincho" w:hAnsi="Garamond" w:cs="CG Times"/>
          <w:spacing w:val="-4"/>
          <w:sz w:val="24"/>
          <w:lang w:val="sq-AL"/>
        </w:rPr>
        <w:t xml:space="preserve"> </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49</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Zbatimi dhe monitorimi i zbatimit të PSNQ-së</w:t>
      </w:r>
    </w:p>
    <w:p w:rsidR="00CB1030" w:rsidRPr="000C348D" w:rsidRDefault="00CB1030">
      <w:pPr>
        <w:widowControl w:val="0"/>
        <w:spacing w:after="0" w:line="240" w:lineRule="auto"/>
        <w:ind w:firstLine="284"/>
        <w:jc w:val="both"/>
        <w:rPr>
          <w:rFonts w:ascii="Garamond" w:eastAsia="MS Mincho" w:hAnsi="Garamond" w:cs="CG Times"/>
          <w:spacing w:val="-4"/>
          <w:sz w:val="2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Monitorimi i zbatimit të PSNQ-së bëhet nga autoriteti përgjegjës për hartimin e planit, në përputhje me pikën 1, të nenit 10 të ligjit, si dhe nga Agjencia, në përputhje me pikën 2, të nenit 10 të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Monitorimi i zbatimit të planit bëhet mbi bazën e planit të veprimeve dhe dokumentit të indikatorëve të monitorimit, të miratuar si pjesë përbërëse e dokumentit të planit, duke vlerësuar periodikisht programet buxhetore afatmesme dhe realizimin e investimeve të parashikuara.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Plani sektorial në nivel qarku zbatohet nëpërmjet planeve të përgjithshme vendore dhe planeve sektoriale në nivel bashkie, si edhe projekteve pilot e investimeve kapitale/strategjike sipas planit të veprimeve dhe rregullores së tij.</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SEKSIONI 7</w:t>
      </w: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PLANI I PËRGJITHSHËM VENDOR</w:t>
      </w:r>
    </w:p>
    <w:p w:rsidR="00CB1030" w:rsidRPr="000C348D" w:rsidRDefault="00CB1030">
      <w:pPr>
        <w:widowControl w:val="0"/>
        <w:spacing w:after="0" w:line="240" w:lineRule="auto"/>
        <w:jc w:val="center"/>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50</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lastRenderedPageBreak/>
        <w:t>Objekti i PPV-së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Plani i Përgjithshëm Vendor përcakton kuadrin referues të detyrueshëm për mbrojtjen dhe përdorimin e territorit administrativ të njësisë së qeverisjes vendore (bashkisë).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Objektivat e PPV-së janë objektivat e përcaktuar në nenin 20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Plani i Përgjithshëm Vendor, teksa hartohet e zbatohet, duhet të ndjekë parimet e planifikimit si një proces pune në vazhdimësi.</w:t>
      </w:r>
    </w:p>
    <w:p w:rsidR="00CB1030" w:rsidRPr="000C348D" w:rsidRDefault="00CB1030" w:rsidP="008058C5">
      <w:pPr>
        <w:widowControl w:val="0"/>
        <w:spacing w:after="0" w:line="240" w:lineRule="auto"/>
        <w:rPr>
          <w:rFonts w:ascii="Garamond" w:eastAsia="MS Mincho" w:hAnsi="Garamond" w:cs="CG Times"/>
          <w:spacing w:val="-4"/>
          <w:sz w:val="2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51</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Autoriteti përgjegjës për hartimin e PPV-së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Autoriteti përgjegjës për hartimin e PPV-së është kryetari i njësisë së qeverisjes vendore.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Plani i veprimeve për hartimin e PPV-së ndiqet nga grupi i punës për hartimin e planit, i caktuar nga kryetari i bashkisë, me përbërje stafin teknik të bashkisë dhe sipas rastit ekspertë teknikë të jashtëm, përftuar nga një proces konkurrimi publik apo nëpërmjet një mbështetjeje tjetër financiare, sipas rastit.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Plani i Përgjithshëm Vendor (PPV) hartohet nga grupi i punës me specialistë të njësisë vendore, institucioneve publike në varësi të njësisë vendore, me ekspertë të fushave të ndryshme, të cilët mund të jenë vendës apo edhe të huaj. Grupi i punës duhet të ketë në përbërjen e tij, të paktën, specialistë të këtyre fushave: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të planifikimit të territorit;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të planifikimit të transportit;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të informacionit gjeohapësinor;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të ekonomisë urbane;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të horti/agrikulturës;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dh) të mjedisit;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e) të hidrologjisë/hidrogjeologjisë;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ë) të trashëgimisë kulturore;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f) të fushës juridike, të specializuar në çështje të planifikimit të territorit.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Një përfaqësues i Agjencisë mbështet grupin e punës gjatë gjithë procesit të hartimit dhe të miratimit në zbatimin e procedurave për hartimin e PPV-së, sipas parashikimeve të ligjit dhe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5. Plani konsultohet rregullisht me Forumin Këshillimor Vendor, i cili, nëse nuk ekziston pranë njësisë vendore, duhet të formohet me angazhimin e posaçëm të kryetarit të njësisë dhe organizatave jofitimprurëse që operojnë brenda njësisë.</w:t>
      </w:r>
    </w:p>
    <w:p w:rsidR="00CB1030" w:rsidRPr="000C348D" w:rsidRDefault="00CB1030" w:rsidP="008058C5">
      <w:pPr>
        <w:widowControl w:val="0"/>
        <w:spacing w:after="0" w:line="240" w:lineRule="auto"/>
        <w:rPr>
          <w:rFonts w:ascii="Garamond" w:eastAsia="MS Mincho" w:hAnsi="Garamond" w:cs="CG Times"/>
          <w:spacing w:val="-4"/>
          <w:sz w:val="2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52</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Hartimi, këshillimi dhe bashkërendimi i PPV-së</w:t>
      </w:r>
    </w:p>
    <w:p w:rsidR="00CB1030" w:rsidRPr="000C348D" w:rsidRDefault="00EB70B8">
      <w:pPr>
        <w:widowControl w:val="0"/>
        <w:spacing w:after="0" w:line="240" w:lineRule="auto"/>
        <w:jc w:val="center"/>
        <w:rPr>
          <w:rFonts w:ascii="Garamond" w:eastAsia="MS Mincho" w:hAnsi="Garamond" w:cs="CG Times"/>
          <w:i/>
          <w:spacing w:val="-4"/>
          <w:sz w:val="24"/>
          <w:lang w:val="sq-AL"/>
        </w:rPr>
      </w:pPr>
      <w:r w:rsidRPr="000C348D">
        <w:rPr>
          <w:rFonts w:ascii="Garamond" w:eastAsia="MS Mincho" w:hAnsi="Garamond" w:cs="CG Times"/>
          <w:i/>
          <w:spacing w:val="-4"/>
          <w:sz w:val="24"/>
          <w:lang w:val="sq-AL"/>
        </w:rPr>
        <w:t>(Ndryshuar referenca</w:t>
      </w:r>
      <w:r w:rsidR="008058C5" w:rsidRPr="000C348D">
        <w:rPr>
          <w:rFonts w:ascii="Garamond" w:eastAsia="MS Mincho" w:hAnsi="Garamond" w:cs="CG Times"/>
          <w:i/>
          <w:spacing w:val="-4"/>
          <w:sz w:val="24"/>
          <w:lang w:val="sq-AL"/>
        </w:rPr>
        <w:t xml:space="preserve"> në shkronjës “ç”</w:t>
      </w:r>
      <w:r w:rsidRPr="000C348D">
        <w:rPr>
          <w:rFonts w:ascii="Garamond" w:eastAsia="MS Mincho" w:hAnsi="Garamond" w:cs="CG Times"/>
          <w:i/>
          <w:spacing w:val="-4"/>
          <w:sz w:val="24"/>
          <w:lang w:val="sq-AL"/>
        </w:rPr>
        <w:t xml:space="preserve"> të pikës 4 me VKM nr. 232, datë 17.4.2019)</w:t>
      </w:r>
    </w:p>
    <w:p w:rsidR="00CB1030" w:rsidRPr="000C348D" w:rsidRDefault="00CB1030">
      <w:pPr>
        <w:widowControl w:val="0"/>
        <w:spacing w:after="0" w:line="240" w:lineRule="auto"/>
        <w:jc w:val="center"/>
        <w:rPr>
          <w:rFonts w:ascii="Garamond" w:eastAsia="MS Mincho" w:hAnsi="Garamond" w:cs="CG Times"/>
          <w:b/>
          <w:spacing w:val="-4"/>
          <w:sz w:val="24"/>
          <w:lang w:val="sq-AL"/>
        </w:rPr>
      </w:pPr>
    </w:p>
    <w:p w:rsidR="00CB1030" w:rsidRPr="000C348D" w:rsidRDefault="00CB1030">
      <w:pPr>
        <w:widowControl w:val="0"/>
        <w:spacing w:after="0" w:line="240" w:lineRule="auto"/>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Hartimi i PPV-së kryhet në disa faza, në përputhje me përgatitjen e dokumenteve përbërëse të tij: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Faza përgatitore. Hartimi i nismës dhe përgatitja e bazës së të dhënave fillestare për hartimin e PPV-së.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Faza I. Analiza dhe vlerësimi i gjendjes ekzistuese të territorit.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Faza II. Hartimi i strategjisë territoriale dhe i vizionit të zhvillimit të bashkisë.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Faza III. Hartimi i planit të zhvillimit të territorit, rregullores së zbatimit të tij.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Gjatë fazave I, II dhe III hartohet paralelisht edhe Vlerësimi Strategjik Mjedisor për PPV-në.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Në përfundim të secilës fazë, autoriteti vendor boton materialin e përgatitur në Regjistrin Kombëtar të Planifikimit të Territorit, për të cilin Agjencia duhet të kryejë një vlerësim teknik dhe të japë konfirmimin për kalimin në fazën pasardhëse, me përjashtim të fazës përgatitore për të cilën jep rekomandime të mundshme, në përputhje me pikën 5, të nenit 4 të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lastRenderedPageBreak/>
        <w:t>4. PPV-ja këshillohet nëpërmjet: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a) botimit të dokumenteve në Regjistrin Kombëtar të Planifikimit të Territorit;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informimit të palëve të interesuara nëpërmjet një a më shumë mjeteve tradicionale të informimit;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c) organizimit të takimeve me Forumin Këshillimor Vendor, në zbatim të nenit 6 të kësaj rregulloreje, </w:t>
      </w:r>
    </w:p>
    <w:p w:rsidR="00CB1030" w:rsidRPr="000C348D" w:rsidRDefault="00EB70B8">
      <w:pPr>
        <w:widowControl w:val="0"/>
        <w:spacing w:after="0" w:line="240" w:lineRule="auto"/>
        <w:ind w:firstLine="284"/>
        <w:jc w:val="both"/>
        <w:rPr>
          <w:rFonts w:ascii="Garamond" w:eastAsia="MS Mincho" w:hAnsi="Garamond" w:cs="CG Times"/>
          <w:i/>
          <w:spacing w:val="-4"/>
          <w:sz w:val="24"/>
          <w:lang w:val="sq-AL"/>
        </w:rPr>
      </w:pPr>
      <w:r w:rsidRPr="000C348D">
        <w:rPr>
          <w:rFonts w:ascii="Garamond" w:eastAsia="MS Mincho" w:hAnsi="Garamond" w:cs="CG Times"/>
          <w:spacing w:val="-4"/>
          <w:sz w:val="24"/>
          <w:lang w:val="sq-AL"/>
        </w:rPr>
        <w:t xml:space="preserve">ç) organizimit të së paku dy dëgjesave publike përkatësisht në fazat II dhe III të hartimit të tij, në </w:t>
      </w:r>
      <w:r w:rsidRPr="000C348D">
        <w:rPr>
          <w:rFonts w:ascii="Garamond" w:eastAsia="MS Mincho" w:hAnsi="Garamond" w:cs="CG Times"/>
          <w:i/>
          <w:spacing w:val="-4"/>
          <w:sz w:val="24"/>
          <w:lang w:val="sq-AL"/>
        </w:rPr>
        <w:t>përputhje me nenin 6 të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5. PPV-ja bashkërendohet nëpërmjet Forumit të Bashkërendimit të Planifikimit në nivel vendor, në përputhje me nenin 5 të kësaj rregulloreje. Agjencia organizon së paku dy takime të FBPV-së, përkatësisht në fazat II dhe III të hartimit të PPV-së, pas mbajtjes së dëgjesave publike nga autoriteti vendor.</w:t>
      </w:r>
    </w:p>
    <w:p w:rsidR="00CB1030" w:rsidRPr="000C348D" w:rsidRDefault="00CB1030" w:rsidP="008058C5">
      <w:pPr>
        <w:widowControl w:val="0"/>
        <w:spacing w:after="0" w:line="240" w:lineRule="auto"/>
        <w:rPr>
          <w:rFonts w:ascii="Garamond" w:eastAsia="MS Mincho" w:hAnsi="Garamond" w:cs="CG Times"/>
          <w:spacing w:val="-4"/>
          <w:sz w:val="2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53</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Nisma për hartimin e PPV-së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Procesit të punës për PPV-në i paraprin ndërmarrja e nismës për hartimin e tij.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Autoriteti përgjegjës për ndërmarrjen dhe hartimin e nismës është kryetari i njësisë vendore, i cili e paraqet atë pranë Këshillit Bashkiak për miratim.</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Dokumenti i nismës për hartimin e PPV-së përmban: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Analizën, e cila përcakton qëllimin dhe nevojën për hartim ose rishqyrtim të dokumentit të planifikimit;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Përcaktime për zonat e rëndësisë kombëtare, sipas parashikimeve të nenit 31 të kësaj rregulloreje, nëse ka të tilla;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Kufijtë e territorit të njësisë vendore;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Planin e veprimeve për hartimin e dokumentit të Planit të Përgjithshëm Vendor;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Mënyrën e miratimit të tij: në një apo dy ndalesa, sipas nenit 60 të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dh) Listën e dokumenteve përbërëse të PPV-së sipas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e) Ekspertët (fushat e ekspertizës) që do të përbëjnë grupin e punës, hartues të PPV-së;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ë) Përcaktime për Forumin Këshillimor Vendor;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f) Përcaktime për procesin e bashkërendimit, këshillimit dhe takimeve publike dhe afatet përkatëse;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g) Buxhetin për hartimin e PPV-së;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gj) Sipas rastit, vendimin për pezullimin e zhvillimit për të gjithë ose një pjesë të territorit të njësisë vendore, sipas nenit 33 të ligjit, të shoqëruar me hartën përkatëse.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Nisma duhet të bëhet publike dhe të botohet në regjistër nga autoriteti përgjegjës: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a) Vendimi i kryetarit të njësisë vendore, përgjegjës për marrjen e nismës, botohet në regjistër, brenda 10 (dhjetë) ditëve nga data e marrjes së nismës sipas pikave 1 dhe 4, të nenit 56 të ligjit.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Vendimi i kryetarit për marrjen e nismës bëhet publike edhe në faqen zyrtare të njësisë vendore.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5. Autoriteti përgjegjës për miratimin e nismës për hartimin e PPV-së është Këshilli Bashkiak i njësisë vendore, në përputhje me shkronjën “a”, të pikës 2, të nenit 12 të ligjit, i cili: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miraton nismën pas marrjes së kërkesës për miratim të kryetarit të njësisë vendore;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kthen nismën te kryetari i bashkisë për ndryshime, i cili, pasi ka reflektuar ndryshimet e kërkuara nga këshilli, e risjell nismën për miratim.</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6. Hyrja në fuqi e vendimit për miratimin e nismës nga Këshilli Bashkiak bëhet pas botimit të vendimit në regjistër nga autoriteti përgjegjës: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Vendimi i Këshillit Bashkiak për miratimin e nismës botohet në regjistër, brenda 10 (dhjetë) ditëve nga data e miratimit, sipas pikave 1 dhe 4 të nenit 56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Vendimi i Këshillit Bashkiak dhe dokumenti i nismës bëhen publike edhe në faqen zyrtare të njësisë vendore.</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54</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Përmbajtja e PPV-së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lastRenderedPageBreak/>
        <w:t>Dokumentet e PPV-së, në varësi të territorit për të cilin hartohen, kuadrit kohor dhe nismës për hartimin e planit, përmbajnë: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w:t>
      </w:r>
      <w:r w:rsidRPr="000C348D">
        <w:rPr>
          <w:rFonts w:ascii="Garamond" w:eastAsia="MS Mincho" w:hAnsi="Garamond" w:cs="CG Times"/>
          <w:spacing w:val="-4"/>
          <w:sz w:val="24"/>
          <w:lang w:val="sq-AL"/>
        </w:rPr>
        <w:tab/>
        <w:t>Informacionin e plotë gjeohapësinor për territorin e integruar në platformën GIS, sipas standardeve të Regjistrit Kombëtar të Planifikimit të Territorit, për secilën pikë në vijim.</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Analizën dhe vlerësimin e territorit, ku përfshihen: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analiza e legjislacionit dhe dokumenteve të planifikimit pararendës;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analiza e përgjithshme e territorit;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analiza e përdorimit të tokës;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analiza socioekonomike;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hartat shoqëruese.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Strategjinë territoriale, ku përfshihen: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gjetjet e analizës dhe të vlerësimit të territorit;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vizioni, objektivat strategjikë dhe drejtimet e zhvillimit;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programet dhe projektet e zhvillimit;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plani i veprimeve për zbatimin e projekteve;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hartat shoqëruese.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Planin e zhvillimit të territorit, ku përfshihen: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plani i përdorimit të tokës;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plani i infrastrukturave dhe i shërbimeve publike;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plani i mbrojtjes së mjedisit;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plani i veprimit për zbatimin e PPV-së;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hartat shoqëruese.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5. Rregulloren e planit, ku jepen: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përkufizimet e termave dhe shpjegimet e kodifikimit;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rregullat e përgjithshme të përdorimit të tokës;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rregullat për çdo njësi;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rregullat për infrastrukturën;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w:t>
      </w:r>
      <w:r w:rsidRPr="000C348D">
        <w:rPr>
          <w:rFonts w:ascii="Garamond" w:eastAsia="MS Mincho" w:hAnsi="Garamond" w:cs="CG Times"/>
          <w:spacing w:val="-4"/>
          <w:sz w:val="24"/>
          <w:lang w:val="sq-AL"/>
        </w:rPr>
        <w:tab/>
        <w:t>rregullat për ruajtjen e mjedisit, peizazhit, burimeve natyrore dhe objekteve të trashëgimisë kulturore.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6. Vlerësimin strategjik mjedisor, referuar legjislacionit të posaçëm në fuqi.</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55</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Analiza dhe vlerësimi i territorit</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Analiza dhe vlerësimi i territorit përmban të paktën: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Analizën e dokumenteve dhe të  legjislacionit për territorin e njësisë vendore, si: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w:t>
      </w:r>
      <w:r w:rsidRPr="000C348D">
        <w:rPr>
          <w:rFonts w:ascii="Garamond" w:eastAsia="MS Mincho" w:hAnsi="Garamond" w:cs="CG Times"/>
          <w:spacing w:val="-4"/>
          <w:sz w:val="24"/>
          <w:lang w:val="sq-AL"/>
        </w:rPr>
        <w:tab/>
        <w:t>analiza e dokumenteve të planifikimit të hartuara më parë për territorin, në të gjitha nivelet, përfshirë zbatueshmërinë e tyre dhe çështje që duhet të vlerësohen gjatë hartimit të planit të ri;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w:t>
      </w:r>
      <w:r w:rsidRPr="000C348D">
        <w:rPr>
          <w:rFonts w:ascii="Garamond" w:eastAsia="MS Mincho" w:hAnsi="Garamond" w:cs="CG Times"/>
          <w:spacing w:val="-4"/>
          <w:sz w:val="24"/>
          <w:lang w:val="sq-AL"/>
        </w:rPr>
        <w:tab/>
        <w:t>analiza e legjislacionit sektorial që prek territorin, çështjet, zonat dhe/ose objektet e rëndësisë kombëtare që ndodhen në territorin e njësisë së qeverisjes vendore dhe kufizimet që rrjedhin prej tyre.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Analizën e përgjithshme të territorit, si: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analiza dhe vlerësimi i pozicionimit strategjik të njësisë së qeverisjes vendore në raport me rajonin ku ajo shtrihet, përfshirë identitetin historik, urban dhe ekonomik;</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w:t>
      </w:r>
      <w:r w:rsidRPr="000C348D">
        <w:rPr>
          <w:rFonts w:ascii="Garamond" w:eastAsia="MS Mincho" w:hAnsi="Garamond" w:cs="CG Times"/>
          <w:spacing w:val="-4"/>
          <w:sz w:val="24"/>
          <w:lang w:val="sq-AL"/>
        </w:rPr>
        <w:tab/>
        <w:t>analiza e përgjithshme e gjendjes ekzistuese të territorit të njësisë vendore me elementet: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topografike dhe klimatike;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gjeologo-inxhinierike;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iii) hidrogjeologjike dhe hidrografike;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iv) makrozonimin dhe, sipas rastit, mikrozonimin sizmik;</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 bonitetin e tokave;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vi) burimet natyrore, si: mjedise pyjore, kullota, burime ujore, rezervate, miniera dhe të tjera të kësaj natyre, nëse ka të tilla në territorin përkatës.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lastRenderedPageBreak/>
        <w:t>c)</w:t>
      </w:r>
      <w:r w:rsidRPr="000C348D">
        <w:rPr>
          <w:rFonts w:ascii="Garamond" w:eastAsia="MS Mincho" w:hAnsi="Garamond" w:cs="CG Times"/>
          <w:spacing w:val="-4"/>
          <w:sz w:val="24"/>
          <w:lang w:val="sq-AL"/>
        </w:rPr>
        <w:tab/>
        <w:t>analiza mjedisore, cilësia e elementeve mjedisore dhe analiza e problematikës mjedisore, burimeve ndotëse dhe efekteve të tyre në territor dhe shëndetin e njeriut;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analiza metabolike e flukseve kryesore me rëndësi për territorin;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përmbledhja dhe paraqitja e elementeve përjashtuese dhe kufizimeve që rrjedhin nga vlerësimet e mësipërme.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Analizën e përdorimit të tokës, ku përfshihen: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përcaktimi i territorit në bazë të 5 sistemeve: urban, natyror, bujqësor, ujor dhe infrastrukturor, shoqëruar me të dhënat mbi sipërfaqen dhe numrin e banorëve;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w:t>
      </w:r>
      <w:r w:rsidRPr="000C348D">
        <w:rPr>
          <w:rFonts w:ascii="Garamond" w:eastAsia="MS Mincho" w:hAnsi="Garamond" w:cs="CG Times"/>
          <w:spacing w:val="-4"/>
          <w:sz w:val="24"/>
          <w:lang w:val="sq-AL"/>
        </w:rPr>
        <w:tab/>
        <w:t>analiza e përdorimit ekzistues të tokës, bazuar në kategoritë dhe nënkategoritë e përdorimit të tokës, funksionet dhe aktivitetet;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analiza e gjendjes ekzistuese të infrastrukturës rrugore, transportit dhe e fluksit të lëvizjes së mjeteve;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analiza e gjendjes ekzistuese të infrastrukturës inxhinierike dhe të shërbimit publik;</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analiza e tipologjisë hapësinore ekzistuese, bazuar në njëtrajtshmërinë e llojit dhe volumit të strukturave, mënyrën e vendosjes së tyre në njësi (strukturore), skemën e rrjetit rrugor dhe të hapësirave publike;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dh) analiza e marrëdhënieve të pronësisë mbi tokën, përfshirë konfliktet dhe situatat e informalitetit;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e) analiza e mënyrës së përdorimit të pronave publike, përfshirë vendndodhjen, funksionet dhe marrëdhëniet e pronësisë.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Analizën socioekonomike, si: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Analiza dhe vlerësimi demografik, shpërndarja dhe përqendrimi i popullsisë në territor, lëvizjet mekanike dhe natyrore në vite;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Analiza dhe vlerësimi ekonomik, përfshirë mundësitë lokale dhe pengesat për zhvillim ekonomik, konkurrueshmëria ekonomike apo rajonale, pozicionimi dhe përqendrimi i poleve ekonomike lokale, cilësia e kapitalit dhe e burimeve njerëzore, pikat e forta apo të dobëta për zhvillimin e ardhshëm të territorit;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Analiza e zhvillimit social, punësimit, edukimit, shëndetit, si dhe ajo e problematikave sociale, përshirë kriminalitetin, komunitetet e marxhinalizuara etj.;</w:t>
      </w:r>
    </w:p>
    <w:p w:rsidR="00CB1030" w:rsidRPr="000C348D" w:rsidRDefault="00EB70B8" w:rsidP="008058C5">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Analiza e nevojave për strehim për të gjitha grupet shoqërore, sipas llojit dhe cilësisë së banesave ekzistuese, shpërndarjes së tyre në territor, sipërfaqes së banimit për person dhe aksesit në shërbime;</w:t>
      </w:r>
    </w:p>
    <w:p w:rsidR="00CB1030" w:rsidRPr="000C348D" w:rsidRDefault="00EB70B8">
      <w:pPr>
        <w:widowControl w:val="0"/>
        <w:spacing w:after="0" w:line="240" w:lineRule="auto"/>
        <w:ind w:firstLine="284"/>
        <w:jc w:val="both"/>
        <w:rPr>
          <w:rFonts w:ascii="Garamond" w:eastAsia="MS Mincho" w:hAnsi="Garamond" w:cs="CG Times"/>
          <w:sz w:val="24"/>
          <w:lang w:val="sq-AL"/>
        </w:rPr>
      </w:pPr>
      <w:r w:rsidRPr="000C348D">
        <w:rPr>
          <w:rFonts w:ascii="Garamond" w:eastAsia="MS Mincho" w:hAnsi="Garamond" w:cs="CG Times"/>
          <w:sz w:val="24"/>
          <w:lang w:val="sq-AL"/>
        </w:rPr>
        <w:t>d) Analiza e periferialitetit, e cila duhet të arrijë në përfundime mbi shërbimin dhe mundësitë e zhvillimit të popullsisë në të gjitha zonat e banuara të bashkisë, duke konsideruar kriteret e mëposhtme:</w:t>
      </w:r>
    </w:p>
    <w:p w:rsidR="00CB1030" w:rsidRPr="000C348D" w:rsidRDefault="00EB70B8">
      <w:pPr>
        <w:widowControl w:val="0"/>
        <w:spacing w:after="0" w:line="240" w:lineRule="auto"/>
        <w:ind w:firstLine="284"/>
        <w:jc w:val="both"/>
        <w:rPr>
          <w:rFonts w:ascii="Garamond" w:eastAsia="MS Mincho" w:hAnsi="Garamond" w:cs="CG Times"/>
          <w:sz w:val="24"/>
          <w:lang w:val="sq-AL"/>
        </w:rPr>
      </w:pPr>
      <w:r w:rsidRPr="000C348D">
        <w:rPr>
          <w:rFonts w:ascii="Garamond" w:eastAsia="MS Mincho" w:hAnsi="Garamond" w:cs="CG Times"/>
          <w:sz w:val="24"/>
          <w:lang w:val="sq-AL"/>
        </w:rPr>
        <w:t>i) largësinë nga qendra/t e territorit urban;</w:t>
      </w:r>
    </w:p>
    <w:p w:rsidR="00CB1030" w:rsidRPr="000C348D" w:rsidRDefault="00EB70B8">
      <w:pPr>
        <w:widowControl w:val="0"/>
        <w:spacing w:after="0" w:line="240" w:lineRule="auto"/>
        <w:ind w:firstLine="284"/>
        <w:jc w:val="both"/>
        <w:rPr>
          <w:rFonts w:ascii="Garamond" w:eastAsia="MS Mincho" w:hAnsi="Garamond" w:cs="CG Times"/>
          <w:sz w:val="24"/>
          <w:lang w:val="sq-AL"/>
        </w:rPr>
      </w:pPr>
      <w:r w:rsidRPr="000C348D">
        <w:rPr>
          <w:rFonts w:ascii="Garamond" w:eastAsia="MS Mincho" w:hAnsi="Garamond" w:cs="CG Times"/>
          <w:sz w:val="24"/>
          <w:lang w:val="sq-AL"/>
        </w:rPr>
        <w:t>ii) largësinë nga zonat ekonomike (qendrat e punësimit);</w:t>
      </w:r>
    </w:p>
    <w:p w:rsidR="00CB1030" w:rsidRPr="000C348D" w:rsidRDefault="00EB70B8">
      <w:pPr>
        <w:widowControl w:val="0"/>
        <w:spacing w:after="0" w:line="240" w:lineRule="auto"/>
        <w:ind w:firstLine="284"/>
        <w:jc w:val="both"/>
        <w:rPr>
          <w:rFonts w:ascii="Garamond" w:eastAsia="MS Mincho" w:hAnsi="Garamond" w:cs="CG Times"/>
          <w:sz w:val="24"/>
          <w:lang w:val="sq-AL"/>
        </w:rPr>
      </w:pPr>
      <w:r w:rsidRPr="000C348D">
        <w:rPr>
          <w:rFonts w:ascii="Garamond" w:eastAsia="MS Mincho" w:hAnsi="Garamond" w:cs="CG Times"/>
          <w:sz w:val="24"/>
          <w:lang w:val="sq-AL"/>
        </w:rPr>
        <w:t>iii) lidhjen me rrjetin rrugor sipas kategorive të përcaktuara në Kodin Rrugor;</w:t>
      </w:r>
    </w:p>
    <w:p w:rsidR="00CB1030" w:rsidRPr="000C348D" w:rsidRDefault="00EB70B8">
      <w:pPr>
        <w:widowControl w:val="0"/>
        <w:spacing w:after="0" w:line="240" w:lineRule="auto"/>
        <w:ind w:firstLine="284"/>
        <w:jc w:val="both"/>
        <w:rPr>
          <w:rFonts w:ascii="Garamond" w:eastAsia="MS Mincho" w:hAnsi="Garamond" w:cs="CG Times"/>
          <w:sz w:val="24"/>
          <w:lang w:val="sq-AL"/>
        </w:rPr>
      </w:pPr>
      <w:r w:rsidRPr="000C348D">
        <w:rPr>
          <w:rFonts w:ascii="Garamond" w:eastAsia="MS Mincho" w:hAnsi="Garamond" w:cs="CG Times"/>
          <w:sz w:val="24"/>
          <w:lang w:val="sq-AL"/>
        </w:rPr>
        <w:t>iv) furnizimin me rrjete infrastrukturore dhe shërbime sociale;</w:t>
      </w:r>
    </w:p>
    <w:p w:rsidR="00CB1030" w:rsidRPr="000C348D" w:rsidRDefault="00EB70B8">
      <w:pPr>
        <w:widowControl w:val="0"/>
        <w:spacing w:after="0" w:line="240" w:lineRule="auto"/>
        <w:ind w:firstLine="284"/>
        <w:jc w:val="both"/>
        <w:rPr>
          <w:rFonts w:ascii="Garamond" w:eastAsia="MS Mincho" w:hAnsi="Garamond" w:cs="CG Times"/>
          <w:sz w:val="24"/>
          <w:lang w:val="sq-AL"/>
        </w:rPr>
      </w:pPr>
      <w:r w:rsidRPr="000C348D">
        <w:rPr>
          <w:rFonts w:ascii="Garamond" w:eastAsia="MS Mincho" w:hAnsi="Garamond" w:cs="CG Times"/>
          <w:sz w:val="24"/>
          <w:lang w:val="sq-AL"/>
        </w:rPr>
        <w:t>v)</w:t>
      </w:r>
      <w:r w:rsidRPr="000C348D">
        <w:rPr>
          <w:rFonts w:ascii="Garamond" w:eastAsia="MS Mincho" w:hAnsi="Garamond" w:cs="CG Times"/>
          <w:sz w:val="24"/>
          <w:lang w:val="sq-AL"/>
        </w:rPr>
        <w:tab/>
        <w:t>nivelin e përafërt të të ardhurave të shtresave shoqërore që ushtrojnë aktivitetin e tyre në zona të caktuara;</w:t>
      </w:r>
    </w:p>
    <w:p w:rsidR="00CB1030" w:rsidRPr="000C348D" w:rsidRDefault="00EB70B8">
      <w:pPr>
        <w:widowControl w:val="0"/>
        <w:spacing w:after="0" w:line="240" w:lineRule="auto"/>
        <w:ind w:firstLine="284"/>
        <w:jc w:val="both"/>
        <w:rPr>
          <w:rFonts w:ascii="Garamond" w:eastAsia="MS Mincho" w:hAnsi="Garamond" w:cs="CG Times"/>
          <w:sz w:val="24"/>
          <w:lang w:val="sq-AL"/>
        </w:rPr>
      </w:pPr>
      <w:r w:rsidRPr="000C348D">
        <w:rPr>
          <w:rFonts w:ascii="Garamond" w:eastAsia="MS Mincho" w:hAnsi="Garamond" w:cs="CG Times"/>
          <w:sz w:val="24"/>
          <w:lang w:val="sq-AL"/>
        </w:rPr>
        <w:t>vi) plotësimin me funksione sipas kategorive bazë të përdorimeve të tokës;</w:t>
      </w:r>
    </w:p>
    <w:p w:rsidR="00CB1030" w:rsidRPr="000C348D" w:rsidRDefault="00EB70B8">
      <w:pPr>
        <w:widowControl w:val="0"/>
        <w:spacing w:after="0" w:line="240" w:lineRule="auto"/>
        <w:ind w:firstLine="284"/>
        <w:jc w:val="both"/>
        <w:rPr>
          <w:rFonts w:ascii="Garamond" w:eastAsia="MS Mincho" w:hAnsi="Garamond" w:cs="CG Times"/>
          <w:sz w:val="24"/>
          <w:lang w:val="sq-AL"/>
        </w:rPr>
      </w:pPr>
      <w:r w:rsidRPr="000C348D">
        <w:rPr>
          <w:rFonts w:ascii="Garamond" w:eastAsia="MS Mincho" w:hAnsi="Garamond" w:cs="CG Times"/>
          <w:sz w:val="24"/>
          <w:lang w:val="sq-AL"/>
        </w:rPr>
        <w:t>vii) nivelin e kriminalitetit dhe sigurinë e jetës;</w:t>
      </w:r>
    </w:p>
    <w:p w:rsidR="00CB1030" w:rsidRPr="000C348D" w:rsidRDefault="00EB70B8">
      <w:pPr>
        <w:widowControl w:val="0"/>
        <w:spacing w:after="0" w:line="240" w:lineRule="auto"/>
        <w:ind w:firstLine="284"/>
        <w:jc w:val="both"/>
        <w:rPr>
          <w:rFonts w:ascii="Garamond" w:eastAsia="MS Mincho" w:hAnsi="Garamond" w:cs="CG Times"/>
          <w:sz w:val="24"/>
          <w:lang w:val="sq-AL"/>
        </w:rPr>
      </w:pPr>
      <w:r w:rsidRPr="000C348D">
        <w:rPr>
          <w:rFonts w:ascii="Garamond" w:eastAsia="MS Mincho" w:hAnsi="Garamond" w:cs="CG Times"/>
          <w:sz w:val="24"/>
          <w:lang w:val="sq-AL"/>
        </w:rPr>
        <w:t>viii) probleme të ndryshme sociale, përfshirë përjashtimin social.</w:t>
      </w:r>
    </w:p>
    <w:p w:rsidR="00CB1030" w:rsidRPr="000C348D" w:rsidRDefault="00EB70B8">
      <w:pPr>
        <w:widowControl w:val="0"/>
        <w:spacing w:after="0" w:line="240" w:lineRule="auto"/>
        <w:ind w:firstLine="284"/>
        <w:jc w:val="both"/>
        <w:rPr>
          <w:rFonts w:ascii="Garamond" w:eastAsia="MS Mincho" w:hAnsi="Garamond" w:cs="CG Times"/>
          <w:sz w:val="24"/>
          <w:lang w:val="sq-AL"/>
        </w:rPr>
      </w:pPr>
      <w:r w:rsidRPr="000C348D">
        <w:rPr>
          <w:rFonts w:ascii="Garamond" w:eastAsia="MS Mincho" w:hAnsi="Garamond" w:cs="CG Times"/>
          <w:sz w:val="24"/>
          <w:lang w:val="sq-AL"/>
        </w:rPr>
        <w:t>5. Hartat shoqëruese për secilën nga pikat e mësipërme, sipas shtojcës I të kësaj rregulloreje.</w:t>
      </w:r>
    </w:p>
    <w:p w:rsidR="008058C5" w:rsidRPr="000C348D" w:rsidRDefault="008058C5">
      <w:pPr>
        <w:widowControl w:val="0"/>
        <w:spacing w:after="0" w:line="240" w:lineRule="auto"/>
        <w:ind w:firstLine="284"/>
        <w:jc w:val="both"/>
        <w:rPr>
          <w:rFonts w:ascii="Garamond" w:eastAsia="MS Mincho" w:hAnsi="Garamond" w:cs="CG Times"/>
          <w:sz w:val="24"/>
          <w:lang w:val="sq-AL"/>
        </w:rPr>
      </w:pPr>
    </w:p>
    <w:p w:rsidR="00CB1030" w:rsidRPr="000C348D" w:rsidRDefault="00CB1030">
      <w:pPr>
        <w:widowControl w:val="0"/>
        <w:spacing w:after="0" w:line="240" w:lineRule="auto"/>
        <w:ind w:firstLine="284"/>
        <w:jc w:val="both"/>
        <w:rPr>
          <w:rFonts w:ascii="Garamond" w:eastAsia="MS Mincho" w:hAnsi="Garamond" w:cs="CG Times"/>
          <w:sz w:val="8"/>
          <w:lang w:val="sq-AL"/>
        </w:rPr>
      </w:pPr>
    </w:p>
    <w:p w:rsidR="00CB1030" w:rsidRPr="000C348D" w:rsidRDefault="00EB70B8">
      <w:pPr>
        <w:widowControl w:val="0"/>
        <w:spacing w:after="0" w:line="240" w:lineRule="auto"/>
        <w:jc w:val="center"/>
        <w:rPr>
          <w:rFonts w:ascii="Garamond" w:eastAsia="MS Mincho" w:hAnsi="Garamond" w:cs="CG Times"/>
          <w:sz w:val="24"/>
          <w:lang w:val="sq-AL"/>
        </w:rPr>
      </w:pPr>
      <w:r w:rsidRPr="000C348D">
        <w:rPr>
          <w:rFonts w:ascii="Garamond" w:eastAsia="MS Mincho" w:hAnsi="Garamond" w:cs="CG Times"/>
          <w:sz w:val="24"/>
          <w:lang w:val="sq-AL"/>
        </w:rPr>
        <w:t>Neni 56</w:t>
      </w:r>
    </w:p>
    <w:p w:rsidR="00CB1030" w:rsidRPr="000C348D" w:rsidRDefault="00EB70B8">
      <w:pPr>
        <w:widowControl w:val="0"/>
        <w:spacing w:after="0" w:line="240" w:lineRule="auto"/>
        <w:jc w:val="center"/>
        <w:rPr>
          <w:rFonts w:ascii="Garamond" w:eastAsia="MS Mincho" w:hAnsi="Garamond" w:cs="CG Times"/>
          <w:b/>
          <w:sz w:val="24"/>
          <w:lang w:val="sq-AL"/>
        </w:rPr>
      </w:pPr>
      <w:r w:rsidRPr="000C348D">
        <w:rPr>
          <w:rFonts w:ascii="Garamond" w:eastAsia="MS Mincho" w:hAnsi="Garamond" w:cs="CG Times"/>
          <w:b/>
          <w:sz w:val="24"/>
          <w:lang w:val="sq-AL"/>
        </w:rPr>
        <w:t>Strategjia territoriale</w:t>
      </w:r>
    </w:p>
    <w:p w:rsidR="00CB1030" w:rsidRPr="000C348D" w:rsidRDefault="00CB1030">
      <w:pPr>
        <w:widowControl w:val="0"/>
        <w:spacing w:after="0" w:line="240" w:lineRule="auto"/>
        <w:ind w:firstLine="284"/>
        <w:jc w:val="both"/>
        <w:rPr>
          <w:rFonts w:ascii="Garamond" w:eastAsia="MS Mincho" w:hAnsi="Garamond" w:cs="CG Times"/>
          <w:sz w:val="8"/>
          <w:lang w:val="sq-AL"/>
        </w:rPr>
      </w:pPr>
    </w:p>
    <w:p w:rsidR="00CB1030" w:rsidRPr="000C348D" w:rsidRDefault="00EB70B8">
      <w:pPr>
        <w:widowControl w:val="0"/>
        <w:spacing w:after="0" w:line="240" w:lineRule="auto"/>
        <w:ind w:firstLine="284"/>
        <w:jc w:val="both"/>
        <w:rPr>
          <w:rFonts w:ascii="Garamond" w:eastAsia="MS Mincho" w:hAnsi="Garamond" w:cs="CG Times"/>
          <w:sz w:val="24"/>
          <w:lang w:val="sq-AL"/>
        </w:rPr>
      </w:pPr>
      <w:r w:rsidRPr="000C348D">
        <w:rPr>
          <w:rFonts w:ascii="Garamond" w:eastAsia="MS Mincho" w:hAnsi="Garamond" w:cs="CG Times"/>
          <w:sz w:val="24"/>
          <w:lang w:val="sq-AL"/>
        </w:rPr>
        <w:t>Strategjia territoriale e njësisë vendore përmban:</w:t>
      </w:r>
    </w:p>
    <w:p w:rsidR="00CB1030" w:rsidRPr="000C348D" w:rsidRDefault="00EB70B8">
      <w:pPr>
        <w:widowControl w:val="0"/>
        <w:spacing w:after="0" w:line="240" w:lineRule="auto"/>
        <w:ind w:firstLine="284"/>
        <w:jc w:val="both"/>
        <w:rPr>
          <w:rFonts w:ascii="Garamond" w:eastAsia="MS Mincho" w:hAnsi="Garamond" w:cs="CG Times"/>
          <w:sz w:val="24"/>
          <w:lang w:val="sq-AL"/>
        </w:rPr>
      </w:pPr>
      <w:r w:rsidRPr="000C348D">
        <w:rPr>
          <w:rFonts w:ascii="Garamond" w:eastAsia="MS Mincho" w:hAnsi="Garamond" w:cs="CG Times"/>
          <w:sz w:val="24"/>
          <w:lang w:val="sq-AL"/>
        </w:rPr>
        <w:t>1. Parashikimet e detyrueshme që rrjedhin nga PPKT-ja, PKS-ja, PSNQ-ja në fuqi apo proces hartimi, të cilat ndikojnë në territorin vendor.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2. Përmbledhjen e gjetjeve të vlerësimit të gjendjes ekzistuese të territorit dhe identifikimin e çështjeve </w:t>
      </w:r>
      <w:r w:rsidRPr="000C348D">
        <w:rPr>
          <w:rFonts w:ascii="Garamond" w:eastAsia="MS Mincho" w:hAnsi="Garamond" w:cs="CG Times"/>
          <w:spacing w:val="-4"/>
          <w:sz w:val="24"/>
          <w:lang w:val="sq-AL"/>
        </w:rPr>
        <w:lastRenderedPageBreak/>
        <w:t>për të cilat PPV-ja duhet të propozojë zgjidhje dhe masa konkrete.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Vizionin e zhvillimit të territorit të njësisë vendore.</w:t>
      </w:r>
    </w:p>
    <w:p w:rsidR="00CB1030" w:rsidRPr="000C348D" w:rsidRDefault="00EB70B8">
      <w:pPr>
        <w:widowControl w:val="0"/>
        <w:spacing w:after="0" w:line="240" w:lineRule="auto"/>
        <w:ind w:firstLine="284"/>
        <w:jc w:val="both"/>
        <w:rPr>
          <w:rFonts w:ascii="Garamond" w:eastAsia="MS Mincho" w:hAnsi="Garamond" w:cs="CG Times"/>
          <w:sz w:val="24"/>
          <w:lang w:val="sq-AL"/>
        </w:rPr>
      </w:pPr>
      <w:r w:rsidRPr="000C348D">
        <w:rPr>
          <w:rFonts w:ascii="Garamond" w:eastAsia="MS Mincho" w:hAnsi="Garamond" w:cs="CG Times"/>
          <w:sz w:val="24"/>
          <w:lang w:val="sq-AL"/>
        </w:rPr>
        <w:t>4. Objektivat strategjikë për zhvillimin e territorit e njësisë vendore.</w:t>
      </w:r>
    </w:p>
    <w:p w:rsidR="00CB1030" w:rsidRPr="000C348D" w:rsidRDefault="00EB70B8">
      <w:pPr>
        <w:widowControl w:val="0"/>
        <w:spacing w:after="0" w:line="240" w:lineRule="auto"/>
        <w:ind w:firstLine="284"/>
        <w:jc w:val="both"/>
        <w:rPr>
          <w:rFonts w:ascii="Garamond" w:eastAsia="MS Mincho" w:hAnsi="Garamond" w:cs="CG Times"/>
          <w:sz w:val="24"/>
          <w:lang w:val="sq-AL"/>
        </w:rPr>
      </w:pPr>
      <w:r w:rsidRPr="000C348D">
        <w:rPr>
          <w:rFonts w:ascii="Garamond" w:eastAsia="MS Mincho" w:hAnsi="Garamond" w:cs="CG Times"/>
          <w:sz w:val="24"/>
          <w:lang w:val="sq-AL"/>
        </w:rPr>
        <w:t>5. Drejtimet për zhvillimin e territorit të njësisë vendore, që përfaqësojnë sektorët apo fushat e kryesore të veprimit, për zhvillimin e territorit për arritjen e objektivave strategjikë dhe përmbushjen e vizionit.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z w:val="24"/>
          <w:lang w:val="sq-AL"/>
        </w:rPr>
        <w:t xml:space="preserve">6. Programet dhe projektet e zhvillimit, të cilat pasqyrojnë përparësitë dhe drejtimet kryesore të planifikimit dhe zhvillimit të territorit të njësisë vendore dhe mundësojnë realizimin e objektivave strategjikë, të cilësuara </w:t>
      </w:r>
      <w:r w:rsidRPr="000C348D">
        <w:rPr>
          <w:rFonts w:ascii="Garamond" w:eastAsia="MS Mincho" w:hAnsi="Garamond" w:cs="CG Times"/>
          <w:spacing w:val="-4"/>
          <w:sz w:val="24"/>
          <w:lang w:val="sq-AL"/>
        </w:rPr>
        <w:t>sipas standardeve të klasifikimit të funksioneve të qeverisjes, përcaktuar nga ministria përgjegjëse për financat, për t’i lidhur ato me programin e buxhetimit.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7. Projektet prioritare/pilot të zhvillimit, shoqëruar me skedat përkatëse me detajet e vendndodhjes, tipologjisë, qëllimit kryesor dhe rëndësisë, përfituesit, përgjegjësit, kostos së përafërt, veprimet për implementimin e tyre, afatet dhe kohëzgjatjen.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8.</w:t>
      </w:r>
      <w:r w:rsidRPr="000C348D">
        <w:rPr>
          <w:rFonts w:ascii="Garamond" w:eastAsia="MS Mincho" w:hAnsi="Garamond" w:cs="CG Times"/>
          <w:spacing w:val="-4"/>
          <w:sz w:val="24"/>
          <w:lang w:val="sq-AL"/>
        </w:rPr>
        <w:tab/>
        <w:t>Planin e veprimeve për realizimin e programeve e projekteve, përfshirë prioritetin dhe fazat kohore të realizimit, burimet njerëzore dhe financiare, ndryshimet e nevojshme institucionale dhe ligjore, treguesit monitorues të zbatimit, të detajuar, duke pasur në konsideratë programet buxhetore afatmesme që do të hartojnë bashkitë gjatë 15 viteve të zbatimit të PPV-së.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9. Harta që paraqesin: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a) Vizionin strategjik të zhvillimit të territorit të njësisë vendore, drejtimet kryesore të planifikimit dhe zhvillimit të territorit;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Programet dhe projektet sipas fazave kohore të zbatimit në territor;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w:t>
      </w:r>
      <w:r w:rsidRPr="000C348D">
        <w:rPr>
          <w:rFonts w:ascii="Garamond" w:eastAsia="MS Mincho" w:hAnsi="Garamond" w:cs="CG Times"/>
          <w:spacing w:val="-4"/>
          <w:sz w:val="24"/>
          <w:lang w:val="sq-AL"/>
        </w:rPr>
        <w:tab/>
        <w:t>Sistemet territoriale ekzistuese, ku tregohen ndryshimet e mundshme mes sistemeve që rrjedhin nga zbatimi i strategjisë, shoqëruar me tabelën e të dhënave të numrit të banorëve dhe të sipërfaqes për secilin sistem, në ha dhe përqindje mbi të tërën.</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57</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Plani i zhvillimit të territorit</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Plani i zhvillimit të territorit të njësisë vendore përmban: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planin e përdorimit të tokës;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planin e infrastrukturave dhe shërbimeve publike;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planin e mbrojtjes së mjedisit;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planin e veprimeve për zbatimin e PPV-së;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hartat shoqëruese.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Plani i përdorimit të tokës përmban: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w:t>
      </w:r>
      <w:r w:rsidRPr="000C348D">
        <w:rPr>
          <w:rFonts w:ascii="Garamond" w:eastAsia="MS Mincho" w:hAnsi="Garamond" w:cs="CG Times"/>
          <w:spacing w:val="-4"/>
          <w:sz w:val="24"/>
          <w:lang w:val="sq-AL"/>
        </w:rPr>
        <w:tab/>
        <w:t>Strukturimin e territorit sipas pesë sistemeve, duke evidentuar ndryshimet mbi gjendjen ekzistuese, shoqëruar me tabelën e të dhënave të numrit të banorëve dhe të sipërfaqes për secilin sistem (ekzistues dhe të propozuar), në ha dhe përqindje mbi të tërën;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Strukturimin e territorit të secilit prej pesë sistemeve, në zona dhe njësi strukturore;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Propozimin e përdorimit të tokës, sipas kategorive, nënkategorive dhe sipas rastit, funksioneve të përcaktuara në këtë rregullore;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Zonat e rëndësisë kombëtare, sipas legjislacionit të planifikimit dhe atij sektorial, duke ndjekur përcaktimet e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Përcaktimin e zonave kryesore të zhvillimit ekonomik dhe urban;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dh) Mënyrën e ndërhyrjes në territor, duke përcaktuar njësitë për dendësim, rigjenerim, rizhvillim, konsolidim, konservim, urbanizim, por pa u kufizuar në to;</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e)</w:t>
      </w:r>
      <w:r w:rsidRPr="000C348D">
        <w:rPr>
          <w:rFonts w:ascii="Garamond" w:eastAsia="MS Mincho" w:hAnsi="Garamond" w:cs="CG Times"/>
          <w:spacing w:val="-4"/>
          <w:sz w:val="24"/>
          <w:lang w:val="sq-AL"/>
        </w:rPr>
        <w:tab/>
        <w:t>Përcaktimin e njësive të cilat do t’i nënshtrohen hartimit të PDV-së, nisur nga qëllimet për zhvillim apo rizhvillim, ndryshim të përdorimit të tokës dhe kushteve të zhvillimit dhe përdorimin e instrumenteve për drejtimin e zhvillimit;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ë) Shpërndarjen e popullsisë në territor bazuar në treguesit e parashikimit demografik;</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f) Planin e strehimit bazuar në nevojat e konstatuara dhe territoret që do t’u shërbejnë programeve </w:t>
      </w:r>
      <w:r w:rsidRPr="000C348D">
        <w:rPr>
          <w:rFonts w:ascii="Garamond" w:eastAsia="MS Mincho" w:hAnsi="Garamond" w:cs="CG Times"/>
          <w:spacing w:val="-4"/>
          <w:sz w:val="24"/>
          <w:lang w:val="sq-AL"/>
        </w:rPr>
        <w:lastRenderedPageBreak/>
        <w:t>sociale të strehimit;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g) Përcaktimin e njësive ku do të zbatohen instrumentet për drejtimin e zhvillimit sipas ligjit, pa u kufizuar vetëm në to, në rast se parashikohen të tilla.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Plani i shërbimeve dhe infrastrukturave publike përmban: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Rrjetin e infrastrukturës së transportit rrugor, hekurudhor, ujor e ajror sipas rastit, shoqëruar me skemën e propozuar të transportit publik,</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Rrjetin e infrastrukturave inxhinierike, duke përfshirë energjinë elektrike dhe alternative, komunikimin elektronik, administrimin e ujit, menaxhimin e integruar të mbetjeve, mbrojtjen kombëtare, civile e kundër zjarrit etj.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w:t>
      </w:r>
      <w:r w:rsidRPr="000C348D">
        <w:rPr>
          <w:rFonts w:ascii="Garamond" w:eastAsia="MS Mincho" w:hAnsi="Garamond" w:cs="CG Times"/>
          <w:spacing w:val="-4"/>
          <w:sz w:val="24"/>
          <w:lang w:val="sq-AL"/>
        </w:rPr>
        <w:tab/>
        <w:t>Shpërndarjen në territor të shërbimeve sociale të arsimit dhe shëndetësisë, të përcaktuara sipas tipologjisë dhe rrezeve të mbulimit në përputhje me legjislacionin e posaçëm në fuqi, duke evidentuar strukturat ekzistuese dhe ato të reja.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Plani i mbrojtjes së mjedisit përmban: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parashikimet për mbrojtjen e peizazhit;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w:t>
      </w:r>
      <w:r w:rsidRPr="000C348D">
        <w:rPr>
          <w:rFonts w:ascii="Garamond" w:eastAsia="MS Mincho" w:hAnsi="Garamond" w:cs="CG Times"/>
          <w:spacing w:val="-4"/>
          <w:sz w:val="24"/>
          <w:lang w:val="sq-AL"/>
        </w:rPr>
        <w:tab/>
        <w:t>parashikimet për përmirësimin e cilësisë së ujit dhe mbrojtjen e elementeve ujore;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parashikimet për përmirësimin e cilësisë së ajrit;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parashikimet për shtimin dhe/ose zgjerimin e hapësirave të gjelbra;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w:t>
      </w:r>
      <w:r w:rsidRPr="000C348D">
        <w:rPr>
          <w:rFonts w:ascii="Garamond" w:eastAsia="MS Mincho" w:hAnsi="Garamond" w:cs="CG Times"/>
          <w:spacing w:val="-4"/>
          <w:sz w:val="24"/>
          <w:lang w:val="sq-AL"/>
        </w:rPr>
        <w:tab/>
        <w:t>parashikimet për zgjidhjen e problematikës mjedisore dhe vatrave të evidentuara.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5. Plani i veprimeve për zbatimin e PPV-së përmban: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w:t>
      </w:r>
      <w:r w:rsidRPr="000C348D">
        <w:rPr>
          <w:rFonts w:ascii="Garamond" w:eastAsia="MS Mincho" w:hAnsi="Garamond" w:cs="CG Times"/>
          <w:spacing w:val="-4"/>
          <w:sz w:val="24"/>
          <w:lang w:val="sq-AL"/>
        </w:rPr>
        <w:tab/>
        <w:t>Përcaktimet për zbatimin e zhvillimit të njësive strukturore, PDV-ve, infrastrukturave publike dhe projekteve strategjike e pilot, sipas prioritetit dhe fazave kohore;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w:t>
      </w:r>
      <w:r w:rsidRPr="000C348D">
        <w:rPr>
          <w:rFonts w:ascii="Garamond" w:eastAsia="MS Mincho" w:hAnsi="Garamond" w:cs="CG Times"/>
          <w:spacing w:val="-4"/>
          <w:sz w:val="24"/>
          <w:lang w:val="sq-AL"/>
        </w:rPr>
        <w:tab/>
        <w:t>Planin e investimeve kapitale për infrastrukturat dhe projektet e zhvillimit, shoqëruar me parashikimet për burimet e nevojshme dhe koston e përgjithshme për zbatim, që duhet të detajohet duke pasur në konsideratë programet buxhetore afatmesme që do të hartojnë bashkitë gjatë 15 viteve të zbatimit të PPV-së;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w:t>
      </w:r>
      <w:r w:rsidRPr="000C348D">
        <w:rPr>
          <w:rFonts w:ascii="Garamond" w:eastAsia="MS Mincho" w:hAnsi="Garamond" w:cs="CG Times"/>
          <w:spacing w:val="-4"/>
          <w:sz w:val="24"/>
          <w:lang w:val="sq-AL"/>
        </w:rPr>
        <w:tab/>
        <w:t>Nevojat për ndryshime në kuadrin ligjor dhe administrativ në nivel vendor që të mundësohet zbatimi i planit;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w:t>
      </w:r>
      <w:r w:rsidRPr="000C348D">
        <w:rPr>
          <w:rFonts w:ascii="Garamond" w:eastAsia="MS Mincho" w:hAnsi="Garamond" w:cs="CG Times"/>
          <w:spacing w:val="-4"/>
          <w:sz w:val="24"/>
          <w:lang w:val="sq-AL"/>
        </w:rPr>
        <w:tab/>
        <w:t>Indikatorët për monitorimin dhe udhëzime për vlerësimin e zbatimit të PPV-së.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6. Shtojcat e PPV-së, të cilat përmbajnë të gjitha dokumentet e përmendura për këtë qëllim, studimet ndihmëse që merren nga institucionet përgjegjëse për sektorë të caktuar, si dhe studime për qëllime të veçanta që ndërmerren nga vetë autoriteti vendor.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7. Hartat shoqëruese për secilën nga pikat e mësipërme, sipas shtojcës I të kësaj rregulloreje.</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58</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Rregullorja e planit</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Rregullorja e planit përmban: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1.1 Përkufizimet e termave të përdorur;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1.2 Shpjegimin e kodeve të përdorura, për: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kategoritë dhe nënkategoritë e përdorimit të tokës;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sistemet;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zonat;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njësitë;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kode të tjera sipas rastit.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1.3 Rregullat e përgjithshme të përdorimit të tokës për kategoritë (bazë dhe/ose të përziera), nënkategoritë e përdorimit të tokës, si dhe, sipas rastit, për përdorimet specifike, me shpjegimet përkatëse.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1.4 Rregullat, të dhënat dhe kushtet e zhvillimit për çdo zonë dhe për çdo njësi, sipas shtojcës II në fund të kësaj rregulloreje, që përfshijnë: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Përdorimet e lejuara, të kushtëzuara dhe të ndaluara të tokës, sipas kategorive dhe nënkategorive e, sipas rastit, funksioneve, në përputhje me nenin 79 dhe shtojcën I të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lastRenderedPageBreak/>
        <w:t>b) Kushtet e zhvillimit, si: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intensiteti (I);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koeficienti i shfrytëzimit të tokës për ndërtim (KSHT);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iii) koeficienti i shfrytëzimit të tokës për hapësira publike (KSHP);</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iv) koeficienti i shfrytëzimit të tokës për rrugë (KSHR);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 lartësia (në kate dhe në metra);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vi) treguesit e distancave;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vii) sipas rastit, madhësia minimale e parcelës për zhvillim.</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Normat, treguesit dhe standardet e zbatueshme të planifikimit: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kapaciteti mbajtës (nr. banorësh dhe sipas rastit nr. përdoruesish);</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dendësia (nr. banorësh/njësia e sipërfaqes);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iii) sipërfaqe gjelbërimi/banor (për njësitë e sistemit urban);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iv) nr. vendparkimesh (për njësitë e sistemit urban).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Mënyrën e ndërhyrjes në territorin e njësisë, shoqëruar me tipologjinë hapësinore (për njësitë e sistemit urban);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Kushtin për hartimin e PDV-së apo PDZRK-së për njësinë;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dh) Prioritetin e zhvillimit sipas fazave të zbatimit të PPV-së;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e) Instrumentet që mund të përdoren për të drejtuar zhvillimin sipas ligjit, përfshirë të drejtat dhe kufizimet ligjore që rrjedhin prej tyre;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ë)</w:t>
      </w:r>
      <w:r w:rsidRPr="000C348D">
        <w:rPr>
          <w:rFonts w:ascii="Garamond" w:eastAsia="MS Mincho" w:hAnsi="Garamond" w:cs="CG Times"/>
          <w:spacing w:val="-4"/>
          <w:sz w:val="24"/>
          <w:lang w:val="sq-AL"/>
        </w:rPr>
        <w:tab/>
        <w:t>Të drejtat dhe kufizimet ligjore, publike apo private, që rrjedhin nga përdorimi i kushteve të zhvillimit;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f) Kushte të tjera sipas rastit.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1.5 Rregullat për infrastrukturën që përfshijnë: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Përcaktimin dhe përshkrimin e kategorive të rrjetit rrugor, në përputhje me legjislacionin e posaçëm;</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Kushtet teknike dhe përmasat;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Parametrat e skemës së lëvizshmërisë dhe të transportit publik, në përputhje me legjislacionin e posaçëm;</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Përcaktime për infrastrukturat inxhinierike;</w:t>
      </w:r>
    </w:p>
    <w:p w:rsidR="00CB1030" w:rsidRPr="000C348D" w:rsidRDefault="00EB70B8">
      <w:pPr>
        <w:widowControl w:val="0"/>
        <w:spacing w:after="0" w:line="240" w:lineRule="auto"/>
        <w:ind w:firstLine="284"/>
        <w:jc w:val="both"/>
        <w:rPr>
          <w:rFonts w:ascii="Garamond" w:eastAsia="MS Mincho" w:hAnsi="Garamond" w:cs="CG Times"/>
          <w:spacing w:val="-6"/>
          <w:sz w:val="24"/>
          <w:lang w:val="sq-AL"/>
        </w:rPr>
      </w:pPr>
      <w:r w:rsidRPr="000C348D">
        <w:rPr>
          <w:rFonts w:ascii="Garamond" w:eastAsia="MS Mincho" w:hAnsi="Garamond" w:cs="CG Times"/>
          <w:spacing w:val="-6"/>
          <w:sz w:val="24"/>
          <w:lang w:val="sq-AL"/>
        </w:rPr>
        <w:t>d) Përcaktimin e vijës së ndërtimit (vija e kuqe) sipas përkufizimit në këtë rregullore;</w:t>
      </w:r>
    </w:p>
    <w:p w:rsidR="00CB1030" w:rsidRPr="000C348D" w:rsidRDefault="00EB70B8">
      <w:pPr>
        <w:widowControl w:val="0"/>
        <w:spacing w:after="0" w:line="240" w:lineRule="auto"/>
        <w:ind w:firstLine="284"/>
        <w:jc w:val="both"/>
        <w:rPr>
          <w:rFonts w:ascii="Garamond" w:eastAsia="MS Mincho" w:hAnsi="Garamond" w:cs="CG Times"/>
          <w:spacing w:val="-6"/>
          <w:sz w:val="24"/>
          <w:lang w:val="sq-AL"/>
        </w:rPr>
      </w:pPr>
      <w:r w:rsidRPr="000C348D">
        <w:rPr>
          <w:rFonts w:ascii="Garamond" w:eastAsia="MS Mincho" w:hAnsi="Garamond" w:cs="CG Times"/>
          <w:spacing w:val="-6"/>
          <w:sz w:val="24"/>
          <w:lang w:val="sq-AL"/>
        </w:rPr>
        <w:t>dh) Rregullat për shfrytëzimin e hapësirave nga “Personat me aftësi të kufizuara”, në përputhje me legjislacionin e posaçëm.</w:t>
      </w:r>
    </w:p>
    <w:p w:rsidR="00CB1030" w:rsidRPr="000C348D" w:rsidRDefault="00EB70B8">
      <w:pPr>
        <w:widowControl w:val="0"/>
        <w:spacing w:after="0" w:line="240" w:lineRule="auto"/>
        <w:ind w:firstLine="284"/>
        <w:jc w:val="both"/>
        <w:rPr>
          <w:rFonts w:ascii="Garamond" w:eastAsia="MS Mincho" w:hAnsi="Garamond" w:cs="CG Times"/>
          <w:spacing w:val="-6"/>
          <w:sz w:val="24"/>
          <w:lang w:val="sq-AL"/>
        </w:rPr>
      </w:pPr>
      <w:r w:rsidRPr="000C348D">
        <w:rPr>
          <w:rFonts w:ascii="Garamond" w:eastAsia="MS Mincho" w:hAnsi="Garamond" w:cs="CG Times"/>
          <w:spacing w:val="-6"/>
          <w:sz w:val="24"/>
          <w:lang w:val="sq-AL"/>
        </w:rPr>
        <w:t>1.6 Rregullat e ruajtjes së mjedisit, peizazhit, burimeve natyrore, zonave dhe objekteve të trashëgimisë kulturore që përfshijnë, të paktën:</w:t>
      </w:r>
    </w:p>
    <w:p w:rsidR="00CB1030" w:rsidRPr="000C348D" w:rsidRDefault="00EB70B8">
      <w:pPr>
        <w:widowControl w:val="0"/>
        <w:spacing w:after="0" w:line="240" w:lineRule="auto"/>
        <w:ind w:firstLine="284"/>
        <w:jc w:val="both"/>
        <w:rPr>
          <w:rFonts w:ascii="Garamond" w:eastAsia="MS Mincho" w:hAnsi="Garamond" w:cs="CG Times"/>
          <w:spacing w:val="-6"/>
          <w:sz w:val="24"/>
          <w:lang w:val="sq-AL"/>
        </w:rPr>
      </w:pPr>
      <w:r w:rsidRPr="000C348D">
        <w:rPr>
          <w:rFonts w:ascii="Garamond" w:eastAsia="MS Mincho" w:hAnsi="Garamond" w:cs="CG Times"/>
          <w:spacing w:val="-6"/>
          <w:sz w:val="24"/>
          <w:lang w:val="sq-AL"/>
        </w:rPr>
        <w:t>a) Përcaktimin e vijës mbrojtëse përgjatë elementeve ujore (vija blu);</w:t>
      </w:r>
    </w:p>
    <w:p w:rsidR="00CB1030" w:rsidRPr="000C348D" w:rsidRDefault="00EB70B8">
      <w:pPr>
        <w:widowControl w:val="0"/>
        <w:spacing w:after="0" w:line="240" w:lineRule="auto"/>
        <w:ind w:firstLine="284"/>
        <w:jc w:val="both"/>
        <w:rPr>
          <w:rFonts w:ascii="Garamond" w:eastAsia="MS Mincho" w:hAnsi="Garamond" w:cs="CG Times"/>
          <w:spacing w:val="-6"/>
          <w:sz w:val="24"/>
          <w:lang w:val="sq-AL"/>
        </w:rPr>
      </w:pPr>
      <w:r w:rsidRPr="000C348D">
        <w:rPr>
          <w:rFonts w:ascii="Garamond" w:eastAsia="MS Mincho" w:hAnsi="Garamond" w:cs="CG Times"/>
          <w:spacing w:val="-6"/>
          <w:sz w:val="24"/>
          <w:lang w:val="sq-AL"/>
        </w:rPr>
        <w:t>b) Normat dhe standardet për zhvillimet, që kanë ndikim në mjedis, shëndet, peizazh sipas legjislacionit të posaçëm në fuqi;</w:t>
      </w:r>
    </w:p>
    <w:p w:rsidR="00CB1030" w:rsidRPr="000C348D" w:rsidRDefault="00EB70B8">
      <w:pPr>
        <w:widowControl w:val="0"/>
        <w:spacing w:after="0" w:line="240" w:lineRule="auto"/>
        <w:ind w:firstLine="284"/>
        <w:jc w:val="both"/>
        <w:rPr>
          <w:rFonts w:ascii="Garamond" w:eastAsia="MS Mincho" w:hAnsi="Garamond" w:cs="CG Times"/>
          <w:spacing w:val="-6"/>
          <w:sz w:val="24"/>
          <w:lang w:val="sq-AL"/>
        </w:rPr>
      </w:pPr>
      <w:r w:rsidRPr="000C348D">
        <w:rPr>
          <w:rFonts w:ascii="Garamond" w:eastAsia="MS Mincho" w:hAnsi="Garamond" w:cs="CG Times"/>
          <w:spacing w:val="-6"/>
          <w:sz w:val="24"/>
          <w:lang w:val="sq-AL"/>
        </w:rPr>
        <w:t>c) Normat, standardet dhe rregullat për zonat dhe objektet e trashëgimisë kulturore dhe historike;</w:t>
      </w:r>
    </w:p>
    <w:p w:rsidR="00CB1030" w:rsidRPr="000C348D" w:rsidRDefault="00EB70B8">
      <w:pPr>
        <w:widowControl w:val="0"/>
        <w:spacing w:after="0" w:line="240" w:lineRule="auto"/>
        <w:ind w:firstLine="284"/>
        <w:jc w:val="both"/>
        <w:rPr>
          <w:rFonts w:ascii="Garamond" w:eastAsia="MS Mincho" w:hAnsi="Garamond" w:cs="CG Times"/>
          <w:spacing w:val="-6"/>
          <w:sz w:val="24"/>
          <w:lang w:val="sq-AL"/>
        </w:rPr>
      </w:pPr>
      <w:r w:rsidRPr="000C348D">
        <w:rPr>
          <w:rFonts w:ascii="Garamond" w:eastAsia="MS Mincho" w:hAnsi="Garamond" w:cs="CG Times"/>
          <w:spacing w:val="-6"/>
          <w:sz w:val="24"/>
          <w:lang w:val="sq-AL"/>
        </w:rPr>
        <w:t>ç) Rregulla arkitektonike dhe estetike, sipas rastit.</w:t>
      </w:r>
    </w:p>
    <w:p w:rsidR="00CB1030" w:rsidRPr="000C348D" w:rsidRDefault="00EB70B8">
      <w:pPr>
        <w:widowControl w:val="0"/>
        <w:spacing w:after="0" w:line="240" w:lineRule="auto"/>
        <w:ind w:firstLine="284"/>
        <w:jc w:val="both"/>
        <w:rPr>
          <w:rFonts w:ascii="Garamond" w:eastAsia="MS Mincho" w:hAnsi="Garamond" w:cs="CG Times"/>
          <w:spacing w:val="-6"/>
          <w:sz w:val="24"/>
          <w:lang w:val="sq-AL"/>
        </w:rPr>
      </w:pPr>
      <w:r w:rsidRPr="000C348D">
        <w:rPr>
          <w:rFonts w:ascii="Garamond" w:eastAsia="MS Mincho" w:hAnsi="Garamond" w:cs="CG Times"/>
          <w:spacing w:val="-6"/>
          <w:sz w:val="24"/>
          <w:lang w:val="sq-AL"/>
        </w:rPr>
        <w:t>2. Autoritetet e planifikimit vendor gjatë hartimit të planit të përgjithshëm vendor dhe rregullores në zbatim të tij nuk duhet të shkelin kriteret minimale të kushteve të zhvillimit, përcaktuar në rregulloren e zhvillimit, por, në çdo rast, në rregulloret e tyre vendore mund të përcaktojnë kushte zhvillimi që reflektojnë nevojat e territorit në administrim me qëllim përmirësimin e tyre, të tillë si: diellëzimi, pozicioni gjeografik, kushtet klimaterike etj.</w:t>
      </w:r>
    </w:p>
    <w:p w:rsidR="00CB1030" w:rsidRPr="000C348D" w:rsidRDefault="00CB1030">
      <w:pPr>
        <w:widowControl w:val="0"/>
        <w:spacing w:after="0" w:line="240" w:lineRule="auto"/>
        <w:ind w:firstLine="284"/>
        <w:jc w:val="both"/>
        <w:rPr>
          <w:rFonts w:ascii="Garamond" w:eastAsia="MS Mincho" w:hAnsi="Garamond" w:cs="CG Times"/>
          <w:spacing w:val="-4"/>
          <w:sz w:val="10"/>
          <w:lang w:val="sq-AL"/>
        </w:rPr>
      </w:pPr>
    </w:p>
    <w:p w:rsidR="00E81F7C" w:rsidRPr="000C348D" w:rsidRDefault="00E81F7C">
      <w:pPr>
        <w:widowControl w:val="0"/>
        <w:spacing w:after="0" w:line="240" w:lineRule="auto"/>
        <w:jc w:val="center"/>
        <w:rPr>
          <w:rFonts w:ascii="Garamond" w:eastAsia="MS Mincho" w:hAnsi="Garamond" w:cs="CG Times"/>
          <w:spacing w:val="-4"/>
          <w:sz w:val="2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59</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Informacioni gjeohapësinor dhe materiali hartografik i PPV-së</w:t>
      </w:r>
    </w:p>
    <w:p w:rsidR="00CB1030" w:rsidRPr="000C348D" w:rsidRDefault="00CB1030">
      <w:pPr>
        <w:widowControl w:val="0"/>
        <w:spacing w:after="0" w:line="240" w:lineRule="auto"/>
        <w:ind w:firstLine="284"/>
        <w:jc w:val="both"/>
        <w:rPr>
          <w:rFonts w:ascii="Garamond" w:eastAsia="MS Mincho" w:hAnsi="Garamond" w:cs="CG Times"/>
          <w:spacing w:val="-4"/>
          <w:sz w:val="8"/>
          <w:lang w:val="sq-AL"/>
        </w:rPr>
      </w:pPr>
    </w:p>
    <w:p w:rsidR="00CB1030" w:rsidRPr="000C348D" w:rsidRDefault="00EB70B8">
      <w:pPr>
        <w:widowControl w:val="0"/>
        <w:spacing w:after="0" w:line="240" w:lineRule="auto"/>
        <w:ind w:firstLine="284"/>
        <w:jc w:val="both"/>
        <w:rPr>
          <w:rFonts w:ascii="Garamond" w:eastAsia="MS Mincho" w:hAnsi="Garamond" w:cs="CG Times"/>
          <w:sz w:val="24"/>
          <w:lang w:val="sq-AL"/>
        </w:rPr>
      </w:pPr>
      <w:r w:rsidRPr="000C348D">
        <w:rPr>
          <w:rFonts w:ascii="Garamond" w:eastAsia="MS Mincho" w:hAnsi="Garamond" w:cs="CG Times"/>
          <w:sz w:val="24"/>
          <w:lang w:val="sq-AL"/>
        </w:rPr>
        <w:t>1. Informacioni gjeohapësinor dhe materiali hartografik i PPV-së shoqëron dhe pasqyron të gjitha pjesët përbërëse të PPV-së të përcaktuara në këtë rregullore.</w:t>
      </w:r>
    </w:p>
    <w:p w:rsidR="00CB1030" w:rsidRPr="000C348D" w:rsidRDefault="00EB70B8">
      <w:pPr>
        <w:widowControl w:val="0"/>
        <w:spacing w:after="0" w:line="240" w:lineRule="auto"/>
        <w:ind w:firstLine="284"/>
        <w:jc w:val="both"/>
        <w:rPr>
          <w:rFonts w:ascii="Garamond" w:eastAsia="MS Mincho" w:hAnsi="Garamond" w:cs="CG Times"/>
          <w:sz w:val="24"/>
          <w:lang w:val="sq-AL"/>
        </w:rPr>
      </w:pPr>
      <w:r w:rsidRPr="000C348D">
        <w:rPr>
          <w:rFonts w:ascii="Garamond" w:eastAsia="MS Mincho" w:hAnsi="Garamond" w:cs="CG Times"/>
          <w:sz w:val="24"/>
          <w:lang w:val="sq-AL"/>
        </w:rPr>
        <w:lastRenderedPageBreak/>
        <w:t>2. Plani i Përgjithshëm Vendor hartohet i integruar në platformën GIS, në përputhje me standardin e Regjistrit Kombëtar të Planifikimit të Territorit.</w:t>
      </w:r>
    </w:p>
    <w:p w:rsidR="00CB1030" w:rsidRPr="000C348D" w:rsidRDefault="00EB70B8">
      <w:pPr>
        <w:widowControl w:val="0"/>
        <w:spacing w:after="0" w:line="240" w:lineRule="auto"/>
        <w:ind w:firstLine="284"/>
        <w:jc w:val="both"/>
        <w:rPr>
          <w:rFonts w:ascii="Garamond" w:eastAsia="MS Mincho" w:hAnsi="Garamond" w:cs="CG Times"/>
          <w:sz w:val="24"/>
          <w:lang w:val="sq-AL"/>
        </w:rPr>
      </w:pPr>
      <w:r w:rsidRPr="000C348D">
        <w:rPr>
          <w:rFonts w:ascii="Garamond" w:eastAsia="MS Mincho" w:hAnsi="Garamond" w:cs="CG Times"/>
          <w:sz w:val="24"/>
          <w:lang w:val="sq-AL"/>
        </w:rPr>
        <w:t>3. Hartat shoqëruese të PPV-së për dokumentim arkivor duhet të prezantohen në shkallën e përshtatshme për të treguar detajet e informacionit përkatës dhe i përgjigjen së paku listës së hartave në shtojcën I të kësaj rregulloreje.</w:t>
      </w:r>
    </w:p>
    <w:p w:rsidR="00CB1030" w:rsidRPr="000C348D" w:rsidRDefault="00CB1030">
      <w:pPr>
        <w:widowControl w:val="0"/>
        <w:spacing w:after="0" w:line="240" w:lineRule="auto"/>
        <w:jc w:val="center"/>
        <w:rPr>
          <w:rFonts w:ascii="Garamond" w:eastAsia="MS Mincho" w:hAnsi="Garamond" w:cs="CG Times"/>
          <w:spacing w:val="-4"/>
          <w:sz w:val="2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60</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Hapat për miratimin e PPV-së</w:t>
      </w:r>
    </w:p>
    <w:p w:rsidR="00CB1030" w:rsidRPr="000C348D" w:rsidRDefault="00CB1030">
      <w:pPr>
        <w:widowControl w:val="0"/>
        <w:spacing w:after="0" w:line="240" w:lineRule="auto"/>
        <w:ind w:firstLine="284"/>
        <w:jc w:val="both"/>
        <w:rPr>
          <w:rFonts w:ascii="Garamond" w:eastAsia="MS Mincho" w:hAnsi="Garamond" w:cs="CG Times"/>
          <w:spacing w:val="-4"/>
          <w:sz w:val="8"/>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Procesi i miratimit të Planit të Përgjithshëm Vendor (PPV) bëhet në përputhje me përcaktimet e nenit 25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Miratimi i planit mund të bëhet nëpërmjet një apo dy ndalesave, në varësi të fondeve në dispozicion për hartimin e tij dhe synimeve të njësisë vendore për realizimin paraprak të investimeve strategjike. Mënyra e miratimit duhet të jetë e prezantuar në dokumentin e nismës. Miratimi me një ndalesë nënkupton hartimin e plotë të dokumentit të planifikimit vendor dhe më pas miratimin e tij. Ndërsa miratimi me dy ndalesa nënkupton: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Miratimin fillimisht të strategjisë territoriale të zhvillimit të njësisë.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Më pas, miratimin e planit të zhvillimit të territorit të njësisë, shoqëruar me rregulloren e zbatimit të tij.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Procesi i miratimit të planit me një ndalesë përmban, të paktën, këta hapa: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Lëshimin e aktit të përputhshmërisë nga Agjencia;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w:t>
      </w:r>
      <w:r w:rsidRPr="000C348D">
        <w:rPr>
          <w:rFonts w:ascii="Garamond" w:eastAsia="MS Mincho" w:hAnsi="Garamond" w:cs="CG Times"/>
          <w:spacing w:val="-4"/>
          <w:sz w:val="24"/>
          <w:lang w:val="sq-AL"/>
        </w:rPr>
        <w:tab/>
        <w:t>Kërkesën e kryetarit të njësisë vendore për shqyrtim dhe miratim të dokumentit të plotë të planit në Këshill Bashkiak;</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Vendimmarrjen e Këshillit Bashkiak;</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ç) Kërkesën e kryetarit të njësisë vendore për miratim të dokumentit të plotë të planit në </w:t>
      </w:r>
      <w:r w:rsidR="00680C3C" w:rsidRPr="000C348D">
        <w:rPr>
          <w:rFonts w:ascii="Garamond" w:hAnsi="Garamond" w:cs="Times New Roman"/>
          <w:sz w:val="24"/>
          <w:szCs w:val="24"/>
          <w:lang w:val="sq-AL"/>
        </w:rPr>
        <w:t>KKTU</w:t>
      </w:r>
      <w:r w:rsidRPr="000C348D">
        <w:rPr>
          <w:rFonts w:ascii="Garamond" w:eastAsia="MS Mincho" w:hAnsi="Garamond" w:cs="CG Times"/>
          <w:spacing w:val="-4"/>
          <w:sz w:val="24"/>
          <w:lang w:val="sq-AL"/>
        </w:rPr>
        <w: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d) Vendimmarrjen e </w:t>
      </w:r>
      <w:r w:rsidR="00680C3C" w:rsidRPr="000C348D">
        <w:rPr>
          <w:rFonts w:ascii="Garamond" w:hAnsi="Garamond" w:cs="Times New Roman"/>
          <w:sz w:val="24"/>
          <w:szCs w:val="24"/>
          <w:lang w:val="sq-AL"/>
        </w:rPr>
        <w:t>KKTU</w:t>
      </w:r>
      <w:r w:rsidR="00680C3C"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Procesi i miratimit të planit me dy ndalesa përmban, të paktën, këta hapa: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Kërkesën e kryetarit të njësisë vendore për shqyrtim dhe miratim të strategjisë territoriale të njësisë vendore në Këshill Bashkiak;</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Vendimmarrjen e Këshillit Bashkiak;</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c) Kërkesën e kryetarit të njësisë vendore për miratimin e Strategjisë Territoriale në </w:t>
      </w:r>
      <w:r w:rsidR="00680C3C" w:rsidRPr="000C348D">
        <w:rPr>
          <w:rFonts w:ascii="Garamond" w:hAnsi="Garamond" w:cs="Times New Roman"/>
          <w:sz w:val="24"/>
          <w:szCs w:val="24"/>
          <w:lang w:val="sq-AL"/>
        </w:rPr>
        <w:t>KKTU</w:t>
      </w:r>
      <w:r w:rsidRPr="000C348D">
        <w:rPr>
          <w:rFonts w:ascii="Garamond" w:eastAsia="MS Mincho" w:hAnsi="Garamond" w:cs="CG Times"/>
          <w:spacing w:val="-4"/>
          <w:sz w:val="24"/>
          <w:lang w:val="sq-AL"/>
        </w:rPr>
        <w: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ç) Vendimmarrjen e </w:t>
      </w:r>
      <w:r w:rsidR="00680C3C" w:rsidRPr="000C348D">
        <w:rPr>
          <w:rFonts w:ascii="Garamond" w:hAnsi="Garamond" w:cs="Times New Roman"/>
          <w:sz w:val="24"/>
          <w:szCs w:val="24"/>
          <w:lang w:val="sq-AL"/>
        </w:rPr>
        <w:t>KKTU</w:t>
      </w:r>
      <w:r w:rsidR="00680C3C"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w:t>
      </w:r>
      <w:r w:rsidRPr="000C348D">
        <w:rPr>
          <w:rFonts w:ascii="Garamond" w:eastAsia="MS Mincho" w:hAnsi="Garamond" w:cs="CG Times"/>
          <w:spacing w:val="-4"/>
          <w:sz w:val="24"/>
          <w:lang w:val="sq-AL"/>
        </w:rPr>
        <w:tab/>
        <w:t>Kërkesën e kryetarit të njësisë vendore për shqyrtim dhe miratim të planit të zhvillimit të njësisë dhe rregullores në zbatim të tij, në Këshill Bashkiak.</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dh) Vendimmarrjen e Këshillit Bashkiak;</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e)</w:t>
      </w:r>
      <w:r w:rsidRPr="000C348D">
        <w:rPr>
          <w:rFonts w:ascii="Garamond" w:eastAsia="MS Mincho" w:hAnsi="Garamond" w:cs="CG Times"/>
          <w:spacing w:val="-4"/>
          <w:sz w:val="24"/>
          <w:lang w:val="sq-AL"/>
        </w:rPr>
        <w:tab/>
        <w:t xml:space="preserve">Kërkesën e kryetarit të njësisë vendore për shqyrtim dhe miratim të planit të zhvillimit të territorit dhe rregullores së tij në </w:t>
      </w:r>
      <w:r w:rsidR="00680C3C" w:rsidRPr="000C348D">
        <w:rPr>
          <w:rFonts w:ascii="Garamond" w:hAnsi="Garamond" w:cs="Times New Roman"/>
          <w:sz w:val="24"/>
          <w:szCs w:val="24"/>
          <w:lang w:val="sq-AL"/>
        </w:rPr>
        <w:t>KKTU</w:t>
      </w:r>
      <w:r w:rsidRPr="000C348D">
        <w:rPr>
          <w:rFonts w:ascii="Garamond" w:eastAsia="MS Mincho" w:hAnsi="Garamond" w:cs="CG Times"/>
          <w:spacing w:val="-4"/>
          <w:sz w:val="24"/>
          <w:lang w:val="sq-AL"/>
        </w:rPr>
        <w: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ë) Vendimmarrjen e </w:t>
      </w:r>
      <w:r w:rsidR="00680C3C" w:rsidRPr="000C348D">
        <w:rPr>
          <w:rFonts w:ascii="Garamond" w:hAnsi="Garamond" w:cs="Times New Roman"/>
          <w:sz w:val="24"/>
          <w:szCs w:val="24"/>
          <w:lang w:val="sq-AL"/>
        </w:rPr>
        <w:t>KKTU</w:t>
      </w:r>
      <w:r w:rsidR="00680C3C"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-së.</w:t>
      </w:r>
    </w:p>
    <w:p w:rsidR="00CB1030" w:rsidRPr="000C348D" w:rsidRDefault="00CB1030">
      <w:pPr>
        <w:widowControl w:val="0"/>
        <w:spacing w:after="0" w:line="240" w:lineRule="auto"/>
        <w:ind w:firstLine="284"/>
        <w:jc w:val="both"/>
        <w:rPr>
          <w:rFonts w:ascii="Garamond" w:eastAsia="MS Mincho" w:hAnsi="Garamond" w:cs="CG Times"/>
          <w:spacing w:val="-4"/>
          <w:sz w:val="14"/>
          <w:highlight w:val="yellow"/>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61</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Dokumentet për miratimin e PPV-së</w:t>
      </w:r>
    </w:p>
    <w:p w:rsidR="00CB1030" w:rsidRPr="000C348D" w:rsidRDefault="00CB1030">
      <w:pPr>
        <w:widowControl w:val="0"/>
        <w:spacing w:after="0" w:line="240" w:lineRule="auto"/>
        <w:ind w:firstLine="284"/>
        <w:jc w:val="both"/>
        <w:rPr>
          <w:rFonts w:ascii="Garamond" w:eastAsia="MS Mincho" w:hAnsi="Garamond" w:cs="CG Times"/>
          <w:spacing w:val="-4"/>
          <w:sz w:val="14"/>
          <w:highlight w:val="yellow"/>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w:t>
      </w:r>
      <w:r w:rsidRPr="000C348D">
        <w:rPr>
          <w:rFonts w:ascii="Garamond" w:eastAsia="MS Mincho" w:hAnsi="Garamond" w:cs="CG Times"/>
          <w:spacing w:val="-4"/>
          <w:sz w:val="24"/>
          <w:lang w:val="sq-AL"/>
        </w:rPr>
        <w:tab/>
        <w:t>Materialet që duhen dorëzuar/botuar në regjistër përpara miratimit të dokumentit të planifikimit apo pjesëve përbërëse të tij (miratimi me faza) në Këshill Bashkiak janë: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Kërkesa e kryetarit të bashkisë për miratimin e PPV-së në Këshill Bashkiak;</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Nisma e miratuar dhe vendimi i miratimit nga Këshilli Bashkiak;</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Dokumentet përbërëse të planit, për të cilat kërkohet miratimi, sipas strategjisë së miratimit (me një apo dy ndalesa);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Akti i përputhshmërisë nga Agjencia ose deklarata e përputhshmërisë në heshtje;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Vlerësimi Strategjik Mjedisor, si dhe deklarata mjedisore, referuar legjislacionit të posaçëm në fuqi, veçmas për strategjinë sektoriale dhe dokumentin e plotë të planifikimit, nëse do të miratohen në faza të ndara.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lastRenderedPageBreak/>
        <w:t>2.</w:t>
      </w:r>
      <w:r w:rsidRPr="000C348D">
        <w:rPr>
          <w:rFonts w:ascii="Garamond" w:eastAsia="MS Mincho" w:hAnsi="Garamond" w:cs="CG Times"/>
          <w:spacing w:val="-4"/>
          <w:sz w:val="24"/>
          <w:lang w:val="sq-AL"/>
        </w:rPr>
        <w:tab/>
        <w:t xml:space="preserve">Materialet që duhen dorëzuar/botuar në regjistër përpara miratimit të dokumentit të planifikimit apo pjesëve përbërëse të tij (miratimi me faza) në </w:t>
      </w:r>
      <w:r w:rsidR="00680C3C" w:rsidRPr="000C348D">
        <w:rPr>
          <w:rFonts w:ascii="Garamond" w:hAnsi="Garamond" w:cs="Times New Roman"/>
          <w:sz w:val="24"/>
          <w:szCs w:val="24"/>
          <w:lang w:val="sq-AL"/>
        </w:rPr>
        <w:t>KKTU</w:t>
      </w:r>
      <w:r w:rsidRPr="000C348D">
        <w:rPr>
          <w:rFonts w:ascii="Garamond" w:eastAsia="MS Mincho" w:hAnsi="Garamond" w:cs="CG Times"/>
          <w:spacing w:val="-4"/>
          <w:sz w:val="24"/>
          <w:lang w:val="sq-AL"/>
        </w:rPr>
        <w:t xml:space="preserve"> janë: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a) Kërkesa për miratimin e PPV-së në </w:t>
      </w:r>
      <w:r w:rsidR="00680C3C" w:rsidRPr="000C348D">
        <w:rPr>
          <w:rFonts w:ascii="Garamond" w:hAnsi="Garamond" w:cs="Times New Roman"/>
          <w:sz w:val="24"/>
          <w:szCs w:val="24"/>
          <w:lang w:val="sq-AL"/>
        </w:rPr>
        <w:t>KKTU</w:t>
      </w:r>
      <w:r w:rsidRPr="000C348D">
        <w:rPr>
          <w:rFonts w:ascii="Garamond" w:eastAsia="MS Mincho" w:hAnsi="Garamond" w:cs="CG Times"/>
          <w:spacing w:val="-4"/>
          <w:sz w:val="24"/>
          <w:lang w:val="sq-AL"/>
        </w:rPr>
        <w: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Të gjitha materialet sipas pikës 1 të këtij neni;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Vendimi i miratimit nga Këshilli Bashkiak.</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62</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Procesi i miratimit të PPV-së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w:t>
      </w:r>
      <w:r w:rsidRPr="000C348D">
        <w:rPr>
          <w:rFonts w:ascii="Garamond" w:eastAsia="MS Mincho" w:hAnsi="Garamond" w:cs="CG Times"/>
          <w:spacing w:val="-4"/>
          <w:sz w:val="24"/>
          <w:lang w:val="sq-AL"/>
        </w:rPr>
        <w:tab/>
        <w:t>Kryetari i njësisë vendore, si autoriteti përgjegjës për hartimin e planit, paraqet për miratim planin ose pjesët përbërëse të tij në Këshillin Bashkiak, në përputhje me nenet 12, pika 2 dhe 13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Shqyrtimi i dokumentit të planit ose pjesëve përbërëse të tij realizohet sipas këtyre përcakti-meve: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w:t>
      </w:r>
      <w:r w:rsidRPr="000C348D">
        <w:rPr>
          <w:rFonts w:ascii="Garamond" w:eastAsia="MS Mincho" w:hAnsi="Garamond" w:cs="CG Times"/>
          <w:spacing w:val="-4"/>
          <w:sz w:val="24"/>
          <w:lang w:val="sq-AL"/>
        </w:rPr>
        <w:tab/>
        <w:t xml:space="preserve">AKPT-ja kryen shqyrtimin e përputhshmërisë së dokumentacionit brenda 30 (tridhjetë) ditëve nga data e botimit dhe e paraqitjes për shqyrtim të dokumentacionit të plotë.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w:t>
      </w:r>
      <w:r w:rsidRPr="000C348D">
        <w:rPr>
          <w:rFonts w:ascii="Garamond" w:eastAsia="MS Mincho" w:hAnsi="Garamond" w:cs="CG Times"/>
          <w:spacing w:val="-4"/>
          <w:sz w:val="24"/>
          <w:lang w:val="sq-AL"/>
        </w:rPr>
        <w:tab/>
        <w:t>Në përfundim të periudhës 30-ditore të shqyrtimit të dokumentacionit, Agjencia harton dhe boton në Regjistër raportin e vlerësimit teknik të PPV-së dhe aktin e përputhshmërisë, sipas rastit.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w:t>
      </w:r>
      <w:r w:rsidRPr="000C348D">
        <w:rPr>
          <w:rFonts w:ascii="Garamond" w:eastAsia="MS Mincho" w:hAnsi="Garamond" w:cs="CG Times"/>
          <w:spacing w:val="-4"/>
          <w:sz w:val="24"/>
          <w:lang w:val="sq-AL"/>
        </w:rPr>
        <w:tab/>
        <w:t>Agjencia e përsërit procesin e shqyrtimit të përputhshmërisë së dokumentit të planit ose pjesëve përbërëse të tij dhe hartimin e raportit të vlerësimit teknik, në rast se dokumentacioni rishikohet/përmirësohet nga autoriteti përgjegjës.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w:t>
      </w:r>
      <w:r w:rsidRPr="000C348D">
        <w:rPr>
          <w:rFonts w:ascii="Garamond" w:eastAsia="MS Mincho" w:hAnsi="Garamond" w:cs="CG Times"/>
          <w:spacing w:val="-4"/>
          <w:sz w:val="24"/>
          <w:lang w:val="sq-AL"/>
        </w:rPr>
        <w:tab/>
        <w:t>Në rast të moszbatimit të afateve të mësipërme, autoriteti kërkues njofton Agjencinë për mosrespektimin e afatit. Në përfundim të afatit regjistri lëshon deklaratën e përputh-shmërisë në heshtje.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Rishikimi/përmirësimi i dokumentacionit dhe reflektimi i vërejtjeve të Agjencisë realizohen sipas këtyre përcaktimeve: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w:t>
      </w:r>
      <w:r w:rsidRPr="000C348D">
        <w:rPr>
          <w:rFonts w:ascii="Garamond" w:eastAsia="MS Mincho" w:hAnsi="Garamond" w:cs="CG Times"/>
          <w:spacing w:val="-4"/>
          <w:sz w:val="24"/>
          <w:lang w:val="sq-AL"/>
        </w:rPr>
        <w:tab/>
        <w:t>Autoriteti përgjegjës duhet të rishikojë/të përmirësojë dokumentacionin për të reflektuar vërejtjet dhe sugjerimet, nëse ka të tilla.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Autoriteti përgjegjës riboton dokumenta-cionin me vërejtjet dhe sugjerimet e reflektuara, shoqëruar me raportin e ndryshimeve.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w:t>
      </w:r>
      <w:r w:rsidRPr="000C348D">
        <w:rPr>
          <w:rFonts w:ascii="Garamond" w:eastAsia="MS Mincho" w:hAnsi="Garamond" w:cs="CG Times"/>
          <w:spacing w:val="-4"/>
          <w:sz w:val="24"/>
          <w:lang w:val="sq-AL"/>
        </w:rPr>
        <w:tab/>
        <w:t>Dokumentacioni, subjekt miratimi, shqyrtohet nga Këshilli Bashkiak, sipas listës së përcaktuar në pikën 1, të nenit 61 të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5. </w:t>
      </w:r>
      <w:r w:rsidRPr="000C348D">
        <w:rPr>
          <w:rFonts w:ascii="Garamond" w:eastAsia="MS Mincho" w:hAnsi="Garamond" w:cs="CG Times"/>
          <w:spacing w:val="-4"/>
          <w:sz w:val="24"/>
          <w:lang w:val="sq-AL"/>
        </w:rPr>
        <w:tab/>
        <w:t>Vendimi i miratimit të planit ose pjesëve përbërëse të tij nga Këshilli Bashkiak botohet në regjistër dhe në çdo rast edhe në faqen zyrtare të autoritetit përgjegjës, brenda 10 (dhjetë) ditëve nga data e miratimit, në përputhje me pikën 4, të nenit 56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6. Pas botimit në regjistër të dokumentacionit, subjekt miratimi, aktit të përputhshmërisë së Agjencisë ose deklaratës së përputhshmërisë në heshtje, si edhe pas botimit të vendimit të miratimit të Këshillit Bashkiak, autoriteti përgjegjës bën kërkesën për shqyrtimin dhe miratimin e dokumentacionit në </w:t>
      </w:r>
      <w:r w:rsidR="00FC3453" w:rsidRPr="000C348D">
        <w:rPr>
          <w:rFonts w:ascii="Garamond" w:hAnsi="Garamond" w:cs="Times New Roman"/>
          <w:sz w:val="24"/>
          <w:szCs w:val="24"/>
          <w:lang w:val="sq-AL"/>
        </w:rPr>
        <w:t>KKTU</w:t>
      </w:r>
      <w:r w:rsidRPr="000C348D">
        <w:rPr>
          <w:rFonts w:ascii="Garamond" w:eastAsia="MS Mincho" w:hAnsi="Garamond" w:cs="CG Times"/>
          <w:spacing w:val="-4"/>
          <w:sz w:val="24"/>
          <w:lang w:val="sq-AL"/>
        </w:rPr>
        <w: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7. Dokumentacioni, subjekt miratimi, miratohet nga </w:t>
      </w:r>
      <w:r w:rsidR="00FC3453" w:rsidRPr="000C348D">
        <w:rPr>
          <w:rFonts w:ascii="Garamond" w:hAnsi="Garamond" w:cs="Times New Roman"/>
          <w:sz w:val="24"/>
          <w:szCs w:val="24"/>
          <w:lang w:val="sq-AL"/>
        </w:rPr>
        <w:t>KKTU</w:t>
      </w:r>
      <w:r w:rsidR="00FC3453"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-ja në përputhje me shkronjën “a”, të nenit 7 të ligjit, bazuar në dokumenta-cionin e përmendur në pikën 2, të nenit 61 të kësaj rregulloreje.</w:t>
      </w:r>
    </w:p>
    <w:p w:rsidR="008058C5" w:rsidRPr="000C348D" w:rsidRDefault="008058C5">
      <w:pPr>
        <w:widowControl w:val="0"/>
        <w:spacing w:after="0" w:line="240" w:lineRule="auto"/>
        <w:ind w:firstLine="284"/>
        <w:jc w:val="both"/>
        <w:rPr>
          <w:rFonts w:ascii="Garamond" w:eastAsia="MS Mincho" w:hAnsi="Garamond" w:cs="CG Times"/>
          <w:spacing w:val="-4"/>
          <w:sz w:val="24"/>
          <w:lang w:val="sq-AL"/>
        </w:rPr>
      </w:pPr>
    </w:p>
    <w:p w:rsidR="00CB1030" w:rsidRPr="000C348D" w:rsidRDefault="00CB1030">
      <w:pPr>
        <w:widowControl w:val="0"/>
        <w:spacing w:after="0" w:line="240" w:lineRule="auto"/>
        <w:ind w:firstLine="284"/>
        <w:jc w:val="both"/>
        <w:rPr>
          <w:rFonts w:ascii="Garamond" w:eastAsia="MS Mincho" w:hAnsi="Garamond" w:cs="CG Times"/>
          <w:spacing w:val="-4"/>
          <w:sz w:val="2"/>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63</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Hyrja në fuqi e PPV-së</w:t>
      </w:r>
    </w:p>
    <w:p w:rsidR="008058C5" w:rsidRPr="000C348D" w:rsidRDefault="008058C5">
      <w:pPr>
        <w:widowControl w:val="0"/>
        <w:spacing w:after="0" w:line="240" w:lineRule="auto"/>
        <w:jc w:val="center"/>
        <w:rPr>
          <w:rFonts w:ascii="Garamond" w:eastAsia="MS Mincho" w:hAnsi="Garamond" w:cs="CG Times"/>
          <w:b/>
          <w:spacing w:val="-4"/>
          <w:sz w:val="24"/>
          <w:lang w:val="sq-AL"/>
        </w:rPr>
      </w:pPr>
    </w:p>
    <w:p w:rsidR="00CB1030" w:rsidRPr="000C348D" w:rsidRDefault="00CB1030">
      <w:pPr>
        <w:widowControl w:val="0"/>
        <w:spacing w:after="0" w:line="240" w:lineRule="auto"/>
        <w:ind w:firstLine="284"/>
        <w:jc w:val="both"/>
        <w:rPr>
          <w:rFonts w:ascii="Garamond" w:eastAsia="MS Mincho" w:hAnsi="Garamond" w:cs="CG Times"/>
          <w:spacing w:val="-4"/>
          <w:sz w:val="4"/>
          <w:lang w:val="sq-AL"/>
        </w:rPr>
      </w:pPr>
    </w:p>
    <w:p w:rsidR="00CB1030" w:rsidRPr="000C348D" w:rsidRDefault="00EB70B8" w:rsidP="008058C5">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1. Dokumenti i Planit të Përgjithshëm Vendor (PPV) apo pjesët përbërëse të tij subjekt miratimi, hyjnë në fuqi me botimin e plotë në regjistër të vendimit të </w:t>
      </w:r>
      <w:r w:rsidR="00FC3453" w:rsidRPr="000C348D">
        <w:rPr>
          <w:rFonts w:ascii="Garamond" w:hAnsi="Garamond" w:cs="Times New Roman"/>
          <w:sz w:val="24"/>
          <w:szCs w:val="24"/>
          <w:lang w:val="sq-AL"/>
        </w:rPr>
        <w:t>KKTU</w:t>
      </w:r>
      <w:r w:rsidR="00FC3453"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-së dhe dokumenteve shoqëruese të tij, në përputhje me pikën 2, të nenit 56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2. Vendimi i </w:t>
      </w:r>
      <w:r w:rsidR="00FC3453" w:rsidRPr="000C348D">
        <w:rPr>
          <w:rFonts w:ascii="Garamond" w:hAnsi="Garamond" w:cs="Times New Roman"/>
          <w:sz w:val="24"/>
          <w:szCs w:val="24"/>
          <w:lang w:val="sq-AL"/>
        </w:rPr>
        <w:t>KKTU</w:t>
      </w:r>
      <w:r w:rsidR="00FC3453"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 xml:space="preserve">-së së bashku me dokumentacionin e plotë shoqërues botohet në regjistër dhe në çdo rast, në faqen zyrtare të sekretariatit të </w:t>
      </w:r>
      <w:r w:rsidR="00FC3453" w:rsidRPr="000C348D">
        <w:rPr>
          <w:rFonts w:ascii="Garamond" w:hAnsi="Garamond" w:cs="Times New Roman"/>
          <w:sz w:val="24"/>
          <w:szCs w:val="24"/>
          <w:lang w:val="sq-AL"/>
        </w:rPr>
        <w:t>KKTU</w:t>
      </w:r>
      <w:r w:rsidR="00FC3453"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-së dhe autoritetit përgjegjës për planifikimin, brenda 15 ditëve nga data e miratimit, në përputhje me pikën 4, të nenit 25 të ligjit.</w:t>
      </w:r>
    </w:p>
    <w:p w:rsidR="00E81F7C" w:rsidRPr="000C348D" w:rsidRDefault="00E81F7C">
      <w:pPr>
        <w:widowControl w:val="0"/>
        <w:spacing w:after="0" w:line="240" w:lineRule="auto"/>
        <w:ind w:firstLine="284"/>
        <w:jc w:val="both"/>
        <w:rPr>
          <w:rFonts w:ascii="Garamond" w:eastAsia="MS Mincho" w:hAnsi="Garamond" w:cs="CG Times"/>
          <w:spacing w:val="-4"/>
          <w:sz w:val="2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64</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Zbatimi dhe monitorimi i zbatimit të PPV-së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lastRenderedPageBreak/>
        <w:t>1. Monitorimi i zbatimit të PPV-së bëhet nga autoriteti përgjegjës për hartimin e planit, në përputhje me shkronjat “c” dhe “dh”, të pikës 2, të nenit 12 dhe nenit 13 të ligjit, si dhe nga Agjencia, në përputhje me pikën 2, të nenit 10 të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Monitorimi i zbatimit të planit bëhet mbi bazën e planit të veprimeve dhe dokumentit të indikatorëve të monitorimit, të miratuar si pjesë përbërëse e dokumentit të planit, duke vlerësuar periodikisht programet buxhetore afatmesme dhe realizimin e investimeve të parashikuara.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Plani i Përgjithshëm Vendor zbatohet nëpërmjet planeve sektoriale në nivel bashkiak, planeve të detajuara vendore dhe lejeve të ndërtimit, sipas planit të veprimeve të tij.</w:t>
      </w:r>
    </w:p>
    <w:p w:rsidR="00CB1030" w:rsidRPr="000C348D" w:rsidRDefault="00CB1030">
      <w:pPr>
        <w:widowControl w:val="0"/>
        <w:spacing w:after="0" w:line="240" w:lineRule="auto"/>
        <w:ind w:firstLine="284"/>
        <w:jc w:val="both"/>
        <w:rPr>
          <w:rFonts w:ascii="Garamond" w:eastAsia="MS Mincho" w:hAnsi="Garamond" w:cs="CG Times"/>
          <w:spacing w:val="-4"/>
          <w:sz w:val="4"/>
          <w:lang w:val="sq-AL"/>
        </w:rPr>
      </w:pPr>
    </w:p>
    <w:p w:rsidR="00CB1030" w:rsidRPr="000C348D" w:rsidRDefault="00CB1030">
      <w:pPr>
        <w:widowControl w:val="0"/>
        <w:spacing w:after="0" w:line="240" w:lineRule="auto"/>
        <w:jc w:val="center"/>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SEKSIONI 8</w:t>
      </w: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PLANI SEKTORIAL NË NIVEL BASHKIE</w:t>
      </w:r>
    </w:p>
    <w:p w:rsidR="00CB1030" w:rsidRPr="000C348D" w:rsidRDefault="00CB1030">
      <w:pPr>
        <w:widowControl w:val="0"/>
        <w:spacing w:after="0" w:line="240" w:lineRule="auto"/>
        <w:jc w:val="center"/>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65</w:t>
      </w:r>
      <w:r w:rsidRPr="000C348D">
        <w:rPr>
          <w:rFonts w:ascii="Garamond" w:eastAsia="MS Mincho" w:hAnsi="Garamond" w:cs="CG Times"/>
          <w:spacing w:val="-4"/>
          <w:sz w:val="24"/>
          <w:lang w:val="sq-AL"/>
        </w:rPr>
        <w:tab/>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Objekti i PSNB-së</w:t>
      </w:r>
    </w:p>
    <w:p w:rsidR="00CB1030" w:rsidRPr="000C348D" w:rsidRDefault="00CB1030">
      <w:pPr>
        <w:widowControl w:val="0"/>
        <w:spacing w:after="0" w:line="240" w:lineRule="auto"/>
        <w:ind w:firstLine="284"/>
        <w:jc w:val="both"/>
        <w:rPr>
          <w:rFonts w:ascii="Garamond" w:eastAsia="MS Mincho" w:hAnsi="Garamond" w:cs="CG Times"/>
          <w:spacing w:val="-4"/>
          <w:sz w:val="6"/>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Planet sektoriale në nivel bashkie hartohen në zbatim të planeve të përgjithshme vendore, programeve përkatëse për zbatimin e funksioneve të veta dhe, sipas rastit, të përbashkëta e të deleguara, në përputhje me ligjin për vetëqeverisjen vendore.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Plani sektorial në nivel bashkie mund të hartohet për të gjithë territorin administrativ të bashkisë apo për pjesë të tij, në varësi të sektorit dhe interesit.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Strategjia, parashikimet dhe rregulloret e PSNB-së përcaktohen në bazë të strategjive kombëtare sektoriale, të PPV-së dhe buxhetit afatmesëm dhe vjetor të bashkisë.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Plani sektorial në nivel bashkie, teksa hartohet e zbatohet duhet të ndjekë parimet e planifikimit si një proces pune në vazhdimësi.</w:t>
      </w:r>
    </w:p>
    <w:p w:rsidR="00CB1030" w:rsidRPr="000C348D" w:rsidRDefault="00CB1030" w:rsidP="008058C5">
      <w:pPr>
        <w:widowControl w:val="0"/>
        <w:spacing w:after="0" w:line="240" w:lineRule="auto"/>
        <w:rPr>
          <w:rFonts w:ascii="Garamond" w:eastAsia="MS Mincho" w:hAnsi="Garamond" w:cs="CG Times"/>
          <w:spacing w:val="-4"/>
          <w:sz w:val="2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66</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Hartimi i PSNB-së</w:t>
      </w:r>
    </w:p>
    <w:p w:rsidR="00CB1030" w:rsidRPr="000C348D" w:rsidRDefault="00CB1030">
      <w:pPr>
        <w:widowControl w:val="0"/>
        <w:spacing w:after="0" w:line="240" w:lineRule="auto"/>
        <w:ind w:firstLine="284"/>
        <w:jc w:val="both"/>
        <w:rPr>
          <w:rFonts w:ascii="Garamond" w:eastAsia="MS Mincho" w:hAnsi="Garamond" w:cs="CG Times"/>
          <w:spacing w:val="-4"/>
          <w:sz w:val="10"/>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Autoriteti përgjegjës për ndërmarrjen e nismës dhe hartimin e dokumentit të planit sektorial në nivel bashkie është kryetari i njësisë së qeverisjes vendore.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Dokumenti i nismës për hartimin e PSNB-së hartohet duke ndjekur përcaktimet e nenit 53 të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Përmbajtja e PSNB-së, në varësi të sektorit, zbaton përcaktimet e posaçme të Planit të Përgjithshëm Vendor dhe ndjek si bazë nenet 55-59 të kësaj rregulloreje, në varësi të sektorit.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Bashkërendimi dhe këshillimi i PSNB-së është përgjegjësi e njësisë së qeverisjes vendore dhe kryhet përmes botimit të dokumentit në regjistër, informimit të palëve të interesuara dhe publikut nëpërmjet një a më shumë mjeteve tradicionale të informimit dhe, në rast se kërkohet, përmes organizimit të takimeve publike me ta.</w:t>
      </w:r>
    </w:p>
    <w:p w:rsidR="008058C5" w:rsidRPr="000C348D" w:rsidRDefault="008058C5">
      <w:pPr>
        <w:widowControl w:val="0"/>
        <w:spacing w:after="0" w:line="240" w:lineRule="auto"/>
        <w:ind w:firstLine="284"/>
        <w:jc w:val="both"/>
        <w:rPr>
          <w:rFonts w:ascii="Garamond" w:eastAsia="MS Mincho" w:hAnsi="Garamond" w:cs="CG Times"/>
          <w:spacing w:val="-4"/>
          <w:sz w:val="2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67</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Miratimi i PSNB-së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Autoriteti përgjegjës për miratimin e PSNB-së është Këshilli Bashkiak.</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Materialet që duhen dorëzuar/botuar në regjistër përpara miratimit të dokumentit të planifikimit në Këshill Bashkiak janë: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Kërkesa e kryetarit të bashkisë për miratimin e PPV-së në Këshill Bashkiak;</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Nisma e miratuar dhe vendimi i miratimit nga Këshilli Bashkiak;</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Dokumentet përbërëse të planit për të cilat kërkohet miratimi;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w:t>
      </w:r>
      <w:r w:rsidRPr="000C348D">
        <w:rPr>
          <w:rFonts w:ascii="Garamond" w:eastAsia="MS Mincho" w:hAnsi="Garamond" w:cs="CG Times"/>
          <w:spacing w:val="-4"/>
          <w:sz w:val="24"/>
          <w:lang w:val="sq-AL"/>
        </w:rPr>
        <w:tab/>
        <w:t>Deklarata mjedisore lëshuar nga autoriteti përgjegjës mbi Vlerësimin Strategjik Mjedisor, në rast se ky i fundit është pjesë e dokumenteve të PSNB-së, në përputhje me legjislacionin e posaçëm në fuqi.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Vendimi i miratimit të planit ose pjesëve përbërëse të tij nga Këshilli Bashkiak botohet në regjistër dhe, në çdo rast edhe në faqen zyrtare të autoritetit përgjegjës, brenda 10 (dhjetë) ditëve nga data e miratimit, në përputhje me pikën 4, të nenit 56 të ligjit.</w:t>
      </w:r>
    </w:p>
    <w:p w:rsidR="00CB1030" w:rsidRPr="000C348D" w:rsidRDefault="00CB1030">
      <w:pPr>
        <w:widowControl w:val="0"/>
        <w:spacing w:after="0" w:line="240" w:lineRule="auto"/>
        <w:jc w:val="center"/>
        <w:rPr>
          <w:rFonts w:ascii="Garamond" w:eastAsia="MS Mincho" w:hAnsi="Garamond" w:cs="CG Times"/>
          <w:spacing w:val="-4"/>
          <w:sz w:val="2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SEKSIONI 9</w:t>
      </w: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PLANI I DETAJUAR VENDOR</w:t>
      </w:r>
    </w:p>
    <w:p w:rsidR="00CB1030" w:rsidRPr="000C348D" w:rsidRDefault="00CB1030">
      <w:pPr>
        <w:widowControl w:val="0"/>
        <w:spacing w:after="0" w:line="240" w:lineRule="auto"/>
        <w:jc w:val="center"/>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68</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Objekti dhe qëllimi i PDV-së</w:t>
      </w:r>
    </w:p>
    <w:p w:rsidR="008058C5" w:rsidRPr="000C348D" w:rsidRDefault="008058C5">
      <w:pPr>
        <w:widowControl w:val="0"/>
        <w:spacing w:after="0" w:line="240" w:lineRule="auto"/>
        <w:jc w:val="center"/>
        <w:rPr>
          <w:rFonts w:ascii="Garamond" w:eastAsia="MS Mincho" w:hAnsi="Garamond" w:cs="CG Times"/>
          <w:i/>
          <w:spacing w:val="-4"/>
          <w:sz w:val="24"/>
          <w:lang w:val="sq-AL"/>
        </w:rPr>
      </w:pPr>
      <w:r w:rsidRPr="000C348D">
        <w:rPr>
          <w:rFonts w:ascii="Garamond" w:eastAsia="MS Mincho" w:hAnsi="Garamond" w:cs="CG Times"/>
          <w:i/>
          <w:spacing w:val="-4"/>
          <w:sz w:val="24"/>
          <w:lang w:val="sq-AL"/>
        </w:rPr>
        <w:t>(Ndryshuar fjalë në shkronjën ‘’a’’ të pikës 2 me VKM nr. 718, datë 20.11.2024)</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w:t>
      </w:r>
      <w:r w:rsidRPr="000C348D">
        <w:rPr>
          <w:rFonts w:ascii="Garamond" w:eastAsia="MS Mincho" w:hAnsi="Garamond" w:cs="CG Times"/>
          <w:spacing w:val="-4"/>
          <w:sz w:val="24"/>
          <w:lang w:val="sq-AL"/>
        </w:rPr>
        <w:tab/>
        <w:t>Njësitë, për të cilat hartohen plane të detajuara vendore, përcaktohen në dokumentin e Planit të Përgjithshëm Vendor, në bazë të përcaktimeve të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PDV-ja ka për qëllim, sipas rastit, të detajojë përcaktimet e PPV-së, për: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a) zhvillimin dhe/ose rizhvillimin e një </w:t>
      </w:r>
      <w:r w:rsidR="008058C5" w:rsidRPr="000C348D">
        <w:rPr>
          <w:rFonts w:ascii="Garamond" w:hAnsi="Garamond" w:cs="Times New Roman"/>
          <w:sz w:val="24"/>
          <w:szCs w:val="24"/>
          <w:lang w:val="sq-AL"/>
        </w:rPr>
        <w:t>apo disa njësive</w:t>
      </w:r>
      <w:r w:rsidRPr="000C348D">
        <w:rPr>
          <w:rFonts w:ascii="Garamond" w:eastAsia="MS Mincho" w:hAnsi="Garamond" w:cs="CG Times"/>
          <w:spacing w:val="-4"/>
          <w:sz w:val="24"/>
          <w:lang w:val="sq-AL"/>
        </w:rPr>
        <w: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rigjenerimin/ripërtëritjen urbane;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përdorimet e tokës dhe kushtet e zhvillimit;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investimet publike në infrastrukturë apo shërbimet publike, që ndikojnë në ndryshimin ose rishpërndarjen e kushteve të zhvillimit;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w:t>
      </w:r>
      <w:r w:rsidRPr="000C348D">
        <w:rPr>
          <w:rFonts w:ascii="Garamond" w:eastAsia="MS Mincho" w:hAnsi="Garamond" w:cs="CG Times"/>
          <w:spacing w:val="-4"/>
          <w:sz w:val="24"/>
          <w:lang w:val="sq-AL"/>
        </w:rPr>
        <w:tab/>
        <w:t>programet e drejtimit të zhvillimit nëpërmjet instrumenteve, në përputhje me nenet 30 dhe 31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Plani i detajuar vendor, gjatë fazave të hartimit dhe zbatimit, duhet të ndjekë parimet e planifikimit si një proces pune në vazhdimësi.</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69</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Autoriteti përgjegjës për PDV-në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Fillimi i procesit të punës për hartimin e PDV-së bëhet nga njësia vendore, me iniciativë të vetën nisur nga interesi publik për pajisje me infrastrukturë dhe shërbime apo me kërkesë të çdo pale të interesuar për zhvillim.</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w:t>
      </w:r>
      <w:r w:rsidRPr="000C348D">
        <w:rPr>
          <w:rFonts w:ascii="Garamond" w:eastAsia="MS Mincho" w:hAnsi="Garamond" w:cs="CG Times"/>
          <w:spacing w:val="-4"/>
          <w:sz w:val="24"/>
          <w:lang w:val="sq-AL"/>
        </w:rPr>
        <w:tab/>
        <w:t>Hartimi i dokumentit të PDV-së kryhet nga vetë autoriteti vendor për planifikimin dhe/ose nga pala e interesuar.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Në rast hartimi nga palët e interesuara, procesi mbikëqyret në çdo hap nga struktura përgjegjëse e planifikimit të territorit të autoritetit vendor.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Miratimi i PDV-së bëhet nga kryetari i njësisë vendore.</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70</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Hartimi dhe këshillimi i PDV-së</w:t>
      </w:r>
    </w:p>
    <w:p w:rsidR="00CB1030" w:rsidRPr="000C348D" w:rsidRDefault="000E7E7F" w:rsidP="0027510B">
      <w:pPr>
        <w:widowControl w:val="0"/>
        <w:spacing w:after="0" w:line="240" w:lineRule="auto"/>
        <w:ind w:firstLine="284"/>
        <w:jc w:val="center"/>
        <w:rPr>
          <w:rFonts w:ascii="Garamond" w:eastAsia="MS Mincho" w:hAnsi="Garamond" w:cs="CG Times"/>
          <w:i/>
          <w:spacing w:val="-4"/>
          <w:sz w:val="24"/>
          <w:lang w:val="sq-AL"/>
        </w:rPr>
      </w:pPr>
      <w:r w:rsidRPr="000C348D">
        <w:rPr>
          <w:rFonts w:ascii="Garamond" w:eastAsia="MS Mincho" w:hAnsi="Garamond" w:cs="CG Times"/>
          <w:i/>
          <w:spacing w:val="-4"/>
          <w:sz w:val="24"/>
          <w:lang w:val="sq-AL"/>
        </w:rPr>
        <w:t xml:space="preserve">(Ndryshuar togfjalësh në pikën 1, fjalë në  pikën  3 dhe 4, shtuar togfjalësh në shkronjat ‘’a’’ dhe ‘’b’’ të pikës 2 </w:t>
      </w:r>
      <w:r w:rsidR="0027510B" w:rsidRPr="000C348D">
        <w:rPr>
          <w:rFonts w:ascii="Garamond" w:eastAsia="MS Mincho" w:hAnsi="Garamond" w:cs="CG Times"/>
          <w:i/>
          <w:spacing w:val="-4"/>
          <w:sz w:val="24"/>
          <w:lang w:val="sq-AL"/>
        </w:rPr>
        <w:t>me VKM nr. 718, datë 20.11.2024)</w:t>
      </w:r>
    </w:p>
    <w:p w:rsidR="0027510B" w:rsidRPr="000C348D" w:rsidRDefault="0027510B">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1. Procesi i hartimit PDV-së nis me botimin e njoftimit të bashkisë në </w:t>
      </w:r>
      <w:r w:rsidR="0027510B" w:rsidRPr="000C348D">
        <w:rPr>
          <w:rFonts w:ascii="Garamond" w:hAnsi="Garamond" w:cs="Times New Roman"/>
          <w:sz w:val="24"/>
          <w:szCs w:val="24"/>
          <w:lang w:val="sq-AL"/>
        </w:rPr>
        <w:t xml:space="preserve">sistemin </w:t>
      </w:r>
      <w:r w:rsidR="0027510B" w:rsidRPr="000C348D">
        <w:rPr>
          <w:rFonts w:ascii="Garamond" w:hAnsi="Garamond" w:cs="Times New Roman"/>
          <w:i/>
          <w:iCs/>
          <w:sz w:val="24"/>
          <w:szCs w:val="24"/>
          <w:lang w:val="sq-AL"/>
        </w:rPr>
        <w:t>e-Planifikimi</w:t>
      </w:r>
      <w:r w:rsidRPr="000C348D">
        <w:rPr>
          <w:rFonts w:ascii="Garamond" w:eastAsia="MS Mincho" w:hAnsi="Garamond" w:cs="CG Times"/>
          <w:spacing w:val="-4"/>
          <w:sz w:val="24"/>
          <w:lang w:val="sq-AL"/>
        </w:rPr>
        <w:t xml:space="preserve"> të vendimmarrjes së kryetarit të njësisë vendore.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Njoftimi për nisjen e hartimit të PDV-së përmban: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Kodin e Njësisë,</w:t>
      </w:r>
      <w:r w:rsidR="0027510B" w:rsidRPr="000C348D">
        <w:rPr>
          <w:rFonts w:ascii="Garamond" w:hAnsi="Garamond" w:cs="Times New Roman"/>
          <w:sz w:val="24"/>
          <w:szCs w:val="24"/>
          <w:lang w:val="sq-AL"/>
        </w:rPr>
        <w:t xml:space="preserve"> </w:t>
      </w:r>
      <w:r w:rsidRPr="000C348D">
        <w:rPr>
          <w:rFonts w:ascii="Garamond" w:eastAsia="MS Mincho" w:hAnsi="Garamond" w:cs="CG Times"/>
          <w:spacing w:val="-4"/>
          <w:sz w:val="24"/>
          <w:lang w:val="sq-AL"/>
        </w:rPr>
        <w:t>të paracaktuar nga Plani i Përgjithshëm Vendor, shoqëruar me përcaktimet për zhvillimin e njësisë</w:t>
      </w:r>
      <w:r w:rsidR="0027510B" w:rsidRPr="000C348D">
        <w:rPr>
          <w:rFonts w:ascii="Garamond" w:hAnsi="Garamond" w:cs="Times New Roman"/>
          <w:sz w:val="24"/>
          <w:szCs w:val="24"/>
          <w:lang w:val="sq-AL"/>
        </w:rPr>
        <w:t xml:space="preserve"> ose grup-njësive</w:t>
      </w:r>
      <w:r w:rsidRPr="000C348D">
        <w:rPr>
          <w:rFonts w:ascii="Garamond" w:eastAsia="MS Mincho" w:hAnsi="Garamond" w:cs="CG Times"/>
          <w:spacing w:val="-4"/>
          <w:sz w:val="24"/>
          <w:lang w:val="sq-AL"/>
        </w:rPr>
        <w:t xml:space="preserve"> që rrjedhin nga ky plan.</w:t>
      </w:r>
      <w:r w:rsidR="0027510B" w:rsidRPr="000C348D">
        <w:rPr>
          <w:rFonts w:ascii="Garamond" w:eastAsia="MS Mincho" w:hAnsi="Garamond" w:cs="CG Times"/>
          <w:spacing w:val="-4"/>
          <w:sz w:val="24"/>
          <w:lang w:val="sq-AL"/>
        </w:rPr>
        <w:t xml:space="preserve">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Deklaratën e dakordësisë së pronarëve që kanë në pronësi jo më pak se 51% të sipërfaqes së njësisë,</w:t>
      </w:r>
      <w:r w:rsidR="007D1952" w:rsidRPr="000C348D">
        <w:rPr>
          <w:rFonts w:ascii="Garamond" w:hAnsi="Garamond" w:cs="Times New Roman"/>
          <w:sz w:val="24"/>
          <w:szCs w:val="24"/>
          <w:lang w:val="sq-AL"/>
        </w:rPr>
        <w:t xml:space="preserve"> ose grup-njësive,</w:t>
      </w:r>
      <w:r w:rsidRPr="000C348D">
        <w:rPr>
          <w:rFonts w:ascii="Garamond" w:eastAsia="MS Mincho" w:hAnsi="Garamond" w:cs="CG Times"/>
          <w:spacing w:val="-4"/>
          <w:sz w:val="24"/>
          <w:lang w:val="sq-AL"/>
        </w:rPr>
        <w:t xml:space="preserve"> në rastin e hartimit të PDV-së me nismë private, në përputhje me pikën 5, të nenit 22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Sipas vlerësimit të autoritetit përgjegjës për planifikimin, mund të përmbajë edhe: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buxhetin për hartimin e PDV-së, kur është me nismë publike;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planin e veprimit për hartimin e PDV-së.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3. Këshillimi i PDV-së, në rastet sipas përcaktimeve të pikës 6, të nenit 22 të ligjit, kryhet përmes botimit të dokumentit në </w:t>
      </w:r>
      <w:r w:rsidR="007D1952" w:rsidRPr="000C348D">
        <w:rPr>
          <w:rFonts w:ascii="Garamond" w:hAnsi="Garamond" w:cs="Times New Roman"/>
          <w:sz w:val="24"/>
          <w:szCs w:val="24"/>
          <w:lang w:val="sq-AL"/>
        </w:rPr>
        <w:t>sistem</w:t>
      </w:r>
      <w:r w:rsidRPr="000C348D">
        <w:rPr>
          <w:rFonts w:ascii="Garamond" w:eastAsia="MS Mincho" w:hAnsi="Garamond" w:cs="CG Times"/>
          <w:spacing w:val="-4"/>
          <w:sz w:val="24"/>
          <w:lang w:val="sq-AL"/>
        </w:rPr>
        <w:t>, informimit të palëve të interesuara dhe publikut nëpërmjet një a më shumë mjeteve tradicionale të informimit dhe, në rast se kërkohet, përmes organizimit të takimeve publike me ta.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lastRenderedPageBreak/>
        <w:t xml:space="preserve">4. Në çdo rast, dokumentacioni i plotë përfundimtar i PDV-së botohet në </w:t>
      </w:r>
      <w:r w:rsidR="000E7E7F" w:rsidRPr="000C348D">
        <w:rPr>
          <w:rFonts w:ascii="Garamond" w:hAnsi="Garamond" w:cs="Times New Roman"/>
          <w:sz w:val="24"/>
          <w:szCs w:val="24"/>
          <w:lang w:val="sq-AL"/>
        </w:rPr>
        <w:t>sistem</w:t>
      </w:r>
      <w:r w:rsidR="000E7E7F" w:rsidRPr="000C348D">
        <w:rPr>
          <w:rFonts w:ascii="Garamond" w:eastAsia="MS Mincho" w:hAnsi="Garamond" w:cs="CG Times"/>
          <w:spacing w:val="-4"/>
          <w:sz w:val="24"/>
          <w:lang w:val="sq-AL"/>
        </w:rPr>
        <w:t xml:space="preserve"> </w:t>
      </w:r>
      <w:r w:rsidRPr="000C348D">
        <w:rPr>
          <w:rFonts w:ascii="Garamond" w:eastAsia="MS Mincho" w:hAnsi="Garamond" w:cs="CG Times"/>
          <w:spacing w:val="-4"/>
          <w:sz w:val="24"/>
          <w:lang w:val="sq-AL"/>
        </w:rPr>
        <w:t>dhe qëndron i disponueshëm për këshillim të paktën për 30 (tridhjetë) ditë përpara vendimmarrjes së kryetarit.</w:t>
      </w:r>
    </w:p>
    <w:p w:rsidR="007D1952" w:rsidRPr="000C348D" w:rsidRDefault="007D1952">
      <w:pPr>
        <w:widowControl w:val="0"/>
        <w:spacing w:after="0" w:line="240" w:lineRule="auto"/>
        <w:ind w:firstLine="284"/>
        <w:jc w:val="both"/>
        <w:rPr>
          <w:rFonts w:ascii="Garamond" w:eastAsia="MS Mincho" w:hAnsi="Garamond" w:cs="CG Times"/>
          <w:spacing w:val="-4"/>
          <w:sz w:val="2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71</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Përmbajtja e dokumentit të PDV-së</w:t>
      </w:r>
    </w:p>
    <w:p w:rsidR="007661A9" w:rsidRPr="000C348D" w:rsidRDefault="007661A9" w:rsidP="007661A9">
      <w:pPr>
        <w:widowControl w:val="0"/>
        <w:spacing w:after="0" w:line="240" w:lineRule="auto"/>
        <w:ind w:firstLine="284"/>
        <w:jc w:val="center"/>
        <w:rPr>
          <w:rFonts w:ascii="Garamond" w:eastAsia="MS Mincho" w:hAnsi="Garamond" w:cs="CG Times"/>
          <w:i/>
          <w:spacing w:val="-4"/>
          <w:sz w:val="24"/>
          <w:lang w:val="sq-AL"/>
        </w:rPr>
      </w:pPr>
      <w:r w:rsidRPr="000C348D">
        <w:rPr>
          <w:rFonts w:ascii="Garamond" w:eastAsia="MS Mincho" w:hAnsi="Garamond" w:cs="CG Times"/>
          <w:i/>
          <w:spacing w:val="-4"/>
          <w:sz w:val="24"/>
          <w:lang w:val="sq-AL"/>
        </w:rPr>
        <w:t xml:space="preserve">(Shtuar </w:t>
      </w:r>
      <w:r w:rsidR="007F1292" w:rsidRPr="000C348D">
        <w:rPr>
          <w:rFonts w:ascii="Garamond" w:eastAsia="MS Mincho" w:hAnsi="Garamond" w:cs="CG Times"/>
          <w:i/>
          <w:spacing w:val="-4"/>
          <w:sz w:val="24"/>
          <w:lang w:val="sq-AL"/>
        </w:rPr>
        <w:t xml:space="preserve">pika 4 dhe </w:t>
      </w:r>
      <w:r w:rsidRPr="000C348D">
        <w:rPr>
          <w:rFonts w:ascii="Garamond" w:eastAsia="MS Mincho" w:hAnsi="Garamond" w:cs="CG Times"/>
          <w:i/>
          <w:spacing w:val="-4"/>
          <w:sz w:val="24"/>
          <w:lang w:val="sq-AL"/>
        </w:rPr>
        <w:t>fjali në pikën</w:t>
      </w:r>
      <w:r w:rsidR="007F1292" w:rsidRPr="000C348D">
        <w:rPr>
          <w:rFonts w:ascii="Garamond" w:eastAsia="MS Mincho" w:hAnsi="Garamond" w:cs="CG Times"/>
          <w:i/>
          <w:spacing w:val="-4"/>
          <w:sz w:val="24"/>
          <w:lang w:val="sq-AL"/>
        </w:rPr>
        <w:t xml:space="preserve"> 1</w:t>
      </w:r>
      <w:r w:rsidRPr="000C348D">
        <w:rPr>
          <w:rFonts w:ascii="Garamond" w:eastAsia="MS Mincho" w:hAnsi="Garamond" w:cs="CG Times"/>
          <w:i/>
          <w:spacing w:val="-4"/>
          <w:sz w:val="24"/>
          <w:lang w:val="sq-AL"/>
        </w:rPr>
        <w:t>, ndryshuar pika 3 me VKM nr. 718, datë 20.11.2024)</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Dokumenti i planit të detajuar vendor (PDV) hartohet në përputhje me dokumentet e Planit të Përgjithshëm Vendor, dokumentet e planifikimit vendor sektorial dhe legjislacionin në fuqi.</w:t>
      </w:r>
      <w:r w:rsidR="007661A9" w:rsidRPr="000C348D">
        <w:rPr>
          <w:rFonts w:ascii="Garamond" w:hAnsi="Garamond" w:cs="Times New Roman"/>
          <w:sz w:val="24"/>
          <w:szCs w:val="24"/>
          <w:lang w:val="sq-AL"/>
        </w:rPr>
        <w:t xml:space="preserve"> Përjashtimisht përcaktimeve në dokumentet e planifikimit në fuqi, PDV-ja mund të riorganizojë infrastrukturën rrugore lokale të parashikuar, në rast se konsiderohet e nevojshme për të rritur eficiencën dhe cilësinë e aksesit dhe të hapësirave urbane, si edhe pa cenuar aksesueshmërinë publike të zonës referuar një projekti teknik, i cili siguron ndërlidhjen ndërmjet rrugëve më të afërta.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Plani i detajuar vendor përmban të paktën: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planin e përcaktimeve territoriale, i shprehur në relacion dhe harta shoqëruese për pikat e mëposhtme: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analizën që paraprin përcaktimet territoriale;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përcaktimin e nënnjësive brenda njësisë në përputhje me nenin 78 të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iii) përcaktimet për përdorimin e tokës për çdo nënnjësi në nënkategori dhe funksione sipas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iv) përcaktimet e infrastrukturave teknike, duke përfshirë ato të transportit, energjisë, telekomunikacionit dhe ujësjellës-kanalizimeve;</w:t>
      </w:r>
    </w:p>
    <w:p w:rsidR="00CB1030" w:rsidRPr="000C348D" w:rsidRDefault="00EB70B8" w:rsidP="007661A9">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 përcaktimet e kushteve të zhvillimit për nënnjësitë, sipas rastit dhe/ose për parcelat;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vi) përcaktimet për zonat/objektet e mbrojtura të trashëgimisë kulturore, bazuar në legjislacionin përkatës në fuqi, sipas rastit;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vi) programet e përdorimit të instrumenteve të drejtimit të zhvillimit, bazuar në nenet 30-36 të ligjit, sipas rastit;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viii) planin për zbatimin e PDV-së – ndërtimin e infrastrukturave dhe shërbimeve publike, sipas parashikimeve të PPV-së.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Rregulloren e planit të detajuar, ku përfshihen: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përkufizimet e termave të përdorur;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shpjegimi i kodeve të përdorura;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iii) rregullat, të dhënat dhe kushtet e zhvillimit për çdo nënnjësi, duke detajuar rregullat e paracaktuara për njësinë në PPV, sipas shtojcës II në fund të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iv) rregulla për ndarjen dhe bashkimin e parcelave, sipas rastit;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 rregulla për zbatimin e instrumenteve për drejtimin e zhvillimit sipas neneve 30–36 të ligjit, sipas rastit;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vi) kushtet dhe rregullat teknike për zbatimin e infrastrukturave;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vii) rregullat për distancat, përcaktimi i vijës së kuqe dhe, sipas rastit, vijës blu;</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viii) rregullat e mbrojtjes së mjedisit dhe peizazhit;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ix) rregullat e ruajtjes së zonave, objekteve të trashëgimisë kulturore, sipas rastit.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x) rregulla arkitektonike;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xi) rregulla për përshtatjen e hapësirave për personat me aftësi të kufizuara.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Informacionin gjeohapësinor të integruar në platformën GIS, në përputhje me standardin e Regjistrit Kombëtar të Planifikimit të Territorit.</w:t>
      </w:r>
    </w:p>
    <w:p w:rsidR="00CB1030" w:rsidRPr="000C348D" w:rsidRDefault="00EB70B8">
      <w:pPr>
        <w:widowControl w:val="0"/>
        <w:spacing w:after="0" w:line="240" w:lineRule="auto"/>
        <w:ind w:firstLine="284"/>
        <w:jc w:val="both"/>
        <w:rPr>
          <w:rFonts w:ascii="Garamond" w:eastAsia="MS Mincho" w:hAnsi="Garamond" w:cs="CG Times"/>
          <w:spacing w:val="-4"/>
          <w:sz w:val="14"/>
          <w:lang w:val="sq-AL"/>
        </w:rPr>
      </w:pPr>
      <w:r w:rsidRPr="000C348D">
        <w:rPr>
          <w:rFonts w:ascii="Garamond" w:eastAsia="MS Mincho" w:hAnsi="Garamond" w:cs="CG Times"/>
          <w:spacing w:val="-4"/>
          <w:sz w:val="24"/>
          <w:lang w:val="sq-AL"/>
        </w:rPr>
        <w:t xml:space="preserve">3. </w:t>
      </w:r>
      <w:r w:rsidR="007661A9" w:rsidRPr="000C348D">
        <w:rPr>
          <w:rFonts w:ascii="Garamond" w:hAnsi="Garamond" w:cs="Times New Roman"/>
          <w:sz w:val="24"/>
          <w:szCs w:val="24"/>
          <w:lang w:val="sq-AL"/>
        </w:rPr>
        <w:t>Rregullorja e dokumenti të planit të detajuar vendor duhet të përcaktojë shpërndarjen e balancuar të të drejtave të zhvillimit, ku përcaktohen edhe raportet e përfitimeve nga zhvillimi, në mënyrë të drejtë dhe proporcionale me kontributin në zhvillim. Përfitimet, kontributi dhe kostot janë financiare ose të mira materiale që përfshijnë të drejtat për zhvillim dhe vlerën e rritur të tokës si rezultat i planifikimit ose investimeve publike.</w:t>
      </w:r>
    </w:p>
    <w:p w:rsidR="00CB1030" w:rsidRPr="000C348D" w:rsidRDefault="007661A9" w:rsidP="007661A9">
      <w:pPr>
        <w:widowControl w:val="0"/>
        <w:spacing w:after="0" w:line="240" w:lineRule="auto"/>
        <w:jc w:val="both"/>
        <w:rPr>
          <w:rFonts w:ascii="Garamond" w:eastAsia="MS Mincho" w:hAnsi="Garamond" w:cs="CG Times"/>
          <w:spacing w:val="-4"/>
          <w:sz w:val="24"/>
          <w:lang w:val="sq-AL"/>
        </w:rPr>
      </w:pPr>
      <w:r w:rsidRPr="000C348D">
        <w:rPr>
          <w:rFonts w:ascii="Garamond" w:hAnsi="Garamond" w:cs="Times New Roman"/>
          <w:sz w:val="24"/>
          <w:szCs w:val="24"/>
          <w:lang w:val="sq-AL"/>
        </w:rPr>
        <w:t xml:space="preserve">   4. Vendimet e KKTU-së pasqyrohen në dokumentin e PDV-së gjatë hartimit ose rishikimit të saj. </w:t>
      </w:r>
      <w:r w:rsidRPr="000C348D">
        <w:rPr>
          <w:rFonts w:ascii="Garamond" w:hAnsi="Garamond" w:cs="Times New Roman"/>
          <w:sz w:val="24"/>
          <w:szCs w:val="24"/>
          <w:lang w:val="sq-AL"/>
        </w:rPr>
        <w:lastRenderedPageBreak/>
        <w:t>Pavarësisht treguesve të zhvillimit, të miratuar me rregullore të veçantë nga KKTU-ja, treguesit e zhvillimit të përcaktuar nga PPV-ja do të shpërndahen nga PDV-ja në mënyrë proporcionale në të gjitha pjesët e territorit të njësisë ku ndërhyhet nëpërmjet rizhvillimit.</w:t>
      </w:r>
    </w:p>
    <w:p w:rsidR="00CB1030" w:rsidRPr="000C348D" w:rsidRDefault="00CB1030" w:rsidP="00453958">
      <w:pPr>
        <w:widowControl w:val="0"/>
        <w:spacing w:after="0" w:line="240" w:lineRule="auto"/>
        <w:rPr>
          <w:rFonts w:ascii="Garamond" w:eastAsia="MS Mincho" w:hAnsi="Garamond" w:cs="CG Times"/>
          <w:spacing w:val="-4"/>
          <w:sz w:val="2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72</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Miratimi dhe hyrja në fuqi e PDV-së</w:t>
      </w:r>
    </w:p>
    <w:p w:rsidR="00CB1030" w:rsidRPr="000C348D" w:rsidRDefault="003160CB" w:rsidP="00D23F86">
      <w:pPr>
        <w:widowControl w:val="0"/>
        <w:spacing w:after="0" w:line="240" w:lineRule="auto"/>
        <w:ind w:firstLine="284"/>
        <w:jc w:val="center"/>
        <w:rPr>
          <w:rFonts w:ascii="Garamond" w:eastAsia="MS Mincho" w:hAnsi="Garamond" w:cs="CG Times"/>
          <w:i/>
          <w:spacing w:val="-4"/>
          <w:sz w:val="24"/>
          <w:lang w:val="sq-AL"/>
        </w:rPr>
      </w:pPr>
      <w:r w:rsidRPr="000C348D">
        <w:rPr>
          <w:rFonts w:ascii="Garamond" w:eastAsia="MS Mincho" w:hAnsi="Garamond" w:cs="CG Times"/>
          <w:i/>
          <w:spacing w:val="-4"/>
          <w:sz w:val="24"/>
          <w:lang w:val="sq-AL"/>
        </w:rPr>
        <w:t xml:space="preserve">(Ndryshuar togfjalësh në pikën 3 dhe 7 </w:t>
      </w:r>
      <w:r w:rsidR="00D23F86" w:rsidRPr="000C348D">
        <w:rPr>
          <w:rFonts w:ascii="Garamond" w:eastAsia="MS Mincho" w:hAnsi="Garamond" w:cs="CG Times"/>
          <w:i/>
          <w:spacing w:val="-4"/>
          <w:sz w:val="24"/>
          <w:lang w:val="sq-AL"/>
        </w:rPr>
        <w:t>me VKM nr. 718, datë 20.11.2024)</w:t>
      </w:r>
    </w:p>
    <w:p w:rsidR="00D23F86" w:rsidRPr="000C348D" w:rsidRDefault="00D23F86">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Procesi i miratimit të planit të detajuar vendor (PDV) bëhet në përputhje me përcaktimet e neneve 22 e 25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Autoriteti përgjegjës për miratimin e PDV-së është kryetari i bashkisë, në përputhje me shkronjën “dh”, të pikës 1, të nenit 13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3. Kryetari i bashkisë merr vendimin për miratimin e planit të detajuar vendor, brenda 45 (dyzet e pesë) ditëve nga data e paraqitjes për shqyrtim të dokumentacionit të plotë përfundimtar, pasi ka informuar palët e interesuara përmes </w:t>
      </w:r>
      <w:r w:rsidR="00D23F86" w:rsidRPr="000C348D">
        <w:rPr>
          <w:rFonts w:ascii="Garamond" w:hAnsi="Garamond" w:cs="Times New Roman"/>
          <w:sz w:val="24"/>
          <w:szCs w:val="24"/>
          <w:lang w:val="sq-AL"/>
        </w:rPr>
        <w:t xml:space="preserve">sistemit </w:t>
      </w:r>
      <w:r w:rsidR="00D23F86" w:rsidRPr="000C348D">
        <w:rPr>
          <w:rFonts w:ascii="Garamond" w:hAnsi="Garamond" w:cs="Times New Roman"/>
          <w:i/>
          <w:iCs/>
          <w:sz w:val="24"/>
          <w:szCs w:val="24"/>
          <w:lang w:val="sq-AL"/>
        </w:rPr>
        <w:t>e-Planifikimi</w:t>
      </w:r>
      <w:r w:rsidRPr="000C348D">
        <w:rPr>
          <w:rFonts w:ascii="Garamond" w:eastAsia="MS Mincho" w:hAnsi="Garamond" w:cs="CG Times"/>
          <w:spacing w:val="-4"/>
          <w:sz w:val="24"/>
          <w:lang w:val="sq-AL"/>
        </w:rPr>
        <w:t>, faqes zyrtare të bashkisë, si dhe një a më shumë mjeteve tradicionale të informimit dhe, në rast se kërkohet, kryen takime publike me ta.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Kryetari i bashkisë vendos miratimin e planit të detajuar vendor, bazuar në raportin teknik, të përgatitur nga strukturat përgjegjëse të planifikimit të autoritetit vendor, vetëm në rast se nuk shprehen kundër banorët që kanë në pronësi më shumë se një të tretën e sipërfaqes së zonës përkatëse të zhvillimit.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5. Në rast se ka kundërshtime si më sipër, kryetari i njësisë së qeverisjes vendore organizon takime publike me palët e interesuara, shqyrton vërejtjet ose propozimet përkatëse dhe vlerëson reflektimin e tyre në planin e detajuar vendor.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6. Në përfundim të procesit, kryetari vendos në lidhje me miratimin e planit, duke u shprehur edhe në lidhje me pranimin ose mospranimin e propozimeve dhe vërejtjeve të depozituara.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7. Dokumenti i planit të detajuar vendor hyn në fuqi me botimin e plotë në </w:t>
      </w:r>
      <w:r w:rsidR="003160CB" w:rsidRPr="000C348D">
        <w:rPr>
          <w:rFonts w:ascii="Garamond" w:hAnsi="Garamond" w:cs="Times New Roman"/>
          <w:sz w:val="24"/>
          <w:szCs w:val="24"/>
          <w:lang w:val="sq-AL"/>
        </w:rPr>
        <w:t xml:space="preserve">sistemin </w:t>
      </w:r>
      <w:r w:rsidR="003160CB" w:rsidRPr="000C348D">
        <w:rPr>
          <w:rFonts w:ascii="Garamond" w:hAnsi="Garamond" w:cs="Times New Roman"/>
          <w:i/>
          <w:iCs/>
          <w:sz w:val="24"/>
          <w:szCs w:val="24"/>
          <w:lang w:val="sq-AL"/>
        </w:rPr>
        <w:t>e-Planifikimi</w:t>
      </w:r>
      <w:r w:rsidRPr="000C348D">
        <w:rPr>
          <w:rFonts w:ascii="Garamond" w:eastAsia="MS Mincho" w:hAnsi="Garamond" w:cs="CG Times"/>
          <w:spacing w:val="-4"/>
          <w:sz w:val="24"/>
          <w:lang w:val="sq-AL"/>
        </w:rPr>
        <w:t xml:space="preserve"> të vendimit të miratimit nga kryetari i bashkisë dhe dokumenteve përbërëse të PDV-së.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73</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Zbatimi dhe monitorimi i PDV-së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w:t>
      </w:r>
      <w:r w:rsidRPr="000C348D">
        <w:rPr>
          <w:rFonts w:ascii="Garamond" w:eastAsia="MS Mincho" w:hAnsi="Garamond" w:cs="CG Times"/>
          <w:spacing w:val="-4"/>
          <w:sz w:val="24"/>
          <w:lang w:val="sq-AL"/>
        </w:rPr>
        <w:tab/>
        <w:t>Plani i detajuar vendor zbatohet nëpërmjet instrumenteve të drejtimit të zhvillimit dhe lejeve të ndërtimit, sipas rregullores së këtij plani.</w:t>
      </w:r>
    </w:p>
    <w:p w:rsidR="00CB1030" w:rsidRPr="000C348D" w:rsidRDefault="00EB70B8" w:rsidP="00E81F7C">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Plani i detajuar vendor regjistrohet në regjistrin e pasurive të paluajtshme, në përputhje me pikën 12, të nenit 22 të ligjit.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Monitorimi i zbatimit të PDV-së bëhet nga autoriteti i planifikimit vendor, në përputhje me shkronjën “a”, të pikës 1, të nenit 13 të ligjit, si dhe nga Agjencia, në përputhje me pikën 2, të nenit 10 të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w:t>
      </w:r>
      <w:r w:rsidRPr="000C348D">
        <w:rPr>
          <w:rFonts w:ascii="Garamond" w:eastAsia="MS Mincho" w:hAnsi="Garamond" w:cs="CG Times"/>
          <w:spacing w:val="-4"/>
          <w:sz w:val="24"/>
          <w:lang w:val="sq-AL"/>
        </w:rPr>
        <w:tab/>
        <w:t>Monitorimi i zbatimit të planit bëhet në bazë të planit të veprimeve dhe dokumentit të indikatorëve të monitorimit, të miratuar si pjesë përbërëse e dokumentit të planit, duke vlerësuar periodikisht programet buxhetore afatmesme dhe realizimin e investimeve të parashikuara.</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KREU III</w:t>
      </w: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DREJTIME KRYESORE NË PROCESIN E PLANIFIKIMIT </w:t>
      </w:r>
    </w:p>
    <w:p w:rsidR="00CB1030" w:rsidRPr="000C348D" w:rsidRDefault="00CB1030">
      <w:pPr>
        <w:widowControl w:val="0"/>
        <w:spacing w:after="0" w:line="240" w:lineRule="auto"/>
        <w:jc w:val="center"/>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SEKSIONI 1</w:t>
      </w: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STRUKTURIMI DHE ZONIMI I TERRITORIT PËR QËLLIME PLANIFIKIMI DHE ZHVILLIMI</w:t>
      </w:r>
    </w:p>
    <w:p w:rsidR="00CB1030" w:rsidRPr="000C348D" w:rsidRDefault="00CB1030">
      <w:pPr>
        <w:widowControl w:val="0"/>
        <w:spacing w:after="0" w:line="240" w:lineRule="auto"/>
        <w:jc w:val="center"/>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74</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Strukturimi dhe zonimi i territorit</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w:t>
      </w:r>
      <w:r w:rsidRPr="000C348D">
        <w:rPr>
          <w:rFonts w:ascii="Garamond" w:eastAsia="MS Mincho" w:hAnsi="Garamond" w:cs="CG Times"/>
          <w:spacing w:val="-4"/>
          <w:sz w:val="24"/>
          <w:lang w:val="sq-AL"/>
        </w:rPr>
        <w:tab/>
        <w:t xml:space="preserve">Strukturimi i territorit për qëllime planifikimi dhe zhvillimi nënkupton ndarjen dhe përcaktimin e </w:t>
      </w:r>
      <w:r w:rsidRPr="000C348D">
        <w:rPr>
          <w:rFonts w:ascii="Garamond" w:eastAsia="MS Mincho" w:hAnsi="Garamond" w:cs="CG Times"/>
          <w:spacing w:val="-4"/>
          <w:sz w:val="24"/>
          <w:lang w:val="sq-AL"/>
        </w:rPr>
        <w:lastRenderedPageBreak/>
        <w:t>territorit në 4 nivele, të cilat janë hierarkike dhe renditen, si më poshtë vijon: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sistemi territorial;</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zona;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njësia;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nënnjësia, referuar ndryshe në ligj si zona e zhvillimit.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Dokumentet e planifikimit të territorit e strukturojnë territorin në nivele, si më poshtë vijon: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w:t>
      </w:r>
      <w:r w:rsidRPr="000C348D">
        <w:rPr>
          <w:rFonts w:ascii="Garamond" w:eastAsia="MS Mincho" w:hAnsi="Garamond" w:cs="CG Times"/>
          <w:spacing w:val="-4"/>
          <w:sz w:val="24"/>
          <w:lang w:val="sq-AL"/>
        </w:rPr>
        <w:tab/>
        <w:t>Plani i Përgjithshëm Kombëtar i Territorit dhe planet sektoriale japin përcaktime për sistemet territoriale dhe, sipas rastit, për zonat, por edhe për forma të tjera organizimi funksional të territoreve (pole zhvillimi etj.).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w:t>
      </w:r>
      <w:r w:rsidRPr="000C348D">
        <w:rPr>
          <w:rFonts w:ascii="Garamond" w:eastAsia="MS Mincho" w:hAnsi="Garamond" w:cs="CG Times"/>
          <w:spacing w:val="-4"/>
          <w:sz w:val="24"/>
          <w:lang w:val="sq-AL"/>
        </w:rPr>
        <w:tab/>
        <w:t>Planet e detajuara për zonat e rëndësisë kombëtare japin përcaktime për zonat, njësitë strukturore dhe nënnjësitë strukturore, në përputhje me Planin e Përgjithshëm Kombëtar dhe planet kombëtare sektoriale.</w:t>
      </w:r>
    </w:p>
    <w:p w:rsidR="00CB1030" w:rsidRPr="000C348D" w:rsidRDefault="00EB70B8" w:rsidP="00E81F7C">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Planet e përgjithshme vendore japin përcaktime për sistemet territoriale, në përputhje me planet e sipërpërmendura për zonat dhe njësitë strukturore.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Planet e detajuara vendore japin përcaktime për nënnjësitë strukturore, në përputhje me planet e përgjithshme vendore.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w:t>
      </w:r>
      <w:r w:rsidRPr="000C348D">
        <w:rPr>
          <w:rFonts w:ascii="Garamond" w:eastAsia="MS Mincho" w:hAnsi="Garamond" w:cs="CG Times"/>
          <w:spacing w:val="-4"/>
          <w:sz w:val="24"/>
          <w:lang w:val="sq-AL"/>
        </w:rPr>
        <w:tab/>
        <w:t>Zonimi i territorit nënkupton procesin e strukturimit të territorit sipas niveleve të përcaktuara në pikën 1 dhe përcaktimin e përdorimit të tokës e veçorive të tjera specifike për çdo ndarje dhe nënndarje, gjatë hartimit të dokumentit të planifikimit, me qëllim:</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harmonizimin e përdorimeve të tokës brenda një niveli organizimi;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w:t>
      </w:r>
      <w:r w:rsidRPr="000C348D">
        <w:rPr>
          <w:rFonts w:ascii="Garamond" w:eastAsia="MS Mincho" w:hAnsi="Garamond" w:cs="CG Times"/>
          <w:spacing w:val="-4"/>
          <w:sz w:val="24"/>
          <w:lang w:val="sq-AL"/>
        </w:rPr>
        <w:tab/>
        <w:t>ruajtjen dhe përmirësimin e vlerave e të karakterit të territorit, në përputhje me harmonizimin e interesave publikë dhe privatë në zhvillimin e saj;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zhvillimin e qëndrueshëm të territorit.</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75</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Sistemet territoriale</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w:t>
      </w:r>
      <w:r w:rsidRPr="000C348D">
        <w:rPr>
          <w:rFonts w:ascii="Garamond" w:eastAsia="MS Mincho" w:hAnsi="Garamond" w:cs="CG Times"/>
          <w:spacing w:val="-4"/>
          <w:sz w:val="24"/>
          <w:lang w:val="sq-AL"/>
        </w:rPr>
        <w:tab/>
        <w:t>Sistemi territorial është bashkësia e një sërë përbërësish territorialë, të ndërvarur dhe bashkëveprues me njëri-tjetrin, të cilët formojnë një tërësi.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Territori për qëllime planifikimi strukturohet në 5 sisteme territoriale: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sistemi urban (UB);</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b) sistemi infrastrukturor (IN);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sistemi bujqësor (B);</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sistemi natyror (N);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sistemi ujor (U).</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Sistemi urban (UB) formohet nga tërësia e vendbanimeve urbane dhe rurale, territoreve të ndërtuara ku kryhen funksione dhe aktivitete social-ekonomike. Sistemi urban kufizohet nga vija e gjelbër.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Sistemi infrastrukturor (IN) formohet nga tërësia e rrjeteve dhe strukturave që mbështetin dhe mundësojnë aktivitetin njerëzor, duke përfshirë transportin, energjinë, komunikimin, furnizimin dhe trajtimin e ujit dhe menaxhimin e mbetjeve.</w:t>
      </w:r>
    </w:p>
    <w:p w:rsidR="00CB1030" w:rsidRPr="000C348D" w:rsidRDefault="00EB70B8" w:rsidP="005857D3">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5. Sistemi bujqësor (B) formohet nga tërësia e tokave bujqësore të zëna me bimët e arave, pemishtet, vreshtat dhe ullishtet, me veçori thelbësore të saj pjellorinë e tokës, si dhe infrastruktura e objektet në funksion të aktivitetit bujqësor. Ky sistem është rezultati i ndërveprimit në kohë të aktiviteteve njerëzore për kultivim dhe ndërtime me karakter bujqësor në territor.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6. Sistemi natyror (N) përbëhet nga tërësia e tokave dhe peizazheve natyrore, korridoreve ekologjike lidhëse të tyre, si dhe infrastruktura e strukturat në funksion të aktivitetit natyror.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7. Sistemi ujor (U) formohet nga tërësia e trupave ujorë, burimeve nëntokësore e mbitokësore ujore dhe ligatinave.</w:t>
      </w:r>
    </w:p>
    <w:p w:rsidR="00CB1030" w:rsidRPr="000C348D" w:rsidRDefault="00CB1030">
      <w:pPr>
        <w:widowControl w:val="0"/>
        <w:spacing w:after="0" w:line="240" w:lineRule="auto"/>
        <w:ind w:firstLine="284"/>
        <w:jc w:val="both"/>
        <w:rPr>
          <w:rFonts w:ascii="Garamond" w:eastAsia="MS Mincho" w:hAnsi="Garamond" w:cs="CG Times"/>
          <w:spacing w:val="-4"/>
          <w:sz w:val="4"/>
          <w:lang w:val="sq-AL"/>
        </w:rPr>
      </w:pPr>
    </w:p>
    <w:p w:rsidR="00CB1030" w:rsidRPr="000C348D" w:rsidRDefault="00CB1030">
      <w:pPr>
        <w:widowControl w:val="0"/>
        <w:spacing w:after="0" w:line="240" w:lineRule="auto"/>
        <w:jc w:val="center"/>
        <w:rPr>
          <w:rFonts w:ascii="Garamond" w:eastAsia="MS Mincho" w:hAnsi="Garamond" w:cs="CG Times"/>
          <w:spacing w:val="-4"/>
          <w:sz w:val="12"/>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76</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lastRenderedPageBreak/>
        <w:t>Zona</w:t>
      </w:r>
    </w:p>
    <w:p w:rsidR="00CB1030" w:rsidRPr="000C348D" w:rsidRDefault="00EB70B8">
      <w:pPr>
        <w:widowControl w:val="0"/>
        <w:spacing w:after="0" w:line="240" w:lineRule="auto"/>
        <w:jc w:val="center"/>
        <w:rPr>
          <w:rFonts w:ascii="Garamond" w:eastAsia="MS Mincho" w:hAnsi="Garamond" w:cs="CG Times"/>
          <w:i/>
          <w:spacing w:val="-4"/>
          <w:sz w:val="24"/>
          <w:lang w:val="sq-AL"/>
        </w:rPr>
      </w:pPr>
      <w:r w:rsidRPr="000C348D">
        <w:rPr>
          <w:rFonts w:ascii="Garamond" w:eastAsia="MS Mincho" w:hAnsi="Garamond" w:cs="CG Times"/>
          <w:i/>
          <w:spacing w:val="-4"/>
          <w:sz w:val="24"/>
          <w:lang w:val="sq-AL"/>
        </w:rPr>
        <w:t>(Ndryshuar pika 3 me VKM nr. 232, datë 17.4.2019)</w:t>
      </w:r>
    </w:p>
    <w:p w:rsidR="00CB1030" w:rsidRPr="000C348D" w:rsidRDefault="00CB1030">
      <w:pPr>
        <w:widowControl w:val="0"/>
        <w:spacing w:after="0" w:line="240" w:lineRule="auto"/>
        <w:jc w:val="center"/>
        <w:rPr>
          <w:rFonts w:ascii="Garamond" w:eastAsia="MS Mincho" w:hAnsi="Garamond" w:cs="CG Times"/>
          <w:b/>
          <w:spacing w:val="-4"/>
          <w:sz w:val="24"/>
          <w:lang w:val="sq-AL"/>
        </w:rPr>
      </w:pPr>
    </w:p>
    <w:p w:rsidR="00CB1030" w:rsidRPr="000C348D" w:rsidRDefault="00CB1030">
      <w:pPr>
        <w:widowControl w:val="0"/>
        <w:spacing w:after="0" w:line="240" w:lineRule="auto"/>
        <w:ind w:firstLine="284"/>
        <w:jc w:val="both"/>
        <w:rPr>
          <w:rFonts w:ascii="Garamond" w:eastAsia="MS Mincho" w:hAnsi="Garamond" w:cs="CG Times"/>
          <w:spacing w:val="-4"/>
          <w:sz w:val="8"/>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Zona është pjesë përbërëse e sistemit territorial që detajohet në nivelin e kategorisë së përdorimit të tokës.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Kufijtë e zonave përcaktohen gjatë hartimit të dokumentit të planifikimit, në mënyrë të tillë që një zonë: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të ketë një kufi të vetëm e të mbyllur dhe të identifikohet në mënyrë unike në territor;</w:t>
      </w:r>
    </w:p>
    <w:p w:rsidR="00CB1030" w:rsidRPr="000C348D" w:rsidRDefault="005857D3">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w:t>
      </w:r>
      <w:r w:rsidR="00EB70B8" w:rsidRPr="000C348D">
        <w:rPr>
          <w:rFonts w:ascii="Garamond" w:eastAsia="MS Mincho" w:hAnsi="Garamond" w:cs="CG Times"/>
          <w:spacing w:val="-4"/>
          <w:sz w:val="24"/>
          <w:lang w:val="sq-AL"/>
        </w:rPr>
        <w:t>të respektojë zonime të veçanta të detyrueshme nga legjislacioni sektorial (zonat e mbrojtura mjedisore, kulturore etj.), sipas rastit.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w:t>
      </w:r>
      <w:r w:rsidRPr="000C348D">
        <w:rPr>
          <w:rFonts w:ascii="Garamond" w:eastAsia="MS Mincho" w:hAnsi="Garamond" w:cs="CG Times"/>
          <w:i/>
          <w:spacing w:val="-4"/>
          <w:sz w:val="24"/>
          <w:lang w:val="sq-AL"/>
        </w:rPr>
        <w:t xml:space="preserve"> </w:t>
      </w:r>
      <w:r w:rsidRPr="000C348D">
        <w:rPr>
          <w:rFonts w:ascii="Garamond" w:eastAsia="MS Mincho" w:hAnsi="Garamond" w:cs="CG Times"/>
          <w:spacing w:val="-4"/>
          <w:sz w:val="24"/>
          <w:lang w:val="sq-AL"/>
        </w:rPr>
        <w:t>Zona mund të përmbajë disa kategori përdorimi toke, të cilat duhet të jenë pjesë të një sistemi territorial, në përputhje me nenin 79, të kësaj rregulloreje.</w:t>
      </w:r>
    </w:p>
    <w:p w:rsidR="00CB1030" w:rsidRPr="000C348D" w:rsidRDefault="00CB1030" w:rsidP="003F10D8">
      <w:pPr>
        <w:widowControl w:val="0"/>
        <w:spacing w:after="0" w:line="240" w:lineRule="auto"/>
        <w:jc w:val="both"/>
        <w:rPr>
          <w:rFonts w:ascii="Garamond" w:eastAsia="MS Mincho" w:hAnsi="Garamond" w:cs="CG Times"/>
          <w:i/>
          <w:spacing w:val="-4"/>
          <w:sz w:val="2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77</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Njësia</w:t>
      </w:r>
    </w:p>
    <w:p w:rsidR="00CB1030" w:rsidRPr="000C348D" w:rsidRDefault="00EB70B8">
      <w:pPr>
        <w:widowControl w:val="0"/>
        <w:spacing w:after="0" w:line="240" w:lineRule="auto"/>
        <w:jc w:val="center"/>
        <w:rPr>
          <w:rFonts w:ascii="Garamond" w:eastAsia="MS Mincho" w:hAnsi="Garamond" w:cs="CG Times"/>
          <w:i/>
          <w:spacing w:val="-4"/>
          <w:sz w:val="24"/>
          <w:lang w:val="sq-AL"/>
        </w:rPr>
      </w:pPr>
      <w:r w:rsidRPr="000C348D">
        <w:rPr>
          <w:rFonts w:ascii="Garamond" w:eastAsia="MS Mincho" w:hAnsi="Garamond" w:cs="CG Times"/>
          <w:i/>
          <w:spacing w:val="-4"/>
          <w:sz w:val="24"/>
          <w:lang w:val="sq-AL"/>
        </w:rPr>
        <w:t>(Ndryshuar pika 3 me VKM nr. 232, datë 17.4.2019)</w:t>
      </w:r>
    </w:p>
    <w:p w:rsidR="00CB1030" w:rsidRPr="000C348D" w:rsidRDefault="00CB1030">
      <w:pPr>
        <w:widowControl w:val="0"/>
        <w:spacing w:after="0" w:line="240" w:lineRule="auto"/>
        <w:jc w:val="center"/>
        <w:rPr>
          <w:rFonts w:ascii="Garamond" w:eastAsia="MS Mincho" w:hAnsi="Garamond" w:cs="CG Times"/>
          <w:b/>
          <w:spacing w:val="-4"/>
          <w:sz w:val="24"/>
          <w:lang w:val="sq-AL"/>
        </w:rPr>
      </w:pPr>
    </w:p>
    <w:p w:rsidR="00CB1030" w:rsidRPr="000C348D" w:rsidRDefault="00CB1030">
      <w:pPr>
        <w:widowControl w:val="0"/>
        <w:spacing w:after="0" w:line="240" w:lineRule="auto"/>
        <w:ind w:firstLine="284"/>
        <w:jc w:val="both"/>
        <w:rPr>
          <w:rFonts w:ascii="Garamond" w:eastAsia="MS Mincho" w:hAnsi="Garamond" w:cs="CG Times"/>
          <w:spacing w:val="-4"/>
          <w:sz w:val="8"/>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w:t>
      </w:r>
      <w:r w:rsidRPr="000C348D">
        <w:rPr>
          <w:rFonts w:ascii="Garamond" w:eastAsia="MS Mincho" w:hAnsi="Garamond" w:cs="CG Times"/>
          <w:spacing w:val="-4"/>
          <w:sz w:val="24"/>
          <w:lang w:val="sq-AL"/>
        </w:rPr>
        <w:tab/>
        <w:t>Njësia strukturore është pjesë përbërëse e zonës që detajohet në nivelin e nënkategorisë së përdorimit të tokës, sipas shtojcës I të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w:t>
      </w:r>
      <w:r w:rsidRPr="000C348D">
        <w:rPr>
          <w:rFonts w:ascii="Garamond" w:eastAsia="MS Mincho" w:hAnsi="Garamond" w:cs="CG Times"/>
          <w:spacing w:val="-4"/>
          <w:sz w:val="24"/>
          <w:lang w:val="sq-AL"/>
        </w:rPr>
        <w:tab/>
        <w:t>Kufijtë e njësive strukturore përcaktohen gjatë hartimit të dokumentit të planifikimit, në mënyrë të tillë që një njësi: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të ketë një kufi të vetëm e të mbyllur dhe të identifikohet në mënyrë unike në territor;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të mos ketë përdorime të papërputhshme dhe me ndikime negative mes tyre;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w:t>
      </w:r>
      <w:r w:rsidRPr="000C348D">
        <w:rPr>
          <w:rFonts w:ascii="Garamond" w:eastAsia="MS Mincho" w:hAnsi="Garamond" w:cs="CG Times"/>
          <w:spacing w:val="-4"/>
          <w:sz w:val="24"/>
          <w:lang w:val="sq-AL"/>
        </w:rPr>
        <w:tab/>
        <w:t>të respektojë zonime të veçanta të detyrueshme nga legjislacioni sektorial (zonat e mbrojtura mjedisore, kulturore etj.), sipas rastit;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w:t>
      </w:r>
      <w:r w:rsidRPr="000C348D">
        <w:rPr>
          <w:rFonts w:ascii="Garamond" w:eastAsia="MS Mincho" w:hAnsi="Garamond" w:cs="CG Times"/>
          <w:spacing w:val="-4"/>
          <w:sz w:val="24"/>
          <w:lang w:val="sq-AL"/>
        </w:rPr>
        <w:tab/>
        <w:t>të kufizohet nga elemente fizike territoriale të dallueshme, si rrugë, linja hekurudhore, breza mbrojtës dhe sanitarë, brigje ujore, përrenj, lumenj etj.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Njësia mund të përmbajë disa kategori/nënkategori përdorimi toke, të cilat duhet të jenë pjesë të një sistemi territorial, në përputhje me nenin 79, të kësaj rregulloreje. Në raste specifike, në një njësi ku mbizotëron një sistem i vetëm territorial, kur, për zhvillimin homogjen të njësisë nuk është e rekomandueshme ndarja e saj, mund të lejohen edhe përdorime që u përkasin sistemeve të tjera territoriale.</w:t>
      </w:r>
    </w:p>
    <w:p w:rsidR="00CB1030" w:rsidRPr="000C348D" w:rsidRDefault="00CB1030">
      <w:pPr>
        <w:widowControl w:val="0"/>
        <w:spacing w:after="0" w:line="240" w:lineRule="auto"/>
        <w:jc w:val="center"/>
        <w:rPr>
          <w:rFonts w:ascii="Garamond" w:eastAsia="MS Mincho" w:hAnsi="Garamond" w:cs="CG Times"/>
          <w:spacing w:val="-4"/>
          <w:sz w:val="2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78</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Nënnjësia</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w:t>
      </w:r>
      <w:r w:rsidRPr="000C348D">
        <w:rPr>
          <w:rFonts w:ascii="Garamond" w:eastAsia="MS Mincho" w:hAnsi="Garamond" w:cs="CG Times"/>
          <w:spacing w:val="-4"/>
          <w:sz w:val="24"/>
          <w:lang w:val="sq-AL"/>
        </w:rPr>
        <w:tab/>
        <w:t>Nënnjësia është pjesë përbërëse e njësisë që detajohet në nivelin e funksioneve, sipas shtojcës I të kësaj rregulloreje dhe i shërben planifikimit të detajuar të territorit.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w:t>
      </w:r>
      <w:r w:rsidRPr="000C348D">
        <w:rPr>
          <w:rFonts w:ascii="Garamond" w:eastAsia="MS Mincho" w:hAnsi="Garamond" w:cs="CG Times"/>
          <w:spacing w:val="-4"/>
          <w:sz w:val="24"/>
          <w:lang w:val="sq-AL"/>
        </w:rPr>
        <w:tab/>
        <w:t>Kufiri i nënnjësisë përcaktohet gjatë hartimit të dokumentit të detajuar të planifikimit, në mënyrë të tillë që të kufizohet nga rrjeti infrastrukturor dhe, sipas rastit, nga breza të tjerë mbrojtës apo kufij pronësie. Sipas rastit, kufiri i nënnjësisë mund të jetë i njëjtë me atë të njësisë.</w:t>
      </w:r>
    </w:p>
    <w:p w:rsidR="00CB1030" w:rsidRPr="000C348D" w:rsidRDefault="00CB1030">
      <w:pPr>
        <w:widowControl w:val="0"/>
        <w:spacing w:after="0" w:line="240" w:lineRule="auto"/>
        <w:jc w:val="center"/>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79</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 xml:space="preserve">Kategorizimi i përdorimit të tokës </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Qëllimi i kategorizimit të përdorimit të tokës është: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të funksionojë si një mjet për planifikimin dhe zhvillimin e territorit;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të unifikojë metodologjinë bazë, terminologjinë dhe kodet e përdorura gjatë zonimit sipas kësaj rregulloreje, pa kufizuar metodologjitë e planifikimit dhe mënyrat e tjera të zonimit;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të krijojë një bazë krahasuese në lidhje me përdorimin e tokës midis dokumenteve të planifikimit të autoriteteve dhe territoreve të ndryshme.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lastRenderedPageBreak/>
        <w:t>2. Kategorizimi i përdorimi të tokës kryhet në bazë të sistemeve territoriale dhe përshkallëzohet, si më poshtë vijon: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sistemet territoriale;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kategoritë;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nënkategoritë;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funksionet.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Autoriteti i planifikimit përcakton në territor kategoritë, nënkategoritë dhe përdorimet specifike të tokës sipas kësaj rregulloreje për gjendjen ekzistuese dhe të propozuar të territorit.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Në çdo rast, për secilën ndarje dhe nënndarje territoriale, duhet të përcaktohen të gjitha përdorimet e lejueshme të tokës, duke specifikuar shtrirjen e tyre në sipërfaqen e territorit në përqindje mbi të tërën dhe duke shënuar të gjitha kodet përkatëse sipas kësaj rregulloreje.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5. Kur një kategori e përdorimit të tokës mbizotëron mbi kategoritë e tjera, ajo quhet kategori bazë për zonën, njësinë apo nënnjësinë.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6. Nëse një zonë dhe/ose njësi përmban dy apo më shumë kategori të përdorimit të tokës që mbulojnë në një masë të përafërt sipërfaqen e saj, ajo konsiderohet me përdorim të përzier.</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80</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 xml:space="preserve">Kategoritë e përdorimit të tokës </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Kategoritë e përdorimit të tokës janë 22 dhe detajojnë përdorimet brenda sistemeve të territorit në përputhje me këtë rregullore dhe legjislacionin në fuqi.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Autoriteti i planifikimit i referohet dhe përdor gjatë procesit të zonimit kategoritë e përdorimit të tokës sipas sistemeve territoriale, me kodet përkatëse, si më poshtë vijon: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Sistemi urban (UB), me përcaktimet e mëposhtme: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“Banim (A)” përfshin territore dhe struktura ku kryhen funksione dhe aktivitete të banimit.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“Shërbime (S)” përfshin territore dhe struktura ku kryhen funksionet dhe aktivitetet e shërbimeve tregtare, akomoduese dhe zyre.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iii) “Industri ekonomi (IE)” përfshin territore dhe struktura ku kryhen funksionet dhe aktivitetet e industrisë së lehtë e të rëndë, si dhe funksione ekonomike komplekse.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iv) “Institucione (IS)” përfshin territore dhe struktura ku kryhen funksionet dhe aktivitetet e administrimit publik, shërbimeve publike, sociale, diplomatike, financiare dhe fetare.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 “Arsim (AS)” përfshin territore dhe struktura ku kryhen funksionet dhe aktivitetet e arsimit në të gjitha nivelet: parashkollor, i ulët, i mesëm dhe i lartë, sipas legjislacionit përkatës.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vi) “Shëndetësi (SH)” përfshin territore dhe struktura ku kryhen funksionet dhe aktivitetet e shërbimit ambulator dhe spitalor, sipas legjislacionit përkatës.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vii) “Aktivitete shoqërore dhe argëtimi (AR)” përfshin territore dhe struktura në shërbim të aktiviteteve kulturore e sportive, parqe dhe hapësira publike.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viii) “Monumente kulturore (M)” përfshin territore dhe struktura, pjesë të trashëgimisë kulturore dhe historike.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ix) “Zona ushtarake (ZU)” përfshin territore dhe struktura ku kryhen funksionet dhe aktivitetet ushtarake, sipas legjislacionit përkatës.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x) “Varreza (V)” përfshin territoret dhe strukturat në shërbim të varrezave.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Sistemi infrastrukturor (IN), me përcaktimet e mëposhtme: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“Infrastrukturë transporti (INT)” përfshin infrastrukturat e transportit rrugor, hekurudhor, ujor, ajror dhe multimodal; rrjetet e përbëra nga linjat, stacionet dhe struktura të tjera në shërbim të tyre.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“Infrastrukturë energjetike (IEN)” përfshin infrastrukturat e prodhimit, transmetimit dhe shpërndarjes së energjisë elektrike nga burime hidrike, lëndë djegëse, eolike e diellore, si dhe infrastrukturat e gazifikimit, përfshirë linjat dhe strukturat mbështetëse.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iii) “Infrastrukturë telekomunikacioni (ITK)” përfshin rrjetet, antenat dhe strukturat që mundësojnë telekomunikacionin.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iv) “Infrastrukturë e ujësjellës – kanalizimeve (IUK)” përfshin rrjetet dhe strukturat në shërbim të </w:t>
      </w:r>
      <w:r w:rsidRPr="000C348D">
        <w:rPr>
          <w:rFonts w:ascii="Garamond" w:eastAsia="MS Mincho" w:hAnsi="Garamond" w:cs="CG Times"/>
          <w:spacing w:val="-4"/>
          <w:sz w:val="24"/>
          <w:lang w:val="sq-AL"/>
        </w:rPr>
        <w:lastRenderedPageBreak/>
        <w:t>furnizimit me ujë, kanalizimeve dhe trajtimit të ujërave të zeza.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v) “Infrastrukturë menaxhimi mbetjesh (IMB)” përfshin strukturat në shërbim të grumbullimit, depozitimit dhe trajtimit të mbetjeve të ngurta.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Sistemi bujqësor (B), me përcaktimet e mëposhtme: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“Bujqësi (B)” përfshin tokat bujqësore me kultura të përhershme apo sezonale bujqësore, si dhe tokat djerrë, sipas legjislacionit përkatës.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“Infrastrukturë bujqësore (IB)” përfshin infrastrukturën në shërbim të aktivitetit bujqësor që mundëson vaditjen dhe kullimin e tokave bujqësore.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iii) “Ekonomi bujqësore (EB)” përfshin strukturat dhe infrastrukturat në funksion të ekonomisë bujqësore e blegtorale, si dhe shërbimet e agroturizmit.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iv) “Bujqësi - Banim (BA)” përfshin banimin në funksion të aktivitetit bujqësor.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w:t>
      </w:r>
      <w:r w:rsidRPr="000C348D">
        <w:rPr>
          <w:rFonts w:ascii="Garamond" w:eastAsia="MS Mincho" w:hAnsi="Garamond" w:cs="CG Times"/>
          <w:spacing w:val="-4"/>
          <w:sz w:val="24"/>
          <w:lang w:val="sq-AL"/>
        </w:rPr>
        <w:tab/>
        <w:t>Sistemi natyror (N) formohet nga bashkimi i territoreve me kategori bazë përdorimi toke, sipas përcaktimeve të mëposhtme: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“Tokë natyrore (N)” përfshin territoret natyrore, si: pyje, kullota, livadhe, shkurre e të tjera, të paprekura nga aktiviteti njerëzor.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ii) “Natyrë dhe argëtim (NAR)” përfshin territoret natyrore, infrastrukturat ekologjike në funksion të aktivitetit njerëzor në natyrë, si: parqe, plazhe, shtigje dhe strukturat në funksion të ekoturizmit.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Sistemi ujor (U), me përcaktimin e mëposhtëm:</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i) “Ujëra (U)” përfshin të gjithë trupat ujorë: dete, laguna, këneta, liqene, lumenj, përrenj e burime ujore, sipas legjislacionit përkatës.</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81</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Kushtëzimi për materialin hartografik të dokumentit të planifikimit</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rsidP="00452FAD">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1. </w:t>
      </w:r>
      <w:r w:rsidRPr="000C348D">
        <w:rPr>
          <w:rFonts w:ascii="Garamond" w:eastAsia="MS Mincho" w:hAnsi="Garamond" w:cs="CG Times"/>
          <w:spacing w:val="-4"/>
          <w:sz w:val="24"/>
          <w:lang w:val="sq-AL"/>
        </w:rPr>
        <w:tab/>
        <w:t>Çdo dokument planifikimi hartohet /integrohet në platformën GIS të Regjistrit Kombëtar të Planifikimit të Territorit.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2. </w:t>
      </w:r>
      <w:r w:rsidRPr="000C348D">
        <w:rPr>
          <w:rFonts w:ascii="Garamond" w:eastAsia="MS Mincho" w:hAnsi="Garamond" w:cs="CG Times"/>
          <w:spacing w:val="-4"/>
          <w:sz w:val="24"/>
          <w:lang w:val="sq-AL"/>
        </w:rPr>
        <w:tab/>
        <w:t>Materiali hartografik për gjendjen ekzistuese dhe të propozuar duhet të hartohet në përputhje me standardin e RKPT-së.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3. </w:t>
      </w:r>
      <w:r w:rsidRPr="000C348D">
        <w:rPr>
          <w:rFonts w:ascii="Garamond" w:eastAsia="MS Mincho" w:hAnsi="Garamond" w:cs="CG Times"/>
          <w:spacing w:val="-4"/>
          <w:sz w:val="24"/>
          <w:lang w:val="sq-AL"/>
        </w:rPr>
        <w:tab/>
        <w:t>Organizimi dhe zonimi i territorit kryhen në përputhje me standardin e RKPT-së.</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CB1030" w:rsidP="003F10D8">
      <w:pPr>
        <w:widowControl w:val="0"/>
        <w:spacing w:after="0" w:line="240" w:lineRule="auto"/>
        <w:rPr>
          <w:rFonts w:ascii="Garamond" w:eastAsia="MS Mincho" w:hAnsi="Garamond" w:cs="CG Times"/>
          <w:spacing w:val="-4"/>
          <w:sz w:val="2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KREU IV</w:t>
      </w: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STANDARDE, TREGUES DHE KUSHTËZIME NË PLANIFIKIM</w:t>
      </w:r>
    </w:p>
    <w:p w:rsidR="00CB1030" w:rsidRPr="000C348D" w:rsidRDefault="00CB1030">
      <w:pPr>
        <w:widowControl w:val="0"/>
        <w:spacing w:after="0" w:line="240" w:lineRule="auto"/>
        <w:jc w:val="center"/>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SEKSIONI 1</w:t>
      </w: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STANDARDE DHE TREGUES PËR PLANIFIKIMIN E TERRITORIT</w:t>
      </w:r>
    </w:p>
    <w:p w:rsidR="00CB1030" w:rsidRPr="000C348D" w:rsidRDefault="00CB1030">
      <w:pPr>
        <w:widowControl w:val="0"/>
        <w:spacing w:after="0" w:line="240" w:lineRule="auto"/>
        <w:jc w:val="center"/>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82</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 xml:space="preserve">Standardet dhe treguesit e planifikimit </w:t>
      </w:r>
    </w:p>
    <w:p w:rsidR="00CB1030" w:rsidRPr="000C348D" w:rsidRDefault="00EB70B8" w:rsidP="003F10D8">
      <w:pPr>
        <w:widowControl w:val="0"/>
        <w:spacing w:after="0" w:line="240" w:lineRule="auto"/>
        <w:jc w:val="center"/>
        <w:rPr>
          <w:rFonts w:ascii="Garamond" w:eastAsia="MS Mincho" w:hAnsi="Garamond" w:cs="CG Times"/>
          <w:bCs/>
          <w:i/>
          <w:spacing w:val="-4"/>
          <w:sz w:val="24"/>
          <w:lang w:val="en-GB"/>
        </w:rPr>
      </w:pPr>
      <w:r w:rsidRPr="000C348D">
        <w:rPr>
          <w:rFonts w:ascii="Garamond" w:eastAsia="MS Mincho" w:hAnsi="Garamond" w:cs="CG Times"/>
          <w:bCs/>
          <w:i/>
          <w:spacing w:val="-4"/>
          <w:sz w:val="24"/>
          <w:lang w:val="sq-AL"/>
        </w:rPr>
        <w:t>(</w:t>
      </w:r>
      <w:r w:rsidR="003F10D8" w:rsidRPr="000C348D">
        <w:rPr>
          <w:rFonts w:ascii="Garamond" w:eastAsia="MS Mincho" w:hAnsi="Garamond" w:cs="CG Times"/>
          <w:bCs/>
          <w:i/>
          <w:spacing w:val="-4"/>
          <w:sz w:val="24"/>
          <w:lang w:val="sq-AL"/>
        </w:rPr>
        <w:t>Ndryshuar shkronja “f”</w:t>
      </w:r>
      <w:r w:rsidRPr="000C348D">
        <w:rPr>
          <w:rFonts w:ascii="Garamond" w:eastAsia="MS Mincho" w:hAnsi="Garamond" w:cs="CG Times"/>
          <w:bCs/>
          <w:i/>
          <w:spacing w:val="-4"/>
          <w:sz w:val="24"/>
          <w:lang w:val="sq-AL"/>
        </w:rPr>
        <w:t xml:space="preserve"> e pikës 2 me VKM nr. 694, datë 2.10.2019)</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Standardet dhe treguesit e planifikimit të territorit përfaqësojnë norma e referenca që përdoren gjatë procesit të planifikimit për të mundësuar një zhvillim të qëndrueshëm të territorit.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Standardet dhe treguesit e planifikimit të territorit vendosen kryesisht për sistemin urban dhe për sektorë të ndryshëm, në përputhje me legjislacionin e posaçëm dhe zbatohen, për: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banimin;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arsimin;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shëndetësinë;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hapësirat publike dhe gjelbërimin në territore urbane;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terrenet sportive;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dh) parkimin;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e) infrastrukturën;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ë) brezat mbrojtës;</w:t>
      </w:r>
    </w:p>
    <w:p w:rsidR="00CB1030" w:rsidRPr="000C348D" w:rsidRDefault="00EB70B8">
      <w:pPr>
        <w:widowControl w:val="0"/>
        <w:spacing w:after="0" w:line="240" w:lineRule="auto"/>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lastRenderedPageBreak/>
        <w:t xml:space="preserve">     f) zhvillimet në zonat e rrezikuara nga fatkeqësitë natyrore, tërmete, përmbytje, zjarre masive, rrëshqitje të tokës, erozion etj.</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Standardet dhe treguesit e planifikimit të territorit përcaktohen në një dokument të posaçëm, hartuar nga Agjencia dhe zbatohen nga të gjitha autoritetet përgjegjëse për planifikimin gjatë hartimit të dokumenteve të planifikimit.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Rregullat, kushtet, standardet dhe treguesit e planifikimit të territorit ndryshojnë sipas situatës ekzistuese dhe të parashikuar të zonës që studiohet, në lidhje me përdorimin e tokës, llojet e strukturave, tipologjitë hapësinore, funksionet, aktivitetet dhe me kushte të vendosura nga legjislacioni i posaçëm.</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SEKSIONI 2</w:t>
      </w: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KUSHTËZIME SEKTORIALE NË PLANIFIKIMIN E TERRITORIT</w:t>
      </w:r>
    </w:p>
    <w:p w:rsidR="00CB1030" w:rsidRPr="000C348D" w:rsidRDefault="00CB1030">
      <w:pPr>
        <w:widowControl w:val="0"/>
        <w:spacing w:after="0" w:line="240" w:lineRule="auto"/>
        <w:jc w:val="center"/>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83</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Dispozita të përgjithshme</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Kushtëzimet sektoriale në planifikimin e territorit rrjedhin nga legjislacioni i posaçëm në fuqi për secilin sektor që ndikon territorin.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Përtej kushtëzimeve ligjore të posaçme, kjo rregullore vendos kushtëzime shtesë për disa sektorë, në funksion të zhvillimit të qëndrueshëm të territorit dhe harmonizimit të zhvillimeve sektoriale.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Hartuesve të dokumenteve të planifikimit u lind e drejta të përcaktojnë tregues apo kushte shtesë për zhvillimin në territor, për sa kohë që nuk përcaktohet ndryshe në këtë rregullore dhe legjislacionin sektorial.</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84</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Përdorimet industriale</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Madhësia e zonave me përdorim të kategorisë bazë “Industri dhe ekonomi (IE)” varet nga lloji i industrisë, strukturat dhe territoret që nevojiten për të, si dhe nga rregullat e kushtet e përcaktuara në politikat e zhvillimit strategjik dhe/ose strategjinë territoriale të njësisë vendore apo të autoriteteve të qeverisjes qendrore.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Zona industriale duhet: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të lidhet me të gjitha rrugët e trafikut të rëndë të jashtëm dhe të shpejtësisë së lartë;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të respektojë distancat nga qendrat e banuara, në varësi të llojit të aktivitetit dhe treguesve mjedisorë, sipas përcaktimeve të legjislacionit të posaçëm në fuqi;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të rrethohet me breza mbrojtës sanitarë;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të pozicionohet në mënyrë të tillë që shkarkimet në ajër të mos lëvizin me erën drejt qytetit dhe për këtë duhet të bazohet në studimet mbi drejtimin e trëndafilit të erërave;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 të ketë një rrjet të infrastrukturave, të pavarur nga ai i qendrës dhe i zonës së banuar;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dh) të përmbajë zgjidhjet e brendshme për trajtimin e mbetjeve të të gjitha llojeve që shkarkohen nga aktiviteti industrial.</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85</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Zona spitalore</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Zona spitalore përbëhet nga tërësia e strukturave shëndetësore me shtretër, të tilla si: spital patologjik, pediatri, kirurgji, maternitet etj., sipas legjislacionit të posaçëm.</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Përveç sa parashikohet në këtë nen, autoriteti përgjegjës zbaton legjislacionin e posaçëm për planifikimin dhe për ndërtimin e spitaleve publike dhe private, në përputhje me standardet e shërbimit.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3. Zona spitalore duhet të ketë lidhje të mirë me qendrën dhe rrugët kryesore të qytetit, të jetë e mbrojtur nga erërat e forta dhe me diellëzim të mirë, e mbrojtur nga zhurmat, tymi, pluhurat dhe të gjithë ndotësit industrialë dhe bujqësorë në përgjithësi. </w:t>
      </w:r>
    </w:p>
    <w:p w:rsidR="00CB1030" w:rsidRPr="000C348D" w:rsidRDefault="00CB1030">
      <w:pPr>
        <w:widowControl w:val="0"/>
        <w:spacing w:after="0" w:line="240" w:lineRule="auto"/>
        <w:jc w:val="center"/>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86</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Zona natyrore</w:t>
      </w:r>
    </w:p>
    <w:p w:rsidR="00CB1030" w:rsidRPr="000C348D" w:rsidRDefault="00EB70B8">
      <w:pPr>
        <w:widowControl w:val="0"/>
        <w:spacing w:after="0" w:line="240" w:lineRule="auto"/>
        <w:jc w:val="center"/>
        <w:rPr>
          <w:rFonts w:ascii="Garamond" w:eastAsia="MS Mincho" w:hAnsi="Garamond" w:cs="CG Times"/>
          <w:i/>
          <w:spacing w:val="-4"/>
          <w:sz w:val="24"/>
          <w:lang w:val="sq-AL"/>
        </w:rPr>
      </w:pPr>
      <w:r w:rsidRPr="000C348D">
        <w:rPr>
          <w:rFonts w:ascii="Garamond" w:eastAsia="MS Mincho" w:hAnsi="Garamond" w:cs="CG Times"/>
          <w:i/>
          <w:spacing w:val="-4"/>
          <w:sz w:val="24"/>
          <w:lang w:val="sq-AL"/>
        </w:rPr>
        <w:lastRenderedPageBreak/>
        <w:t>(Shfuqizuar pika 3 me VKM nr. 232, datë 17.4.2019)</w:t>
      </w:r>
    </w:p>
    <w:p w:rsidR="00CB1030" w:rsidRPr="000C348D" w:rsidRDefault="00CB1030">
      <w:pPr>
        <w:widowControl w:val="0"/>
        <w:spacing w:after="0" w:line="240" w:lineRule="auto"/>
        <w:jc w:val="center"/>
        <w:rPr>
          <w:rFonts w:ascii="Garamond" w:eastAsia="MS Mincho" w:hAnsi="Garamond" w:cs="CG Times"/>
          <w:b/>
          <w:spacing w:val="-4"/>
          <w:sz w:val="24"/>
          <w:lang w:val="sq-AL"/>
        </w:rPr>
      </w:pP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Procesi i planifikimit dhe i zhvillimit në zona natyrore, si dhe ndryshimi i kategorisë përkatëse bazë të përdorimit të tokës në kategori të tjera rregullohet nga legjislacioni i posaçëm për pyjet dhe shërbimin pyjor për tokën, për turizmin, për kullotat e livadhet për menaxhimin e integruar të burimeve ujore dhe për mjedisin.</w:t>
      </w:r>
    </w:p>
    <w:p w:rsidR="00CB1030" w:rsidRPr="000C348D" w:rsidRDefault="005857D3">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w:t>
      </w:r>
      <w:r w:rsidR="00EB70B8" w:rsidRPr="000C348D">
        <w:rPr>
          <w:rFonts w:ascii="Garamond" w:eastAsia="MS Mincho" w:hAnsi="Garamond" w:cs="CG Times"/>
          <w:spacing w:val="-4"/>
          <w:sz w:val="24"/>
          <w:lang w:val="sq-AL"/>
        </w:rPr>
        <w:t>Propozimi për ndryshimin sipas pikës 1 të këtij neni, kryhet përmes dokumenteve të planifikimit dhe akteve përkatëse të detyrueshme nga legjislacioni i posaçëm.</w:t>
      </w:r>
    </w:p>
    <w:p w:rsidR="00B26957" w:rsidRPr="000C348D" w:rsidRDefault="005857D3">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Shfuqizuar.</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87</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Ujëra dhe ligatina</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Procesi i planifikimit dhe i zhvillimit në territore, që i përkasin kategorisë bazë të përdorimit “Ujëra”, rregullohet sipas legjislacionit të posaçëm dhe konventave ndërkombëtare në të cilat ka aderuar Shqipëria.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Çdo zhvillim në brigjet ujore, si dhe kufijtë e zonave mbrojtëse përkatëse përcaktohen nga legjislacioni i posaçëm dhe kjo rregullore. Zonat e mbrojtjes përbëhen nga: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zonat higjieno-sanitare për mbrojtjen e burimeve ujore, të përcaktuara për prodhimin e ujit të pijshëm;</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w:t>
      </w:r>
      <w:r w:rsidRPr="000C348D">
        <w:rPr>
          <w:rFonts w:ascii="Garamond" w:eastAsia="MS Mincho" w:hAnsi="Garamond" w:cs="CG Times"/>
          <w:spacing w:val="-4"/>
          <w:sz w:val="24"/>
          <w:lang w:val="sq-AL"/>
        </w:rPr>
        <w:tab/>
        <w:t>një zonë e mbrojtjes së afërt, brenda së cilës do të jetë e ndaluar të kryhet çdo lloj ndërtimi dhe shkarkimi, përveç ndërtimeve për mbrojtjen e trupit ujor;</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w:t>
      </w:r>
      <w:r w:rsidRPr="000C348D">
        <w:rPr>
          <w:rFonts w:ascii="Garamond" w:eastAsia="MS Mincho" w:hAnsi="Garamond" w:cs="CG Times"/>
          <w:spacing w:val="-4"/>
          <w:sz w:val="24"/>
          <w:lang w:val="sq-AL"/>
        </w:rPr>
        <w:tab/>
        <w:t>një zonë e mbrojtjes së largët, brenda së cilës veprimtaritë e parashikuara në shkronjën “b” do të jenë objekt lejeje administrative para marrjes së lejes së ndërtimit.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Ndërtimi i veprave dhe i objekteve për shfrytëzimin e burimeve ujore dhe për parandalimin e veprimeve të dëmshme të ujit janë objekt i lejeve administrative ose koncesioneve.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Është i ndaluar magazinimi i materialeve dhe lëndëve, që mund të shpëlahen në ujë dhe ndërtimi i objekteve të reja në zonat e kërcënuara nga përmbytjet.</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88</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Zona bujqësore</w:t>
      </w:r>
    </w:p>
    <w:p w:rsidR="00CB1030" w:rsidRPr="000C348D" w:rsidRDefault="00EB70B8">
      <w:pPr>
        <w:widowControl w:val="0"/>
        <w:spacing w:after="0" w:line="240" w:lineRule="auto"/>
        <w:jc w:val="center"/>
        <w:rPr>
          <w:rFonts w:ascii="Garamond" w:eastAsia="MS Mincho" w:hAnsi="Garamond" w:cs="CG Times"/>
          <w:i/>
          <w:spacing w:val="-4"/>
          <w:sz w:val="24"/>
          <w:lang w:val="sq-AL"/>
        </w:rPr>
      </w:pPr>
      <w:r w:rsidRPr="000C348D">
        <w:rPr>
          <w:rFonts w:ascii="Garamond" w:eastAsia="MS Mincho" w:hAnsi="Garamond" w:cs="CG Times"/>
          <w:i/>
          <w:spacing w:val="-4"/>
          <w:sz w:val="24"/>
          <w:lang w:val="sq-AL"/>
        </w:rPr>
        <w:t>(Ndryshuar  me VKM nr. 232, datë 17.4.2019)</w:t>
      </w:r>
    </w:p>
    <w:p w:rsidR="00CB1030" w:rsidRPr="000C348D" w:rsidRDefault="00CB1030">
      <w:pPr>
        <w:widowControl w:val="0"/>
        <w:spacing w:after="0" w:line="240" w:lineRule="auto"/>
        <w:jc w:val="center"/>
        <w:rPr>
          <w:rFonts w:ascii="Garamond" w:eastAsia="MS Mincho" w:hAnsi="Garamond" w:cs="CG Times"/>
          <w:b/>
          <w:spacing w:val="-4"/>
          <w:sz w:val="24"/>
          <w:lang w:val="sq-AL"/>
        </w:rPr>
      </w:pPr>
    </w:p>
    <w:p w:rsidR="00CB1030" w:rsidRPr="000C348D" w:rsidRDefault="00CB1030">
      <w:pPr>
        <w:widowControl w:val="0"/>
        <w:spacing w:after="0" w:line="240" w:lineRule="auto"/>
        <w:jc w:val="both"/>
        <w:rPr>
          <w:rFonts w:ascii="Garamond" w:eastAsia="MS Mincho" w:hAnsi="Garamond" w:cs="CG Times"/>
          <w:spacing w:val="-4"/>
          <w:sz w:val="14"/>
          <w:lang w:val="sq-AL"/>
        </w:rPr>
      </w:pPr>
    </w:p>
    <w:p w:rsidR="00CB1030" w:rsidRPr="000C348D" w:rsidRDefault="00EB70B8">
      <w:pPr>
        <w:pStyle w:val="ListParagraph"/>
        <w:numPr>
          <w:ilvl w:val="0"/>
          <w:numId w:val="18"/>
        </w:numPr>
        <w:spacing w:after="0" w:line="240" w:lineRule="auto"/>
        <w:ind w:left="0" w:firstLine="284"/>
        <w:jc w:val="both"/>
        <w:rPr>
          <w:rFonts w:ascii="Garamond" w:hAnsi="Garamond"/>
          <w:spacing w:val="-4"/>
          <w:sz w:val="24"/>
          <w:szCs w:val="24"/>
        </w:rPr>
      </w:pPr>
      <w:r w:rsidRPr="000C348D">
        <w:rPr>
          <w:rFonts w:ascii="Garamond" w:hAnsi="Garamond"/>
          <w:spacing w:val="-4"/>
          <w:sz w:val="24"/>
          <w:szCs w:val="24"/>
        </w:rPr>
        <w:t xml:space="preserve">Procesi i planifikimit dhe i zhvillimit në zona bujqësore si dhe ndryshimi i kategorisë përkatëse bazë të përdorimit të tokës në kategori të tjera rregullohet nga legjislacioni i posaçëm për tokën bujqësore. </w:t>
      </w:r>
    </w:p>
    <w:p w:rsidR="00CB1030" w:rsidRPr="000C348D" w:rsidRDefault="00EB70B8" w:rsidP="00923921">
      <w:pPr>
        <w:pStyle w:val="ListParagraph"/>
        <w:widowControl w:val="0"/>
        <w:numPr>
          <w:ilvl w:val="0"/>
          <w:numId w:val="18"/>
        </w:numPr>
        <w:spacing w:after="0" w:line="240" w:lineRule="auto"/>
        <w:rPr>
          <w:rFonts w:ascii="Garamond" w:hAnsi="Garamond"/>
          <w:spacing w:val="-4"/>
          <w:sz w:val="24"/>
          <w:szCs w:val="24"/>
        </w:rPr>
      </w:pPr>
      <w:r w:rsidRPr="000C348D">
        <w:rPr>
          <w:rFonts w:ascii="Garamond" w:hAnsi="Garamond"/>
          <w:spacing w:val="-4"/>
          <w:sz w:val="24"/>
          <w:szCs w:val="24"/>
        </w:rPr>
        <w:t>Propozimi për ndryshimin sipas pikës 1, të këtij neni, kryhet nëpërm</w:t>
      </w:r>
      <w:r w:rsidR="00923921" w:rsidRPr="000C348D">
        <w:rPr>
          <w:rFonts w:ascii="Garamond" w:hAnsi="Garamond"/>
          <w:spacing w:val="-4"/>
          <w:sz w:val="24"/>
          <w:szCs w:val="24"/>
        </w:rPr>
        <w:t xml:space="preserve">jet dokumenteve të planifikimit </w:t>
      </w:r>
      <w:r w:rsidRPr="000C348D">
        <w:rPr>
          <w:rFonts w:ascii="Garamond" w:hAnsi="Garamond"/>
          <w:spacing w:val="-4"/>
          <w:sz w:val="24"/>
          <w:szCs w:val="24"/>
        </w:rPr>
        <w:t>dhe akteve përkatëse të detyrueshme nga legjislacioni i posaçëm.</w:t>
      </w:r>
    </w:p>
    <w:p w:rsidR="00CB1030" w:rsidRPr="000C348D" w:rsidRDefault="00CB1030">
      <w:pPr>
        <w:pStyle w:val="ListParagraph"/>
        <w:widowControl w:val="0"/>
        <w:spacing w:after="0" w:line="240" w:lineRule="auto"/>
        <w:ind w:left="644"/>
        <w:jc w:val="both"/>
        <w:rPr>
          <w:rFonts w:ascii="Garamond" w:eastAsia="MS Mincho" w:hAnsi="Garamond" w:cs="CG Times"/>
          <w:spacing w:val="-4"/>
          <w:sz w:val="14"/>
          <w:lang w:val="sq-AL"/>
        </w:rPr>
      </w:pPr>
    </w:p>
    <w:p w:rsidR="00CB1030" w:rsidRPr="000C348D" w:rsidRDefault="00CB1030">
      <w:pPr>
        <w:pStyle w:val="ListParagraph"/>
        <w:widowControl w:val="0"/>
        <w:spacing w:after="0" w:line="240" w:lineRule="auto"/>
        <w:ind w:left="644"/>
        <w:jc w:val="both"/>
        <w:rPr>
          <w:rFonts w:ascii="Garamond" w:eastAsia="MS Mincho" w:hAnsi="Garamond" w:cs="CG Times"/>
          <w:spacing w:val="-4"/>
          <w:sz w:val="14"/>
          <w:lang w:val="sq-AL"/>
        </w:rPr>
      </w:pPr>
    </w:p>
    <w:p w:rsidR="00CB1030" w:rsidRPr="000C348D" w:rsidRDefault="00EB70B8">
      <w:pPr>
        <w:keepNext/>
        <w:widowControl w:val="0"/>
        <w:spacing w:after="0" w:line="240" w:lineRule="auto"/>
        <w:jc w:val="center"/>
        <w:rPr>
          <w:rFonts w:ascii="Garamond" w:eastAsia="MS Mincho" w:hAnsi="Garamond" w:cs="CG Times"/>
          <w:spacing w:val="-4"/>
          <w:sz w:val="24"/>
          <w:lang w:val="en-GB"/>
        </w:rPr>
      </w:pPr>
      <w:r w:rsidRPr="000C348D">
        <w:rPr>
          <w:rFonts w:ascii="Garamond" w:eastAsia="MS Mincho" w:hAnsi="Garamond" w:cs="CG Times"/>
          <w:spacing w:val="-4"/>
          <w:sz w:val="24"/>
          <w:lang w:val="en-GB"/>
        </w:rPr>
        <w:t>Neni 89</w:t>
      </w:r>
    </w:p>
    <w:p w:rsidR="00CB1030" w:rsidRPr="000C348D" w:rsidRDefault="00EB70B8">
      <w:pPr>
        <w:keepNext/>
        <w:widowControl w:val="0"/>
        <w:spacing w:after="0" w:line="240" w:lineRule="auto"/>
        <w:jc w:val="center"/>
        <w:outlineLvl w:val="2"/>
        <w:rPr>
          <w:rFonts w:ascii="Garamond" w:eastAsia="MS Mincho" w:hAnsi="Garamond" w:cs="CG Times"/>
          <w:b/>
          <w:bCs/>
          <w:spacing w:val="-4"/>
          <w:sz w:val="24"/>
          <w:lang w:val="en-GB"/>
        </w:rPr>
      </w:pPr>
      <w:r w:rsidRPr="000C348D">
        <w:rPr>
          <w:rFonts w:ascii="Garamond" w:eastAsia="MS Mincho" w:hAnsi="Garamond" w:cs="CG Times"/>
          <w:b/>
          <w:bCs/>
          <w:spacing w:val="-4"/>
          <w:sz w:val="24"/>
          <w:lang w:val="en-GB"/>
        </w:rPr>
        <w:t>Zonat turistike dhe parimet bazë</w:t>
      </w:r>
    </w:p>
    <w:p w:rsidR="00CB1030" w:rsidRPr="000C348D" w:rsidRDefault="00CB1030">
      <w:pPr>
        <w:widowControl w:val="0"/>
        <w:spacing w:after="0" w:line="240" w:lineRule="auto"/>
        <w:ind w:firstLine="284"/>
        <w:jc w:val="both"/>
        <w:rPr>
          <w:rFonts w:ascii="Garamond" w:eastAsia="MS Mincho" w:hAnsi="Garamond" w:cs="CG Times"/>
          <w:b/>
          <w:spacing w:val="-4"/>
          <w:sz w:val="14"/>
          <w:lang w:val="sq-AL"/>
        </w:rPr>
      </w:pPr>
    </w:p>
    <w:p w:rsidR="00CB1030" w:rsidRPr="000C348D" w:rsidRDefault="00EB70B8" w:rsidP="00311FF4">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Zonat turistike përbëhen nga zona me vlera natyrore të peizazhit, historike, kulturore, sportive, shëndetësore dhe pushimi.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Zonat turistike përcaktohen sipas legjislacionit të posaçëm në fuqi.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Parimet e planifikimit dhe të projektimit të zonave turistike janë: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Ruajtja dhe mbrojtja e territoreve dhe mjediseve natyrore dhe me vlera të trashëgimisë historike dhe kulturore nga urbanizimi dhe zhvillimi.</w:t>
      </w:r>
    </w:p>
    <w:p w:rsidR="00CB1030" w:rsidRPr="000C348D" w:rsidRDefault="00311FF4">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w:t>
      </w:r>
      <w:r w:rsidR="00EB70B8" w:rsidRPr="000C348D">
        <w:rPr>
          <w:rFonts w:ascii="Garamond" w:eastAsia="MS Mincho" w:hAnsi="Garamond" w:cs="CG Times"/>
          <w:spacing w:val="-4"/>
          <w:sz w:val="24"/>
          <w:lang w:val="sq-AL"/>
        </w:rPr>
        <w:t>Ruajtja e zonave, që përfshihen në territoret bujqësore dhe përdorimi i tyre për agroturizëm bëhen sipas përcaktimeve të kësaj rregulloreje dhe legjislacionit të posaçëm.</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c) Urbanizimi i kontrolluar i qendrave të banuara në zonat turistike bëhet në harmoni me mjedisin, tokën bujqësore dhe burimet natyrore, pa ndotur ujin, ajrin dhe tokën, pa ndryshuar vlerat e </w:t>
      </w:r>
      <w:r w:rsidRPr="000C348D">
        <w:rPr>
          <w:rFonts w:ascii="Garamond" w:eastAsia="MS Mincho" w:hAnsi="Garamond" w:cs="CG Times"/>
          <w:spacing w:val="-4"/>
          <w:sz w:val="24"/>
          <w:lang w:val="sq-AL"/>
        </w:rPr>
        <w:lastRenderedPageBreak/>
        <w:t xml:space="preserve">biodiversitetit lokal dhe pa shkaktuar ndikim negativ në shëndetin e njeriut. </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ç) Përdorimi i mjedisit detar vetëm për qëllime që i shërbejnë ruajtjes së tij dhe aktiviteteve ekonomike dhe çlodhëse të lejuara sipas legjislacionit të posaçëm.</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d) Promovimi i ekoturizmit përkundrejt formave të turizmit masiv. </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90</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Zhvillimi në territoret turistike bregdetare</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Përmasat e brezit të ndaluar për ndërtime sipas legjislacionit të posaçëm për menaxhimin e integruar të ujërave duhet të rriten në përpjesëtim të drejtë me arsyen për mbrojtje në rast se kushtet fizike të bregut ujor janë të tilla, që: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w:t>
      </w:r>
      <w:r w:rsidRPr="000C348D">
        <w:rPr>
          <w:rFonts w:ascii="Garamond" w:eastAsia="MS Mincho" w:hAnsi="Garamond" w:cs="CG Times"/>
          <w:spacing w:val="-4"/>
          <w:sz w:val="24"/>
          <w:lang w:val="sq-AL"/>
        </w:rPr>
        <w:tab/>
        <w:t>Tokat janë të përmbytura ose kërcënohen nga përmbytja, rrëshqitja, erozioni dhe paqëndrueshmëria e tokave;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w:t>
      </w:r>
      <w:r w:rsidRPr="000C348D">
        <w:rPr>
          <w:rFonts w:ascii="Garamond" w:eastAsia="MS Mincho" w:hAnsi="Garamond" w:cs="CG Times"/>
          <w:spacing w:val="-4"/>
          <w:sz w:val="24"/>
          <w:lang w:val="sq-AL"/>
        </w:rPr>
        <w:tab/>
        <w:t>Mbartin vlera natyrore, ekonomike, peizazhistike, vlera kulturore, mjedisore, të cilat mbrohen nga dispozita ligjore sektoriale në fuqi;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 Mbartin çështje të rëndësisë kombëtare, të cilat ruhen dhe/ose zhvillohen sipas legjislacionit të posaçëm.</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Planet e përgjithshme, që trajtojnë territoret turistike bregdetare, parashikojnë në çdo rast hapësira publike dhe të paprekura natyrore, që:</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a) shtrihen në drejtim normal me vijën bregdetare;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b) shërbejnë si kufizuese të shtrirjes së zhvillimeve urbane në bregdet;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c)</w:t>
      </w:r>
      <w:r w:rsidRPr="000C348D">
        <w:rPr>
          <w:rFonts w:ascii="Garamond" w:eastAsia="MS Mincho" w:hAnsi="Garamond" w:cs="CG Times"/>
          <w:spacing w:val="-4"/>
          <w:sz w:val="24"/>
          <w:lang w:val="sq-AL"/>
        </w:rPr>
        <w:tab/>
        <w:t>nuk ndërtohen, nuk lihen djerrë dhe gjithmonë janë të pyllëzuara, përdoren si kullota ose për kultivim kulturash bujqësore, në përputhje me analizat e përshtatshmërisë së tokës.</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3. Brezat dhe hapësirat pyjore ekzistuese në zonat turistike nuk mund të preken nga ndërtimet, përveçse kur përcaktohet ndryshe nga legjislacioni i posaçëm.</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Në zonat turistike në bregdet dhe liqen, rrugët e reja për qarkullimin transit, të klasifikuara sipas Kodit Rrugor në kategoritë “autostradë” dhe “rrugë interurbane”, ndërtohen në largësi nga vija e bregut, e përcaktuar sipas legjislacionit për burimet ujore, jo më pak se 300 metra në distancë reale dhe normale me vijën e bregut përgjatë gjatësisë së saj. Distanca matet nga vija kufizuese e trupit të rrugës së re. Rrugët e nevojshme të shërbimit për këto kategori nuk vendosen në hapësirën midis rrugës dhe bregut.</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5. Pa rënë në kundërshti me këtë nen, ndërtimi në territoret e zonave turistike në bregdet kryhet në përputhje me legjislacionin e posaçëm në fuqi.</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6. Për ndërtimet në afërsi të brigjeve ujore respektohen distancat e përcaktuara në legjislacionin e posaçëm.</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91</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Zona dhe objekte të trashëgimisë kulturore</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Rreth objekteve që klasifikohen si monumente kulture, sipas klasifikimeve të legjislacionit të posaçëm, përcaktohet një sipërfaqe toke si zonë mbrojtëse, në përputhje me vlerat e saj arkitektonike, me përshtatshmërinë e saj urbanistike, territoriale dhe estetike, me rrethinën dhe me rrethanat ekologjike e mjedisore. Përmasat e zonës mbrojtëse dhe rregullat e kushtet zhvillimore në të përcaktohen në përputhje me legjislacionin e posaçëm për trashëgiminë kulturore dhe me ligjin.</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92</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Antenat</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1. Vendndodhja e kullave dhe e shtyllave të antenave të komunikimit elektronik duhet të jetë sipas legjislacionit të posaçëm për infrastrukturën përkatëse, në mënyrë që të minimizojë numrin e tyre dhe ndikimet negative pamore, akustike dhe shëndetësore për njerëzit dhe të garantojë sigurinë publike.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2. Për të zvogëluar ndikimin pamor të kullave dhe antenave, strukturat përkatëse fshihen dhe maskohen.</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3. Kullat e telekomunikacionit, që janë të larta mbi 25 metra, nuk lejohen të ndërtohen e të vendosen </w:t>
      </w:r>
      <w:r w:rsidRPr="000C348D">
        <w:rPr>
          <w:rFonts w:ascii="Garamond" w:eastAsia="MS Mincho" w:hAnsi="Garamond" w:cs="CG Times"/>
          <w:spacing w:val="-4"/>
          <w:sz w:val="24"/>
          <w:lang w:val="sq-AL"/>
        </w:rPr>
        <w:lastRenderedPageBreak/>
        <w:t>brenda zonave të përcaktuara si zona banimi. Distanca e tyre minimale nga kufizimi i pronës më të afërt të ndërtuar është 30 metra.</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4. Pozicionet e kullave dhe antenave në qytete duhet të jenë në përputhje me udhëzimet dhe standardet e komisionit për radiofrekuencat në autoritetin publik përkatës dhe të garantojnë mbrojtjen e shëndetit të banorëve.</w:t>
      </w:r>
    </w:p>
    <w:p w:rsidR="00CB1030" w:rsidRPr="000C348D" w:rsidRDefault="00311FF4">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5.</w:t>
      </w:r>
      <w:r w:rsidR="00EB70B8" w:rsidRPr="000C348D">
        <w:rPr>
          <w:rFonts w:ascii="Garamond" w:eastAsia="MS Mincho" w:hAnsi="Garamond" w:cs="CG Times"/>
          <w:spacing w:val="-4"/>
          <w:sz w:val="24"/>
          <w:lang w:val="sq-AL"/>
        </w:rPr>
        <w:t>Kullat dhe shtyllat e antenave të komunikimit elektronik nuk lejohen të ndërtohen ose të vendosen brenda zonave dhe objekteve të trashëgimisë kulturore.</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KREU V</w:t>
      </w: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DISPOZITA KALIMTARE DHE TË FUNDIT</w:t>
      </w:r>
    </w:p>
    <w:p w:rsidR="00CB1030" w:rsidRPr="000C348D" w:rsidRDefault="00CB1030">
      <w:pPr>
        <w:widowControl w:val="0"/>
        <w:spacing w:after="0" w:line="240" w:lineRule="auto"/>
        <w:jc w:val="center"/>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 xml:space="preserve">Neni 93 </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Dispozita kalimtare</w:t>
      </w:r>
    </w:p>
    <w:p w:rsidR="00CB1030" w:rsidRPr="000C348D" w:rsidRDefault="00EB70B8">
      <w:pPr>
        <w:widowControl w:val="0"/>
        <w:spacing w:after="0" w:line="240" w:lineRule="auto"/>
        <w:ind w:firstLine="284"/>
        <w:jc w:val="both"/>
        <w:rPr>
          <w:rFonts w:ascii="Garamond" w:eastAsia="MS Mincho" w:hAnsi="Garamond" w:cs="CG Times"/>
          <w:spacing w:val="-4"/>
          <w:sz w:val="24"/>
          <w:lang w:val="sq-AL"/>
        </w:rPr>
      </w:pPr>
      <w:r w:rsidRPr="000C348D">
        <w:rPr>
          <w:rFonts w:ascii="Garamond" w:eastAsia="MS Mincho" w:hAnsi="Garamond" w:cs="CG Times"/>
          <w:spacing w:val="-4"/>
          <w:sz w:val="24"/>
          <w:lang w:val="sq-AL"/>
        </w:rPr>
        <w:t>Për dokumentet e planifikimit, të cilat janë në proces hartimi në momentin e hyrjes në fuqi të këtij vendimi, zbatohen dispozitat e këtij vendimi.</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EB70B8">
      <w:pPr>
        <w:widowControl w:val="0"/>
        <w:spacing w:after="0" w:line="240" w:lineRule="auto"/>
        <w:jc w:val="center"/>
        <w:rPr>
          <w:rFonts w:ascii="Garamond" w:eastAsia="MS Mincho" w:hAnsi="Garamond" w:cs="CG Times"/>
          <w:spacing w:val="-4"/>
          <w:sz w:val="24"/>
          <w:lang w:val="sq-AL"/>
        </w:rPr>
      </w:pPr>
      <w:r w:rsidRPr="000C348D">
        <w:rPr>
          <w:rFonts w:ascii="Garamond" w:eastAsia="MS Mincho" w:hAnsi="Garamond" w:cs="CG Times"/>
          <w:spacing w:val="-4"/>
          <w:sz w:val="24"/>
          <w:lang w:val="sq-AL"/>
        </w:rPr>
        <w:t>Neni 94</w:t>
      </w:r>
    </w:p>
    <w:p w:rsidR="00CB1030" w:rsidRPr="000C348D" w:rsidRDefault="00EB70B8">
      <w:pPr>
        <w:widowControl w:val="0"/>
        <w:spacing w:after="0" w:line="240" w:lineRule="auto"/>
        <w:jc w:val="center"/>
        <w:rPr>
          <w:rFonts w:ascii="Garamond" w:eastAsia="MS Mincho" w:hAnsi="Garamond" w:cs="CG Times"/>
          <w:b/>
          <w:spacing w:val="-4"/>
          <w:sz w:val="24"/>
          <w:lang w:val="sq-AL"/>
        </w:rPr>
      </w:pPr>
      <w:r w:rsidRPr="000C348D">
        <w:rPr>
          <w:rFonts w:ascii="Garamond" w:eastAsia="MS Mincho" w:hAnsi="Garamond" w:cs="CG Times"/>
          <w:b/>
          <w:spacing w:val="-4"/>
          <w:sz w:val="24"/>
          <w:lang w:val="sq-AL"/>
        </w:rPr>
        <w:t>Shfuqizime</w:t>
      </w:r>
    </w:p>
    <w:p w:rsidR="00CB1030" w:rsidRPr="000C348D" w:rsidRDefault="00CB1030">
      <w:pPr>
        <w:widowControl w:val="0"/>
        <w:spacing w:after="0" w:line="240" w:lineRule="auto"/>
        <w:ind w:firstLine="284"/>
        <w:jc w:val="both"/>
        <w:rPr>
          <w:rFonts w:ascii="Garamond" w:eastAsia="MS Mincho" w:hAnsi="Garamond" w:cs="CG Times"/>
          <w:spacing w:val="-4"/>
          <w:sz w:val="14"/>
          <w:lang w:val="sq-AL"/>
        </w:rPr>
      </w:pPr>
    </w:p>
    <w:p w:rsidR="00CB1030" w:rsidRPr="000C348D" w:rsidRDefault="00311FF4">
      <w:pPr>
        <w:widowControl w:val="0"/>
        <w:spacing w:after="0" w:line="240" w:lineRule="auto"/>
        <w:ind w:firstLine="284"/>
        <w:jc w:val="both"/>
        <w:rPr>
          <w:rFonts w:ascii="Garamond" w:eastAsia="MS Mincho" w:hAnsi="Garamond" w:cs="CG Times"/>
          <w:sz w:val="24"/>
          <w:lang w:val="sq-AL"/>
        </w:rPr>
      </w:pPr>
      <w:r w:rsidRPr="000C348D">
        <w:rPr>
          <w:rFonts w:ascii="Garamond" w:eastAsia="MS Mincho" w:hAnsi="Garamond" w:cs="CG Times"/>
          <w:spacing w:val="-4"/>
          <w:sz w:val="24"/>
          <w:lang w:val="sq-AL"/>
        </w:rPr>
        <w:t>Vendimi nr. 671, datë 29.7.2015  i Këshillit të Ministrave</w:t>
      </w:r>
      <w:r w:rsidR="00EB70B8" w:rsidRPr="000C348D">
        <w:rPr>
          <w:rFonts w:ascii="Garamond" w:eastAsia="MS Mincho" w:hAnsi="Garamond" w:cs="CG Times"/>
          <w:spacing w:val="-4"/>
          <w:sz w:val="24"/>
          <w:lang w:val="sq-AL"/>
        </w:rPr>
        <w:t xml:space="preserve"> “Për miratimin e rregullores</w:t>
      </w:r>
      <w:r w:rsidRPr="000C348D">
        <w:rPr>
          <w:rFonts w:ascii="Garamond" w:eastAsia="MS Mincho" w:hAnsi="Garamond" w:cs="CG Times"/>
          <w:spacing w:val="-4"/>
          <w:sz w:val="24"/>
          <w:lang w:val="sq-AL"/>
        </w:rPr>
        <w:t xml:space="preserve"> së planifikimit të territorit”</w:t>
      </w:r>
      <w:r w:rsidR="00EB70B8" w:rsidRPr="000C348D">
        <w:rPr>
          <w:rFonts w:ascii="Garamond" w:eastAsia="MS Mincho" w:hAnsi="Garamond" w:cs="CG Times"/>
          <w:spacing w:val="-4"/>
          <w:sz w:val="24"/>
          <w:lang w:val="sq-AL"/>
        </w:rPr>
        <w:t xml:space="preserve"> shfuqizohet</w:t>
      </w:r>
      <w:r w:rsidR="00EB70B8" w:rsidRPr="000C348D">
        <w:rPr>
          <w:rFonts w:ascii="Garamond" w:eastAsia="MS Mincho" w:hAnsi="Garamond" w:cs="CG Times"/>
          <w:sz w:val="24"/>
          <w:lang w:val="sq-AL"/>
        </w:rPr>
        <w:t xml:space="preserve"> me hyrjen në fuqi të këtij vendimi.</w:t>
      </w:r>
      <w:r w:rsidR="000C348D">
        <w:rPr>
          <w:rFonts w:ascii="Garamond" w:eastAsia="MS Mincho" w:hAnsi="Garamond" w:cs="CG Times"/>
          <w:sz w:val="24"/>
          <w:lang w:val="sq-AL"/>
        </w:rPr>
        <w:t xml:space="preserve"> </w:t>
      </w:r>
      <w:bookmarkStart w:id="0" w:name="_GoBack"/>
      <w:bookmarkEnd w:id="0"/>
    </w:p>
    <w:p w:rsidR="00CB1030" w:rsidRPr="000C348D" w:rsidRDefault="00CB1030"/>
    <w:p w:rsidR="00CB1030" w:rsidRPr="000C348D" w:rsidRDefault="00CB1030"/>
    <w:p w:rsidR="00CB1030" w:rsidRPr="000C348D" w:rsidRDefault="00CB1030"/>
    <w:p w:rsidR="00CB1030" w:rsidRPr="000C348D" w:rsidRDefault="00CB1030">
      <w:pPr>
        <w:widowControl w:val="0"/>
        <w:spacing w:after="0" w:line="240" w:lineRule="auto"/>
        <w:jc w:val="center"/>
        <w:rPr>
          <w:rFonts w:ascii="Garamond" w:eastAsia="MS Mincho" w:hAnsi="Garamond" w:cs="CG Times"/>
          <w:sz w:val="24"/>
          <w:lang w:val="sq-AL"/>
        </w:rPr>
      </w:pPr>
    </w:p>
    <w:p w:rsidR="00CB1030" w:rsidRPr="000C348D" w:rsidRDefault="00CB1030">
      <w:pPr>
        <w:widowControl w:val="0"/>
        <w:spacing w:after="0" w:line="240" w:lineRule="auto"/>
        <w:jc w:val="center"/>
        <w:rPr>
          <w:rFonts w:ascii="Garamond" w:eastAsia="MS Mincho" w:hAnsi="Garamond" w:cs="CG Times"/>
          <w:sz w:val="24"/>
          <w:lang w:val="sq-AL"/>
        </w:rPr>
      </w:pPr>
    </w:p>
    <w:p w:rsidR="00CB1030" w:rsidRPr="000C348D" w:rsidRDefault="00CB1030">
      <w:pPr>
        <w:widowControl w:val="0"/>
        <w:spacing w:after="0" w:line="240" w:lineRule="auto"/>
        <w:jc w:val="center"/>
        <w:rPr>
          <w:rFonts w:ascii="Garamond" w:eastAsia="MS Mincho" w:hAnsi="Garamond" w:cs="CG Times"/>
          <w:sz w:val="24"/>
          <w:lang w:val="sq-AL"/>
        </w:rPr>
      </w:pPr>
    </w:p>
    <w:p w:rsidR="00CB1030" w:rsidRPr="000C348D" w:rsidRDefault="00CB1030">
      <w:pPr>
        <w:widowControl w:val="0"/>
        <w:spacing w:after="0" w:line="240" w:lineRule="auto"/>
        <w:jc w:val="center"/>
        <w:rPr>
          <w:rFonts w:ascii="Garamond" w:eastAsia="MS Mincho" w:hAnsi="Garamond" w:cs="CG Times"/>
          <w:sz w:val="24"/>
          <w:lang w:val="sq-AL"/>
        </w:rPr>
      </w:pPr>
    </w:p>
    <w:p w:rsidR="00CB1030" w:rsidRPr="000C348D" w:rsidRDefault="00CB1030">
      <w:pPr>
        <w:widowControl w:val="0"/>
        <w:spacing w:after="0" w:line="240" w:lineRule="auto"/>
        <w:jc w:val="center"/>
        <w:rPr>
          <w:rFonts w:ascii="Garamond" w:eastAsia="MS Mincho" w:hAnsi="Garamond" w:cs="CG Times"/>
          <w:sz w:val="24"/>
          <w:lang w:val="sq-AL"/>
        </w:rPr>
      </w:pPr>
    </w:p>
    <w:p w:rsidR="00CB1030" w:rsidRPr="000C348D" w:rsidRDefault="00CB1030">
      <w:pPr>
        <w:widowControl w:val="0"/>
        <w:spacing w:after="0" w:line="240" w:lineRule="auto"/>
        <w:jc w:val="center"/>
        <w:rPr>
          <w:rFonts w:ascii="Garamond" w:eastAsia="MS Mincho" w:hAnsi="Garamond" w:cs="CG Times"/>
          <w:sz w:val="24"/>
          <w:lang w:val="sq-AL"/>
        </w:rPr>
      </w:pPr>
    </w:p>
    <w:p w:rsidR="00CB1030" w:rsidRPr="000C348D" w:rsidRDefault="00CB1030">
      <w:pPr>
        <w:widowControl w:val="0"/>
        <w:spacing w:after="0" w:line="240" w:lineRule="auto"/>
        <w:jc w:val="center"/>
        <w:rPr>
          <w:rFonts w:ascii="Garamond" w:eastAsia="MS Mincho" w:hAnsi="Garamond" w:cs="CG Times"/>
          <w:sz w:val="24"/>
          <w:lang w:val="sq-AL"/>
        </w:rPr>
      </w:pPr>
    </w:p>
    <w:p w:rsidR="00CB1030" w:rsidRPr="000C348D" w:rsidRDefault="00CB1030">
      <w:pPr>
        <w:widowControl w:val="0"/>
        <w:spacing w:after="0" w:line="240" w:lineRule="auto"/>
        <w:jc w:val="center"/>
        <w:rPr>
          <w:rFonts w:ascii="Garamond" w:eastAsia="MS Mincho" w:hAnsi="Garamond" w:cs="CG Times"/>
          <w:sz w:val="24"/>
          <w:lang w:val="sq-AL"/>
        </w:rPr>
      </w:pPr>
    </w:p>
    <w:p w:rsidR="00CB1030" w:rsidRPr="000C348D" w:rsidRDefault="00CB1030">
      <w:pPr>
        <w:widowControl w:val="0"/>
        <w:spacing w:after="0" w:line="240" w:lineRule="auto"/>
        <w:jc w:val="center"/>
        <w:rPr>
          <w:rFonts w:ascii="Garamond" w:eastAsia="MS Mincho" w:hAnsi="Garamond" w:cs="CG Times"/>
          <w:sz w:val="24"/>
          <w:lang w:val="sq-AL"/>
        </w:rPr>
      </w:pPr>
    </w:p>
    <w:p w:rsidR="00CB1030" w:rsidRPr="000C348D" w:rsidRDefault="00CB1030">
      <w:pPr>
        <w:widowControl w:val="0"/>
        <w:spacing w:after="0" w:line="240" w:lineRule="auto"/>
        <w:jc w:val="center"/>
        <w:rPr>
          <w:rFonts w:ascii="Garamond" w:eastAsia="MS Mincho" w:hAnsi="Garamond" w:cs="CG Times"/>
          <w:sz w:val="24"/>
          <w:lang w:val="sq-AL"/>
        </w:rPr>
      </w:pPr>
    </w:p>
    <w:p w:rsidR="00923921" w:rsidRPr="000C348D" w:rsidRDefault="00923921">
      <w:pPr>
        <w:widowControl w:val="0"/>
        <w:spacing w:after="0" w:line="240" w:lineRule="auto"/>
        <w:jc w:val="center"/>
        <w:rPr>
          <w:rFonts w:ascii="Garamond" w:eastAsia="MS Mincho" w:hAnsi="Garamond" w:cs="CG Times"/>
          <w:sz w:val="24"/>
          <w:lang w:val="sq-AL"/>
        </w:rPr>
      </w:pPr>
    </w:p>
    <w:p w:rsidR="00923921" w:rsidRPr="000C348D" w:rsidRDefault="00923921">
      <w:pPr>
        <w:widowControl w:val="0"/>
        <w:spacing w:after="0" w:line="240" w:lineRule="auto"/>
        <w:jc w:val="center"/>
        <w:rPr>
          <w:rFonts w:ascii="Garamond" w:eastAsia="MS Mincho" w:hAnsi="Garamond" w:cs="CG Times"/>
          <w:sz w:val="24"/>
          <w:lang w:val="sq-AL"/>
        </w:rPr>
      </w:pPr>
    </w:p>
    <w:p w:rsidR="00923921" w:rsidRPr="000C348D" w:rsidRDefault="00923921">
      <w:pPr>
        <w:widowControl w:val="0"/>
        <w:spacing w:after="0" w:line="240" w:lineRule="auto"/>
        <w:jc w:val="center"/>
        <w:rPr>
          <w:rFonts w:ascii="Garamond" w:eastAsia="MS Mincho" w:hAnsi="Garamond" w:cs="CG Times"/>
          <w:sz w:val="24"/>
          <w:lang w:val="sq-AL"/>
        </w:rPr>
      </w:pPr>
    </w:p>
    <w:p w:rsidR="00923921" w:rsidRPr="000C348D" w:rsidRDefault="00923921">
      <w:pPr>
        <w:widowControl w:val="0"/>
        <w:spacing w:after="0" w:line="240" w:lineRule="auto"/>
        <w:jc w:val="center"/>
        <w:rPr>
          <w:rFonts w:ascii="Garamond" w:eastAsia="MS Mincho" w:hAnsi="Garamond" w:cs="CG Times"/>
          <w:sz w:val="24"/>
          <w:lang w:val="sq-AL"/>
        </w:rPr>
      </w:pPr>
    </w:p>
    <w:p w:rsidR="00923921" w:rsidRPr="000C348D" w:rsidRDefault="00923921">
      <w:pPr>
        <w:widowControl w:val="0"/>
        <w:spacing w:after="0" w:line="240" w:lineRule="auto"/>
        <w:jc w:val="center"/>
        <w:rPr>
          <w:rFonts w:ascii="Garamond" w:eastAsia="MS Mincho" w:hAnsi="Garamond" w:cs="CG Times"/>
          <w:sz w:val="24"/>
          <w:lang w:val="sq-AL"/>
        </w:rPr>
      </w:pPr>
    </w:p>
    <w:p w:rsidR="00923921" w:rsidRPr="000C348D" w:rsidRDefault="00923921">
      <w:pPr>
        <w:widowControl w:val="0"/>
        <w:spacing w:after="0" w:line="240" w:lineRule="auto"/>
        <w:jc w:val="center"/>
        <w:rPr>
          <w:rFonts w:ascii="Garamond" w:eastAsia="MS Mincho" w:hAnsi="Garamond" w:cs="CG Times"/>
          <w:sz w:val="24"/>
          <w:lang w:val="sq-AL"/>
        </w:rPr>
      </w:pPr>
    </w:p>
    <w:p w:rsidR="00311FF4" w:rsidRPr="000C348D" w:rsidRDefault="00311FF4">
      <w:pPr>
        <w:widowControl w:val="0"/>
        <w:spacing w:after="0" w:line="240" w:lineRule="auto"/>
        <w:jc w:val="center"/>
        <w:rPr>
          <w:rFonts w:ascii="Garamond" w:eastAsia="MS Mincho" w:hAnsi="Garamond" w:cs="CG Times"/>
          <w:sz w:val="24"/>
          <w:lang w:val="sq-AL"/>
        </w:rPr>
      </w:pPr>
    </w:p>
    <w:p w:rsidR="00311FF4" w:rsidRPr="000C348D" w:rsidRDefault="00311FF4">
      <w:pPr>
        <w:widowControl w:val="0"/>
        <w:spacing w:after="0" w:line="240" w:lineRule="auto"/>
        <w:jc w:val="center"/>
        <w:rPr>
          <w:rFonts w:ascii="Garamond" w:eastAsia="MS Mincho" w:hAnsi="Garamond" w:cs="CG Times"/>
          <w:sz w:val="24"/>
          <w:lang w:val="sq-AL"/>
        </w:rPr>
      </w:pPr>
    </w:p>
    <w:p w:rsidR="00311FF4" w:rsidRPr="000C348D" w:rsidRDefault="00311FF4">
      <w:pPr>
        <w:widowControl w:val="0"/>
        <w:spacing w:after="0" w:line="240" w:lineRule="auto"/>
        <w:jc w:val="center"/>
        <w:rPr>
          <w:rFonts w:ascii="Garamond" w:eastAsia="MS Mincho" w:hAnsi="Garamond" w:cs="CG Times"/>
          <w:sz w:val="24"/>
          <w:lang w:val="sq-AL"/>
        </w:rPr>
      </w:pPr>
    </w:p>
    <w:p w:rsidR="00311FF4" w:rsidRPr="000C348D" w:rsidRDefault="00311FF4">
      <w:pPr>
        <w:widowControl w:val="0"/>
        <w:spacing w:after="0" w:line="240" w:lineRule="auto"/>
        <w:jc w:val="center"/>
        <w:rPr>
          <w:rFonts w:ascii="Garamond" w:eastAsia="MS Mincho" w:hAnsi="Garamond" w:cs="CG Times"/>
          <w:sz w:val="24"/>
          <w:lang w:val="sq-AL"/>
        </w:rPr>
      </w:pPr>
    </w:p>
    <w:p w:rsidR="00311FF4" w:rsidRPr="000C348D" w:rsidRDefault="00311FF4">
      <w:pPr>
        <w:widowControl w:val="0"/>
        <w:spacing w:after="0" w:line="240" w:lineRule="auto"/>
        <w:jc w:val="center"/>
        <w:rPr>
          <w:rFonts w:ascii="Garamond" w:eastAsia="MS Mincho" w:hAnsi="Garamond" w:cs="CG Times"/>
          <w:sz w:val="24"/>
          <w:lang w:val="sq-AL"/>
        </w:rPr>
      </w:pPr>
    </w:p>
    <w:p w:rsidR="00311FF4" w:rsidRPr="000C348D" w:rsidRDefault="00311FF4">
      <w:pPr>
        <w:widowControl w:val="0"/>
        <w:spacing w:after="0" w:line="240" w:lineRule="auto"/>
        <w:jc w:val="center"/>
        <w:rPr>
          <w:rFonts w:ascii="Garamond" w:eastAsia="MS Mincho" w:hAnsi="Garamond" w:cs="CG Times"/>
          <w:sz w:val="24"/>
          <w:lang w:val="sq-AL"/>
        </w:rPr>
      </w:pPr>
    </w:p>
    <w:p w:rsidR="00311FF4" w:rsidRPr="000C348D" w:rsidRDefault="00311FF4">
      <w:pPr>
        <w:widowControl w:val="0"/>
        <w:spacing w:after="0" w:line="240" w:lineRule="auto"/>
        <w:jc w:val="center"/>
        <w:rPr>
          <w:rFonts w:ascii="Garamond" w:eastAsia="MS Mincho" w:hAnsi="Garamond" w:cs="CG Times"/>
          <w:sz w:val="24"/>
          <w:lang w:val="sq-AL"/>
        </w:rPr>
      </w:pPr>
    </w:p>
    <w:p w:rsidR="00311FF4" w:rsidRPr="000C348D" w:rsidRDefault="00311FF4">
      <w:pPr>
        <w:widowControl w:val="0"/>
        <w:spacing w:after="0" w:line="240" w:lineRule="auto"/>
        <w:jc w:val="center"/>
        <w:rPr>
          <w:rFonts w:ascii="Garamond" w:eastAsia="MS Mincho" w:hAnsi="Garamond" w:cs="CG Times"/>
          <w:sz w:val="24"/>
          <w:lang w:val="sq-AL"/>
        </w:rPr>
      </w:pPr>
    </w:p>
    <w:p w:rsidR="00CB1030" w:rsidRPr="000C348D" w:rsidRDefault="00CB1030">
      <w:pPr>
        <w:widowControl w:val="0"/>
        <w:spacing w:after="0" w:line="240" w:lineRule="auto"/>
        <w:jc w:val="center"/>
        <w:rPr>
          <w:rFonts w:ascii="Garamond" w:eastAsia="MS Mincho" w:hAnsi="Garamond" w:cs="CG Times"/>
          <w:sz w:val="24"/>
          <w:lang w:val="sq-AL"/>
        </w:rPr>
      </w:pPr>
    </w:p>
    <w:p w:rsidR="00CB1030" w:rsidRPr="000C348D" w:rsidRDefault="00EB70B8">
      <w:pPr>
        <w:widowControl w:val="0"/>
        <w:spacing w:after="0" w:line="240" w:lineRule="auto"/>
        <w:jc w:val="center"/>
        <w:rPr>
          <w:rFonts w:ascii="Garamond" w:eastAsia="MS Mincho" w:hAnsi="Garamond" w:cs="CG Times"/>
          <w:sz w:val="24"/>
          <w:lang w:val="sq-AL"/>
        </w:rPr>
      </w:pPr>
      <w:r w:rsidRPr="000C348D">
        <w:rPr>
          <w:rFonts w:ascii="Garamond" w:eastAsia="MS Mincho" w:hAnsi="Garamond" w:cs="CG Times"/>
          <w:sz w:val="24"/>
          <w:lang w:val="sq-AL"/>
        </w:rPr>
        <w:lastRenderedPageBreak/>
        <w:t>SHTOJCA I</w:t>
      </w:r>
      <w:r w:rsidRPr="000C348D">
        <w:rPr>
          <w:rStyle w:val="FootnoteReference"/>
          <w:rFonts w:ascii="Garamond" w:eastAsia="MS Mincho" w:hAnsi="Garamond" w:cs="CG Times"/>
          <w:sz w:val="24"/>
          <w:lang w:val="sq-AL"/>
        </w:rPr>
        <w:footnoteReference w:id="1"/>
      </w:r>
    </w:p>
    <w:p w:rsidR="00CB1030" w:rsidRPr="000C348D" w:rsidRDefault="00EB70B8">
      <w:pPr>
        <w:widowControl w:val="0"/>
        <w:spacing w:after="0" w:line="240" w:lineRule="auto"/>
        <w:jc w:val="center"/>
        <w:rPr>
          <w:rFonts w:ascii="Garamond" w:eastAsia="MS Mincho" w:hAnsi="Garamond" w:cs="CG Times"/>
          <w:sz w:val="24"/>
          <w:lang w:val="sq-AL"/>
        </w:rPr>
      </w:pPr>
      <w:r w:rsidRPr="000C348D">
        <w:rPr>
          <w:rFonts w:ascii="Garamond" w:eastAsia="MS Mincho" w:hAnsi="Garamond" w:cs="CG Times"/>
          <w:sz w:val="24"/>
          <w:lang w:val="sq-AL"/>
        </w:rPr>
        <w:t>TABELA E KATEGORIZIMIT TË PËRDORIMIT TË TOKËS</w:t>
      </w:r>
    </w:p>
    <w:p w:rsidR="00CB1030" w:rsidRPr="000C348D" w:rsidRDefault="00EB70B8">
      <w:r w:rsidRPr="000C348D">
        <w:rPr>
          <w:rFonts w:ascii="Garamond" w:eastAsia="MS Mincho" w:hAnsi="Garamond" w:cs="CG Times"/>
          <w:noProof/>
          <w:sz w:val="24"/>
        </w:rPr>
        <mc:AlternateContent>
          <mc:Choice Requires="wpg">
            <w:drawing>
              <wp:inline distT="0" distB="0" distL="0" distR="0" wp14:anchorId="228B836C" wp14:editId="5D3D7C08">
                <wp:extent cx="5943600" cy="7332292"/>
                <wp:effectExtent l="0" t="0" r="0" b="254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9"/>
                        <a:srcRect t="6307"/>
                        <a:stretch/>
                      </pic:blipFill>
                      <pic:spPr bwMode="auto">
                        <a:xfrm>
                          <a:off x="0" y="0"/>
                          <a:ext cx="5943600" cy="7332292"/>
                        </a:xfrm>
                        <a:prstGeom prst="rect">
                          <a:avLst/>
                        </a:prstGeom>
                        <a:noFill/>
                        <a:ln>
                          <a:noFill/>
                        </a:ln>
                      </pic:spPr>
                    </pic:pic>
                  </a:graphicData>
                </a:graphic>
              </wp:inline>
            </w:drawing>
          </mc:Choice>
          <mc:Fallback xmlns:w15="http://schemas.microsoft.com/office/word/2012/wordml"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468.00pt;height:577.35pt;mso-wrap-distance-left:0.00pt;mso-wrap-distance-top:0.00pt;mso-wrap-distance-right:0.00pt;mso-wrap-distance-bottom:0.00pt;z-index:1;" stroked="f">
                <v:imagedata r:id="rId10" o:title=""/>
                <o:lock v:ext="edit" rotation="t"/>
              </v:shape>
            </w:pict>
          </mc:Fallback>
        </mc:AlternateContent>
      </w:r>
    </w:p>
    <w:p w:rsidR="00CB1030" w:rsidRPr="000C348D" w:rsidRDefault="00EB70B8">
      <w:r w:rsidRPr="000C348D">
        <w:rPr>
          <w:rFonts w:ascii="Garamond" w:eastAsia="MS Mincho" w:hAnsi="Garamond" w:cs="CG Times"/>
          <w:noProof/>
          <w:sz w:val="24"/>
        </w:rPr>
        <w:lastRenderedPageBreak/>
        <mc:AlternateContent>
          <mc:Choice Requires="wpg">
            <w:drawing>
              <wp:inline distT="0" distB="0" distL="0" distR="0" wp14:anchorId="6EB68270" wp14:editId="6AB6FAB8">
                <wp:extent cx="5746333" cy="8004412"/>
                <wp:effectExtent l="19050" t="0" r="6766"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1"/>
                        <a:stretch/>
                      </pic:blipFill>
                      <pic:spPr bwMode="auto">
                        <a:xfrm>
                          <a:off x="0" y="0"/>
                          <a:ext cx="5745480" cy="8003224"/>
                        </a:xfrm>
                        <a:prstGeom prst="rect">
                          <a:avLst/>
                        </a:prstGeom>
                        <a:noFill/>
                      </pic:spPr>
                    </pic:pic>
                  </a:graphicData>
                </a:graphic>
              </wp:inline>
            </w:drawing>
          </mc:Choice>
          <mc:Fallback xmlns:w15="http://schemas.microsoft.com/office/word/2012/wordml"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452.47pt;height:630.27pt;mso-wrap-distance-left:0.00pt;mso-wrap-distance-top:0.00pt;mso-wrap-distance-right:0.00pt;mso-wrap-distance-bottom:0.00pt;z-index:1;" stroked="false">
                <v:imagedata r:id="rId12" o:title=""/>
                <o:lock v:ext="edit" rotation="t"/>
              </v:shape>
            </w:pict>
          </mc:Fallback>
        </mc:AlternateContent>
      </w:r>
    </w:p>
    <w:p w:rsidR="00CB1030" w:rsidRPr="000C348D" w:rsidRDefault="00EB70B8">
      <w:pPr>
        <w:widowControl w:val="0"/>
        <w:spacing w:after="0" w:line="240" w:lineRule="auto"/>
        <w:ind w:firstLine="284"/>
        <w:jc w:val="both"/>
        <w:rPr>
          <w:rFonts w:ascii="Garamond" w:eastAsia="MS Mincho" w:hAnsi="Garamond" w:cs="CG Times"/>
          <w:sz w:val="24"/>
          <w:lang w:val="sq-AL"/>
        </w:rPr>
      </w:pPr>
      <w:r w:rsidRPr="000C348D">
        <w:rPr>
          <w:rFonts w:ascii="Garamond" w:eastAsia="MS Mincho" w:hAnsi="Garamond" w:cs="CG Times"/>
          <w:noProof/>
          <w:sz w:val="24"/>
        </w:rPr>
        <mc:AlternateContent>
          <mc:Choice Requires="wpg">
            <w:drawing>
              <wp:anchor distT="0" distB="0" distL="114300" distR="114300" simplePos="0" relativeHeight="251660288" behindDoc="0" locked="0" layoutInCell="1" allowOverlap="1" wp14:anchorId="6CFD17BB" wp14:editId="44845406">
                <wp:simplePos x="0" y="0"/>
                <wp:positionH relativeFrom="column">
                  <wp:posOffset>-5004</wp:posOffset>
                </wp:positionH>
                <wp:positionV relativeFrom="paragraph">
                  <wp:posOffset>239480</wp:posOffset>
                </wp:positionV>
                <wp:extent cx="6142914" cy="7701917"/>
                <wp:effectExtent l="19050" t="0" r="0" b="0"/>
                <wp:wrapNone/>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13"/>
                        <a:srcRect t="42844" b="37051"/>
                        <a:stretch/>
                      </pic:blipFill>
                      <pic:spPr bwMode="auto">
                        <a:xfrm>
                          <a:off x="0" y="0"/>
                          <a:ext cx="6147105" cy="7707172"/>
                        </a:xfrm>
                        <a:prstGeom prst="rect">
                          <a:avLst/>
                        </a:prstGeom>
                        <a:noFill/>
                      </pic:spPr>
                    </pic:pic>
                  </a:graphicData>
                </a:graphic>
              </wp:anchor>
            </w:drawing>
          </mc:Choice>
          <mc:Fallback xmlns:w15="http://schemas.microsoft.com/office/word/2012/wordml"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60288;o:allowoverlap:true;o:allowincell:true;mso-position-horizontal-relative:text;margin-left:-0.39pt;mso-position-horizontal:absolute;mso-position-vertical-relative:text;margin-top:18.86pt;mso-position-vertical:absolute;width:483.69pt;height:606.45pt;mso-wrap-distance-left:9.00pt;mso-wrap-distance-top:0.00pt;mso-wrap-distance-right:9.00pt;mso-wrap-distance-bottom:0.00pt;z-index:1;" stroked="false">
                <v:imagedata r:id="rId14" o:title=""/>
                <o:lock v:ext="edit" rotation="t"/>
              </v:shape>
            </w:pict>
          </mc:Fallback>
        </mc:AlternateContent>
      </w:r>
      <w:r w:rsidRPr="000C348D">
        <w:rPr>
          <w:rFonts w:ascii="Garamond" w:eastAsia="MS Mincho" w:hAnsi="Garamond" w:cs="CG Times"/>
          <w:sz w:val="24"/>
          <w:lang w:val="sq-AL"/>
        </w:rPr>
        <w:br w:type="page" w:clear="all"/>
      </w:r>
    </w:p>
    <w:p w:rsidR="00CB1030" w:rsidRPr="000C348D" w:rsidRDefault="00EB70B8">
      <w:pPr>
        <w:widowControl w:val="0"/>
        <w:spacing w:after="0" w:line="240" w:lineRule="auto"/>
        <w:jc w:val="both"/>
        <w:rPr>
          <w:rFonts w:ascii="Garamond" w:eastAsia="MS Mincho" w:hAnsi="Garamond" w:cs="CG Times"/>
          <w:sz w:val="24"/>
          <w:lang w:val="sq-AL"/>
        </w:rPr>
      </w:pPr>
      <w:r w:rsidRPr="000C348D">
        <w:rPr>
          <w:rFonts w:ascii="Garamond" w:eastAsia="MS Mincho" w:hAnsi="Garamond" w:cs="CG Times"/>
          <w:noProof/>
          <w:sz w:val="24"/>
        </w:rPr>
        <w:lastRenderedPageBreak/>
        <mc:AlternateContent>
          <mc:Choice Requires="wpg">
            <w:drawing>
              <wp:anchor distT="0" distB="0" distL="114300" distR="114300" simplePos="0" relativeHeight="251659264" behindDoc="0" locked="0" layoutInCell="1" allowOverlap="1" wp14:anchorId="496977B3" wp14:editId="6E21D9C7">
                <wp:simplePos x="0" y="0"/>
                <wp:positionH relativeFrom="column">
                  <wp:posOffset>-5004</wp:posOffset>
                </wp:positionH>
                <wp:positionV relativeFrom="paragraph">
                  <wp:posOffset>89355</wp:posOffset>
                </wp:positionV>
                <wp:extent cx="6033732" cy="8391775"/>
                <wp:effectExtent l="19050" t="0" r="5118" b="0"/>
                <wp:wrapNone/>
                <wp:docPr id="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pic:cNvPicPr>
                      </pic:nvPicPr>
                      <pic:blipFill>
                        <a:blip r:embed="rId13"/>
                        <a:srcRect t="62910" b="14494"/>
                        <a:stretch/>
                      </pic:blipFill>
                      <pic:spPr bwMode="auto">
                        <a:xfrm>
                          <a:off x="0" y="0"/>
                          <a:ext cx="6035835" cy="8394700"/>
                        </a:xfrm>
                        <a:prstGeom prst="rect">
                          <a:avLst/>
                        </a:prstGeom>
                        <a:noFill/>
                      </pic:spPr>
                    </pic:pic>
                  </a:graphicData>
                </a:graphic>
              </wp:anchor>
            </w:drawing>
          </mc:Choice>
          <mc:Fallback xmlns:w15="http://schemas.microsoft.com/office/word/2012/wordml"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9264;o:allowoverlap:true;o:allowincell:true;mso-position-horizontal-relative:text;margin-left:-0.39pt;mso-position-horizontal:absolute;mso-position-vertical-relative:text;margin-top:7.04pt;mso-position-vertical:absolute;width:475.10pt;height:660.77pt;mso-wrap-distance-left:9.00pt;mso-wrap-distance-top:0.00pt;mso-wrap-distance-right:9.00pt;mso-wrap-distance-bottom:0.00pt;z-index:1;" stroked="false">
                <v:imagedata r:id="rId14" o:title=""/>
                <o:lock v:ext="edit" rotation="t"/>
              </v:shape>
            </w:pict>
          </mc:Fallback>
        </mc:AlternateContent>
      </w:r>
      <w:r w:rsidRPr="000C348D">
        <w:rPr>
          <w:rFonts w:ascii="Garamond" w:eastAsia="MS Mincho" w:hAnsi="Garamond" w:cs="CG Times"/>
          <w:sz w:val="24"/>
          <w:lang w:val="sq-AL"/>
        </w:rPr>
        <w:br w:type="page" w:clear="all"/>
      </w:r>
    </w:p>
    <w:p w:rsidR="00CB1030" w:rsidRPr="000C348D" w:rsidRDefault="00EB70B8">
      <w:pPr>
        <w:widowControl w:val="0"/>
        <w:spacing w:after="0" w:line="240" w:lineRule="auto"/>
        <w:jc w:val="both"/>
        <w:rPr>
          <w:rFonts w:ascii="Garamond" w:eastAsia="MS Mincho" w:hAnsi="Garamond" w:cs="CG Times"/>
          <w:sz w:val="24"/>
          <w:lang w:val="sq-AL"/>
        </w:rPr>
      </w:pPr>
      <w:r w:rsidRPr="000C348D">
        <w:rPr>
          <w:rFonts w:ascii="Garamond" w:eastAsia="MS Mincho" w:hAnsi="Garamond" w:cs="CG Times"/>
          <w:noProof/>
          <w:sz w:val="24"/>
        </w:rPr>
        <w:lastRenderedPageBreak/>
        <mc:AlternateContent>
          <mc:Choice Requires="wpg">
            <w:drawing>
              <wp:anchor distT="0" distB="0" distL="114300" distR="114300" simplePos="0" relativeHeight="251662336" behindDoc="0" locked="0" layoutInCell="1" allowOverlap="1" wp14:anchorId="677B9759" wp14:editId="0B6A2387">
                <wp:simplePos x="0" y="0"/>
                <wp:positionH relativeFrom="column">
                  <wp:posOffset>-46355</wp:posOffset>
                </wp:positionH>
                <wp:positionV relativeFrom="paragraph">
                  <wp:posOffset>724535</wp:posOffset>
                </wp:positionV>
                <wp:extent cx="5972317" cy="6105336"/>
                <wp:effectExtent l="19050" t="0" r="9383" b="0"/>
                <wp:wrapNone/>
                <wp:docPr id="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pic:cNvPicPr>
                      </pic:nvPicPr>
                      <pic:blipFill>
                        <a:blip r:embed="rId13"/>
                        <a:srcRect t="85493" b="-132"/>
                        <a:stretch/>
                      </pic:blipFill>
                      <pic:spPr bwMode="auto">
                        <a:xfrm>
                          <a:off x="0" y="0"/>
                          <a:ext cx="5976392" cy="6109501"/>
                        </a:xfrm>
                        <a:prstGeom prst="rect">
                          <a:avLst/>
                        </a:prstGeom>
                        <a:noFill/>
                      </pic:spPr>
                    </pic:pic>
                  </a:graphicData>
                </a:graphic>
              </wp:anchor>
            </w:drawing>
          </mc:Choice>
          <mc:Fallback xmlns:w15="http://schemas.microsoft.com/office/word/2012/wordml"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position:absolute;z-index:251662336;o:allowoverlap:true;o:allowincell:true;mso-position-horizontal-relative:text;margin-left:-3.65pt;mso-position-horizontal:absolute;mso-position-vertical-relative:text;margin-top:57.05pt;mso-position-vertical:absolute;width:470.26pt;height:480.74pt;mso-wrap-distance-left:9.00pt;mso-wrap-distance-top:0.00pt;mso-wrap-distance-right:9.00pt;mso-wrap-distance-bottom:0.00pt;z-index:1;" stroked="false">
                <v:imagedata r:id="rId14" o:title=""/>
                <o:lock v:ext="edit" rotation="t"/>
              </v:shape>
            </w:pict>
          </mc:Fallback>
        </mc:AlternateContent>
      </w:r>
    </w:p>
    <w:p w:rsidR="00CB1030" w:rsidRPr="000C348D" w:rsidRDefault="00CB1030">
      <w:pPr>
        <w:rPr>
          <w:rFonts w:ascii="Garamond" w:eastAsia="MS Mincho" w:hAnsi="Garamond" w:cs="CG Times"/>
          <w:sz w:val="24"/>
          <w:lang w:val="sq-AL"/>
        </w:rPr>
      </w:pPr>
    </w:p>
    <w:p w:rsidR="00CB1030" w:rsidRPr="000C348D" w:rsidRDefault="00CB1030">
      <w:pPr>
        <w:rPr>
          <w:rFonts w:ascii="Garamond" w:eastAsia="MS Mincho" w:hAnsi="Garamond" w:cs="CG Times"/>
          <w:sz w:val="24"/>
          <w:lang w:val="sq-AL"/>
        </w:rPr>
      </w:pPr>
    </w:p>
    <w:p w:rsidR="00CB1030" w:rsidRPr="000C348D" w:rsidRDefault="00CB1030">
      <w:pPr>
        <w:rPr>
          <w:rFonts w:ascii="Garamond" w:eastAsia="MS Mincho" w:hAnsi="Garamond" w:cs="CG Times"/>
          <w:sz w:val="24"/>
          <w:lang w:val="sq-AL"/>
        </w:rPr>
      </w:pPr>
    </w:p>
    <w:p w:rsidR="00CB1030" w:rsidRPr="000C348D" w:rsidRDefault="00CB1030">
      <w:pPr>
        <w:rPr>
          <w:rFonts w:ascii="Garamond" w:eastAsia="MS Mincho" w:hAnsi="Garamond" w:cs="CG Times"/>
          <w:sz w:val="24"/>
          <w:lang w:val="sq-AL"/>
        </w:rPr>
      </w:pPr>
    </w:p>
    <w:p w:rsidR="00CB1030" w:rsidRPr="000C348D" w:rsidRDefault="00CB1030">
      <w:pPr>
        <w:rPr>
          <w:rFonts w:ascii="Garamond" w:eastAsia="MS Mincho" w:hAnsi="Garamond" w:cs="CG Times"/>
          <w:sz w:val="24"/>
          <w:lang w:val="sq-AL"/>
        </w:rPr>
      </w:pPr>
    </w:p>
    <w:p w:rsidR="00CB1030" w:rsidRPr="000C348D" w:rsidRDefault="00CB1030">
      <w:pPr>
        <w:rPr>
          <w:rFonts w:ascii="Garamond" w:eastAsia="MS Mincho" w:hAnsi="Garamond" w:cs="CG Times"/>
          <w:sz w:val="24"/>
          <w:lang w:val="sq-AL"/>
        </w:rPr>
      </w:pPr>
    </w:p>
    <w:p w:rsidR="00CB1030" w:rsidRPr="000C348D" w:rsidRDefault="00CB1030">
      <w:pPr>
        <w:rPr>
          <w:rFonts w:ascii="Garamond" w:eastAsia="MS Mincho" w:hAnsi="Garamond" w:cs="CG Times"/>
          <w:sz w:val="24"/>
          <w:lang w:val="sq-AL"/>
        </w:rPr>
      </w:pPr>
    </w:p>
    <w:p w:rsidR="00CB1030" w:rsidRPr="000C348D" w:rsidRDefault="00CB1030">
      <w:pPr>
        <w:rPr>
          <w:rFonts w:ascii="Garamond" w:eastAsia="MS Mincho" w:hAnsi="Garamond" w:cs="CG Times"/>
          <w:sz w:val="24"/>
          <w:lang w:val="sq-AL"/>
        </w:rPr>
      </w:pPr>
    </w:p>
    <w:p w:rsidR="00CB1030" w:rsidRPr="000C348D" w:rsidRDefault="00CB1030">
      <w:pPr>
        <w:rPr>
          <w:rFonts w:ascii="Garamond" w:eastAsia="MS Mincho" w:hAnsi="Garamond" w:cs="CG Times"/>
          <w:sz w:val="24"/>
          <w:lang w:val="sq-AL"/>
        </w:rPr>
      </w:pPr>
    </w:p>
    <w:p w:rsidR="00CB1030" w:rsidRPr="000C348D" w:rsidRDefault="00CB1030">
      <w:pPr>
        <w:rPr>
          <w:rFonts w:ascii="Garamond" w:eastAsia="MS Mincho" w:hAnsi="Garamond" w:cs="CG Times"/>
          <w:sz w:val="24"/>
          <w:lang w:val="sq-AL"/>
        </w:rPr>
      </w:pPr>
    </w:p>
    <w:p w:rsidR="00CB1030" w:rsidRPr="000C348D" w:rsidRDefault="00CB1030">
      <w:pPr>
        <w:rPr>
          <w:rFonts w:ascii="Garamond" w:eastAsia="MS Mincho" w:hAnsi="Garamond" w:cs="CG Times"/>
          <w:sz w:val="24"/>
          <w:lang w:val="sq-AL"/>
        </w:rPr>
      </w:pPr>
    </w:p>
    <w:p w:rsidR="00CB1030" w:rsidRPr="000C348D" w:rsidRDefault="00CB1030">
      <w:pPr>
        <w:rPr>
          <w:rFonts w:ascii="Garamond" w:eastAsia="MS Mincho" w:hAnsi="Garamond" w:cs="CG Times"/>
          <w:sz w:val="24"/>
          <w:lang w:val="sq-AL"/>
        </w:rPr>
      </w:pPr>
    </w:p>
    <w:p w:rsidR="00CB1030" w:rsidRPr="000C348D" w:rsidRDefault="00CB1030">
      <w:pPr>
        <w:rPr>
          <w:rFonts w:ascii="Garamond" w:eastAsia="MS Mincho" w:hAnsi="Garamond" w:cs="CG Times"/>
          <w:sz w:val="24"/>
          <w:lang w:val="sq-AL"/>
        </w:rPr>
      </w:pPr>
    </w:p>
    <w:p w:rsidR="00CB1030" w:rsidRPr="000C348D" w:rsidRDefault="00CB1030">
      <w:pPr>
        <w:rPr>
          <w:rFonts w:ascii="Garamond" w:eastAsia="MS Mincho" w:hAnsi="Garamond" w:cs="CG Times"/>
          <w:sz w:val="24"/>
          <w:lang w:val="sq-AL"/>
        </w:rPr>
      </w:pPr>
    </w:p>
    <w:p w:rsidR="00CB1030" w:rsidRPr="000C348D" w:rsidRDefault="00CB1030">
      <w:pPr>
        <w:rPr>
          <w:rFonts w:ascii="Garamond" w:eastAsia="MS Mincho" w:hAnsi="Garamond" w:cs="CG Times"/>
          <w:sz w:val="24"/>
          <w:lang w:val="sq-AL"/>
        </w:rPr>
      </w:pPr>
    </w:p>
    <w:p w:rsidR="00CB1030" w:rsidRPr="000C348D" w:rsidRDefault="00CB1030">
      <w:pPr>
        <w:rPr>
          <w:rFonts w:ascii="Garamond" w:eastAsia="MS Mincho" w:hAnsi="Garamond" w:cs="CG Times"/>
          <w:sz w:val="24"/>
          <w:lang w:val="sq-AL"/>
        </w:rPr>
      </w:pPr>
    </w:p>
    <w:p w:rsidR="00CB1030" w:rsidRPr="000C348D" w:rsidRDefault="00CB1030">
      <w:pPr>
        <w:rPr>
          <w:rFonts w:ascii="Garamond" w:eastAsia="MS Mincho" w:hAnsi="Garamond" w:cs="CG Times"/>
          <w:sz w:val="24"/>
          <w:lang w:val="sq-AL"/>
        </w:rPr>
      </w:pPr>
    </w:p>
    <w:p w:rsidR="00CB1030" w:rsidRPr="000C348D" w:rsidRDefault="00CB1030">
      <w:pPr>
        <w:rPr>
          <w:rFonts w:ascii="Garamond" w:eastAsia="MS Mincho" w:hAnsi="Garamond" w:cs="CG Times"/>
          <w:sz w:val="24"/>
          <w:lang w:val="sq-AL"/>
        </w:rPr>
      </w:pPr>
    </w:p>
    <w:p w:rsidR="00CB1030" w:rsidRPr="000C348D" w:rsidRDefault="00CB1030">
      <w:pPr>
        <w:rPr>
          <w:rFonts w:ascii="Garamond" w:eastAsia="MS Mincho" w:hAnsi="Garamond" w:cs="CG Times"/>
          <w:sz w:val="24"/>
          <w:lang w:val="sq-AL"/>
        </w:rPr>
      </w:pPr>
    </w:p>
    <w:p w:rsidR="00CB1030" w:rsidRPr="000C348D" w:rsidRDefault="00CB1030">
      <w:pPr>
        <w:rPr>
          <w:rFonts w:ascii="Garamond" w:eastAsia="MS Mincho" w:hAnsi="Garamond" w:cs="CG Times"/>
          <w:sz w:val="24"/>
          <w:lang w:val="sq-AL"/>
        </w:rPr>
      </w:pPr>
    </w:p>
    <w:p w:rsidR="00CB1030" w:rsidRPr="000C348D" w:rsidRDefault="00CB1030">
      <w:pPr>
        <w:jc w:val="right"/>
        <w:rPr>
          <w:rFonts w:ascii="Garamond" w:eastAsia="MS Mincho" w:hAnsi="Garamond" w:cs="CG Times"/>
          <w:sz w:val="24"/>
          <w:lang w:val="sq-AL"/>
        </w:rPr>
      </w:pPr>
    </w:p>
    <w:p w:rsidR="00CB1030" w:rsidRPr="000C348D" w:rsidRDefault="00CB1030">
      <w:pPr>
        <w:widowControl w:val="0"/>
        <w:spacing w:after="0" w:line="240" w:lineRule="auto"/>
        <w:jc w:val="center"/>
        <w:rPr>
          <w:rFonts w:ascii="Garamond" w:eastAsia="MS Mincho" w:hAnsi="Garamond" w:cs="CG Times"/>
          <w:sz w:val="24"/>
          <w:lang w:val="sq-AL"/>
        </w:rPr>
      </w:pPr>
    </w:p>
    <w:p w:rsidR="00CB1030" w:rsidRPr="000C348D" w:rsidRDefault="00CB1030">
      <w:pPr>
        <w:widowControl w:val="0"/>
        <w:spacing w:after="0" w:line="240" w:lineRule="auto"/>
        <w:jc w:val="center"/>
        <w:rPr>
          <w:rFonts w:ascii="Garamond" w:eastAsia="MS Mincho" w:hAnsi="Garamond" w:cs="CG Times"/>
          <w:sz w:val="24"/>
          <w:lang w:val="sq-AL"/>
        </w:rPr>
      </w:pPr>
    </w:p>
    <w:p w:rsidR="00CB1030" w:rsidRPr="000C348D" w:rsidRDefault="00CB1030">
      <w:pPr>
        <w:widowControl w:val="0"/>
        <w:spacing w:after="0" w:line="240" w:lineRule="auto"/>
        <w:jc w:val="center"/>
        <w:rPr>
          <w:rFonts w:ascii="Garamond" w:eastAsia="MS Mincho" w:hAnsi="Garamond" w:cs="CG Times"/>
          <w:sz w:val="24"/>
          <w:lang w:val="sq-AL"/>
        </w:rPr>
      </w:pPr>
    </w:p>
    <w:p w:rsidR="00CB1030" w:rsidRPr="000C348D" w:rsidRDefault="00CB1030">
      <w:pPr>
        <w:widowControl w:val="0"/>
        <w:spacing w:after="0" w:line="240" w:lineRule="auto"/>
        <w:jc w:val="center"/>
        <w:rPr>
          <w:rFonts w:ascii="Garamond" w:eastAsia="MS Mincho" w:hAnsi="Garamond" w:cs="CG Times"/>
          <w:sz w:val="24"/>
          <w:lang w:val="sq-AL"/>
        </w:rPr>
      </w:pPr>
    </w:p>
    <w:p w:rsidR="00CB1030" w:rsidRPr="000C348D" w:rsidRDefault="00CB1030">
      <w:pPr>
        <w:widowControl w:val="0"/>
        <w:spacing w:after="0" w:line="240" w:lineRule="auto"/>
        <w:jc w:val="center"/>
        <w:rPr>
          <w:rFonts w:ascii="Garamond" w:eastAsia="MS Mincho" w:hAnsi="Garamond" w:cs="CG Times"/>
          <w:sz w:val="24"/>
          <w:lang w:val="sq-AL"/>
        </w:rPr>
      </w:pPr>
    </w:p>
    <w:p w:rsidR="00CB1030" w:rsidRPr="000C348D" w:rsidRDefault="00CB1030">
      <w:pPr>
        <w:widowControl w:val="0"/>
        <w:spacing w:after="0" w:line="240" w:lineRule="auto"/>
        <w:jc w:val="center"/>
        <w:rPr>
          <w:rFonts w:ascii="Garamond" w:eastAsia="MS Mincho" w:hAnsi="Garamond" w:cs="CG Times"/>
          <w:sz w:val="24"/>
          <w:lang w:val="sq-AL"/>
        </w:rPr>
      </w:pPr>
    </w:p>
    <w:p w:rsidR="00CB1030" w:rsidRPr="000C348D" w:rsidRDefault="00EB70B8">
      <w:pPr>
        <w:widowControl w:val="0"/>
        <w:spacing w:after="0" w:line="240" w:lineRule="auto"/>
        <w:jc w:val="center"/>
        <w:rPr>
          <w:rFonts w:ascii="Garamond" w:eastAsia="MS Mincho" w:hAnsi="Garamond" w:cs="CG Times"/>
          <w:sz w:val="24"/>
          <w:lang w:val="sq-AL"/>
        </w:rPr>
      </w:pPr>
      <w:r w:rsidRPr="000C348D">
        <w:rPr>
          <w:rFonts w:ascii="Garamond" w:eastAsia="MS Mincho" w:hAnsi="Garamond" w:cs="CG Times"/>
          <w:sz w:val="24"/>
          <w:lang w:val="sq-AL"/>
        </w:rPr>
        <w:lastRenderedPageBreak/>
        <w:t>SHTOJCA II</w:t>
      </w:r>
      <w:r w:rsidRPr="000C348D">
        <w:rPr>
          <w:rStyle w:val="FootnoteReference"/>
          <w:rFonts w:ascii="Garamond" w:eastAsia="MS Mincho" w:hAnsi="Garamond" w:cs="CG Times"/>
          <w:sz w:val="24"/>
          <w:lang w:val="sq-AL"/>
        </w:rPr>
        <w:footnoteReference w:id="2"/>
      </w:r>
    </w:p>
    <w:p w:rsidR="00CB1030" w:rsidRPr="000C348D" w:rsidRDefault="00EB70B8">
      <w:pPr>
        <w:widowControl w:val="0"/>
        <w:spacing w:after="0" w:line="240" w:lineRule="auto"/>
        <w:jc w:val="center"/>
        <w:rPr>
          <w:rFonts w:ascii="Garamond" w:eastAsia="MS Mincho" w:hAnsi="Garamond" w:cs="CG Times"/>
          <w:sz w:val="24"/>
          <w:lang w:val="sq-AL"/>
        </w:rPr>
      </w:pPr>
      <w:r w:rsidRPr="000C348D">
        <w:rPr>
          <w:rFonts w:ascii="Garamond" w:eastAsia="MS Mincho" w:hAnsi="Garamond" w:cs="CG Times"/>
          <w:sz w:val="24"/>
          <w:lang w:val="sq-AL"/>
        </w:rPr>
        <w:t>TABELA E TË DHËNAVE DHE KUSHTEVE TË ZHVILLIMIT PËR ZONAT,</w:t>
      </w:r>
    </w:p>
    <w:p w:rsidR="00CB1030" w:rsidRPr="000C348D" w:rsidRDefault="00EB70B8">
      <w:pPr>
        <w:widowControl w:val="0"/>
        <w:spacing w:after="0" w:line="240" w:lineRule="auto"/>
        <w:jc w:val="center"/>
        <w:rPr>
          <w:rFonts w:ascii="Garamond" w:eastAsia="MS Mincho" w:hAnsi="Garamond" w:cs="CG Times"/>
          <w:sz w:val="24"/>
          <w:lang w:val="sq-AL"/>
        </w:rPr>
      </w:pPr>
      <w:r w:rsidRPr="000C348D">
        <w:rPr>
          <w:rFonts w:ascii="Garamond" w:eastAsia="MS Mincho" w:hAnsi="Garamond" w:cs="CG Times"/>
          <w:sz w:val="24"/>
          <w:lang w:val="sq-AL"/>
        </w:rPr>
        <w:t>NJËSITË DHE NËNNJËSITË</w:t>
      </w:r>
    </w:p>
    <w:p w:rsidR="00CB1030" w:rsidRPr="000C348D" w:rsidRDefault="00EB70B8">
      <w:pPr>
        <w:jc w:val="right"/>
        <w:rPr>
          <w:rFonts w:ascii="Garamond" w:eastAsia="MS Mincho" w:hAnsi="Garamond" w:cs="CG Times"/>
          <w:sz w:val="24"/>
          <w:lang w:val="sq-AL"/>
        </w:rPr>
      </w:pPr>
      <w:r w:rsidRPr="000C348D">
        <w:rPr>
          <w:rFonts w:ascii="Garamond" w:eastAsia="MS Mincho" w:hAnsi="Garamond" w:cs="CG Times"/>
          <w:noProof/>
          <w:sz w:val="24"/>
        </w:rPr>
        <w:lastRenderedPageBreak/>
        <mc:AlternateContent>
          <mc:Choice Requires="wpg">
            <w:drawing>
              <wp:inline distT="0" distB="0" distL="0" distR="0" wp14:anchorId="7DEDDC19" wp14:editId="292199FA">
                <wp:extent cx="5943600" cy="787019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5"/>
                        <a:stretch/>
                      </pic:blipFill>
                      <pic:spPr bwMode="auto">
                        <a:xfrm>
                          <a:off x="0" y="0"/>
                          <a:ext cx="5943600" cy="7870190"/>
                        </a:xfrm>
                        <a:prstGeom prst="rect">
                          <a:avLst/>
                        </a:prstGeom>
                        <a:noFill/>
                        <a:ln>
                          <a:noFill/>
                        </a:ln>
                      </pic:spPr>
                    </pic:pic>
                  </a:graphicData>
                </a:graphic>
              </wp:inline>
            </w:drawing>
          </mc:Choice>
          <mc:Fallback xmlns:w15="http://schemas.microsoft.com/office/word/2012/wordml"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68.00pt;height:619.70pt;mso-wrap-distance-left:0.00pt;mso-wrap-distance-top:0.00pt;mso-wrap-distance-right:0.00pt;mso-wrap-distance-bottom:0.00pt;z-index:1;" stroked="f">
                <v:imagedata r:id="rId16" o:title=""/>
                <o:lock v:ext="edit" rotation="t"/>
              </v:shape>
            </w:pict>
          </mc:Fallback>
        </mc:AlternateContent>
      </w:r>
    </w:p>
    <w:p w:rsidR="00CB1030" w:rsidRPr="000C348D" w:rsidRDefault="00CB1030">
      <w:pPr>
        <w:jc w:val="right"/>
        <w:rPr>
          <w:rFonts w:ascii="Garamond" w:eastAsia="MS Mincho" w:hAnsi="Garamond" w:cs="CG Times"/>
          <w:sz w:val="24"/>
          <w:lang w:val="sq-AL"/>
        </w:rPr>
      </w:pPr>
    </w:p>
    <w:p w:rsidR="00CB1030" w:rsidRPr="000C348D" w:rsidRDefault="00EB70B8">
      <w:pPr>
        <w:jc w:val="right"/>
        <w:rPr>
          <w:rFonts w:ascii="Garamond" w:eastAsia="MS Mincho" w:hAnsi="Garamond" w:cs="CG Times"/>
          <w:sz w:val="24"/>
          <w:lang w:val="sq-AL"/>
        </w:rPr>
      </w:pPr>
      <w:r w:rsidRPr="000C348D">
        <w:rPr>
          <w:rFonts w:ascii="Garamond" w:eastAsia="MS Mincho" w:hAnsi="Garamond" w:cs="CG Times"/>
          <w:noProof/>
          <w:sz w:val="24"/>
        </w:rPr>
        <w:lastRenderedPageBreak/>
        <mc:AlternateContent>
          <mc:Choice Requires="wpg">
            <w:drawing>
              <wp:inline distT="0" distB="0" distL="0" distR="0" wp14:anchorId="2B392E0F" wp14:editId="4BA8C433">
                <wp:extent cx="5943600" cy="7464386"/>
                <wp:effectExtent l="0" t="0" r="0" b="3810"/>
                <wp:docPr id="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7"/>
                        <a:stretch/>
                      </pic:blipFill>
                      <pic:spPr bwMode="auto">
                        <a:xfrm>
                          <a:off x="0" y="0"/>
                          <a:ext cx="5943600" cy="7464385"/>
                        </a:xfrm>
                        <a:prstGeom prst="rect">
                          <a:avLst/>
                        </a:prstGeom>
                        <a:noFill/>
                        <a:ln>
                          <a:noFill/>
                        </a:ln>
                      </pic:spPr>
                    </pic:pic>
                  </a:graphicData>
                </a:graphic>
              </wp:inline>
            </w:drawing>
          </mc:Choice>
          <mc:Fallback xmlns:w15="http://schemas.microsoft.com/office/word/2012/wordml"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68.00pt;height:587.75pt;mso-wrap-distance-left:0.00pt;mso-wrap-distance-top:0.00pt;mso-wrap-distance-right:0.00pt;mso-wrap-distance-bottom:0.00pt;z-index:1;" stroked="f">
                <v:imagedata r:id="rId18" o:title=""/>
                <o:lock v:ext="edit" rotation="t"/>
              </v:shape>
            </w:pict>
          </mc:Fallback>
        </mc:AlternateContent>
      </w:r>
    </w:p>
    <w:sectPr w:rsidR="00CB1030" w:rsidRPr="000C348D">
      <w:pgSz w:w="12240" w:h="15840" w:orient="landscape"/>
      <w:pgMar w:top="72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1C4A" w:rsidRDefault="00E91C4A">
      <w:pPr>
        <w:spacing w:after="0" w:line="240" w:lineRule="auto"/>
      </w:pPr>
      <w:r>
        <w:separator/>
      </w:r>
    </w:p>
  </w:endnote>
  <w:endnote w:type="continuationSeparator" w:id="0">
    <w:p w:rsidR="00E91C4A" w:rsidRDefault="00E91C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charset w:val="00"/>
    <w:family w:val="auto"/>
    <w:pitch w:val="default"/>
  </w:font>
  <w:font w:name="Comic Sans MS">
    <w:panose1 w:val="030F0702030302020204"/>
    <w:charset w:val="00"/>
    <w:family w:val="script"/>
    <w:pitch w:val="variable"/>
    <w:sig w:usb0="00000287" w:usb1="00000013" w:usb2="00000000" w:usb3="00000000" w:csb0="0000009F" w:csb1="00000000"/>
  </w:font>
  <w:font w:name="Univers (WN)">
    <w:charset w:val="00"/>
    <w:family w:val="auto"/>
    <w:pitch w:val="default"/>
  </w:font>
  <w:font w:name="Verdana">
    <w:panose1 w:val="020B0604030504040204"/>
    <w:charset w:val="00"/>
    <w:family w:val="swiss"/>
    <w:pitch w:val="variable"/>
    <w:sig w:usb0="A00006FF" w:usb1="4000205B" w:usb2="00000010" w:usb3="00000000" w:csb0="0000019F" w:csb1="00000000"/>
  </w:font>
  <w:font w:name="Arrus BT">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inion Pro Med">
    <w:altName w:val="Courier New"/>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1C4A" w:rsidRDefault="00E91C4A">
      <w:pPr>
        <w:spacing w:after="0" w:line="240" w:lineRule="auto"/>
      </w:pPr>
      <w:r>
        <w:separator/>
      </w:r>
    </w:p>
  </w:footnote>
  <w:footnote w:type="continuationSeparator" w:id="0">
    <w:p w:rsidR="00E91C4A" w:rsidRDefault="00E91C4A">
      <w:pPr>
        <w:spacing w:after="0" w:line="240" w:lineRule="auto"/>
      </w:pPr>
      <w:r>
        <w:continuationSeparator/>
      </w:r>
    </w:p>
  </w:footnote>
  <w:footnote w:id="1">
    <w:p w:rsidR="00DD0662" w:rsidRDefault="00DD0662">
      <w:pPr>
        <w:pStyle w:val="FootnoteText"/>
      </w:pPr>
      <w:r>
        <w:rPr>
          <w:rStyle w:val="FootnoteReference"/>
        </w:rPr>
        <w:footnoteRef/>
      </w:r>
      <w:r>
        <w:t xml:space="preserve"> Shënim.</w:t>
      </w:r>
    </w:p>
    <w:p w:rsidR="00DD0662" w:rsidRDefault="00DD0662">
      <w:pPr>
        <w:pStyle w:val="FootnoteText"/>
      </w:pPr>
      <w:r>
        <w:t>Nënkategoria “Aktivitete Sportive” ndryshohet në “Aktivitete Sportive dhe Rekreative” me VKM nr. 232, datë 17.4.2019.</w:t>
      </w:r>
    </w:p>
  </w:footnote>
  <w:footnote w:id="2">
    <w:p w:rsidR="00DD0662" w:rsidRDefault="00DD0662">
      <w:pPr>
        <w:spacing w:after="0" w:line="240" w:lineRule="auto"/>
        <w:rPr>
          <w:rFonts w:ascii="Garamond" w:eastAsia="Calibri" w:hAnsi="Garamond" w:cs="Times New Roman"/>
          <w:spacing w:val="-4"/>
          <w:sz w:val="24"/>
          <w:szCs w:val="24"/>
        </w:rPr>
      </w:pPr>
      <w:r>
        <w:rPr>
          <w:rStyle w:val="FootnoteReference"/>
        </w:rPr>
        <w:footnoteRef/>
      </w:r>
      <w:r>
        <w:t xml:space="preserve"> </w:t>
      </w:r>
      <w:r>
        <w:rPr>
          <w:rFonts w:ascii="Garamond" w:eastAsia="Calibri" w:hAnsi="Garamond" w:cs="Times New Roman"/>
          <w:spacing w:val="-4"/>
          <w:sz w:val="24"/>
          <w:szCs w:val="24"/>
        </w:rPr>
        <w:t xml:space="preserve">a) Kodi për “ZONËN” ndryshon në: “[Kodi i Bashkisë_Kodi i Sistemit Territorial_Kodi i Kategorisë Bazë të përdorimit të tokës_Nr. rendor i zonës]”. </w:t>
      </w:r>
    </w:p>
    <w:p w:rsidR="00DD0662" w:rsidRDefault="00DD0662">
      <w:pPr>
        <w:spacing w:after="0" w:line="240" w:lineRule="auto"/>
        <w:ind w:firstLine="284"/>
        <w:jc w:val="both"/>
        <w:rPr>
          <w:rFonts w:ascii="Garamond" w:eastAsia="Calibri" w:hAnsi="Garamond" w:cs="Times New Roman"/>
          <w:spacing w:val="-4"/>
          <w:sz w:val="24"/>
          <w:szCs w:val="24"/>
        </w:rPr>
      </w:pPr>
      <w:r>
        <w:rPr>
          <w:rFonts w:ascii="Garamond" w:eastAsia="Calibri" w:hAnsi="Garamond" w:cs="Times New Roman"/>
          <w:spacing w:val="-4"/>
          <w:sz w:val="24"/>
          <w:szCs w:val="24"/>
        </w:rPr>
        <w:t xml:space="preserve">b) Kodi për NJËSINË ndryshon në: “[Kodi i Bashkisë_Kodi i Sistemit Territorial_Kodi i Nënkategorisë kryesore të përdorimit të tokës_Nr. rendor i zonës / Nr. rendor i njësisë]”. </w:t>
      </w:r>
    </w:p>
    <w:p w:rsidR="00DD0662" w:rsidRDefault="00DD0662">
      <w:pPr>
        <w:spacing w:after="0" w:line="240" w:lineRule="auto"/>
        <w:ind w:firstLine="284"/>
        <w:jc w:val="both"/>
        <w:rPr>
          <w:rFonts w:ascii="Garamond" w:eastAsia="Calibri" w:hAnsi="Garamond" w:cs="Times New Roman"/>
          <w:spacing w:val="-4"/>
          <w:sz w:val="24"/>
          <w:szCs w:val="24"/>
        </w:rPr>
      </w:pPr>
      <w:r>
        <w:rPr>
          <w:rFonts w:ascii="Garamond" w:eastAsia="Calibri" w:hAnsi="Garamond" w:cs="Times New Roman"/>
          <w:spacing w:val="-4"/>
          <w:sz w:val="24"/>
          <w:szCs w:val="24"/>
        </w:rPr>
        <w:t xml:space="preserve">c) Kodi për NËNNJËSINË ndryshon në: “[Kodi i Bashkisë_Kodi i Sistemit Territorial_Kodi i Funksionit kryesor_Nr. rendor i zonës / Nr. rendor i njësisë / Nr. rendor i nënnjësisë]”. </w:t>
      </w:r>
    </w:p>
    <w:p w:rsidR="00DD0662" w:rsidRDefault="00DD0662">
      <w:pPr>
        <w:spacing w:after="0" w:line="240" w:lineRule="auto"/>
        <w:ind w:firstLine="284"/>
        <w:jc w:val="both"/>
        <w:rPr>
          <w:rFonts w:ascii="Garamond" w:eastAsia="Calibri" w:hAnsi="Garamond" w:cs="Times New Roman"/>
          <w:spacing w:val="-4"/>
          <w:sz w:val="24"/>
          <w:szCs w:val="24"/>
        </w:rPr>
      </w:pPr>
      <w:r>
        <w:rPr>
          <w:rFonts w:ascii="Garamond" w:eastAsia="Calibri" w:hAnsi="Garamond" w:cs="Times New Roman"/>
          <w:spacing w:val="-4"/>
          <w:sz w:val="24"/>
          <w:szCs w:val="24"/>
        </w:rPr>
        <w:t xml:space="preserve">ç) </w:t>
      </w:r>
      <w:r>
        <w:rPr>
          <w:rFonts w:ascii="Garamond" w:eastAsia="Calibri" w:hAnsi="Garamond" w:cs="Times New Roman"/>
          <w:spacing w:val="-4"/>
          <w:sz w:val="24"/>
          <w:szCs w:val="24"/>
        </w:rPr>
        <w:tab/>
        <w:t>Përkufizimi nr. 1 ndryshohet në: “Kodi unik për territorin, sipas çdo niveli të nënndarjes, në përputhje me shtojcën I, të kësaj rregulloreje”.</w:t>
      </w:r>
    </w:p>
    <w:p w:rsidR="00DD0662" w:rsidRDefault="00DD0662">
      <w:pPr>
        <w:spacing w:after="0" w:line="240" w:lineRule="auto"/>
        <w:ind w:firstLine="284"/>
        <w:jc w:val="both"/>
        <w:rPr>
          <w:rFonts w:ascii="Garamond" w:eastAsia="Calibri" w:hAnsi="Garamond" w:cs="Times New Roman"/>
          <w:spacing w:val="-4"/>
          <w:sz w:val="24"/>
          <w:szCs w:val="24"/>
        </w:rPr>
      </w:pPr>
      <w:r>
        <w:rPr>
          <w:rFonts w:ascii="Garamond" w:eastAsia="Calibri" w:hAnsi="Garamond" w:cs="Times New Roman"/>
          <w:spacing w:val="-4"/>
          <w:sz w:val="24"/>
          <w:szCs w:val="24"/>
        </w:rPr>
        <w:t xml:space="preserve">d) Referenca ligjore, cituar në nr.5, “Sistemi Territorial”/Zonë/ Njësi/ Nënnjësi, me përmbajtje “sipas nenit 72”, ndryshohet  në “sipas nenit 75”. </w:t>
      </w:r>
    </w:p>
    <w:p w:rsidR="00DD0662" w:rsidRDefault="00DD0662">
      <w:pPr>
        <w:spacing w:after="0" w:line="240" w:lineRule="auto"/>
        <w:ind w:firstLine="284"/>
        <w:jc w:val="both"/>
        <w:rPr>
          <w:rFonts w:ascii="Garamond" w:eastAsia="Calibri" w:hAnsi="Garamond" w:cs="Times New Roman"/>
          <w:spacing w:val="-4"/>
          <w:sz w:val="24"/>
          <w:szCs w:val="24"/>
        </w:rPr>
      </w:pPr>
      <w:r>
        <w:rPr>
          <w:rFonts w:ascii="Garamond" w:eastAsia="Calibri" w:hAnsi="Garamond" w:cs="Times New Roman"/>
          <w:spacing w:val="-4"/>
          <w:sz w:val="24"/>
          <w:szCs w:val="24"/>
        </w:rPr>
        <w:t xml:space="preserve">dh) </w:t>
      </w:r>
      <w:r>
        <w:rPr>
          <w:rFonts w:ascii="Garamond" w:eastAsia="Calibri" w:hAnsi="Garamond" w:cs="Times New Roman"/>
          <w:spacing w:val="-4"/>
          <w:sz w:val="24"/>
          <w:szCs w:val="24"/>
        </w:rPr>
        <w:tab/>
        <w:t>Referenca ligjore cituar në nr.6, “Kategori përdorimi toke”/Zonë/ Njësi/ Nënnjësi, me përmbajtje “sipas nenit 77”, ndryshohet  në “sipas nenit 80”.</w:t>
      </w:r>
    </w:p>
    <w:p w:rsidR="00DD0662" w:rsidRDefault="00DD0662">
      <w:pPr>
        <w:spacing w:after="0" w:line="240" w:lineRule="auto"/>
        <w:ind w:firstLine="284"/>
        <w:jc w:val="both"/>
        <w:rPr>
          <w:rFonts w:ascii="Garamond" w:eastAsia="Calibri" w:hAnsi="Garamond" w:cs="Times New Roman"/>
          <w:spacing w:val="-4"/>
          <w:sz w:val="24"/>
          <w:szCs w:val="24"/>
        </w:rPr>
      </w:pPr>
      <w:r>
        <w:rPr>
          <w:rFonts w:ascii="Garamond" w:eastAsia="Calibri" w:hAnsi="Garamond" w:cs="Times New Roman"/>
          <w:spacing w:val="-4"/>
          <w:sz w:val="24"/>
          <w:szCs w:val="24"/>
        </w:rPr>
        <w:t xml:space="preserve">e) Referenca ligjore cituar në nr.6, “Kategori përdorimi toke”/ Përkufizimi”, me përmbajtje “në përputhje me nenet 76 e 77” ndryshohet në “në përputhje me nenet 79 dhe 80”. </w:t>
      </w:r>
    </w:p>
    <w:p w:rsidR="00DD0662" w:rsidRDefault="00DD0662">
      <w:pPr>
        <w:spacing w:after="0" w:line="240" w:lineRule="auto"/>
        <w:ind w:firstLine="284"/>
        <w:jc w:val="both"/>
        <w:rPr>
          <w:rFonts w:ascii="Garamond" w:eastAsia="Calibri" w:hAnsi="Garamond" w:cs="Times New Roman"/>
          <w:spacing w:val="-4"/>
          <w:sz w:val="24"/>
          <w:szCs w:val="24"/>
        </w:rPr>
      </w:pPr>
      <w:r>
        <w:rPr>
          <w:rFonts w:ascii="Garamond" w:eastAsia="Calibri" w:hAnsi="Garamond" w:cs="Times New Roman"/>
          <w:spacing w:val="-4"/>
          <w:sz w:val="24"/>
          <w:szCs w:val="24"/>
        </w:rPr>
        <w:t xml:space="preserve">ë) Referenca ligjore cituar në nr.8, “Përdorime të lejuara”/Zonë/ Njësi/ Nënnjësi, me përmbajtje “Sipas rastit, duke ndjekur përcaktimet e nenit 77”, ndryshohet në “Sipas rastit, duke ndjekur përcaktimet e nenit 80 ”. </w:t>
      </w:r>
    </w:p>
    <w:p w:rsidR="00DD0662" w:rsidRDefault="00DD0662">
      <w:pPr>
        <w:spacing w:after="0" w:line="240" w:lineRule="auto"/>
        <w:ind w:firstLine="284"/>
        <w:jc w:val="both"/>
        <w:rPr>
          <w:rFonts w:ascii="Garamond" w:eastAsia="Calibri" w:hAnsi="Garamond" w:cs="Times New Roman"/>
          <w:spacing w:val="-4"/>
          <w:sz w:val="24"/>
          <w:szCs w:val="24"/>
        </w:rPr>
      </w:pPr>
      <w:r>
        <w:rPr>
          <w:rFonts w:ascii="Garamond" w:eastAsia="Calibri" w:hAnsi="Garamond" w:cs="Times New Roman"/>
          <w:spacing w:val="-4"/>
          <w:sz w:val="24"/>
          <w:szCs w:val="24"/>
        </w:rPr>
        <w:t xml:space="preserve">f) </w:t>
      </w:r>
      <w:r>
        <w:rPr>
          <w:rFonts w:ascii="Garamond" w:eastAsia="Calibri" w:hAnsi="Garamond" w:cs="Times New Roman"/>
          <w:spacing w:val="-4"/>
          <w:sz w:val="24"/>
          <w:szCs w:val="24"/>
        </w:rPr>
        <w:tab/>
        <w:t xml:space="preserve">Referenca ligjore cituar në nr.8, “Përdorime të lejuara”/Përkufizimi, me përmbajtje “në përputhje me nenet 76 dhe 77”, ndryshohet në “në përputhje me nenet 79 dhe 80”; </w:t>
      </w:r>
    </w:p>
    <w:p w:rsidR="00DD0662" w:rsidRDefault="00DD0662">
      <w:pPr>
        <w:spacing w:after="0" w:line="240" w:lineRule="auto"/>
        <w:ind w:firstLine="284"/>
        <w:jc w:val="both"/>
        <w:rPr>
          <w:rFonts w:ascii="Garamond" w:eastAsia="Calibri" w:hAnsi="Garamond" w:cs="Times New Roman"/>
          <w:spacing w:val="-4"/>
          <w:sz w:val="24"/>
          <w:szCs w:val="24"/>
        </w:rPr>
      </w:pPr>
      <w:r>
        <w:rPr>
          <w:rFonts w:ascii="Garamond" w:eastAsia="Calibri" w:hAnsi="Garamond" w:cs="Times New Roman"/>
          <w:spacing w:val="-4"/>
          <w:sz w:val="24"/>
          <w:szCs w:val="24"/>
        </w:rPr>
        <w:t xml:space="preserve">g) Referenca ligjore cituar në nr.9,“Përdorime të ndaluara”/Zonë/Njësi/ Nënnjësi, me përmbajtje “Sipas rastit, duke ndjekur përcaktimet e nenit 77”, ndryshohet në “Sipas rastit, duke ndjekur përcaktimet e nenit 80 ”; </w:t>
      </w:r>
    </w:p>
    <w:p w:rsidR="00DD0662" w:rsidRDefault="00DD0662">
      <w:pPr>
        <w:spacing w:after="0" w:line="240" w:lineRule="auto"/>
        <w:ind w:firstLine="284"/>
        <w:jc w:val="both"/>
        <w:rPr>
          <w:rFonts w:ascii="Garamond" w:eastAsia="Calibri" w:hAnsi="Garamond" w:cs="Times New Roman"/>
          <w:spacing w:val="-4"/>
          <w:sz w:val="24"/>
          <w:szCs w:val="24"/>
        </w:rPr>
      </w:pPr>
      <w:r>
        <w:rPr>
          <w:rFonts w:ascii="Garamond" w:eastAsia="Calibri" w:hAnsi="Garamond" w:cs="Times New Roman"/>
          <w:spacing w:val="-4"/>
          <w:sz w:val="24"/>
          <w:szCs w:val="24"/>
        </w:rPr>
        <w:t xml:space="preserve">gj) Referenca ligjore cituar në nr.9, “Përdorime të ndaluara”/Përkufizimi, me përmbajtje “Në përputhje me nenet 76 dhe 77”, ndryshohet në “Në përputhje me nenet 79 dhe 80”. </w:t>
      </w:r>
    </w:p>
    <w:p w:rsidR="00DD0662" w:rsidRDefault="00DD0662">
      <w:pPr>
        <w:spacing w:after="0" w:line="240" w:lineRule="auto"/>
        <w:ind w:firstLine="284"/>
        <w:jc w:val="both"/>
        <w:rPr>
          <w:rFonts w:ascii="Garamond" w:eastAsia="Calibri" w:hAnsi="Garamond" w:cs="Times New Roman"/>
          <w:spacing w:val="-4"/>
          <w:sz w:val="24"/>
          <w:szCs w:val="24"/>
        </w:rPr>
      </w:pPr>
      <w:r>
        <w:rPr>
          <w:rFonts w:ascii="Garamond" w:eastAsia="Calibri" w:hAnsi="Garamond" w:cs="Times New Roman"/>
          <w:spacing w:val="-4"/>
          <w:sz w:val="24"/>
          <w:szCs w:val="24"/>
        </w:rPr>
        <w:t xml:space="preserve">h) </w:t>
      </w:r>
      <w:r>
        <w:rPr>
          <w:rFonts w:ascii="Garamond" w:eastAsia="Calibri" w:hAnsi="Garamond" w:cs="Times New Roman"/>
          <w:spacing w:val="-4"/>
          <w:sz w:val="24"/>
          <w:szCs w:val="24"/>
        </w:rPr>
        <w:tab/>
        <w:t xml:space="preserve">Referenca ligjore cituar në nr.10, “Përdorime të kushtëzuara”/Zonë/ Njësi/Nënnjësi, me përmbajtje “Sipas rastit, duke ndjekur përcaktimet e nenit 77”, ndryshohet në “Sipas rastit, duke ndjekur përcaktimet e nenit 80”. </w:t>
      </w:r>
    </w:p>
    <w:p w:rsidR="00DD0662" w:rsidRDefault="00DD0662">
      <w:pPr>
        <w:spacing w:after="0" w:line="240" w:lineRule="auto"/>
        <w:ind w:firstLine="284"/>
        <w:jc w:val="both"/>
        <w:rPr>
          <w:rFonts w:ascii="Garamond" w:eastAsia="Calibri" w:hAnsi="Garamond" w:cs="Times New Roman"/>
          <w:spacing w:val="-4"/>
          <w:sz w:val="24"/>
          <w:szCs w:val="24"/>
        </w:rPr>
      </w:pPr>
      <w:r>
        <w:rPr>
          <w:rFonts w:ascii="Garamond" w:eastAsia="Calibri" w:hAnsi="Garamond" w:cs="Times New Roman"/>
          <w:spacing w:val="-4"/>
          <w:sz w:val="24"/>
          <w:szCs w:val="24"/>
        </w:rPr>
        <w:t xml:space="preserve">i) </w:t>
      </w:r>
      <w:r>
        <w:rPr>
          <w:rFonts w:ascii="Garamond" w:eastAsia="Calibri" w:hAnsi="Garamond" w:cs="Times New Roman"/>
          <w:spacing w:val="-4"/>
          <w:sz w:val="24"/>
          <w:szCs w:val="24"/>
        </w:rPr>
        <w:tab/>
        <w:t xml:space="preserve">Referenca ligjore cituar në nr.10, “Përdorime të kushtëzuara”/ Përkufizimi, me përmbajtje “në përputhje me nenet 76 dhe 77”, ndryshohet në “në përputhje me nenet 79 dhe 80”. </w:t>
      </w:r>
    </w:p>
    <w:p w:rsidR="00DD0662" w:rsidRDefault="00DD0662">
      <w:pPr>
        <w:spacing w:after="0" w:line="240" w:lineRule="auto"/>
        <w:ind w:firstLine="284"/>
        <w:jc w:val="both"/>
        <w:rPr>
          <w:rFonts w:ascii="Garamond" w:eastAsia="Calibri" w:hAnsi="Garamond" w:cs="Times New Roman"/>
          <w:spacing w:val="-4"/>
          <w:sz w:val="24"/>
          <w:szCs w:val="24"/>
        </w:rPr>
      </w:pPr>
      <w:r>
        <w:rPr>
          <w:rFonts w:ascii="Garamond" w:eastAsia="Calibri" w:hAnsi="Garamond" w:cs="Times New Roman"/>
          <w:spacing w:val="-4"/>
          <w:sz w:val="24"/>
          <w:szCs w:val="24"/>
        </w:rPr>
        <w:t xml:space="preserve">j) </w:t>
      </w:r>
      <w:r>
        <w:rPr>
          <w:rFonts w:ascii="Garamond" w:eastAsia="Calibri" w:hAnsi="Garamond" w:cs="Times New Roman"/>
          <w:spacing w:val="-4"/>
          <w:sz w:val="24"/>
          <w:szCs w:val="24"/>
        </w:rPr>
        <w:tab/>
        <w:t>Referenca ligjore cituar në nr.11, “Nënkategori përdorimi toke”/ Njësi/ Nënnjësi, me përmbajtje “Sipas nenit 76”, ndryshohet në “Sipas nenit 79”.</w:t>
      </w:r>
    </w:p>
    <w:p w:rsidR="00DD0662" w:rsidRDefault="00DD0662">
      <w:pPr>
        <w:spacing w:after="0" w:line="240" w:lineRule="auto"/>
        <w:ind w:firstLine="284"/>
        <w:jc w:val="both"/>
        <w:rPr>
          <w:rFonts w:ascii="Garamond" w:eastAsia="Calibri" w:hAnsi="Garamond" w:cs="Times New Roman"/>
          <w:spacing w:val="-4"/>
          <w:sz w:val="24"/>
          <w:szCs w:val="24"/>
        </w:rPr>
      </w:pPr>
      <w:r>
        <w:rPr>
          <w:rFonts w:ascii="Garamond" w:eastAsia="Calibri" w:hAnsi="Garamond" w:cs="Times New Roman"/>
          <w:spacing w:val="-4"/>
          <w:sz w:val="24"/>
          <w:szCs w:val="24"/>
        </w:rPr>
        <w:t xml:space="preserve">k) </w:t>
      </w:r>
      <w:r>
        <w:rPr>
          <w:rFonts w:ascii="Garamond" w:eastAsia="Calibri" w:hAnsi="Garamond" w:cs="Times New Roman"/>
          <w:spacing w:val="-4"/>
          <w:sz w:val="24"/>
          <w:szCs w:val="24"/>
        </w:rPr>
        <w:tab/>
        <w:t>Referenca ligjore cituar në nr.12, “Funksion”/Nënnjësi, me përmbajtje “Sipas nenit 76”, ndryshohet në “Sipas nenit 79” me VKM nr. 232, datë 17.4.2019.</w:t>
      </w:r>
    </w:p>
    <w:p w:rsidR="00DD0662" w:rsidRDefault="00DD0662">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04FF9"/>
    <w:multiLevelType w:val="multilevel"/>
    <w:tmpl w:val="8A50CADE"/>
    <w:lvl w:ilvl="0">
      <w:start w:val="1"/>
      <w:numFmt w:val="bullet"/>
      <w:pStyle w:val="ListBullet4"/>
      <w:suff w:val="space"/>
      <w:lvlText w:val=""/>
      <w:lvlJc w:val="left"/>
      <w:pPr>
        <w:tabs>
          <w:tab w:val="num" w:pos="907"/>
        </w:tabs>
        <w:ind w:left="907" w:hanging="227"/>
      </w:pPr>
      <w:rPr>
        <w:rFonts w:ascii="Symbol" w:hAnsi="Symbol"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
    <w:nsid w:val="0CDF6C77"/>
    <w:multiLevelType w:val="multilevel"/>
    <w:tmpl w:val="E2DCD232"/>
    <w:styleLink w:val="1ai"/>
    <w:lvl w:ilvl="0">
      <w:start w:val="1"/>
      <w:numFmt w:val="decimal"/>
      <w:pStyle w:val="1ai"/>
      <w:suff w:val="space"/>
      <w:lvlText w:val="%1)"/>
      <w:lvlJc w:val="left"/>
      <w:pPr>
        <w:tabs>
          <w:tab w:val="num" w:pos="360"/>
        </w:tabs>
        <w:ind w:left="360" w:hanging="360"/>
      </w:pPr>
    </w:lvl>
    <w:lvl w:ilvl="1">
      <w:start w:val="1"/>
      <w:numFmt w:val="lowerLetter"/>
      <w:suff w:val="space"/>
      <w:lvlText w:val="%2)"/>
      <w:lvlJc w:val="left"/>
      <w:pPr>
        <w:tabs>
          <w:tab w:val="num" w:pos="720"/>
        </w:tabs>
        <w:ind w:left="720" w:hanging="360"/>
      </w:pPr>
    </w:lvl>
    <w:lvl w:ilvl="2">
      <w:start w:val="1"/>
      <w:numFmt w:val="lowerRoman"/>
      <w:suff w:val="space"/>
      <w:lvlText w:val="%3)"/>
      <w:lvlJc w:val="left"/>
      <w:pPr>
        <w:tabs>
          <w:tab w:val="num" w:pos="1080"/>
        </w:tabs>
        <w:ind w:left="1080" w:hanging="360"/>
      </w:pPr>
    </w:lvl>
    <w:lvl w:ilvl="3">
      <w:start w:val="1"/>
      <w:numFmt w:val="decimal"/>
      <w:suff w:val="space"/>
      <w:lvlText w:val="(%4)"/>
      <w:lvlJc w:val="left"/>
      <w:pPr>
        <w:tabs>
          <w:tab w:val="num" w:pos="1440"/>
        </w:tabs>
        <w:ind w:left="1440" w:hanging="360"/>
      </w:pPr>
    </w:lvl>
    <w:lvl w:ilvl="4">
      <w:start w:val="1"/>
      <w:numFmt w:val="lowerLetter"/>
      <w:suff w:val="space"/>
      <w:lvlText w:val="(%5)"/>
      <w:lvlJc w:val="left"/>
      <w:pPr>
        <w:tabs>
          <w:tab w:val="num" w:pos="1800"/>
        </w:tabs>
        <w:ind w:left="1800" w:hanging="360"/>
      </w:pPr>
    </w:lvl>
    <w:lvl w:ilvl="5">
      <w:start w:val="1"/>
      <w:numFmt w:val="lowerRoman"/>
      <w:suff w:val="space"/>
      <w:lvlText w:val="(%6)"/>
      <w:lvlJc w:val="left"/>
      <w:pPr>
        <w:tabs>
          <w:tab w:val="num" w:pos="2160"/>
        </w:tabs>
        <w:ind w:left="2160" w:hanging="360"/>
      </w:pPr>
    </w:lvl>
    <w:lvl w:ilvl="6">
      <w:start w:val="1"/>
      <w:numFmt w:val="decimal"/>
      <w:suff w:val="space"/>
      <w:lvlText w:val="%7."/>
      <w:lvlJc w:val="left"/>
      <w:pPr>
        <w:tabs>
          <w:tab w:val="num" w:pos="2520"/>
        </w:tabs>
        <w:ind w:left="2520" w:hanging="360"/>
      </w:pPr>
    </w:lvl>
    <w:lvl w:ilvl="7">
      <w:start w:val="1"/>
      <w:numFmt w:val="lowerLetter"/>
      <w:suff w:val="space"/>
      <w:lvlText w:val="%8."/>
      <w:lvlJc w:val="left"/>
      <w:pPr>
        <w:tabs>
          <w:tab w:val="num" w:pos="2880"/>
        </w:tabs>
        <w:ind w:left="2880" w:hanging="360"/>
      </w:pPr>
    </w:lvl>
    <w:lvl w:ilvl="8">
      <w:start w:val="1"/>
      <w:numFmt w:val="lowerRoman"/>
      <w:suff w:val="space"/>
      <w:lvlText w:val="%9."/>
      <w:lvlJc w:val="left"/>
      <w:pPr>
        <w:tabs>
          <w:tab w:val="num" w:pos="3240"/>
        </w:tabs>
        <w:ind w:left="3240" w:hanging="360"/>
      </w:pPr>
    </w:lvl>
  </w:abstractNum>
  <w:abstractNum w:abstractNumId="2">
    <w:nsid w:val="0D8F6889"/>
    <w:multiLevelType w:val="multilevel"/>
    <w:tmpl w:val="3920EAF8"/>
    <w:lvl w:ilvl="0">
      <w:start w:val="1"/>
      <w:numFmt w:val="decimal"/>
      <w:pStyle w:val="ListNumber4"/>
      <w:suff w:val="space"/>
      <w:lvlText w:val="%1."/>
      <w:lvlJc w:val="left"/>
      <w:pPr>
        <w:tabs>
          <w:tab w:val="num" w:pos="907"/>
        </w:tabs>
        <w:ind w:left="907" w:hanging="227"/>
      </w:pPr>
      <w:rPr>
        <w:rFont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
    <w:nsid w:val="10007E83"/>
    <w:multiLevelType w:val="multilevel"/>
    <w:tmpl w:val="8968C908"/>
    <w:lvl w:ilvl="0">
      <w:start w:val="1"/>
      <w:numFmt w:val="decimal"/>
      <w:suff w:val="space"/>
      <w:lvlText w:val="%1."/>
      <w:lvlJc w:val="left"/>
      <w:pPr>
        <w:ind w:left="644" w:hanging="360"/>
      </w:pPr>
      <w:rPr>
        <w:rFonts w:hint="default"/>
      </w:rPr>
    </w:lvl>
    <w:lvl w:ilvl="1">
      <w:start w:val="1"/>
      <w:numFmt w:val="lowerLetter"/>
      <w:suff w:val="space"/>
      <w:lvlText w:val="%2."/>
      <w:lvlJc w:val="left"/>
      <w:pPr>
        <w:ind w:left="1364" w:hanging="360"/>
      </w:pPr>
    </w:lvl>
    <w:lvl w:ilvl="2">
      <w:start w:val="1"/>
      <w:numFmt w:val="lowerRoman"/>
      <w:suff w:val="space"/>
      <w:lvlText w:val="%3."/>
      <w:lvlJc w:val="right"/>
      <w:pPr>
        <w:ind w:left="2084" w:hanging="180"/>
      </w:pPr>
    </w:lvl>
    <w:lvl w:ilvl="3">
      <w:start w:val="1"/>
      <w:numFmt w:val="decimal"/>
      <w:suff w:val="space"/>
      <w:lvlText w:val="%4."/>
      <w:lvlJc w:val="left"/>
      <w:pPr>
        <w:ind w:left="2804" w:hanging="360"/>
      </w:pPr>
    </w:lvl>
    <w:lvl w:ilvl="4">
      <w:start w:val="1"/>
      <w:numFmt w:val="lowerLetter"/>
      <w:suff w:val="space"/>
      <w:lvlText w:val="%5."/>
      <w:lvlJc w:val="left"/>
      <w:pPr>
        <w:ind w:left="3524" w:hanging="360"/>
      </w:pPr>
    </w:lvl>
    <w:lvl w:ilvl="5">
      <w:start w:val="1"/>
      <w:numFmt w:val="lowerRoman"/>
      <w:suff w:val="space"/>
      <w:lvlText w:val="%6."/>
      <w:lvlJc w:val="right"/>
      <w:pPr>
        <w:ind w:left="4244" w:hanging="180"/>
      </w:pPr>
    </w:lvl>
    <w:lvl w:ilvl="6">
      <w:start w:val="1"/>
      <w:numFmt w:val="decimal"/>
      <w:suff w:val="space"/>
      <w:lvlText w:val="%7."/>
      <w:lvlJc w:val="left"/>
      <w:pPr>
        <w:ind w:left="4964" w:hanging="360"/>
      </w:pPr>
    </w:lvl>
    <w:lvl w:ilvl="7">
      <w:start w:val="1"/>
      <w:numFmt w:val="lowerLetter"/>
      <w:suff w:val="space"/>
      <w:lvlText w:val="%8."/>
      <w:lvlJc w:val="left"/>
      <w:pPr>
        <w:ind w:left="5684" w:hanging="360"/>
      </w:pPr>
    </w:lvl>
    <w:lvl w:ilvl="8">
      <w:start w:val="1"/>
      <w:numFmt w:val="lowerRoman"/>
      <w:suff w:val="space"/>
      <w:lvlText w:val="%9."/>
      <w:lvlJc w:val="right"/>
      <w:pPr>
        <w:ind w:left="6404" w:hanging="180"/>
      </w:pPr>
    </w:lvl>
  </w:abstractNum>
  <w:abstractNum w:abstractNumId="4">
    <w:nsid w:val="137B15B8"/>
    <w:multiLevelType w:val="multilevel"/>
    <w:tmpl w:val="D0749B44"/>
    <w:lvl w:ilvl="0">
      <w:start w:val="1"/>
      <w:numFmt w:val="decimal"/>
      <w:pStyle w:val="ListNumber5"/>
      <w:suff w:val="space"/>
      <w:lvlText w:val="%1."/>
      <w:lvlJc w:val="left"/>
      <w:pPr>
        <w:tabs>
          <w:tab w:val="num" w:pos="1134"/>
        </w:tabs>
        <w:ind w:left="1134" w:hanging="227"/>
      </w:pPr>
      <w:rPr>
        <w:rFont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5">
    <w:nsid w:val="1B09712E"/>
    <w:multiLevelType w:val="multilevel"/>
    <w:tmpl w:val="65DC324E"/>
    <w:lvl w:ilvl="0">
      <w:start w:val="1"/>
      <w:numFmt w:val="bullet"/>
      <w:pStyle w:val="ListBullet2"/>
      <w:suff w:val="space"/>
      <w:lvlText w:val=""/>
      <w:lvlJc w:val="left"/>
      <w:pPr>
        <w:tabs>
          <w:tab w:val="num" w:pos="454"/>
        </w:tabs>
        <w:ind w:left="454" w:hanging="227"/>
      </w:pPr>
      <w:rPr>
        <w:rFonts w:ascii="Symbol" w:hAnsi="Symbol"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6">
    <w:nsid w:val="1CE947A1"/>
    <w:multiLevelType w:val="multilevel"/>
    <w:tmpl w:val="3F3C5208"/>
    <w:lvl w:ilvl="0">
      <w:start w:val="1"/>
      <w:numFmt w:val="decimal"/>
      <w:pStyle w:val="ListNumber"/>
      <w:suff w:val="space"/>
      <w:lvlText w:val="%1."/>
      <w:lvlJc w:val="left"/>
      <w:pPr>
        <w:tabs>
          <w:tab w:val="num" w:pos="227"/>
        </w:tabs>
        <w:ind w:left="227" w:hanging="227"/>
      </w:pPr>
      <w:rPr>
        <w:rFont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7">
    <w:nsid w:val="2B7439B4"/>
    <w:multiLevelType w:val="multilevel"/>
    <w:tmpl w:val="DF625B90"/>
    <w:lvl w:ilvl="0">
      <w:start w:val="1"/>
      <w:numFmt w:val="bullet"/>
      <w:pStyle w:val="ListBullet3"/>
      <w:suff w:val="space"/>
      <w:lvlText w:val=""/>
      <w:lvlJc w:val="left"/>
      <w:pPr>
        <w:tabs>
          <w:tab w:val="num" w:pos="680"/>
        </w:tabs>
        <w:ind w:left="680" w:hanging="226"/>
      </w:pPr>
      <w:rPr>
        <w:rFonts w:ascii="Symbol" w:hAnsi="Symbol"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8">
    <w:nsid w:val="2DB1119D"/>
    <w:multiLevelType w:val="multilevel"/>
    <w:tmpl w:val="B0E83830"/>
    <w:styleLink w:val="ArticleSection"/>
    <w:lvl w:ilvl="0">
      <w:start w:val="1"/>
      <w:numFmt w:val="upperRoman"/>
      <w:pStyle w:val="ArticleSection"/>
      <w:suff w:val="space"/>
      <w:lvlText w:val="Artikel %1."/>
      <w:lvlJc w:val="left"/>
      <w:pPr>
        <w:tabs>
          <w:tab w:val="num" w:pos="1440"/>
        </w:tabs>
        <w:ind w:left="0" w:firstLine="0"/>
      </w:pPr>
    </w:lvl>
    <w:lvl w:ilvl="1">
      <w:start w:val="1"/>
      <w:numFmt w:val="decimalZero"/>
      <w:isLgl/>
      <w:suff w:val="space"/>
      <w:lvlText w:val="Abschnitt %1.%2"/>
      <w:lvlJc w:val="left"/>
      <w:pPr>
        <w:tabs>
          <w:tab w:val="num" w:pos="1440"/>
        </w:tabs>
        <w:ind w:left="0" w:firstLine="0"/>
      </w:pPr>
    </w:lvl>
    <w:lvl w:ilvl="2">
      <w:start w:val="1"/>
      <w:numFmt w:val="lowerLetter"/>
      <w:suff w:val="space"/>
      <w:lvlText w:val="(%3)"/>
      <w:lvlJc w:val="left"/>
      <w:pPr>
        <w:tabs>
          <w:tab w:val="num" w:pos="720"/>
        </w:tabs>
        <w:ind w:left="720" w:hanging="432"/>
      </w:pPr>
    </w:lvl>
    <w:lvl w:ilvl="3">
      <w:start w:val="1"/>
      <w:numFmt w:val="lowerRoman"/>
      <w:suff w:val="space"/>
      <w:lvlText w:val="(%4)"/>
      <w:lvlJc w:val="right"/>
      <w:pPr>
        <w:tabs>
          <w:tab w:val="num" w:pos="864"/>
        </w:tabs>
        <w:ind w:left="864" w:hanging="144"/>
      </w:pPr>
    </w:lvl>
    <w:lvl w:ilvl="4">
      <w:start w:val="1"/>
      <w:numFmt w:val="decimal"/>
      <w:suff w:val="space"/>
      <w:lvlText w:val="%5)"/>
      <w:lvlJc w:val="left"/>
      <w:pPr>
        <w:tabs>
          <w:tab w:val="num" w:pos="1008"/>
        </w:tabs>
        <w:ind w:left="1008" w:hanging="432"/>
      </w:pPr>
    </w:lvl>
    <w:lvl w:ilvl="5">
      <w:start w:val="1"/>
      <w:numFmt w:val="lowerLetter"/>
      <w:suff w:val="space"/>
      <w:lvlText w:val="%6)"/>
      <w:lvlJc w:val="left"/>
      <w:pPr>
        <w:tabs>
          <w:tab w:val="num" w:pos="1152"/>
        </w:tabs>
        <w:ind w:left="1152" w:hanging="432"/>
      </w:pPr>
    </w:lvl>
    <w:lvl w:ilvl="6">
      <w:start w:val="1"/>
      <w:numFmt w:val="lowerRoman"/>
      <w:suff w:val="space"/>
      <w:lvlText w:val="%7)"/>
      <w:lvlJc w:val="right"/>
      <w:pPr>
        <w:tabs>
          <w:tab w:val="num" w:pos="1296"/>
        </w:tabs>
        <w:ind w:left="1296" w:hanging="288"/>
      </w:pPr>
    </w:lvl>
    <w:lvl w:ilvl="7">
      <w:start w:val="1"/>
      <w:numFmt w:val="lowerLetter"/>
      <w:suff w:val="space"/>
      <w:lvlText w:val="%8."/>
      <w:lvlJc w:val="left"/>
      <w:pPr>
        <w:tabs>
          <w:tab w:val="num" w:pos="1440"/>
        </w:tabs>
        <w:ind w:left="1440" w:hanging="432"/>
      </w:pPr>
    </w:lvl>
    <w:lvl w:ilvl="8">
      <w:start w:val="1"/>
      <w:numFmt w:val="lowerRoman"/>
      <w:suff w:val="space"/>
      <w:lvlText w:val="%9."/>
      <w:lvlJc w:val="right"/>
      <w:pPr>
        <w:tabs>
          <w:tab w:val="num" w:pos="1584"/>
        </w:tabs>
        <w:ind w:left="1584" w:hanging="144"/>
      </w:pPr>
    </w:lvl>
  </w:abstractNum>
  <w:abstractNum w:abstractNumId="9">
    <w:nsid w:val="36F33F4F"/>
    <w:multiLevelType w:val="multilevel"/>
    <w:tmpl w:val="F08EF752"/>
    <w:lvl w:ilvl="0">
      <w:start w:val="1"/>
      <w:numFmt w:val="bullet"/>
      <w:pStyle w:val="ListBullet"/>
      <w:suff w:val="space"/>
      <w:lvlText w:val=""/>
      <w:lvlJc w:val="left"/>
      <w:pPr>
        <w:tabs>
          <w:tab w:val="num" w:pos="227"/>
        </w:tabs>
        <w:ind w:left="227" w:hanging="227"/>
      </w:pPr>
      <w:rPr>
        <w:rFonts w:ascii="Wingdings" w:hAnsi="Wingding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0">
    <w:nsid w:val="46B856F6"/>
    <w:multiLevelType w:val="hybridMultilevel"/>
    <w:tmpl w:val="85241B82"/>
    <w:lvl w:ilvl="0" w:tplc="9B28D106">
      <w:start w:val="1"/>
      <w:numFmt w:val="decimal"/>
      <w:lvlText w:val="%1."/>
      <w:lvlJc w:val="left"/>
      <w:pPr>
        <w:ind w:left="869" w:hanging="585"/>
      </w:pPr>
      <w:rPr>
        <w:rFonts w:hint="default"/>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4E8D3732"/>
    <w:multiLevelType w:val="multilevel"/>
    <w:tmpl w:val="502E4680"/>
    <w:lvl w:ilvl="0">
      <w:start w:val="1"/>
      <w:numFmt w:val="upperRoman"/>
      <w:pStyle w:val="Level1"/>
      <w:suff w:val="space"/>
      <w:lvlText w:val="%1."/>
      <w:lvlJc w:val="left"/>
      <w:pPr>
        <w:tabs>
          <w:tab w:val="num" w:pos="720"/>
        </w:tabs>
        <w:ind w:left="720" w:hanging="720"/>
      </w:pPr>
      <w:rPr>
        <w:rFonts w:hint="default"/>
        <w:b/>
      </w:rPr>
    </w:lvl>
    <w:lvl w:ilvl="1">
      <w:start w:val="1"/>
      <w:numFmt w:val="lowerLetter"/>
      <w:suff w:val="space"/>
      <w:lvlText w:val="%2."/>
      <w:lvlJc w:val="left"/>
      <w:pPr>
        <w:tabs>
          <w:tab w:val="num" w:pos="1080"/>
        </w:tabs>
        <w:ind w:left="1080" w:hanging="360"/>
      </w:pPr>
    </w:lvl>
    <w:lvl w:ilvl="2">
      <w:start w:val="1"/>
      <w:numFmt w:val="lowerRoman"/>
      <w:suff w:val="space"/>
      <w:lvlText w:val="%3."/>
      <w:lvlJc w:val="right"/>
      <w:pPr>
        <w:tabs>
          <w:tab w:val="num" w:pos="1800"/>
        </w:tabs>
        <w:ind w:left="1800" w:hanging="180"/>
      </w:pPr>
    </w:lvl>
    <w:lvl w:ilvl="3">
      <w:start w:val="1"/>
      <w:numFmt w:val="decimal"/>
      <w:suff w:val="space"/>
      <w:lvlText w:val="%4."/>
      <w:lvlJc w:val="left"/>
      <w:pPr>
        <w:tabs>
          <w:tab w:val="num" w:pos="2520"/>
        </w:tabs>
        <w:ind w:left="2520" w:hanging="360"/>
      </w:pPr>
    </w:lvl>
    <w:lvl w:ilvl="4">
      <w:start w:val="1"/>
      <w:numFmt w:val="lowerLetter"/>
      <w:suff w:val="space"/>
      <w:lvlText w:val="%5."/>
      <w:lvlJc w:val="left"/>
      <w:pPr>
        <w:tabs>
          <w:tab w:val="num" w:pos="3240"/>
        </w:tabs>
        <w:ind w:left="3240" w:hanging="360"/>
      </w:pPr>
    </w:lvl>
    <w:lvl w:ilvl="5">
      <w:start w:val="1"/>
      <w:numFmt w:val="lowerRoman"/>
      <w:suff w:val="space"/>
      <w:lvlText w:val="%6."/>
      <w:lvlJc w:val="right"/>
      <w:pPr>
        <w:tabs>
          <w:tab w:val="num" w:pos="3960"/>
        </w:tabs>
        <w:ind w:left="3960" w:hanging="180"/>
      </w:pPr>
    </w:lvl>
    <w:lvl w:ilvl="6">
      <w:start w:val="1"/>
      <w:numFmt w:val="decimal"/>
      <w:suff w:val="space"/>
      <w:lvlText w:val="%7."/>
      <w:lvlJc w:val="left"/>
      <w:pPr>
        <w:tabs>
          <w:tab w:val="num" w:pos="4680"/>
        </w:tabs>
        <w:ind w:left="4680" w:hanging="360"/>
      </w:pPr>
    </w:lvl>
    <w:lvl w:ilvl="7">
      <w:start w:val="1"/>
      <w:numFmt w:val="lowerLetter"/>
      <w:suff w:val="space"/>
      <w:lvlText w:val="%8."/>
      <w:lvlJc w:val="left"/>
      <w:pPr>
        <w:tabs>
          <w:tab w:val="num" w:pos="5400"/>
        </w:tabs>
        <w:ind w:left="5400" w:hanging="360"/>
      </w:pPr>
    </w:lvl>
    <w:lvl w:ilvl="8">
      <w:start w:val="1"/>
      <w:numFmt w:val="lowerRoman"/>
      <w:suff w:val="space"/>
      <w:lvlText w:val="%9."/>
      <w:lvlJc w:val="right"/>
      <w:pPr>
        <w:tabs>
          <w:tab w:val="num" w:pos="6120"/>
        </w:tabs>
        <w:ind w:left="6120" w:hanging="180"/>
      </w:pPr>
    </w:lvl>
  </w:abstractNum>
  <w:abstractNum w:abstractNumId="12">
    <w:nsid w:val="5146432A"/>
    <w:multiLevelType w:val="multilevel"/>
    <w:tmpl w:val="C85E4E24"/>
    <w:styleLink w:val="111111"/>
    <w:lvl w:ilvl="0">
      <w:start w:val="1"/>
      <w:numFmt w:val="decimal"/>
      <w:pStyle w:val="111111"/>
      <w:suff w:val="space"/>
      <w:lvlText w:val="%1."/>
      <w:lvlJc w:val="left"/>
      <w:pPr>
        <w:tabs>
          <w:tab w:val="num" w:pos="360"/>
        </w:tabs>
        <w:ind w:left="360" w:hanging="360"/>
      </w:pPr>
    </w:lvl>
    <w:lvl w:ilvl="1">
      <w:start w:val="1"/>
      <w:numFmt w:val="decimal"/>
      <w:suff w:val="space"/>
      <w:lvlText w:val="%1.%2."/>
      <w:lvlJc w:val="left"/>
      <w:pPr>
        <w:tabs>
          <w:tab w:val="num" w:pos="792"/>
        </w:tabs>
        <w:ind w:left="792" w:hanging="432"/>
      </w:pPr>
    </w:lvl>
    <w:lvl w:ilvl="2">
      <w:start w:val="1"/>
      <w:numFmt w:val="decimal"/>
      <w:suff w:val="space"/>
      <w:lvlText w:val="%1.%2.%3."/>
      <w:lvlJc w:val="left"/>
      <w:pPr>
        <w:tabs>
          <w:tab w:val="num" w:pos="1440"/>
        </w:tabs>
        <w:ind w:left="1224" w:hanging="504"/>
      </w:pPr>
    </w:lvl>
    <w:lvl w:ilvl="3">
      <w:start w:val="1"/>
      <w:numFmt w:val="decimal"/>
      <w:suff w:val="space"/>
      <w:lvlText w:val="%1.%2.%3.%4."/>
      <w:lvlJc w:val="left"/>
      <w:pPr>
        <w:tabs>
          <w:tab w:val="num" w:pos="2160"/>
        </w:tabs>
        <w:ind w:left="1728" w:hanging="648"/>
      </w:pPr>
    </w:lvl>
    <w:lvl w:ilvl="4">
      <w:start w:val="1"/>
      <w:numFmt w:val="decimal"/>
      <w:suff w:val="space"/>
      <w:lvlText w:val="%1.%2.%3.%4.%5."/>
      <w:lvlJc w:val="left"/>
      <w:pPr>
        <w:tabs>
          <w:tab w:val="num" w:pos="2520"/>
        </w:tabs>
        <w:ind w:left="2232" w:hanging="792"/>
      </w:pPr>
    </w:lvl>
    <w:lvl w:ilvl="5">
      <w:start w:val="1"/>
      <w:numFmt w:val="decimal"/>
      <w:suff w:val="space"/>
      <w:lvlText w:val="%1.%2.%3.%4.%5.%6."/>
      <w:lvlJc w:val="left"/>
      <w:pPr>
        <w:tabs>
          <w:tab w:val="num" w:pos="3240"/>
        </w:tabs>
        <w:ind w:left="2736" w:hanging="936"/>
      </w:pPr>
    </w:lvl>
    <w:lvl w:ilvl="6">
      <w:start w:val="1"/>
      <w:numFmt w:val="decimal"/>
      <w:suff w:val="space"/>
      <w:lvlText w:val="%1.%2.%3.%4.%5.%6.%7."/>
      <w:lvlJc w:val="left"/>
      <w:pPr>
        <w:tabs>
          <w:tab w:val="num" w:pos="3600"/>
        </w:tabs>
        <w:ind w:left="3240" w:hanging="1080"/>
      </w:pPr>
    </w:lvl>
    <w:lvl w:ilvl="7">
      <w:start w:val="1"/>
      <w:numFmt w:val="decimal"/>
      <w:suff w:val="space"/>
      <w:lvlText w:val="%1.%2.%3.%4.%5.%6.%7.%8."/>
      <w:lvlJc w:val="left"/>
      <w:pPr>
        <w:tabs>
          <w:tab w:val="num" w:pos="4320"/>
        </w:tabs>
        <w:ind w:left="3744" w:hanging="1224"/>
      </w:pPr>
    </w:lvl>
    <w:lvl w:ilvl="8">
      <w:start w:val="1"/>
      <w:numFmt w:val="decimal"/>
      <w:suff w:val="space"/>
      <w:lvlText w:val="%1.%2.%3.%4.%5.%6.%7.%8.%9."/>
      <w:lvlJc w:val="left"/>
      <w:pPr>
        <w:tabs>
          <w:tab w:val="num" w:pos="4680"/>
        </w:tabs>
        <w:ind w:left="4320" w:hanging="1440"/>
      </w:pPr>
    </w:lvl>
  </w:abstractNum>
  <w:abstractNum w:abstractNumId="13">
    <w:nsid w:val="576B62D6"/>
    <w:multiLevelType w:val="multilevel"/>
    <w:tmpl w:val="0A54BBC4"/>
    <w:lvl w:ilvl="0">
      <w:start w:val="1"/>
      <w:numFmt w:val="decimal"/>
      <w:pStyle w:val="ListNumber2"/>
      <w:suff w:val="space"/>
      <w:lvlText w:val="%1."/>
      <w:lvlJc w:val="left"/>
      <w:pPr>
        <w:tabs>
          <w:tab w:val="num" w:pos="454"/>
        </w:tabs>
        <w:ind w:left="454" w:hanging="227"/>
      </w:pPr>
      <w:rPr>
        <w:rFont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4">
    <w:nsid w:val="5B2845A7"/>
    <w:multiLevelType w:val="multilevel"/>
    <w:tmpl w:val="CC7A1BE6"/>
    <w:styleLink w:val="aAhs"/>
    <w:lvl w:ilvl="0">
      <w:start w:val="1"/>
      <w:numFmt w:val="decimal"/>
      <w:pStyle w:val="aAhs"/>
      <w:suff w:val="space"/>
      <w:lvlText w:val="%1."/>
      <w:lvlJc w:val="left"/>
      <w:pPr>
        <w:ind w:left="360" w:hanging="360"/>
      </w:pPr>
      <w:rPr>
        <w:rFonts w:hint="default"/>
      </w:rPr>
    </w:lvl>
    <w:lvl w:ilvl="1">
      <w:start w:val="1"/>
      <w:numFmt w:val="decimal"/>
      <w:suff w:val="space"/>
      <w:lvlText w:val="%1.%2"/>
      <w:lvlJc w:val="left"/>
      <w:pPr>
        <w:ind w:left="792" w:hanging="792"/>
      </w:pPr>
      <w:rPr>
        <w:rFonts w:hint="default"/>
      </w:rPr>
    </w:lvl>
    <w:lvl w:ilvl="2">
      <w:start w:val="1"/>
      <w:numFmt w:val="lowerRoman"/>
      <w:suff w:val="space"/>
      <w:lvlText w:val="%3."/>
      <w:lvlJc w:val="right"/>
      <w:pPr>
        <w:ind w:left="3240" w:hanging="180"/>
      </w:pPr>
      <w:rPr>
        <w:rFonts w:hint="default"/>
      </w:rPr>
    </w:lvl>
    <w:lvl w:ilvl="3">
      <w:start w:val="1"/>
      <w:numFmt w:val="decimal"/>
      <w:suff w:val="space"/>
      <w:lvlText w:val="%4."/>
      <w:lvlJc w:val="left"/>
      <w:pPr>
        <w:ind w:left="3960" w:hanging="360"/>
      </w:pPr>
      <w:rPr>
        <w:rFonts w:hint="default"/>
      </w:rPr>
    </w:lvl>
    <w:lvl w:ilvl="4">
      <w:start w:val="1"/>
      <w:numFmt w:val="lowerLetter"/>
      <w:suff w:val="space"/>
      <w:lvlText w:val="%5."/>
      <w:lvlJc w:val="left"/>
      <w:pPr>
        <w:ind w:left="4680" w:hanging="360"/>
      </w:pPr>
      <w:rPr>
        <w:rFonts w:hint="default"/>
      </w:rPr>
    </w:lvl>
    <w:lvl w:ilvl="5">
      <w:start w:val="1"/>
      <w:numFmt w:val="lowerRoman"/>
      <w:suff w:val="space"/>
      <w:lvlText w:val="%6."/>
      <w:lvlJc w:val="right"/>
      <w:pPr>
        <w:ind w:left="5400" w:hanging="180"/>
      </w:pPr>
      <w:rPr>
        <w:rFonts w:hint="default"/>
      </w:rPr>
    </w:lvl>
    <w:lvl w:ilvl="6">
      <w:start w:val="1"/>
      <w:numFmt w:val="upperLetter"/>
      <w:lvlRestart w:val="0"/>
      <w:suff w:val="space"/>
      <w:lvlText w:val="Appendix %7: "/>
      <w:lvlJc w:val="left"/>
      <w:pPr>
        <w:ind w:left="2736" w:hanging="2736"/>
      </w:pPr>
      <w:rPr>
        <w:rFonts w:hint="default"/>
      </w:rPr>
    </w:lvl>
    <w:lvl w:ilvl="7">
      <w:start w:val="1"/>
      <w:numFmt w:val="decimal"/>
      <w:suff w:val="space"/>
      <w:lvlText w:val="%7.%8"/>
      <w:lvlJc w:val="left"/>
      <w:pPr>
        <w:ind w:left="792" w:hanging="792"/>
      </w:pPr>
      <w:rPr>
        <w:rFonts w:hint="default"/>
      </w:rPr>
    </w:lvl>
    <w:lvl w:ilvl="8">
      <w:start w:val="1"/>
      <w:numFmt w:val="lowerRoman"/>
      <w:suff w:val="space"/>
      <w:lvlText w:val="%9."/>
      <w:lvlJc w:val="right"/>
      <w:pPr>
        <w:ind w:left="7560" w:hanging="180"/>
      </w:pPr>
      <w:rPr>
        <w:rFonts w:hint="default"/>
      </w:rPr>
    </w:lvl>
  </w:abstractNum>
  <w:abstractNum w:abstractNumId="15">
    <w:nsid w:val="667A10E2"/>
    <w:multiLevelType w:val="multilevel"/>
    <w:tmpl w:val="B7A837C4"/>
    <w:lvl w:ilvl="0">
      <w:start w:val="1"/>
      <w:numFmt w:val="decimal"/>
      <w:pStyle w:val="NumPar1"/>
      <w:suff w:val="space"/>
      <w:lvlText w:val="%1."/>
      <w:lvlJc w:val="left"/>
      <w:pPr>
        <w:tabs>
          <w:tab w:val="num" w:pos="1330"/>
        </w:tabs>
        <w:ind w:left="1330" w:hanging="850"/>
      </w:pPr>
      <w:rPr>
        <w:rFonts w:cs="Times New Roman"/>
      </w:rPr>
    </w:lvl>
    <w:lvl w:ilvl="1">
      <w:start w:val="1"/>
      <w:numFmt w:val="decimal"/>
      <w:pStyle w:val="NumPar2"/>
      <w:suff w:val="space"/>
      <w:lvlText w:val="%1.%2."/>
      <w:lvlJc w:val="left"/>
      <w:pPr>
        <w:tabs>
          <w:tab w:val="num" w:pos="1210"/>
        </w:tabs>
        <w:ind w:left="1210" w:hanging="850"/>
      </w:pPr>
      <w:rPr>
        <w:rFonts w:cs="Times New Roman"/>
      </w:rPr>
    </w:lvl>
    <w:lvl w:ilvl="2">
      <w:start w:val="1"/>
      <w:numFmt w:val="decimal"/>
      <w:pStyle w:val="NumPar3"/>
      <w:suff w:val="space"/>
      <w:lvlText w:val="%1.%2.%3."/>
      <w:lvlJc w:val="left"/>
      <w:pPr>
        <w:tabs>
          <w:tab w:val="num" w:pos="850"/>
        </w:tabs>
        <w:ind w:left="850" w:hanging="850"/>
      </w:pPr>
      <w:rPr>
        <w:rFonts w:cs="Times New Roman"/>
      </w:rPr>
    </w:lvl>
    <w:lvl w:ilvl="3">
      <w:start w:val="1"/>
      <w:numFmt w:val="decimal"/>
      <w:pStyle w:val="NumPar4"/>
      <w:suff w:val="space"/>
      <w:lvlText w:val="%1.%2.%3.%4."/>
      <w:lvlJc w:val="left"/>
      <w:pPr>
        <w:tabs>
          <w:tab w:val="num" w:pos="850"/>
        </w:tabs>
        <w:ind w:left="850" w:hanging="850"/>
      </w:pPr>
      <w:rPr>
        <w:rFonts w:cs="Times New Roman"/>
      </w:rPr>
    </w:lvl>
    <w:lvl w:ilvl="4">
      <w:start w:val="1"/>
      <w:numFmt w:val="lowerLetter"/>
      <w:suff w:val="space"/>
      <w:lvlText w:val="(%5)"/>
      <w:lvlJc w:val="left"/>
      <w:pPr>
        <w:tabs>
          <w:tab w:val="num" w:pos="1800"/>
        </w:tabs>
        <w:ind w:left="1800" w:hanging="360"/>
      </w:pPr>
      <w:rPr>
        <w:rFonts w:cs="Times New Roman"/>
      </w:rPr>
    </w:lvl>
    <w:lvl w:ilvl="5">
      <w:start w:val="1"/>
      <w:numFmt w:val="lowerRoman"/>
      <w:suff w:val="space"/>
      <w:lvlText w:val="(%6)"/>
      <w:lvlJc w:val="left"/>
      <w:pPr>
        <w:tabs>
          <w:tab w:val="num" w:pos="2160"/>
        </w:tabs>
        <w:ind w:left="2160" w:hanging="360"/>
      </w:pPr>
      <w:rPr>
        <w:rFonts w:cs="Times New Roman"/>
      </w:rPr>
    </w:lvl>
    <w:lvl w:ilvl="6">
      <w:start w:val="1"/>
      <w:numFmt w:val="decimal"/>
      <w:suff w:val="space"/>
      <w:lvlText w:val="%7."/>
      <w:lvlJc w:val="left"/>
      <w:pPr>
        <w:tabs>
          <w:tab w:val="num" w:pos="2520"/>
        </w:tabs>
        <w:ind w:left="2520" w:hanging="360"/>
      </w:pPr>
      <w:rPr>
        <w:rFonts w:cs="Times New Roman"/>
      </w:rPr>
    </w:lvl>
    <w:lvl w:ilvl="7">
      <w:start w:val="1"/>
      <w:numFmt w:val="lowerLetter"/>
      <w:suff w:val="space"/>
      <w:lvlText w:val="%8."/>
      <w:lvlJc w:val="left"/>
      <w:pPr>
        <w:tabs>
          <w:tab w:val="num" w:pos="2880"/>
        </w:tabs>
        <w:ind w:left="2880" w:hanging="360"/>
      </w:pPr>
      <w:rPr>
        <w:rFonts w:cs="Times New Roman"/>
      </w:rPr>
    </w:lvl>
    <w:lvl w:ilvl="8">
      <w:start w:val="1"/>
      <w:numFmt w:val="lowerRoman"/>
      <w:suff w:val="space"/>
      <w:lvlText w:val="%9."/>
      <w:lvlJc w:val="left"/>
      <w:pPr>
        <w:tabs>
          <w:tab w:val="num" w:pos="3240"/>
        </w:tabs>
        <w:ind w:left="3240" w:hanging="360"/>
      </w:pPr>
      <w:rPr>
        <w:rFonts w:cs="Times New Roman"/>
      </w:rPr>
    </w:lvl>
  </w:abstractNum>
  <w:abstractNum w:abstractNumId="16">
    <w:nsid w:val="6A2E3429"/>
    <w:multiLevelType w:val="multilevel"/>
    <w:tmpl w:val="94B66DB8"/>
    <w:lvl w:ilvl="0">
      <w:start w:val="1"/>
      <w:numFmt w:val="decimal"/>
      <w:pStyle w:val="ListNumber3"/>
      <w:suff w:val="space"/>
      <w:lvlText w:val="%1."/>
      <w:lvlJc w:val="left"/>
      <w:pPr>
        <w:tabs>
          <w:tab w:val="num" w:pos="680"/>
        </w:tabs>
        <w:ind w:left="680" w:hanging="226"/>
      </w:pPr>
      <w:rPr>
        <w:rFont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7">
    <w:nsid w:val="73167289"/>
    <w:multiLevelType w:val="hybridMultilevel"/>
    <w:tmpl w:val="70DE9044"/>
    <w:lvl w:ilvl="0" w:tplc="39AE4990">
      <w:start w:val="1"/>
      <w:numFmt w:val="decimal"/>
      <w:lvlText w:val="%1."/>
      <w:lvlJc w:val="left"/>
      <w:pPr>
        <w:ind w:left="660" w:hanging="360"/>
      </w:pPr>
      <w:rPr>
        <w:rFonts w:eastAsiaTheme="minorHAnsi" w:cstheme="minorBidi"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8">
    <w:nsid w:val="74AE03F4"/>
    <w:multiLevelType w:val="hybridMultilevel"/>
    <w:tmpl w:val="A12EF182"/>
    <w:lvl w:ilvl="0" w:tplc="14B02BB8">
      <w:start w:val="1"/>
      <w:numFmt w:val="decimal"/>
      <w:lvlText w:val="%1"/>
      <w:lvlJc w:val="left"/>
      <w:pPr>
        <w:ind w:left="720" w:hanging="360"/>
      </w:pPr>
      <w:rPr>
        <w:rFonts w:hint="default"/>
        <w:color w:val="auto"/>
        <w:sz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C8254F5"/>
    <w:multiLevelType w:val="multilevel"/>
    <w:tmpl w:val="E4C62B08"/>
    <w:lvl w:ilvl="0">
      <w:start w:val="1"/>
      <w:numFmt w:val="decimal"/>
      <w:pStyle w:val="BodyText"/>
      <w:suff w:val="space"/>
      <w:lvlText w:val="%1."/>
      <w:lvlJc w:val="left"/>
      <w:pPr>
        <w:tabs>
          <w:tab w:val="num" w:pos="360"/>
        </w:tabs>
        <w:ind w:left="360" w:hanging="360"/>
      </w:pPr>
      <w:rPr>
        <w:b w:val="0"/>
        <w:bCs w:val="0"/>
        <w:i w:val="0"/>
        <w:iCs w:val="0"/>
        <w:color w:val="auto"/>
        <w:sz w:val="22"/>
        <w:szCs w:val="22"/>
      </w:rPr>
    </w:lvl>
    <w:lvl w:ilvl="1">
      <w:start w:val="1"/>
      <w:numFmt w:val="bullet"/>
      <w:suff w:val="space"/>
      <w:lvlText w:val=""/>
      <w:lvlJc w:val="left"/>
      <w:pPr>
        <w:tabs>
          <w:tab w:val="num" w:pos="900"/>
        </w:tabs>
        <w:ind w:left="900" w:hanging="360"/>
      </w:pPr>
      <w:rPr>
        <w:rFonts w:ascii="Wingdings" w:hAnsi="Wingdings" w:hint="default"/>
        <w:b w:val="0"/>
        <w:bCs w:val="0"/>
        <w:i w:val="0"/>
        <w:iCs w:val="0"/>
        <w:color w:val="auto"/>
        <w:sz w:val="22"/>
        <w:szCs w:val="22"/>
      </w:rPr>
    </w:lvl>
    <w:lvl w:ilvl="2">
      <w:start w:val="3"/>
      <w:numFmt w:val="lowerLetter"/>
      <w:suff w:val="space"/>
      <w:lvlText w:val="%3)"/>
      <w:lvlJc w:val="left"/>
      <w:pPr>
        <w:tabs>
          <w:tab w:val="num" w:pos="1800"/>
        </w:tabs>
        <w:ind w:left="1800" w:hanging="360"/>
      </w:pPr>
      <w:rPr>
        <w:rFonts w:hint="default"/>
      </w:rPr>
    </w:lvl>
    <w:lvl w:ilvl="3">
      <w:start w:val="1"/>
      <w:numFmt w:val="decimal"/>
      <w:suff w:val="space"/>
      <w:lvlText w:val="%4."/>
      <w:lvlJc w:val="left"/>
      <w:pPr>
        <w:tabs>
          <w:tab w:val="num" w:pos="2340"/>
        </w:tabs>
        <w:ind w:left="2340" w:hanging="360"/>
      </w:pPr>
    </w:lvl>
    <w:lvl w:ilvl="4">
      <w:start w:val="1"/>
      <w:numFmt w:val="lowerLetter"/>
      <w:suff w:val="space"/>
      <w:lvlText w:val="%5."/>
      <w:lvlJc w:val="left"/>
      <w:pPr>
        <w:tabs>
          <w:tab w:val="num" w:pos="3060"/>
        </w:tabs>
        <w:ind w:left="3060" w:hanging="360"/>
      </w:pPr>
    </w:lvl>
    <w:lvl w:ilvl="5">
      <w:start w:val="1"/>
      <w:numFmt w:val="lowerRoman"/>
      <w:suff w:val="space"/>
      <w:lvlText w:val="%6."/>
      <w:lvlJc w:val="right"/>
      <w:pPr>
        <w:tabs>
          <w:tab w:val="num" w:pos="3780"/>
        </w:tabs>
        <w:ind w:left="3780" w:hanging="180"/>
      </w:pPr>
    </w:lvl>
    <w:lvl w:ilvl="6">
      <w:start w:val="1"/>
      <w:numFmt w:val="decimal"/>
      <w:suff w:val="space"/>
      <w:lvlText w:val="%7."/>
      <w:lvlJc w:val="left"/>
      <w:pPr>
        <w:tabs>
          <w:tab w:val="num" w:pos="4500"/>
        </w:tabs>
        <w:ind w:left="4500" w:hanging="360"/>
      </w:pPr>
    </w:lvl>
    <w:lvl w:ilvl="7">
      <w:start w:val="1"/>
      <w:numFmt w:val="lowerLetter"/>
      <w:suff w:val="space"/>
      <w:lvlText w:val="%8."/>
      <w:lvlJc w:val="left"/>
      <w:pPr>
        <w:tabs>
          <w:tab w:val="num" w:pos="5220"/>
        </w:tabs>
        <w:ind w:left="5220" w:hanging="360"/>
      </w:pPr>
    </w:lvl>
    <w:lvl w:ilvl="8">
      <w:start w:val="1"/>
      <w:numFmt w:val="lowerRoman"/>
      <w:suff w:val="space"/>
      <w:lvlText w:val="%9."/>
      <w:lvlJc w:val="right"/>
      <w:pPr>
        <w:tabs>
          <w:tab w:val="num" w:pos="5940"/>
        </w:tabs>
        <w:ind w:left="5940" w:hanging="180"/>
      </w:pPr>
    </w:lvl>
  </w:abstractNum>
  <w:abstractNum w:abstractNumId="20">
    <w:nsid w:val="7D0870E0"/>
    <w:multiLevelType w:val="multilevel"/>
    <w:tmpl w:val="2872E83E"/>
    <w:lvl w:ilvl="0">
      <w:start w:val="1"/>
      <w:numFmt w:val="bullet"/>
      <w:pStyle w:val="ListBullet5"/>
      <w:suff w:val="space"/>
      <w:lvlText w:val=""/>
      <w:lvlJc w:val="left"/>
      <w:pPr>
        <w:tabs>
          <w:tab w:val="num" w:pos="407"/>
        </w:tabs>
        <w:ind w:left="407" w:hanging="227"/>
      </w:pPr>
      <w:rPr>
        <w:rFonts w:ascii="Symbol" w:hAnsi="Symbol"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num w:numId="1">
    <w:abstractNumId w:val="19"/>
  </w:num>
  <w:num w:numId="2">
    <w:abstractNumId w:val="11"/>
  </w:num>
  <w:num w:numId="3">
    <w:abstractNumId w:val="15"/>
  </w:num>
  <w:num w:numId="4">
    <w:abstractNumId w:val="9"/>
  </w:num>
  <w:num w:numId="5">
    <w:abstractNumId w:val="5"/>
  </w:num>
  <w:num w:numId="6">
    <w:abstractNumId w:val="7"/>
  </w:num>
  <w:num w:numId="7">
    <w:abstractNumId w:val="0"/>
  </w:num>
  <w:num w:numId="8">
    <w:abstractNumId w:val="20"/>
  </w:num>
  <w:num w:numId="9">
    <w:abstractNumId w:val="6"/>
  </w:num>
  <w:num w:numId="10">
    <w:abstractNumId w:val="13"/>
  </w:num>
  <w:num w:numId="11">
    <w:abstractNumId w:val="16"/>
  </w:num>
  <w:num w:numId="12">
    <w:abstractNumId w:val="2"/>
  </w:num>
  <w:num w:numId="13">
    <w:abstractNumId w:val="4"/>
  </w:num>
  <w:num w:numId="14">
    <w:abstractNumId w:val="12"/>
  </w:num>
  <w:num w:numId="15">
    <w:abstractNumId w:val="1"/>
  </w:num>
  <w:num w:numId="16">
    <w:abstractNumId w:val="8"/>
  </w:num>
  <w:num w:numId="17">
    <w:abstractNumId w:val="14"/>
  </w:num>
  <w:num w:numId="18">
    <w:abstractNumId w:val="3"/>
  </w:num>
  <w:num w:numId="19">
    <w:abstractNumId w:val="10"/>
  </w:num>
  <w:num w:numId="20">
    <w:abstractNumId w:val="18"/>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1030"/>
    <w:rsid w:val="000653BD"/>
    <w:rsid w:val="000C348D"/>
    <w:rsid w:val="000E6C9E"/>
    <w:rsid w:val="000E7E7F"/>
    <w:rsid w:val="001451D4"/>
    <w:rsid w:val="001B2F60"/>
    <w:rsid w:val="00245071"/>
    <w:rsid w:val="0027510B"/>
    <w:rsid w:val="002A48E5"/>
    <w:rsid w:val="002B3A24"/>
    <w:rsid w:val="002B40AF"/>
    <w:rsid w:val="00311C79"/>
    <w:rsid w:val="00311FF4"/>
    <w:rsid w:val="003160CB"/>
    <w:rsid w:val="00350D7C"/>
    <w:rsid w:val="003721D1"/>
    <w:rsid w:val="00392D7E"/>
    <w:rsid w:val="003A110E"/>
    <w:rsid w:val="003F10D8"/>
    <w:rsid w:val="00432C1B"/>
    <w:rsid w:val="00452FAD"/>
    <w:rsid w:val="00453958"/>
    <w:rsid w:val="004734D1"/>
    <w:rsid w:val="00473E1E"/>
    <w:rsid w:val="00493FB2"/>
    <w:rsid w:val="004B78E3"/>
    <w:rsid w:val="004F7C39"/>
    <w:rsid w:val="00504AE4"/>
    <w:rsid w:val="00554FAE"/>
    <w:rsid w:val="005857D3"/>
    <w:rsid w:val="005E6C40"/>
    <w:rsid w:val="00605A4C"/>
    <w:rsid w:val="0064324D"/>
    <w:rsid w:val="00680C3C"/>
    <w:rsid w:val="006C58EF"/>
    <w:rsid w:val="006E26AA"/>
    <w:rsid w:val="0070794D"/>
    <w:rsid w:val="007661A9"/>
    <w:rsid w:val="007D1952"/>
    <w:rsid w:val="007F1292"/>
    <w:rsid w:val="008058C5"/>
    <w:rsid w:val="00815680"/>
    <w:rsid w:val="00861DB9"/>
    <w:rsid w:val="00891AEF"/>
    <w:rsid w:val="008E64FF"/>
    <w:rsid w:val="00923921"/>
    <w:rsid w:val="009F54E7"/>
    <w:rsid w:val="00A00190"/>
    <w:rsid w:val="00A43BEB"/>
    <w:rsid w:val="00B26957"/>
    <w:rsid w:val="00B749F5"/>
    <w:rsid w:val="00BD2D83"/>
    <w:rsid w:val="00BF1369"/>
    <w:rsid w:val="00C15C83"/>
    <w:rsid w:val="00C66553"/>
    <w:rsid w:val="00CB1030"/>
    <w:rsid w:val="00D23F86"/>
    <w:rsid w:val="00D66319"/>
    <w:rsid w:val="00D769D7"/>
    <w:rsid w:val="00DD0662"/>
    <w:rsid w:val="00E81F7C"/>
    <w:rsid w:val="00E91C4A"/>
    <w:rsid w:val="00EB70B8"/>
    <w:rsid w:val="00F02509"/>
    <w:rsid w:val="00F130F1"/>
    <w:rsid w:val="00F4007D"/>
    <w:rsid w:val="00F9228D"/>
    <w:rsid w:val="00FC3453"/>
    <w:rsid w:val="00FE30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spacing w:before="240" w:after="60" w:line="240" w:lineRule="auto"/>
      <w:jc w:val="both"/>
      <w:outlineLvl w:val="0"/>
    </w:pPr>
    <w:rPr>
      <w:rFonts w:ascii="Arial" w:eastAsia="MS Mincho" w:hAnsi="Arial" w:cs="Arial"/>
      <w:b/>
      <w:bCs/>
      <w:sz w:val="32"/>
      <w:szCs w:val="32"/>
    </w:rPr>
  </w:style>
  <w:style w:type="paragraph" w:styleId="Heading2">
    <w:name w:val="heading 2"/>
    <w:basedOn w:val="Normal"/>
    <w:next w:val="Normal"/>
    <w:link w:val="Heading2Char1"/>
    <w:uiPriority w:val="9"/>
    <w:qFormat/>
    <w:pPr>
      <w:spacing w:before="200" w:after="0" w:line="240" w:lineRule="auto"/>
      <w:jc w:val="both"/>
      <w:outlineLvl w:val="1"/>
    </w:pPr>
    <w:rPr>
      <w:rFonts w:ascii="Cambria" w:eastAsia="MS Mincho" w:hAnsi="Cambria" w:cs="Cambria"/>
      <w:b/>
      <w:bCs/>
      <w:sz w:val="26"/>
      <w:szCs w:val="26"/>
    </w:rPr>
  </w:style>
  <w:style w:type="paragraph" w:styleId="Heading3">
    <w:name w:val="heading 3"/>
    <w:basedOn w:val="Normal"/>
    <w:next w:val="Normal"/>
    <w:link w:val="Heading3Char1"/>
    <w:uiPriority w:val="9"/>
    <w:qFormat/>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basedOn w:val="Normal"/>
    <w:next w:val="Normal"/>
    <w:link w:val="Heading8Char"/>
    <w:uiPriority w:val="9"/>
    <w:qFormat/>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character" w:customStyle="1" w:styleId="CaptionChar">
    <w:name w:val="Caption Char"/>
    <w:uiPriority w:val="99"/>
  </w:style>
  <w:style w:type="table" w:customStyle="1" w:styleId="TableGridLight">
    <w:name w:val="Table Grid Light"/>
    <w:basedOn w:val="Table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Table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TableNormal"/>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TableNormal"/>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Normal"/>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Normal"/>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Normal"/>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Normal"/>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Normal"/>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Normal"/>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TableNormal"/>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Normal"/>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Normal"/>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Normal"/>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Normal"/>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Normal"/>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Normal"/>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TableNormal"/>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Normal"/>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Normal"/>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Normal"/>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Normal"/>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Normal"/>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Normal"/>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TableNormal"/>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Normal"/>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Normal"/>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Normal"/>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Normal"/>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Normal"/>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Normal"/>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TableNormal"/>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Normal"/>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Normal"/>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Normal"/>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Normal"/>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Normal"/>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TableNormal"/>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Normal"/>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Normal"/>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Normal"/>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Normal"/>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Normal"/>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TableNormal"/>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Normal"/>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Normal"/>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Normal"/>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Normal"/>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Normal"/>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Normal"/>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TableNormal"/>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Normal"/>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Normal"/>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Normal"/>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Normal"/>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Normal"/>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Normal"/>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TableNormal"/>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Normal"/>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Normal"/>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Normal"/>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Normal"/>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Normal"/>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Normal"/>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TableNormal"/>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Normal"/>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Normal"/>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Normal"/>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Normal"/>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Normal"/>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Normal"/>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TableNormal"/>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Normal"/>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Normal"/>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Normal"/>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Normal"/>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Normal"/>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TableNormal"/>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Normal"/>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Normal"/>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Normal"/>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Normal"/>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Normal"/>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MS Mincho" w:hAnsi="Arial" w:cs="Arial"/>
      <w:b/>
      <w:bCs/>
      <w:sz w:val="32"/>
      <w:szCs w:val="32"/>
    </w:rPr>
  </w:style>
  <w:style w:type="character" w:customStyle="1" w:styleId="Heading2Char">
    <w:name w:val="Heading 2 Char"/>
    <w:basedOn w:val="DefaultParagraphFont"/>
    <w:uiPriority w:val="9"/>
    <w:rPr>
      <w:rFonts w:ascii="Cambria" w:eastAsia="MS Mincho" w:hAnsi="Cambria" w:cs="Cambria"/>
      <w:b/>
      <w:bCs/>
      <w:sz w:val="26"/>
      <w:szCs w:val="26"/>
    </w:rPr>
  </w:style>
  <w:style w:type="character" w:customStyle="1" w:styleId="Heading3Char">
    <w:name w:val="Heading 3 Char"/>
    <w:basedOn w:val="DefaultParagraphFont"/>
    <w:uiPriority w:val="9"/>
    <w:rPr>
      <w:rFonts w:ascii="Cambria" w:eastAsia="MS Mincho" w:hAnsi="Cambria" w:cs="Cambria"/>
      <w:b/>
      <w:bCs/>
      <w:sz w:val="24"/>
      <w:szCs w:val="24"/>
    </w:rPr>
  </w:style>
  <w:style w:type="character" w:customStyle="1" w:styleId="Heading4Char">
    <w:name w:val="Heading 4 Char"/>
    <w:basedOn w:val="DefaultParagraphFont"/>
    <w:link w:val="Heading4"/>
    <w:uiPriority w:val="9"/>
    <w:rPr>
      <w:rFonts w:ascii="Cambria" w:eastAsia="MS Mincho" w:hAnsi="Cambria" w:cs="Cambria"/>
      <w:b/>
      <w:bCs/>
      <w:i/>
      <w:iCs/>
      <w:sz w:val="24"/>
      <w:szCs w:val="24"/>
    </w:rPr>
  </w:style>
  <w:style w:type="character" w:customStyle="1" w:styleId="Heading5Char">
    <w:name w:val="Heading 5 Char"/>
    <w:basedOn w:val="DefaultParagraphFont"/>
    <w:link w:val="Heading5"/>
    <w:rPr>
      <w:rFonts w:ascii="Cambria" w:eastAsia="MS Mincho" w:hAnsi="Cambria" w:cs="Cambria"/>
      <w:b/>
      <w:bCs/>
      <w:color w:val="7F7F7F"/>
      <w:sz w:val="24"/>
      <w:szCs w:val="24"/>
    </w:rPr>
  </w:style>
  <w:style w:type="character" w:customStyle="1" w:styleId="Heading6Char">
    <w:name w:val="Heading 6 Char"/>
    <w:basedOn w:val="DefaultParagraphFont"/>
    <w:link w:val="Heading6"/>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Pr>
      <w:rFonts w:ascii="Cambria" w:eastAsia="MS Mincho" w:hAnsi="Cambria" w:cs="Cambria"/>
      <w:i/>
      <w:iCs/>
      <w:sz w:val="24"/>
      <w:szCs w:val="24"/>
    </w:rPr>
  </w:style>
  <w:style w:type="character" w:customStyle="1" w:styleId="Heading8Char">
    <w:name w:val="Heading 8 Char"/>
    <w:basedOn w:val="DefaultParagraphFont"/>
    <w:link w:val="Heading8"/>
    <w:uiPriority w:val="9"/>
    <w:rPr>
      <w:rFonts w:ascii="Cambria" w:eastAsia="MS Mincho" w:hAnsi="Cambria" w:cs="Cambria"/>
      <w:sz w:val="20"/>
      <w:szCs w:val="20"/>
    </w:rPr>
  </w:style>
  <w:style w:type="character" w:customStyle="1" w:styleId="Heading9Char">
    <w:name w:val="Heading 9 Char"/>
    <w:basedOn w:val="DefaultParagraphFont"/>
    <w:link w:val="Heading9"/>
    <w:rPr>
      <w:rFonts w:ascii="Cambria" w:eastAsia="MS Mincho" w:hAnsi="Cambria" w:cs="Cambria"/>
      <w:i/>
      <w:iCs/>
      <w:spacing w:val="5"/>
      <w:sz w:val="20"/>
      <w:szCs w:val="20"/>
    </w:rPr>
  </w:style>
  <w:style w:type="numbering" w:customStyle="1" w:styleId="NoList1">
    <w:name w:val="No List1"/>
    <w:next w:val="NoList"/>
    <w:uiPriority w:val="99"/>
    <w:semiHidden/>
    <w:unhideWhenUsed/>
  </w:style>
  <w:style w:type="paragraph" w:styleId="NoSpacing">
    <w:name w:val="No Spacing"/>
    <w:link w:val="NoSpacingChar"/>
    <w:uiPriority w:val="1"/>
    <w:qFormat/>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Pr>
      <w:rFonts w:ascii="Tahoma" w:eastAsia="Calibri" w:hAnsi="Tahoma" w:cs="Tahoma"/>
      <w:sz w:val="16"/>
      <w:szCs w:val="16"/>
    </w:rPr>
  </w:style>
  <w:style w:type="paragraph" w:styleId="Header">
    <w:name w:val="header"/>
    <w:basedOn w:val="Normal"/>
    <w:link w:val="HeaderChar"/>
    <w:uiPriority w:val="99"/>
    <w:unhideWhenUsed/>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unhideWhenUsed/>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Pr>
      <w:rFonts w:ascii="Calibri" w:eastAsia="Calibri" w:hAnsi="Calibri" w:cs="Times New Roman"/>
    </w:rPr>
  </w:style>
  <w:style w:type="paragraph" w:customStyle="1" w:styleId="Akti">
    <w:name w:val="Akti"/>
    <w:link w:val="AktiChar"/>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rPr>
      <w:rFonts w:ascii="Garamond" w:eastAsia="MS Mincho" w:hAnsi="Garamond" w:cs="CG Times"/>
      <w:b/>
      <w:bCs/>
      <w:sz w:val="24"/>
      <w:lang w:val="en-GB"/>
    </w:rPr>
  </w:style>
  <w:style w:type="paragraph" w:customStyle="1" w:styleId="Paragrafi">
    <w:name w:val="Paragrafi"/>
    <w:link w:val="ParagrafiChar"/>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rPr>
      <w:rFonts w:ascii="Garamond" w:eastAsia="MS Mincho" w:hAnsi="Garamond" w:cs="CG Times"/>
      <w:sz w:val="24"/>
    </w:rPr>
  </w:style>
  <w:style w:type="paragraph" w:customStyle="1" w:styleId="Titulli">
    <w:name w:val="Titulli"/>
    <w:next w:val="Normal"/>
    <w:link w:val="TitulliChar"/>
    <w:uiPriority w:val="9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Pr>
      <w:rFonts w:ascii="Garamond" w:eastAsia="MS Mincho" w:hAnsi="Garamond" w:cs="CG Times"/>
      <w:b/>
      <w:bCs/>
      <w:caps/>
      <w:sz w:val="24"/>
      <w:lang w:val="en-GB"/>
    </w:rPr>
  </w:style>
  <w:style w:type="character" w:customStyle="1" w:styleId="AktiChar">
    <w:name w:val="Akti Char"/>
    <w:basedOn w:val="DefaultParagraphFont"/>
    <w:link w:val="Akti"/>
    <w:rPr>
      <w:rFonts w:ascii="Garamond" w:eastAsia="MS Mincho" w:hAnsi="Garamond" w:cs="CG Times"/>
      <w:b/>
      <w:bCs/>
      <w:caps/>
      <w:color w:val="000000"/>
      <w:sz w:val="24"/>
      <w:lang w:val="en-GB"/>
    </w:rPr>
  </w:style>
  <w:style w:type="paragraph" w:customStyle="1" w:styleId="NeniNr">
    <w:name w:val="Neni_Nr"/>
    <w:next w:val="Normal"/>
    <w:link w:val="NeniNrChar"/>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Pr>
      <w:rFonts w:ascii="Garamond" w:eastAsia="MS Mincho" w:hAnsi="Garamond" w:cs="CG Times"/>
      <w:sz w:val="24"/>
      <w:lang w:val="en-GB"/>
    </w:rPr>
  </w:style>
  <w:style w:type="paragraph" w:customStyle="1" w:styleId="Autoriteti">
    <w:name w:val="Autoriteti"/>
    <w:next w:val="Normal"/>
    <w:link w:val="AutoritetiChar"/>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rPr>
      <w:rFonts w:ascii="Garamond" w:eastAsia="MS Mincho" w:hAnsi="Garamond" w:cs="CG Times"/>
      <w:caps/>
      <w:sz w:val="24"/>
      <w:lang w:val="en-GB"/>
    </w:rPr>
  </w:style>
  <w:style w:type="character" w:customStyle="1" w:styleId="AutoritetiEmerChar">
    <w:name w:val="Autoriteti_Emer Char"/>
    <w:link w:val="AutoritetiEmer"/>
    <w:rPr>
      <w:rFonts w:ascii="Garamond" w:eastAsia="MS Mincho" w:hAnsi="Garamond" w:cs="Times New Roman"/>
      <w:b/>
      <w:bCs/>
      <w:sz w:val="24"/>
      <w:lang w:val="en-GB"/>
    </w:rPr>
  </w:style>
  <w:style w:type="paragraph" w:customStyle="1" w:styleId="Titull-Titull">
    <w:name w:val="Titull-Titull"/>
    <w:basedOn w:val="Paragrafi"/>
    <w:qFormat/>
    <w:pPr>
      <w:ind w:firstLine="0"/>
      <w:jc w:val="center"/>
    </w:pPr>
    <w:rPr>
      <w:caps/>
      <w:szCs w:val="24"/>
    </w:rPr>
  </w:style>
  <w:style w:type="paragraph" w:customStyle="1" w:styleId="Vendosi">
    <w:name w:val="Vendosi"/>
    <w:basedOn w:val="Titull-Titull"/>
    <w:qFormat/>
  </w:style>
  <w:style w:type="paragraph" w:customStyle="1" w:styleId="Hapesira7">
    <w:name w:val="Hapesira 7"/>
    <w:basedOn w:val="Paragrafi"/>
    <w:qFormat/>
    <w:rPr>
      <w:sz w:val="14"/>
      <w:szCs w:val="24"/>
    </w:rPr>
  </w:style>
  <w:style w:type="paragraph" w:styleId="ListParagraph">
    <w:name w:val="List Paragraph"/>
    <w:basedOn w:val="Normal"/>
    <w:link w:val="ListParagraphChar"/>
    <w:uiPriority w:val="34"/>
    <w:qFormat/>
    <w:pPr>
      <w:ind w:left="720"/>
      <w:contextualSpacing/>
    </w:pPr>
    <w:rPr>
      <w:rFonts w:ascii="Calibri" w:eastAsia="Times New Roman" w:hAnsi="Calibri" w:cs="Times New Roman"/>
    </w:rPr>
  </w:style>
  <w:style w:type="character" w:customStyle="1" w:styleId="ListParagraphChar">
    <w:name w:val="List Paragraph Char"/>
    <w:link w:val="ListParagraph"/>
    <w:uiPriority w:val="34"/>
    <w:rPr>
      <w:rFonts w:ascii="Calibri" w:eastAsia="Times New Roman" w:hAnsi="Calibri" w:cs="Times New Roman"/>
    </w:rPr>
  </w:style>
  <w:style w:type="paragraph" w:customStyle="1" w:styleId="Style1">
    <w:name w:val="Style1"/>
    <w:basedOn w:val="Akti"/>
    <w:link w:val="Style1Char"/>
    <w:qFormat/>
  </w:style>
  <w:style w:type="character" w:customStyle="1" w:styleId="Heading2Char1">
    <w:name w:val="Heading 2 Char1"/>
    <w:link w:val="Heading2"/>
    <w:uiPriority w:val="9"/>
    <w:rPr>
      <w:rFonts w:ascii="Cambria" w:eastAsia="MS Mincho" w:hAnsi="Cambria" w:cs="Cambria"/>
      <w:b/>
      <w:bCs/>
      <w:sz w:val="26"/>
      <w:szCs w:val="26"/>
    </w:rPr>
  </w:style>
  <w:style w:type="character" w:customStyle="1" w:styleId="Heading3Char1">
    <w:name w:val="Heading 3 Char1"/>
    <w:link w:val="Heading3"/>
    <w:uiPriority w:val="9"/>
    <w:rPr>
      <w:rFonts w:ascii="Cambria" w:eastAsia="MS Mincho" w:hAnsi="Cambria" w:cs="Cambria"/>
      <w:b/>
      <w:bCs/>
      <w:sz w:val="24"/>
      <w:szCs w:val="24"/>
    </w:rPr>
  </w:style>
  <w:style w:type="paragraph" w:customStyle="1" w:styleId="ADDRESS">
    <w:name w:val="ADDRESS"/>
    <w:basedOn w:val="Normal"/>
    <w:pPr>
      <w:keepLines/>
      <w:widowControl w:val="0"/>
      <w:tabs>
        <w:tab w:val="left" w:pos="1701"/>
        <w:tab w:val="left" w:pos="2268"/>
        <w:tab w:val="left" w:pos="5387"/>
      </w:tabs>
      <w:spacing w:after="120" w:line="240" w:lineRule="atLeast"/>
      <w:ind w:left="5103" w:hanging="4282"/>
      <w:jc w:val="both"/>
    </w:pPr>
    <w:rPr>
      <w:rFonts w:ascii="Arial" w:eastAsia="MS Mincho" w:hAnsi="Arial" w:cs="Arial"/>
      <w:sz w:val="20"/>
      <w:szCs w:val="20"/>
      <w:lang w:val="en-GB"/>
    </w:rPr>
  </w:style>
  <w:style w:type="paragraph" w:customStyle="1" w:styleId="Aneksi">
    <w:name w:val="Aneksi"/>
    <w:next w:val="Normal"/>
    <w:pPr>
      <w:spacing w:after="0" w:line="240" w:lineRule="auto"/>
      <w:jc w:val="both"/>
    </w:pPr>
    <w:rPr>
      <w:rFonts w:ascii="CG Times" w:eastAsia="MS Mincho" w:hAnsi="CG Times" w:cs="CG Times"/>
      <w:sz w:val="21"/>
      <w:lang w:val="en-GB"/>
    </w:rPr>
  </w:style>
  <w:style w:type="paragraph" w:customStyle="1" w:styleId="AneksiNr">
    <w:name w:val="Aneksi_Nr"/>
    <w:next w:val="Normal"/>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Pr>
      <w:rFonts w:ascii="Arial" w:eastAsia="Times New Roman" w:hAnsi="Arial" w:cs="Arial"/>
      <w:color w:val="000000"/>
      <w:sz w:val="24"/>
      <w:szCs w:val="24"/>
    </w:rPr>
  </w:style>
  <w:style w:type="paragraph" w:customStyle="1" w:styleId="BazLigjPropozues">
    <w:name w:val="Baz_Ligj_Propozues"/>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Pr>
      <w:rFonts w:ascii="Times New Roman" w:eastAsia="Times New Roman" w:hAnsi="Times New Roman" w:cs="Times New Roman"/>
      <w:caps/>
      <w:sz w:val="26"/>
      <w:szCs w:val="26"/>
      <w:lang w:val="en-GB"/>
    </w:rPr>
  </w:style>
  <w:style w:type="character" w:customStyle="1" w:styleId="apple-converted-space">
    <w:name w:val="apple-converted-space"/>
  </w:style>
  <w:style w:type="character" w:styleId="Hyperlink">
    <w:name w:val="Hyperlink"/>
    <w:uiPriority w:val="99"/>
    <w:unhideWhenUsed/>
    <w:rPr>
      <w:color w:val="0000FF"/>
      <w:u w:val="single"/>
    </w:rPr>
  </w:style>
  <w:style w:type="character" w:styleId="FollowedHyperlink">
    <w:name w:val="FollowedHyperlink"/>
    <w:uiPriority w:val="99"/>
    <w:unhideWhenUsed/>
    <w:rPr>
      <w:color w:val="800080"/>
      <w:u w:val="single"/>
    </w:rPr>
  </w:style>
  <w:style w:type="paragraph" w:customStyle="1" w:styleId="font5">
    <w:name w:val="font5"/>
    <w:basedOn w:val="Normal"/>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pPr>
      <w:pBdr>
        <w:top w:val="single" w:sz="8" w:space="0" w:color="000000"/>
        <w:left w:val="single" w:sz="8" w:space="0" w:color="000000"/>
        <w:right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pPr>
      <w:pBdr>
        <w:top w:val="single" w:sz="8" w:space="0" w:color="000000"/>
        <w:left w:val="single" w:sz="8" w:space="0" w:color="000000"/>
        <w:bottom w:val="single" w:sz="8"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pPr>
      <w:pBdr>
        <w:top w:val="single" w:sz="8" w:space="0" w:color="000000"/>
        <w:bottom w:val="single" w:sz="8"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pPr>
      <w:pBdr>
        <w:top w:val="single" w:sz="8" w:space="0" w:color="000000"/>
        <w:bottom w:val="single" w:sz="8" w:space="0" w:color="000000"/>
        <w:right w:val="single" w:sz="8"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pPr>
      <w:pageBreakBefore/>
      <w:spacing w:after="0" w:line="240" w:lineRule="auto"/>
      <w:jc w:val="both"/>
    </w:pPr>
    <w:rPr>
      <w:rFonts w:ascii="CG Times" w:eastAsia="MS Mincho" w:hAnsi="CG Times" w:cs="CG Times"/>
      <w:b/>
      <w:bCs/>
      <w:sz w:val="21"/>
    </w:rPr>
  </w:style>
  <w:style w:type="paragraph" w:customStyle="1" w:styleId="KapitulliNr">
    <w:name w:val="Kapitulli_Nr"/>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pPr>
      <w:pBdr>
        <w:top w:val="single" w:sz="8" w:space="0" w:color="000000"/>
        <w:left w:val="single" w:sz="8" w:space="0" w:color="000000"/>
        <w:right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pPr>
      <w:pBdr>
        <w:top w:val="single" w:sz="8" w:space="0" w:color="000000"/>
        <w:left w:val="single" w:sz="6" w:space="0" w:color="000000"/>
        <w:bottom w:val="single" w:sz="8"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pPr>
      <w:pBdr>
        <w:top w:val="single" w:sz="8" w:space="0" w:color="000000"/>
        <w:bottom w:val="single" w:sz="8"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pPr>
      <w:pBdr>
        <w:top w:val="single" w:sz="8" w:space="0" w:color="000000"/>
        <w:bottom w:val="single" w:sz="8" w:space="0" w:color="000000"/>
        <w:right w:val="single" w:sz="6"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pPr>
      <w:pBdr>
        <w:top w:val="single" w:sz="8" w:space="0" w:color="000000"/>
        <w:left w:val="single" w:sz="6" w:space="0" w:color="000000"/>
        <w:right w:val="single" w:sz="8"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pPr>
      <w:pBdr>
        <w:top w:val="single" w:sz="8" w:space="0" w:color="000000"/>
        <w:left w:val="single" w:sz="8" w:space="0" w:color="000000"/>
        <w:right w:val="single" w:sz="8"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pPr>
      <w:pBdr>
        <w:left w:val="single" w:sz="8" w:space="0" w:color="000000"/>
        <w:right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pPr>
      <w:pBdr>
        <w:top w:val="single" w:sz="8" w:space="0" w:color="000000"/>
        <w:right w:val="single" w:sz="4"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pPr>
      <w:keepNext/>
      <w:widowControl w:val="0"/>
      <w:spacing w:after="0" w:line="240" w:lineRule="auto"/>
      <w:jc w:val="center"/>
    </w:pPr>
    <w:rPr>
      <w:rFonts w:ascii="CG Times" w:eastAsia="MS Mincho" w:hAnsi="CG Times" w:cs="CG Times"/>
      <w:i/>
      <w:iCs/>
      <w:sz w:val="21"/>
    </w:rPr>
  </w:style>
  <w:style w:type="paragraph" w:customStyle="1" w:styleId="NenkreuNr">
    <w:name w:val="Nenkreu_Nr"/>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pPr>
      <w:spacing w:after="0" w:line="240" w:lineRule="auto"/>
      <w:jc w:val="center"/>
    </w:pPr>
    <w:rPr>
      <w:rFonts w:ascii="CG Times" w:eastAsia="MS Mincho" w:hAnsi="CG Times" w:cs="CG Times"/>
      <w:caps/>
      <w:sz w:val="21"/>
      <w:lang w:val="en-GB"/>
    </w:rPr>
  </w:style>
  <w:style w:type="paragraph" w:customStyle="1" w:styleId="xl82">
    <w:name w:val="xl82"/>
    <w:basedOn w:val="Normal"/>
    <w:pPr>
      <w:pBdr>
        <w:top w:val="single" w:sz="8" w:space="0" w:color="000000"/>
        <w:left w:val="single" w:sz="4" w:space="0" w:color="000000"/>
        <w:right w:val="single" w:sz="4"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pPr>
      <w:pBdr>
        <w:top w:val="single" w:sz="8" w:space="0" w:color="000000"/>
        <w:left w:val="single" w:sz="4"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pPr>
      <w:pBdr>
        <w:left w:val="single" w:sz="8" w:space="0" w:color="000000"/>
        <w:right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pPr>
      <w:pBdr>
        <w:top w:val="single" w:sz="8" w:space="0" w:color="000000"/>
        <w:left w:val="single" w:sz="8" w:space="0" w:color="000000"/>
        <w:right w:val="single" w:sz="6"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pPr>
      <w:pBdr>
        <w:left w:val="single" w:sz="6" w:space="0" w:color="000000"/>
        <w:right w:val="single" w:sz="8"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pPr>
      <w:pBdr>
        <w:left w:val="single" w:sz="8" w:space="0" w:color="000000"/>
        <w:right w:val="single" w:sz="8"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pPr>
      <w:pBdr>
        <w:right w:val="single" w:sz="4"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pPr>
      <w:pBdr>
        <w:left w:val="single" w:sz="4" w:space="0" w:color="000000"/>
        <w:right w:val="single" w:sz="4"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pPr>
      <w:widowControl w:val="0"/>
      <w:spacing w:after="0" w:line="240" w:lineRule="auto"/>
      <w:jc w:val="both"/>
    </w:pPr>
    <w:rPr>
      <w:rFonts w:ascii="CG Times" w:eastAsia="MS Mincho" w:hAnsi="CG Times" w:cs="CG Times"/>
      <w:sz w:val="21"/>
    </w:rPr>
  </w:style>
  <w:style w:type="paragraph" w:customStyle="1" w:styleId="PikeKreu">
    <w:name w:val="Pike_Kreu"/>
    <w:basedOn w:val="Heading1"/>
  </w:style>
  <w:style w:type="paragraph" w:customStyle="1" w:styleId="PjesaNr">
    <w:name w:val="Pjesa_Nr"/>
    <w:next w:val="Normal"/>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pPr>
      <w:pBdr>
        <w:left w:val="single" w:sz="4"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pPr>
      <w:pBdr>
        <w:top w:val="single" w:sz="8" w:space="0" w:color="000000"/>
        <w:left w:val="single" w:sz="6" w:space="0" w:color="000000"/>
        <w:right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pPr>
      <w:pBdr>
        <w:left w:val="single" w:sz="8" w:space="0" w:color="000000"/>
        <w:right w:val="single" w:sz="6"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pPr>
      <w:pBdr>
        <w:left w:val="single" w:sz="8" w:space="0" w:color="000000"/>
        <w:bottom w:val="single" w:sz="8" w:space="0" w:color="000000"/>
        <w:right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pPr>
      <w:pBdr>
        <w:bottom w:val="single" w:sz="8" w:space="0" w:color="000000"/>
        <w:right w:val="single" w:sz="4"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pPr>
      <w:pBdr>
        <w:left w:val="single" w:sz="4" w:space="0" w:color="000000"/>
        <w:bottom w:val="single" w:sz="8" w:space="0" w:color="000000"/>
        <w:right w:val="single" w:sz="4"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pPr>
      <w:pBdr>
        <w:left w:val="single" w:sz="4" w:space="0" w:color="000000"/>
        <w:bottom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pPr>
      <w:spacing w:after="0" w:line="240" w:lineRule="auto"/>
      <w:ind w:firstLine="284"/>
      <w:jc w:val="both"/>
    </w:pPr>
    <w:rPr>
      <w:rFonts w:ascii="CG Times" w:eastAsia="MS Mincho" w:hAnsi="CG Times" w:cs="CG Times"/>
      <w:lang w:val="en-GB"/>
    </w:rPr>
  </w:style>
  <w:style w:type="paragraph" w:customStyle="1" w:styleId="xl97">
    <w:name w:val="xl97"/>
    <w:basedOn w:val="Normal"/>
    <w:pPr>
      <w:pBdr>
        <w:left w:val="single" w:sz="8" w:space="0" w:color="000000"/>
        <w:bottom w:val="single" w:sz="8" w:space="0" w:color="000000"/>
        <w:right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pPr>
      <w:pBdr>
        <w:left w:val="single" w:sz="6" w:space="0" w:color="000000"/>
        <w:bottom w:val="single" w:sz="8" w:space="0" w:color="000000"/>
        <w:right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pPr>
      <w:pBdr>
        <w:left w:val="single" w:sz="8" w:space="0" w:color="000000"/>
        <w:bottom w:val="single" w:sz="8" w:space="0" w:color="000000"/>
        <w:right w:val="single" w:sz="6"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pPr>
      <w:pBdr>
        <w:left w:val="single" w:sz="6" w:space="0" w:color="000000"/>
        <w:bottom w:val="single" w:sz="8" w:space="0" w:color="000000"/>
        <w:right w:val="single" w:sz="8"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pPr>
      <w:pBdr>
        <w:top w:val="single" w:sz="8" w:space="0" w:color="000000"/>
        <w:left w:val="single" w:sz="4" w:space="0" w:color="000000"/>
        <w:bottom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pPr>
      <w:pBdr>
        <w:top w:val="single" w:sz="8" w:space="0" w:color="000000"/>
        <w:bottom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pPr>
      <w:pBdr>
        <w:top w:val="single" w:sz="8"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pPr>
      <w:pBdr>
        <w:top w:val="single" w:sz="4" w:space="0" w:color="000000"/>
        <w:left w:val="single" w:sz="8" w:space="0" w:color="000000"/>
        <w:bottom w:val="single" w:sz="8"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pPr>
      <w:pBdr>
        <w:top w:val="single" w:sz="4" w:space="0" w:color="000000"/>
        <w:left w:val="single" w:sz="4" w:space="0" w:color="000000"/>
        <w:bottom w:val="single" w:sz="8" w:space="0" w:color="000000"/>
        <w:right w:val="single" w:sz="8"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pPr>
      <w:pBdr>
        <w:left w:val="single" w:sz="8"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pPr>
      <w:pBdr>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pPr>
      <w:pBdr>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pPr>
      <w:pBdr>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pPr>
      <w:pBdr>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pPr>
      <w:pBdr>
        <w:left w:val="single" w:sz="4" w:space="0" w:color="000000"/>
        <w:bottom w:val="single" w:sz="4" w:space="0" w:color="000000"/>
        <w:right w:val="single" w:sz="8" w:space="0" w:color="000000"/>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pPr>
      <w:spacing w:after="0" w:line="240" w:lineRule="auto"/>
    </w:pPr>
    <w:rPr>
      <w:rFonts w:ascii="Times New Roman" w:eastAsia="MS Mincho"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30">
    <w:name w:val="xl13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32">
    <w:name w:val="xl132"/>
    <w:basedOn w:val="Normal"/>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Pr>
      <w:b/>
      <w:bCs/>
    </w:rPr>
  </w:style>
  <w:style w:type="paragraph" w:customStyle="1" w:styleId="xl136">
    <w:name w:val="xl136"/>
    <w:basedOn w:val="Normal"/>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pPr>
      <w:pBdr>
        <w:top w:val="single" w:sz="4" w:space="0" w:color="000000"/>
        <w:left w:val="single" w:sz="4" w:space="0" w:color="000000"/>
        <w:right w:val="single" w:sz="8"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pPr>
      <w:pBdr>
        <w:top w:val="single" w:sz="8" w:space="0" w:color="000000"/>
        <w:left w:val="single" w:sz="8" w:space="0" w:color="000000"/>
        <w:bottom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pPr>
      <w:pBdr>
        <w:top w:val="single" w:sz="8" w:space="0" w:color="000000"/>
        <w:bottom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pPr>
      <w:pBdr>
        <w:top w:val="single" w:sz="8" w:space="0" w:color="000000"/>
        <w:bottom w:val="single" w:sz="8" w:space="0" w:color="000000"/>
        <w:right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pPr>
      <w:pBdr>
        <w:top w:val="single" w:sz="8" w:space="0" w:color="000000"/>
        <w:bottom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pPr>
      <w:pBdr>
        <w:top w:val="single" w:sz="8" w:space="0" w:color="000000"/>
        <w:bottom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pPr>
      <w:pBdr>
        <w:top w:val="single" w:sz="8" w:space="0" w:color="000000"/>
        <w:bottom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pPr>
      <w:pBdr>
        <w:top w:val="single" w:sz="4" w:space="0" w:color="000000"/>
        <w:left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pPr>
      <w:pBdr>
        <w:top w:val="single" w:sz="4" w:space="0" w:color="000000"/>
        <w:left w:val="single" w:sz="4" w:space="0" w:color="000000"/>
        <w:right w:val="single" w:sz="4" w:space="0" w:color="000000"/>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pPr>
      <w:pBdr>
        <w:top w:val="single" w:sz="4" w:space="0" w:color="000000"/>
        <w:left w:val="single" w:sz="4" w:space="0" w:color="000000"/>
        <w:bottom w:val="single" w:sz="8" w:space="0" w:color="000000"/>
        <w:right w:val="single" w:sz="8" w:space="0" w:color="000000"/>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pPr>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style>
  <w:style w:type="paragraph" w:styleId="Title">
    <w:name w:val="Title"/>
    <w:basedOn w:val="Heading1"/>
    <w:next w:val="Normal"/>
    <w:link w:val="TitleChar"/>
    <w:qFormat/>
    <w:pPr>
      <w:keepNext w:val="0"/>
      <w:pBdr>
        <w:bottom w:val="single" w:sz="4" w:space="1" w:color="000000"/>
      </w:pBdr>
      <w:tabs>
        <w:tab w:val="num" w:pos="360"/>
      </w:tabs>
      <w:spacing w:after="0"/>
      <w:ind w:left="360"/>
      <w:contextualSpacing/>
      <w:jc w:val="left"/>
    </w:pPr>
    <w:rPr>
      <w:rFonts w:ascii="Calibri" w:eastAsia="Times New Roman" w:hAnsi="Calibri"/>
      <w:bCs w:val="0"/>
      <w:caps/>
      <w:spacing w:val="10"/>
      <w:sz w:val="40"/>
      <w:szCs w:val="40"/>
      <w:lang w:val="sq-AL"/>
    </w:rPr>
  </w:style>
  <w:style w:type="character" w:customStyle="1" w:styleId="TitleChar">
    <w:name w:val="Title Char"/>
    <w:basedOn w:val="DefaultParagraphFont"/>
    <w:link w:val="Title"/>
    <w:rPr>
      <w:rFonts w:ascii="Calibri" w:eastAsia="Times New Roman" w:hAnsi="Calibri" w:cs="Arial"/>
      <w:b/>
      <w:caps/>
      <w:spacing w:val="10"/>
      <w:sz w:val="40"/>
      <w:szCs w:val="40"/>
      <w:lang w:val="sq-AL"/>
    </w:rPr>
  </w:style>
  <w:style w:type="paragraph" w:customStyle="1" w:styleId="articlebody">
    <w:name w:val="articlebody"/>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pPr>
      <w:keepLines/>
      <w:spacing w:before="480" w:after="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TOC1">
    <w:name w:val="toc 1"/>
    <w:basedOn w:val="Normal"/>
    <w:next w:val="Normal"/>
    <w:uiPriority w:val="39"/>
    <w:unhideWhenUsed/>
    <w:qFormat/>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uiPriority w:val="39"/>
    <w:unhideWhenUsed/>
    <w:qFormat/>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uiPriority w:val="39"/>
    <w:unhideWhenUsed/>
    <w:qFormat/>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uiPriority w:val="39"/>
    <w:unhideWhenUsed/>
    <w:pPr>
      <w:spacing w:after="100"/>
      <w:ind w:left="660"/>
    </w:pPr>
    <w:rPr>
      <w:rFonts w:ascii="Calibri" w:eastAsia="Times New Roman" w:hAnsi="Calibri" w:cs="Times New Roman"/>
    </w:rPr>
  </w:style>
  <w:style w:type="paragraph" w:styleId="TOC5">
    <w:name w:val="toc 5"/>
    <w:basedOn w:val="Normal"/>
    <w:next w:val="Normal"/>
    <w:uiPriority w:val="39"/>
    <w:unhideWhenUsed/>
    <w:pPr>
      <w:spacing w:after="100"/>
      <w:ind w:left="880"/>
    </w:pPr>
    <w:rPr>
      <w:rFonts w:ascii="Calibri" w:eastAsia="Times New Roman" w:hAnsi="Calibri" w:cs="Times New Roman"/>
    </w:rPr>
  </w:style>
  <w:style w:type="paragraph" w:styleId="TOC6">
    <w:name w:val="toc 6"/>
    <w:basedOn w:val="Normal"/>
    <w:next w:val="Normal"/>
    <w:uiPriority w:val="39"/>
    <w:unhideWhenUsed/>
    <w:pPr>
      <w:spacing w:after="100"/>
      <w:ind w:left="1100"/>
    </w:pPr>
    <w:rPr>
      <w:rFonts w:ascii="Calibri" w:eastAsia="Times New Roman" w:hAnsi="Calibri" w:cs="Times New Roman"/>
    </w:rPr>
  </w:style>
  <w:style w:type="paragraph" w:styleId="TOC7">
    <w:name w:val="toc 7"/>
    <w:basedOn w:val="Normal"/>
    <w:next w:val="Normal"/>
    <w:uiPriority w:val="39"/>
    <w:unhideWhenUsed/>
    <w:pPr>
      <w:spacing w:after="100"/>
      <w:ind w:left="1320"/>
    </w:pPr>
    <w:rPr>
      <w:rFonts w:ascii="Calibri" w:eastAsia="Times New Roman" w:hAnsi="Calibri" w:cs="Times New Roman"/>
    </w:rPr>
  </w:style>
  <w:style w:type="paragraph" w:styleId="TOC8">
    <w:name w:val="toc 8"/>
    <w:basedOn w:val="Normal"/>
    <w:next w:val="Normal"/>
    <w:uiPriority w:val="39"/>
    <w:unhideWhenUsed/>
    <w:pPr>
      <w:spacing w:after="100"/>
      <w:ind w:left="1540"/>
    </w:pPr>
    <w:rPr>
      <w:rFonts w:ascii="Calibri" w:eastAsia="Times New Roman" w:hAnsi="Calibri" w:cs="Times New Roman"/>
    </w:rPr>
  </w:style>
  <w:style w:type="paragraph" w:styleId="TOC9">
    <w:name w:val="toc 9"/>
    <w:basedOn w:val="Normal"/>
    <w:next w:val="Normal"/>
    <w:uiPriority w:val="39"/>
    <w:unhideWhenUsed/>
    <w:pPr>
      <w:spacing w:after="100"/>
      <w:ind w:left="1760"/>
    </w:pPr>
    <w:rPr>
      <w:rFonts w:ascii="Calibri" w:eastAsia="Times New Roman" w:hAnsi="Calibri" w:cs="Times New Roman"/>
    </w:rPr>
  </w:style>
  <w:style w:type="paragraph" w:styleId="BodyTextIndent">
    <w:name w:val="Body Text Indent"/>
    <w:basedOn w:val="Normal"/>
    <w:link w:val="BodyTextIndentChar"/>
    <w:uiPriority w:val="99"/>
    <w:unhideWhenUsed/>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Pr>
      <w:rFonts w:ascii="Calibri" w:eastAsia="Calibri" w:hAnsi="Calibri" w:cs="Times New Roman"/>
    </w:rPr>
  </w:style>
  <w:style w:type="paragraph" w:customStyle="1" w:styleId="numridata0">
    <w:name w:val="numridata"/>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Pr>
      <w:rFonts w:ascii="Times New Roman" w:eastAsia="Times New Roman" w:hAnsi="Times New Roman" w:cs="Times New Roman"/>
      <w:sz w:val="16"/>
      <w:szCs w:val="16"/>
    </w:rPr>
  </w:style>
  <w:style w:type="paragraph" w:customStyle="1" w:styleId="s32b251d">
    <w:name w:val="s32b251d"/>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style>
  <w:style w:type="paragraph" w:customStyle="1" w:styleId="s30eec3f8">
    <w:name w:val="s30eec3f8"/>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rPr>
      <w:sz w:val="24"/>
      <w:lang w:val="en-GB" w:eastAsia="fr-FR"/>
    </w:rPr>
  </w:style>
  <w:style w:type="paragraph" w:customStyle="1" w:styleId="JuPara">
    <w:name w:val="Ju_Para"/>
    <w:basedOn w:val="Normal"/>
    <w:link w:val="JuParaCar"/>
    <w:qFormat/>
    <w:pPr>
      <w:spacing w:after="0" w:line="240" w:lineRule="auto"/>
      <w:ind w:firstLine="284"/>
      <w:jc w:val="both"/>
    </w:pPr>
    <w:rPr>
      <w:sz w:val="24"/>
      <w:lang w:val="en-GB" w:eastAsia="fr-FR"/>
    </w:rPr>
  </w:style>
  <w:style w:type="paragraph" w:customStyle="1" w:styleId="BodyText212pt">
    <w:name w:val="Body Text 2 + 12 pt"/>
    <w:next w:val="Level1"/>
    <w:uiPriority w:val="9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pPr>
      <w:keepNext/>
      <w:keepLines/>
      <w:numPr>
        <w:numId w:val="2"/>
      </w:numPr>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basedOn w:val="Normal"/>
    <w:link w:val="FootnoteTextChar"/>
    <w:uiPriority w:val="99"/>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uiPriority w:val="99"/>
    <w:rPr>
      <w:rFonts w:ascii="Times New Roman" w:eastAsia="MS Mincho" w:hAnsi="Times New Roman" w:cs="Times New Roman"/>
      <w:sz w:val="20"/>
      <w:szCs w:val="20"/>
      <w:lang w:val="sq-AL"/>
    </w:rPr>
  </w:style>
  <w:style w:type="character" w:styleId="FootnoteReference">
    <w:name w:val="footnote reference"/>
    <w:link w:val="BVIfnrCarCarCarCarChar"/>
    <w:uiPriority w:val="99"/>
    <w:qFormat/>
    <w:rPr>
      <w:vertAlign w:val="superscript"/>
    </w:rPr>
  </w:style>
  <w:style w:type="paragraph" w:customStyle="1" w:styleId="ju-005fpara">
    <w:name w:val="ju-005fpara"/>
    <w:basedOn w:val="Normal"/>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style>
  <w:style w:type="character" w:customStyle="1" w:styleId="s7d2086b4">
    <w:name w:val="s7d2086b4"/>
    <w:basedOn w:val="DefaultParagraphFont"/>
    <w:uiPriority w:val="99"/>
  </w:style>
  <w:style w:type="character" w:customStyle="1" w:styleId="hps">
    <w:name w:val="hps"/>
    <w:basedOn w:val="DefaultParagraphFont"/>
  </w:style>
  <w:style w:type="paragraph" w:customStyle="1" w:styleId="paragrafi0">
    <w:name w:val="paragrafi"/>
    <w:basedOn w:val="Normal"/>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Pr>
      <w:rFonts w:cs="Times New Roman"/>
    </w:rPr>
  </w:style>
  <w:style w:type="paragraph" w:customStyle="1" w:styleId="titulli0">
    <w:name w:val="titulli"/>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style>
  <w:style w:type="paragraph" w:customStyle="1" w:styleId="akti0">
    <w:name w:val="akti"/>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style>
  <w:style w:type="paragraph" w:customStyle="1" w:styleId="CM49">
    <w:name w:val="CM49"/>
    <w:basedOn w:val="Normal"/>
    <w:next w:val="Normal"/>
    <w:pPr>
      <w:widowControl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pPr>
      <w:widowControl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pPr>
      <w:widowControl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pPr>
      <w:widowControl w:val="0"/>
    </w:pPr>
    <w:rPr>
      <w:rFonts w:ascii="Helvetica" w:eastAsia="Times New Roman" w:hAnsi="Helvetica" w:cs="Helvetica"/>
      <w:lang w:val="sq-AL"/>
    </w:rPr>
  </w:style>
  <w:style w:type="paragraph" w:customStyle="1" w:styleId="CM57">
    <w:name w:val="CM57"/>
    <w:basedOn w:val="Normal"/>
    <w:next w:val="Normal"/>
    <w:pPr>
      <w:widowControl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pPr>
      <w:widowControl w:val="0"/>
      <w:spacing w:after="0" w:line="253" w:lineRule="atLeast"/>
    </w:pPr>
    <w:rPr>
      <w:rFonts w:ascii="Helvetica" w:eastAsia="Times New Roman" w:hAnsi="Helvetica" w:cs="Helvetica"/>
      <w:sz w:val="24"/>
      <w:szCs w:val="24"/>
      <w:lang w:val="sq-AL"/>
    </w:rPr>
  </w:style>
  <w:style w:type="paragraph" w:customStyle="1" w:styleId="Normal0">
    <w:name w:val="[Normal]"/>
    <w:pPr>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ote">
    <w:name w:val="note"/>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style>
  <w:style w:type="character" w:customStyle="1" w:styleId="StyleHeading6BoldChar">
    <w:name w:val="Style Heading 6 + Bold Char"/>
    <w:link w:val="StyleHeading6Bold"/>
    <w:rPr>
      <w:rFonts w:ascii="Cambria" w:eastAsia="MS Mincho" w:hAnsi="Cambria" w:cs="Cambria"/>
      <w:b/>
      <w:bCs/>
      <w:i/>
      <w:iCs/>
      <w:color w:val="7F7F7F"/>
      <w:sz w:val="24"/>
      <w:szCs w:val="24"/>
    </w:rPr>
  </w:style>
  <w:style w:type="paragraph" w:customStyle="1" w:styleId="tableheaders">
    <w:name w:val="table headers"/>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Pr>
      <w:b w:val="0"/>
    </w:rPr>
  </w:style>
  <w:style w:type="paragraph" w:styleId="PlainText">
    <w:name w:val="Plain Text"/>
    <w:basedOn w:val="Normal"/>
    <w:link w:val="PlainTextChar"/>
    <w:uiPriority w:val="99"/>
    <w:unhideWhenUsed/>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Pr>
      <w:rFonts w:ascii="Consolas" w:eastAsia="Calibri" w:hAnsi="Consolas" w:cs="Times New Roman"/>
      <w:sz w:val="21"/>
      <w:szCs w:val="21"/>
      <w:lang w:val="sq-AL"/>
    </w:rPr>
  </w:style>
  <w:style w:type="paragraph" w:customStyle="1" w:styleId="StyleStyle1Bold">
    <w:name w:val="Style Style1 + Bold"/>
    <w:basedOn w:val="Style1"/>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rPr>
      <w:rFonts w:ascii="EUAlbertina" w:hAnsi="EUAlbertina"/>
      <w:color w:val="auto"/>
    </w:rPr>
  </w:style>
  <w:style w:type="paragraph" w:customStyle="1" w:styleId="CM4">
    <w:name w:val="CM4"/>
    <w:basedOn w:val="Normal"/>
    <w:next w:val="Normal"/>
    <w:pPr>
      <w:spacing w:after="0" w:line="240" w:lineRule="auto"/>
    </w:pPr>
    <w:rPr>
      <w:rFonts w:ascii="EUAlbertina" w:eastAsia="Times New Roman" w:hAnsi="EUAlbertina" w:cs="Times New Roman"/>
      <w:sz w:val="24"/>
      <w:szCs w:val="24"/>
    </w:rPr>
  </w:style>
  <w:style w:type="paragraph" w:customStyle="1" w:styleId="CM3">
    <w:name w:val="CM3"/>
    <w:basedOn w:val="Normal"/>
    <w:next w:val="Normal"/>
    <w:pPr>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Pr>
      <w:rFonts w:ascii="Tahoma" w:eastAsia="Times New Roman" w:hAnsi="Tahoma" w:cs="Times New Roman"/>
      <w:sz w:val="16"/>
      <w:szCs w:val="16"/>
      <w:lang w:val="sq-AL"/>
    </w:rPr>
  </w:style>
  <w:style w:type="numbering" w:customStyle="1" w:styleId="NoList3">
    <w:name w:val="No List3"/>
    <w:next w:val="NoList"/>
    <w:semiHidden/>
  </w:style>
  <w:style w:type="numbering" w:customStyle="1" w:styleId="NoList4">
    <w:name w:val="No List4"/>
    <w:next w:val="NoList"/>
    <w:semiHidden/>
  </w:style>
  <w:style w:type="paragraph" w:customStyle="1" w:styleId="Point1">
    <w:name w:val="Point 1"/>
    <w:basedOn w:val="Normal"/>
    <w:link w:val="Point1Char"/>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Pr>
      <w:rFonts w:ascii="Calibri" w:eastAsia="Times New Roman" w:hAnsi="Calibri" w:cs="Times New Roman"/>
      <w:sz w:val="24"/>
      <w:szCs w:val="24"/>
      <w:lang w:val="en-GB" w:eastAsia="en-GB"/>
    </w:rPr>
  </w:style>
  <w:style w:type="character" w:customStyle="1" w:styleId="longtext">
    <w:name w:val="long_text"/>
    <w:rPr>
      <w:rFonts w:ascii="Comic Sans MS" w:hAnsi="Comic Sans MS"/>
      <w:b/>
      <w:sz w:val="96"/>
      <w:szCs w:val="24"/>
      <w:lang w:val="pl-PL" w:eastAsia="pl-PL" w:bidi="ar-SA"/>
    </w:rPr>
  </w:style>
  <w:style w:type="paragraph" w:customStyle="1" w:styleId="Text1">
    <w:name w:val="Text 1"/>
    <w:basedOn w:val="Normal"/>
    <w:link w:val="Text1Char"/>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style>
  <w:style w:type="character" w:customStyle="1" w:styleId="SectionTitleCharCharChar">
    <w:name w:val="SectionTitle Char Char Char"/>
    <w:link w:val="SectionTitleCharChar"/>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Pr>
      <w:rFonts w:ascii="Calibri" w:eastAsia="Times New Roman" w:hAnsi="Calibri" w:cs="Times New Roman"/>
      <w:b/>
      <w:bCs/>
      <w:smallCaps/>
      <w:sz w:val="28"/>
      <w:szCs w:val="28"/>
      <w:lang w:val="en-GB" w:eastAsia="en-GB"/>
    </w:rPr>
  </w:style>
  <w:style w:type="character" w:customStyle="1" w:styleId="Text1Char">
    <w:name w:val="Text 1 Char"/>
    <w:link w:val="Text1"/>
    <w:rPr>
      <w:rFonts w:ascii="Calibri" w:eastAsia="Times New Roman" w:hAnsi="Calibri" w:cs="Times New Roman"/>
      <w:sz w:val="24"/>
      <w:szCs w:val="24"/>
      <w:lang w:val="en-GB" w:eastAsia="en-GB"/>
    </w:rPr>
  </w:style>
  <w:style w:type="character" w:customStyle="1" w:styleId="Point1CharChar">
    <w:name w:val="Point 1 Char Char"/>
    <w:rPr>
      <w:sz w:val="24"/>
      <w:szCs w:val="24"/>
      <w:lang w:val="en-GB" w:eastAsia="en-GB" w:bidi="ar-SA"/>
    </w:rPr>
  </w:style>
  <w:style w:type="paragraph" w:customStyle="1" w:styleId="Point0">
    <w:name w:val="Point 0"/>
    <w:basedOn w:val="Normal"/>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Pr>
      <w:rFonts w:ascii="CG Times" w:hAnsi="CG Times"/>
      <w:sz w:val="22"/>
      <w:lang w:val="en-US" w:eastAsia="en-US" w:bidi="ar-SA"/>
    </w:rPr>
  </w:style>
  <w:style w:type="paragraph" w:customStyle="1" w:styleId="SectionTitle">
    <w:name w:val="SectionTitle"/>
    <w:basedOn w:val="Normal"/>
    <w:next w:val="Heading1"/>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style>
  <w:style w:type="paragraph" w:styleId="TableofFigures">
    <w:name w:val="table of figures"/>
    <w:basedOn w:val="Normal"/>
    <w:next w:val="Normal"/>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semiHidden/>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semiHidden/>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semiHidden/>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semiHidden/>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semiHidden/>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semiHidden/>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semiHidden/>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semiHidden/>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semiHidden/>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pPr>
      <w:spacing w:after="0" w:line="360" w:lineRule="auto"/>
    </w:pPr>
    <w:rPr>
      <w:rFonts w:ascii="Tahoma" w:eastAsia="Times New Roman" w:hAnsi="Tahoma" w:cs="Times New Roman"/>
      <w:lang w:val="de-AT" w:eastAsia="de-DE"/>
    </w:rPr>
  </w:style>
  <w:style w:type="paragraph" w:styleId="List">
    <w:name w:val="List"/>
    <w:basedOn w:val="Normal"/>
    <w:pPr>
      <w:spacing w:after="0" w:line="360" w:lineRule="auto"/>
      <w:ind w:left="454" w:hanging="454"/>
    </w:pPr>
    <w:rPr>
      <w:rFonts w:ascii="Tahoma" w:eastAsia="Times New Roman" w:hAnsi="Tahoma" w:cs="Times New Roman"/>
      <w:lang w:val="de-AT" w:eastAsia="de-DE"/>
    </w:rPr>
  </w:style>
  <w:style w:type="paragraph" w:styleId="List2">
    <w:name w:val="List 2"/>
    <w:basedOn w:val="Normal"/>
    <w:pPr>
      <w:spacing w:after="0" w:line="360" w:lineRule="auto"/>
      <w:ind w:left="681" w:hanging="454"/>
    </w:pPr>
    <w:rPr>
      <w:rFonts w:ascii="Tahoma" w:eastAsia="Times New Roman" w:hAnsi="Tahoma" w:cs="Times New Roman"/>
      <w:lang w:val="de-AT" w:eastAsia="de-DE"/>
    </w:rPr>
  </w:style>
  <w:style w:type="paragraph" w:styleId="List3">
    <w:name w:val="List 3"/>
    <w:basedOn w:val="Normal"/>
    <w:pPr>
      <w:spacing w:after="0" w:line="360" w:lineRule="auto"/>
      <w:ind w:left="908" w:hanging="454"/>
    </w:pPr>
    <w:rPr>
      <w:rFonts w:ascii="Tahoma" w:eastAsia="Times New Roman" w:hAnsi="Tahoma" w:cs="Times New Roman"/>
      <w:lang w:val="de-AT" w:eastAsia="de-DE"/>
    </w:rPr>
  </w:style>
  <w:style w:type="paragraph" w:styleId="List4">
    <w:name w:val="List 4"/>
    <w:basedOn w:val="Normal"/>
    <w:pPr>
      <w:spacing w:after="0" w:line="360" w:lineRule="auto"/>
      <w:ind w:left="1134" w:hanging="454"/>
    </w:pPr>
    <w:rPr>
      <w:rFonts w:ascii="Tahoma" w:eastAsia="Times New Roman" w:hAnsi="Tahoma" w:cs="Times New Roman"/>
      <w:lang w:val="de-AT" w:eastAsia="de-DE"/>
    </w:rPr>
  </w:style>
  <w:style w:type="paragraph" w:styleId="List5">
    <w:name w:val="List 5"/>
    <w:basedOn w:val="Normal"/>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pPr>
      <w:spacing w:after="0" w:line="360" w:lineRule="auto"/>
      <w:ind w:left="1134"/>
    </w:pPr>
    <w:rPr>
      <w:rFonts w:ascii="Tahoma" w:eastAsia="Times New Roman" w:hAnsi="Tahoma" w:cs="Times New Roman"/>
      <w:lang w:val="de-AT" w:eastAsia="de-DE"/>
    </w:rPr>
  </w:style>
  <w:style w:type="paragraph" w:styleId="ListNumber">
    <w:name w:val="List Number"/>
    <w:basedOn w:val="Normal"/>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Calibri" w:eastAsia="MS Mincho" w:hAnsi="Calibri" w:cs="Times New Roman"/>
      <w:b/>
      <w:bCs/>
      <w:sz w:val="20"/>
      <w:szCs w:val="20"/>
      <w:lang w:val="sq-AL"/>
    </w:rPr>
  </w:style>
  <w:style w:type="paragraph" w:styleId="ListNumber4">
    <w:name w:val="List Number 4"/>
    <w:basedOn w:val="Normal"/>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Pr>
      <w:rFonts w:ascii="Courier New" w:eastAsia="Times New Roman" w:hAnsi="Courier New" w:cs="Times New Roman"/>
      <w:lang w:val="de-DE" w:eastAsia="de-DE"/>
    </w:rPr>
  </w:style>
  <w:style w:type="paragraph" w:styleId="NormalIndent">
    <w:name w:val="Normal Indent"/>
    <w:basedOn w:val="Normal"/>
    <w:link w:val="NormalIndentChar"/>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Pr>
      <w:rFonts w:ascii="Tahoma" w:hAnsi="Tahoma"/>
      <w:sz w:val="22"/>
    </w:rPr>
  </w:style>
  <w:style w:type="paragraph" w:styleId="BlockText">
    <w:name w:val="Block Text"/>
    <w:basedOn w:val="Normal"/>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rPr>
      <w:rFonts w:ascii="Tahoma" w:eastAsia="Times New Roman" w:hAnsi="Tahoma" w:cs="Times New Roman"/>
      <w:lang w:val="de-AT" w:eastAsia="de-DE"/>
    </w:rPr>
  </w:style>
  <w:style w:type="character" w:customStyle="1" w:styleId="Emphasis1">
    <w:name w:val="Emphasis1"/>
    <w:semiHidden/>
  </w:style>
  <w:style w:type="paragraph" w:styleId="NoteHeading">
    <w:name w:val="Note Heading"/>
    <w:basedOn w:val="Normal"/>
    <w:next w:val="Normal"/>
    <w:link w:val="NoteHeadingChar"/>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Pr>
      <w:rFonts w:ascii="Tahoma" w:eastAsia="Times New Roman" w:hAnsi="Tahoma" w:cs="Times New Roman"/>
      <w:lang w:val="de-AT" w:eastAsia="de-DE"/>
    </w:rPr>
  </w:style>
  <w:style w:type="paragraph" w:styleId="MessageHeader">
    <w:name w:val="Message Header"/>
    <w:basedOn w:val="Normal"/>
    <w:link w:val="MessageHeaderChar"/>
    <w:pPr>
      <w:pBdr>
        <w:top w:val="single" w:sz="6" w:space="1" w:color="000000"/>
        <w:left w:val="single" w:sz="6" w:space="1" w:color="000000"/>
        <w:bottom w:val="single" w:sz="6" w:space="1" w:color="000000"/>
        <w:right w:val="single" w:sz="6" w:space="1" w:color="000000"/>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pPr>
      <w:spacing w:after="120" w:line="360" w:lineRule="auto"/>
      <w:ind w:left="284"/>
    </w:pPr>
    <w:rPr>
      <w:rFonts w:ascii="Tahoma" w:eastAsia="Times New Roman" w:hAnsi="Tahoma" w:cs="Times New Roman"/>
      <w:lang w:val="de-AT" w:eastAsia="de-DE"/>
    </w:rPr>
  </w:style>
  <w:style w:type="paragraph" w:styleId="EndnoteText">
    <w:name w:val="endnote text"/>
    <w:basedOn w:val="Normal"/>
    <w:link w:val="EndnoteTextChar"/>
    <w:unhideWhenUsed/>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rPr>
      <w:rFonts w:ascii="Tahoma" w:eastAsia="Times New Roman" w:hAnsi="Tahoma" w:cs="Times New Roman"/>
      <w:sz w:val="20"/>
      <w:szCs w:val="20"/>
    </w:rPr>
  </w:style>
  <w:style w:type="character" w:styleId="EndnoteReference">
    <w:name w:val="endnote reference"/>
    <w:semiHidden/>
    <w:unhideWhenUsed/>
    <w:rPr>
      <w:vertAlign w:val="superscript"/>
    </w:rPr>
  </w:style>
  <w:style w:type="paragraph" w:styleId="BodyTextFirstIndent2">
    <w:name w:val="Body Text First Indent 2"/>
    <w:basedOn w:val="BodyTextIndent"/>
    <w:link w:val="BodyTextFirstIndent2Char"/>
    <w:semiHidden/>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Pr>
      <w:rFonts w:ascii="Tahoma" w:eastAsia="Times New Roman" w:hAnsi="Tahoma" w:cs="Times New Roman"/>
      <w:lang w:val="de-AT" w:eastAsia="de-DE"/>
    </w:rPr>
  </w:style>
  <w:style w:type="numbering" w:styleId="111111">
    <w:name w:val="Outline List 2"/>
    <w:basedOn w:val="NoList"/>
    <w:semiHidden/>
    <w:pPr>
      <w:numPr>
        <w:numId w:val="14"/>
      </w:numPr>
    </w:pPr>
  </w:style>
  <w:style w:type="paragraph" w:customStyle="1" w:styleId="Zusatz2">
    <w:name w:val="Zusatz 2"/>
    <w:basedOn w:val="Normal"/>
    <w:next w:val="Normal"/>
    <w:semiHidden/>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pPr>
      <w:numPr>
        <w:numId w:val="15"/>
      </w:numPr>
    </w:pPr>
  </w:style>
  <w:style w:type="paragraph" w:styleId="Salutation">
    <w:name w:val="Salutation"/>
    <w:basedOn w:val="Normal"/>
    <w:next w:val="Normal"/>
    <w:link w:val="SalutationChar"/>
    <w:semiHidden/>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Pr>
      <w:rFonts w:ascii="Tahoma" w:eastAsia="Times New Roman" w:hAnsi="Tahoma" w:cs="Times New Roman"/>
      <w:lang w:val="de-AT" w:eastAsia="de-DE"/>
    </w:rPr>
  </w:style>
  <w:style w:type="numbering" w:styleId="ArticleSection">
    <w:name w:val="Outline List 3"/>
    <w:basedOn w:val="NoList"/>
    <w:semiHidden/>
    <w:pPr>
      <w:numPr>
        <w:numId w:val="16"/>
      </w:numPr>
    </w:pPr>
  </w:style>
  <w:style w:type="paragraph" w:styleId="Closing">
    <w:name w:val="Closing"/>
    <w:basedOn w:val="Normal"/>
    <w:link w:val="ClosingChar"/>
    <w:semiHidden/>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Pr>
      <w:rFonts w:ascii="Tahoma" w:eastAsia="Times New Roman" w:hAnsi="Tahoma" w:cs="Times New Roman"/>
      <w:lang w:val="de-AT" w:eastAsia="de-DE"/>
    </w:rPr>
  </w:style>
  <w:style w:type="character" w:styleId="Emphasis">
    <w:name w:val="Emphasis"/>
    <w:uiPriority w:val="20"/>
    <w:qFormat/>
    <w:rPr>
      <w:i/>
      <w:iCs/>
    </w:rPr>
  </w:style>
  <w:style w:type="paragraph" w:styleId="HTMLAddress">
    <w:name w:val="HTML Address"/>
    <w:basedOn w:val="Normal"/>
    <w:link w:val="HTMLAddressChar"/>
    <w:semiHidden/>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Pr>
      <w:rFonts w:ascii="Tahoma" w:eastAsia="Times New Roman" w:hAnsi="Tahoma" w:cs="Times New Roman"/>
      <w:i/>
      <w:iCs/>
      <w:lang w:val="de-AT" w:eastAsia="de-DE"/>
    </w:rPr>
  </w:style>
  <w:style w:type="character" w:styleId="HTMLAcronym">
    <w:name w:val="HTML Acronym"/>
    <w:semiHidden/>
  </w:style>
  <w:style w:type="character" w:styleId="HTMLSample">
    <w:name w:val="HTML Sample"/>
    <w:semiHidden/>
    <w:rPr>
      <w:rFonts w:ascii="Courier New" w:hAnsi="Courier New" w:cs="Courier New"/>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Typewriter">
    <w:name w:val="HTML Typewriter"/>
    <w:semiHidden/>
    <w:rPr>
      <w:rFonts w:ascii="Courier New" w:hAnsi="Courier New" w:cs="Courier New"/>
      <w:sz w:val="20"/>
      <w:szCs w:val="20"/>
    </w:rPr>
  </w:style>
  <w:style w:type="character" w:styleId="HTMLKeyboard">
    <w:name w:val="HTML Keyboard"/>
    <w:semiHidden/>
    <w:rPr>
      <w:rFonts w:ascii="Courier New" w:hAnsi="Courier New" w:cs="Courier New"/>
      <w:sz w:val="20"/>
      <w:szCs w:val="20"/>
    </w:rPr>
  </w:style>
  <w:style w:type="character" w:styleId="HTMLVariable">
    <w:name w:val="HTML Variable"/>
    <w:semiHidden/>
    <w:rPr>
      <w:i/>
      <w:iCs/>
    </w:rPr>
  </w:style>
  <w:style w:type="paragraph" w:styleId="HTMLPreformatted">
    <w:name w:val="HTML Preformatted"/>
    <w:basedOn w:val="Normal"/>
    <w:link w:val="HTMLPreformattedChar"/>
    <w:uiPriority w:val="99"/>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Pr>
      <w:rFonts w:ascii="Courier New" w:eastAsia="Times New Roman" w:hAnsi="Courier New" w:cs="Times New Roman"/>
      <w:sz w:val="20"/>
      <w:lang w:val="de-AT" w:eastAsia="de-DE"/>
    </w:rPr>
  </w:style>
  <w:style w:type="character" w:styleId="HTMLCite">
    <w:name w:val="HTML Cite"/>
    <w:semiHidden/>
    <w:rPr>
      <w:i/>
      <w:iCs/>
    </w:rPr>
  </w:style>
  <w:style w:type="table" w:styleId="Table3Deffects1">
    <w:name w:val="Table 3D effects 1"/>
    <w:basedOn w:val="TableNormal"/>
    <w:semiHidden/>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000000"/>
          <w:bottom w:val="none" w:sz="0" w:space="0" w:color="000000"/>
        </w:tcBorders>
      </w:tcPr>
    </w:tblStylePr>
    <w:tblStylePr w:type="nwCell">
      <w:tblPr/>
      <w:tcPr>
        <w:tcBorders>
          <w:bottom w:val="none" w:sz="0" w:space="0" w:color="000000"/>
          <w:right w:val="none" w:sz="0" w:space="0" w:color="000000"/>
        </w:tcBorders>
      </w:tcPr>
    </w:tblStylePr>
    <w:tblStylePr w:type="seCell">
      <w:tblPr/>
      <w:tcPr>
        <w:tcBorders>
          <w:top w:val="none" w:sz="0" w:space="0" w:color="000000"/>
          <w:left w:val="none" w:sz="0" w:space="0" w:color="000000"/>
        </w:tcBorders>
      </w:tcPr>
    </w:tblStylePr>
    <w:tblStylePr w:type="swCell">
      <w:rPr>
        <w:color w:val="000080"/>
      </w:rPr>
      <w:tblPr/>
      <w:tcPr>
        <w:tcBorders>
          <w:top w:val="none" w:sz="0" w:space="0" w:color="000000"/>
          <w:right w:val="none" w:sz="0" w:space="0" w:color="000000"/>
        </w:tcBorders>
      </w:tcPr>
    </w:tblStylePr>
  </w:style>
  <w:style w:type="table" w:styleId="Table3Deffects2">
    <w:name w:val="Table 3D effects 2"/>
    <w:basedOn w:val="TableNormal"/>
    <w:semiHidden/>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StylePr>
    <w:tblStylePr w:type="firstCol">
      <w:tblPr/>
      <w:tcPr>
        <w:tcBorders>
          <w:top w:val="none" w:sz="0" w:space="0" w:color="000000"/>
          <w:bottom w:val="none" w:sz="0" w:space="0" w:color="000000"/>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Table3Deffects3">
    <w:name w:val="Table 3D effects 3"/>
    <w:basedOn w:val="TableNormal"/>
    <w:semiHidden/>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StylePr>
    <w:tblStylePr w:type="firstCol">
      <w:tblPr/>
      <w:tcPr>
        <w:tcBorders>
          <w:top w:val="none" w:sz="0" w:space="0" w:color="000000"/>
          <w:bottom w:val="none" w:sz="0" w:space="0" w:color="000000"/>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table" w:styleId="TableContemporary">
    <w:name w:val="Table Contemporary"/>
    <w:basedOn w:val="TableNormal"/>
    <w:semiHidden/>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Simple1">
    <w:name w:val="Table Simple 1"/>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semiHidden/>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cBorders>
          <w:left w:val="none" w:sz="0" w:space="0" w:color="000000"/>
        </w:tcBorders>
      </w:tcPr>
    </w:tblStylePr>
    <w:tblStylePr w:type="swCell">
      <w:rPr>
        <w:b/>
        <w:bCs/>
      </w:rPr>
      <w:tblPr/>
      <w:tcPr>
        <w:tcBorders>
          <w:top w:val="none" w:sz="0" w:space="0" w:color="000000"/>
        </w:tcBorders>
      </w:tcPr>
    </w:tblStylePr>
  </w:style>
  <w:style w:type="table" w:styleId="TableSimple3">
    <w:name w:val="Table Simple 3"/>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shd w:val="solid" w:color="000000" w:fill="FFFFFF"/>
      </w:tcPr>
    </w:tblStylePr>
  </w:style>
  <w:style w:type="table" w:styleId="TableElegant">
    <w:name w:val="Table Elegant"/>
    <w:basedOn w:val="TableNormal"/>
    <w:semiHidden/>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StylePr>
  </w:style>
  <w:style w:type="table" w:styleId="TableColorful1">
    <w:name w:val="Table Colorful 1"/>
    <w:basedOn w:val="TableNormal"/>
    <w:semiHidden/>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TableColorful2">
    <w:name w:val="Table Colorful 2"/>
    <w:basedOn w:val="TableNormal"/>
    <w:semiHidden/>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TableColorful3">
    <w:name w:val="Table Colorful 3"/>
    <w:basedOn w:val="TableNormal"/>
    <w:semiHidden/>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lassic1">
    <w:name w:val="Table Classic 1"/>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Classic2">
    <w:name w:val="Table Classic 2"/>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TableClassic3">
    <w:name w:val="Table Classic 3"/>
    <w:basedOn w:val="TableNormal"/>
    <w:semiHidden/>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leClassic4">
    <w:name w:val="Table Classic 4"/>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paragraph" w:styleId="Revision">
    <w:name w:val="Revision"/>
    <w:hidden/>
    <w:uiPriority w:val="99"/>
    <w:semiHidden/>
    <w:pPr>
      <w:spacing w:after="0" w:line="240" w:lineRule="auto"/>
      <w:ind w:firstLine="284"/>
      <w:jc w:val="both"/>
    </w:pPr>
    <w:rPr>
      <w:rFonts w:ascii="Calibri" w:eastAsia="Calibri" w:hAnsi="Calibri" w:cs="Times New Roman"/>
    </w:rPr>
  </w:style>
  <w:style w:type="table" w:styleId="TableList1">
    <w:name w:val="Table List 1"/>
    <w:basedOn w:val="TableNormal"/>
    <w:semiHidden/>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TableList2">
    <w:name w:val="Table List 2"/>
    <w:basedOn w:val="TableNormal"/>
    <w:semiHidden/>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TableList3">
    <w:name w:val="Table List 3"/>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styleId="TableList4">
    <w:name w:val="Table List 4"/>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leList5">
    <w:name w:val="Table List 5"/>
    <w:basedOn w:val="TableNormal"/>
    <w:semiHidden/>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styleId="TableList6">
    <w:name w:val="Table List 6"/>
    <w:basedOn w:val="TableNormal"/>
    <w:semiHidden/>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semiHidden/>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semiHidden/>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table" w:styleId="TableProfessional">
    <w:name w:val="Table Professional"/>
    <w:basedOn w:val="TableNormal"/>
    <w:semiHidden/>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shd w:val="solid" w:color="000000" w:fill="FFFFFF"/>
      </w:tcPr>
    </w:tblStylePr>
  </w:style>
  <w:style w:type="table" w:styleId="TableGrid10">
    <w:name w:val="Table Grid 1"/>
    <w:basedOn w:val="TableNormal"/>
    <w:semiHidden/>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StylePr>
    <w:tblStylePr w:type="lastCol">
      <w:rPr>
        <w:i/>
        <w:iCs/>
      </w:rPr>
    </w:tblStylePr>
  </w:style>
  <w:style w:type="table" w:styleId="TableGrid2">
    <w:name w:val="Table Grid 2"/>
    <w:basedOn w:val="TableNormal"/>
    <w:semiHidden/>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TableGrid3">
    <w:name w:val="Table Grid 3"/>
    <w:basedOn w:val="TableNormal"/>
    <w:semiHidden/>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cBorders>
        <w:shd w:val="pct30" w:color="FFFF00" w:fill="FFFFFF"/>
      </w:tcPr>
    </w:tblStylePr>
    <w:tblStylePr w:type="lastRow">
      <w:rPr>
        <w:b/>
        <w:bCs/>
      </w:rPr>
    </w:tblStylePr>
    <w:tblStylePr w:type="lastCol">
      <w:rPr>
        <w:b/>
        <w:bCs/>
      </w:rPr>
    </w:tblStylePr>
  </w:style>
  <w:style w:type="table" w:styleId="TableGrid4">
    <w:name w:val="Table Grid 4"/>
    <w:basedOn w:val="TableNormal"/>
    <w:semiHidden/>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TableGrid5">
    <w:name w:val="Table Grid 5"/>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cBorders>
      </w:tcPr>
    </w:tblStylePr>
    <w:tblStylePr w:type="lastRow">
      <w:rPr>
        <w:b/>
        <w:bCs/>
      </w:rPr>
    </w:tblStylePr>
    <w:tblStylePr w:type="lastCol">
      <w:rPr>
        <w:b/>
        <w:bCs/>
      </w:rPr>
    </w:tblStylePr>
  </w:style>
  <w:style w:type="table" w:styleId="TableGrid6">
    <w:name w:val="Table Grid 6"/>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style>
  <w:style w:type="table" w:styleId="TableGrid7">
    <w:name w:val="Table Grid 7"/>
    <w:basedOn w:val="TableNormal"/>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style>
  <w:style w:type="table" w:styleId="TableGrid8">
    <w:name w:val="Table Grid 8"/>
    <w:basedOn w:val="TableNormal"/>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shd w:val="solid" w:color="000080" w:fill="FFFFFF"/>
      </w:tcPr>
    </w:tblStylePr>
    <w:tblStylePr w:type="lastRow">
      <w:rPr>
        <w:b/>
        <w:bCs/>
        <w:color w:val="auto"/>
      </w:rPr>
    </w:tblStylePr>
    <w:tblStylePr w:type="lastCol">
      <w:rPr>
        <w:b/>
        <w:bCs/>
        <w:color w:val="auto"/>
      </w:rPr>
    </w:tblStylePr>
  </w:style>
  <w:style w:type="table" w:styleId="TableColumns1">
    <w:name w:val="Table Columns 1"/>
    <w:basedOn w:val="TableNormal"/>
    <w:semiHidden/>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single" w:sz="6" w:space="0" w:color="000000"/>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TableColumns2">
    <w:name w:val="Table Columns 2"/>
    <w:basedOn w:val="TableNormal"/>
    <w:semiHidden/>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TableColumns3">
    <w:name w:val="Table Columns 3"/>
    <w:basedOn w:val="TableNormal"/>
    <w:semiHidden/>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StylePr>
  </w:style>
  <w:style w:type="table" w:styleId="TableColumns4">
    <w:name w:val="Table Columns 4"/>
    <w:basedOn w:val="TableNormal"/>
    <w:semiHidden/>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shd w:val="solid" w:color="000000" w:fill="FFFFFF"/>
      </w:tcPr>
    </w:tblStylePr>
    <w:tblStylePr w:type="lastRow">
      <w:rPr>
        <w:b/>
        <w:bCs/>
      </w:rPr>
    </w:tblStylePr>
    <w:tblStylePr w:type="lastCol">
      <w:rPr>
        <w:b/>
        <w:bCs/>
      </w:r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TableSubtle2">
    <w:name w:val="Table Subtle 2"/>
    <w:basedOn w:val="TableNormal"/>
    <w:semiHidden/>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table" w:styleId="TableWeb1">
    <w:name w:val="Table Web 1"/>
    <w:basedOn w:val="TableNormal"/>
    <w:semiHidden/>
    <w:pPr>
      <w:spacing w:after="0" w:line="360" w:lineRule="auto"/>
    </w:pPr>
    <w:rPr>
      <w:rFonts w:ascii="Times New Roman" w:eastAsia="Times New Roman" w:hAnsi="Times New Roman" w:cs="Times New Roman"/>
      <w:sz w:val="20"/>
      <w:szCs w:val="20"/>
    </w:rPr>
    <w:tblPr>
      <w:tblCellSpacing w:w="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table" w:styleId="TableWeb2">
    <w:name w:val="Table Web 2"/>
    <w:basedOn w:val="TableNormal"/>
    <w:semiHidden/>
    <w:pPr>
      <w:spacing w:after="0" w:line="360" w:lineRule="auto"/>
    </w:pPr>
    <w:rPr>
      <w:rFonts w:ascii="Times New Roman" w:eastAsia="Times New Roman" w:hAnsi="Times New Roman" w:cs="Times New Roman"/>
      <w:sz w:val="20"/>
      <w:szCs w:val="20"/>
    </w:rPr>
    <w:tblPr>
      <w:tblCellSpacing w:w="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table" w:styleId="TableWeb3">
    <w:name w:val="Table Web 3"/>
    <w:basedOn w:val="TableNormal"/>
    <w:semiHidden/>
    <w:pPr>
      <w:spacing w:after="0" w:line="360" w:lineRule="auto"/>
    </w:pPr>
    <w:rPr>
      <w:rFonts w:ascii="Times New Roman" w:eastAsia="Times New Roman" w:hAnsi="Times New Roman" w:cs="Times New Roman"/>
      <w:sz w:val="20"/>
      <w:szCs w:val="20"/>
    </w:rPr>
    <w:tblPr>
      <w:tblCellSpacing w:w="20" w:type="dxa"/>
      <w:tblInd w:w="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table" w:customStyle="1" w:styleId="TableGrid20">
    <w:name w:val="Table Grid2"/>
    <w:basedOn w:val="TableNormal"/>
    <w:next w:val="TableGrid"/>
    <w:pPr>
      <w:spacing w:after="0" w:line="360" w:lineRule="auto"/>
    </w:pPr>
    <w:rPr>
      <w:rFonts w:ascii="Tahoma" w:eastAsia="Times New Roman" w:hAnsi="Tahoma"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Theme">
    <w:name w:val="Table Theme"/>
    <w:basedOn w:val="TableNormal"/>
    <w:semiHidden/>
    <w:pPr>
      <w:spacing w:after="0" w:line="36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ignature">
    <w:name w:val="Signature"/>
    <w:basedOn w:val="Normal"/>
    <w:link w:val="SignatureChar"/>
    <w:semiHidden/>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Pr>
      <w:rFonts w:ascii="Tahoma" w:eastAsia="Times New Roman" w:hAnsi="Tahoma" w:cs="Times New Roman"/>
      <w:lang w:val="de-AT" w:eastAsia="de-DE"/>
    </w:rPr>
  </w:style>
  <w:style w:type="paragraph" w:styleId="E-mailSignature">
    <w:name w:val="E-mail Signature"/>
    <w:basedOn w:val="Normal"/>
    <w:link w:val="E-mailSignatureChar"/>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Pr>
      <w:rFonts w:ascii="Tahoma" w:eastAsia="Times New Roman" w:hAnsi="Tahoma" w:cs="Times New Roman"/>
      <w:lang w:val="de-AT" w:eastAsia="de-DE"/>
    </w:rPr>
  </w:style>
  <w:style w:type="paragraph" w:styleId="BodyText2">
    <w:name w:val="Body Text 2"/>
    <w:basedOn w:val="Normal"/>
    <w:link w:val="BodyText2Char"/>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Pr>
      <w:rFonts w:ascii="Tahoma" w:eastAsia="Times New Roman" w:hAnsi="Tahoma" w:cs="Times New Roman"/>
      <w:lang w:val="de-AT" w:eastAsia="de-DE"/>
    </w:rPr>
  </w:style>
  <w:style w:type="paragraph" w:styleId="BodyTextIndent2">
    <w:name w:val="Body Text Indent 2"/>
    <w:basedOn w:val="Normal"/>
    <w:link w:val="BodyTextIndent2Char"/>
    <w:uiPriority w:val="99"/>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rPr>
      <w:rFonts w:ascii="Tahoma" w:eastAsia="Times New Roman" w:hAnsi="Tahoma" w:cs="Times New Roman"/>
      <w:lang w:val="de-AT" w:eastAsia="de-DE"/>
    </w:rPr>
  </w:style>
  <w:style w:type="paragraph" w:styleId="BodyTextIndent3">
    <w:name w:val="Body Text Indent 3"/>
    <w:basedOn w:val="Normal"/>
    <w:link w:val="BodyTextIndent3Char"/>
    <w:uiPriority w:val="99"/>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Pr>
      <w:rFonts w:ascii="Tahoma" w:eastAsia="Times New Roman" w:hAnsi="Tahoma" w:cs="Times New Roman"/>
      <w:color w:val="000000"/>
      <w:sz w:val="24"/>
      <w:szCs w:val="24"/>
      <w:lang w:val="de-AT" w:eastAsia="de-DE"/>
    </w:rPr>
  </w:style>
  <w:style w:type="paragraph" w:customStyle="1" w:styleId="StandardWeb8">
    <w:name w:val="Standard (Web)8"/>
    <w:basedOn w:val="Normal"/>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Pr>
      <w:rFonts w:ascii="CG Times" w:eastAsia="Times New Roman" w:hAnsi="CG Times" w:cs="Times New Roman"/>
      <w:b/>
      <w:szCs w:val="24"/>
    </w:rPr>
  </w:style>
  <w:style w:type="character" w:customStyle="1" w:styleId="SubtitleChar1">
    <w:name w:val="Subtitle Char1"/>
    <w:rPr>
      <w:rFonts w:ascii="Cambria" w:hAnsi="Cambria"/>
      <w:sz w:val="24"/>
      <w:szCs w:val="24"/>
    </w:rPr>
  </w:style>
  <w:style w:type="paragraph" w:customStyle="1" w:styleId="Char1">
    <w:name w:val="Char1"/>
    <w:basedOn w:val="Normal"/>
    <w:pPr>
      <w:spacing w:after="160" w:line="240" w:lineRule="exact"/>
    </w:pPr>
    <w:rPr>
      <w:rFonts w:ascii="Arial" w:eastAsia="Times New Roman" w:hAnsi="Arial" w:cs="Arial"/>
      <w:sz w:val="20"/>
      <w:szCs w:val="20"/>
    </w:rPr>
  </w:style>
  <w:style w:type="character" w:customStyle="1" w:styleId="CharChar11">
    <w:name w:val="Char Char11"/>
    <w:semiHidden/>
    <w:rPr>
      <w:rFonts w:ascii="Tahoma" w:hAnsi="Tahoma" w:cs="Tahoma"/>
      <w:i/>
      <w:iCs/>
      <w:sz w:val="22"/>
      <w:szCs w:val="22"/>
      <w:lang w:val="de-AT" w:eastAsia="de-DE" w:bidi="ar-SA"/>
    </w:rPr>
  </w:style>
  <w:style w:type="character" w:customStyle="1" w:styleId="CharChar36">
    <w:name w:val="Char Char36"/>
    <w:rPr>
      <w:rFonts w:ascii="Arial" w:hAnsi="Arial" w:cs="Arial"/>
      <w:b/>
      <w:bCs/>
      <w:sz w:val="32"/>
      <w:szCs w:val="32"/>
      <w:lang w:val="sq-AL" w:eastAsia="en-US" w:bidi="ar-SA"/>
    </w:rPr>
  </w:style>
  <w:style w:type="character" w:customStyle="1" w:styleId="CharChar35">
    <w:name w:val="Char Char35"/>
    <w:rPr>
      <w:rFonts w:ascii="Arial" w:hAnsi="Arial" w:cs="Arial"/>
      <w:b/>
      <w:bCs/>
      <w:i/>
      <w:iCs/>
      <w:sz w:val="28"/>
      <w:szCs w:val="28"/>
      <w:lang w:val="sq-AL" w:eastAsia="en-US" w:bidi="ar-SA"/>
    </w:rPr>
  </w:style>
  <w:style w:type="character" w:customStyle="1" w:styleId="CharChar34">
    <w:name w:val="Char Char34"/>
    <w:rPr>
      <w:rFonts w:ascii="Tahoma" w:hAnsi="Tahoma"/>
      <w:b/>
      <w:sz w:val="24"/>
      <w:szCs w:val="28"/>
      <w:lang w:val="de-AT" w:eastAsia="de-DE" w:bidi="ar-SA"/>
    </w:rPr>
  </w:style>
  <w:style w:type="character" w:customStyle="1" w:styleId="CharChar33">
    <w:name w:val="Char Char33"/>
    <w:rPr>
      <w:rFonts w:ascii="Tahoma" w:hAnsi="Tahoma"/>
      <w:b/>
      <w:i/>
      <w:sz w:val="22"/>
      <w:szCs w:val="22"/>
      <w:lang w:val="de-AT" w:eastAsia="de-DE" w:bidi="ar-SA"/>
    </w:rPr>
  </w:style>
  <w:style w:type="character" w:customStyle="1" w:styleId="CharChar32">
    <w:name w:val="Char Char32"/>
    <w:rPr>
      <w:rFonts w:ascii="Tahoma" w:hAnsi="Tahoma"/>
      <w:b/>
      <w:i/>
      <w:sz w:val="22"/>
      <w:szCs w:val="22"/>
      <w:lang w:val="de-AT" w:eastAsia="de-DE" w:bidi="ar-SA"/>
    </w:rPr>
  </w:style>
  <w:style w:type="character" w:customStyle="1" w:styleId="CharChar31">
    <w:name w:val="Char Char31"/>
    <w:rPr>
      <w:rFonts w:ascii="Tahoma" w:hAnsi="Tahoma"/>
      <w:b/>
      <w:i/>
      <w:sz w:val="22"/>
      <w:szCs w:val="22"/>
      <w:lang w:val="de-AT" w:eastAsia="de-DE" w:bidi="ar-SA"/>
    </w:rPr>
  </w:style>
  <w:style w:type="character" w:customStyle="1" w:styleId="CharChar10">
    <w:name w:val="Char Char10"/>
    <w:semiHidden/>
    <w:rPr>
      <w:rFonts w:ascii="Courier New" w:hAnsi="Courier New" w:cs="Courier New"/>
      <w:szCs w:val="22"/>
      <w:lang w:val="de-AT" w:eastAsia="de-DE" w:bidi="ar-SA"/>
    </w:rPr>
  </w:style>
  <w:style w:type="character" w:customStyle="1" w:styleId="CharChar30">
    <w:name w:val="Char Char30"/>
    <w:rPr>
      <w:rFonts w:ascii="Tahoma" w:hAnsi="Tahoma"/>
      <w:b/>
      <w:i/>
      <w:sz w:val="22"/>
      <w:szCs w:val="22"/>
      <w:lang w:val="de-AT" w:eastAsia="de-DE" w:bidi="ar-SA"/>
    </w:rPr>
  </w:style>
  <w:style w:type="character" w:customStyle="1" w:styleId="CharChar29">
    <w:name w:val="Char Char29"/>
    <w:rPr>
      <w:rFonts w:ascii="Tahoma" w:hAnsi="Tahoma"/>
      <w:b/>
      <w:i/>
      <w:sz w:val="22"/>
      <w:szCs w:val="22"/>
      <w:lang w:val="de-AT" w:eastAsia="de-DE" w:bidi="ar-SA"/>
    </w:rPr>
  </w:style>
  <w:style w:type="character" w:customStyle="1" w:styleId="CharChar28">
    <w:name w:val="Char Char28"/>
    <w:rPr>
      <w:rFonts w:ascii="Tahoma" w:hAnsi="Tahoma"/>
      <w:b/>
      <w:i/>
      <w:sz w:val="22"/>
      <w:szCs w:val="22"/>
      <w:lang w:val="de-AT" w:eastAsia="de-DE" w:bidi="ar-SA"/>
    </w:rPr>
  </w:style>
  <w:style w:type="character" w:customStyle="1" w:styleId="CharChar27">
    <w:name w:val="Char Char27"/>
    <w:rPr>
      <w:rFonts w:ascii="Calibri" w:eastAsia="Calibri" w:hAnsi="Calibri"/>
      <w:lang w:val="sq-AL" w:eastAsia="en-US" w:bidi="ar-SA"/>
    </w:rPr>
  </w:style>
  <w:style w:type="character" w:customStyle="1" w:styleId="CharChar24">
    <w:name w:val="Char Char24"/>
    <w:rPr>
      <w:rFonts w:ascii="Tahoma" w:hAnsi="Tahoma" w:cs="Tahoma"/>
      <w:sz w:val="22"/>
      <w:szCs w:val="22"/>
      <w:lang w:val="de-AT" w:eastAsia="de-DE" w:bidi="ar-SA"/>
    </w:rPr>
  </w:style>
  <w:style w:type="character" w:customStyle="1" w:styleId="CharChar23">
    <w:name w:val="Char Char23"/>
    <w:rPr>
      <w:rFonts w:ascii="Tahoma" w:hAnsi="Tahoma" w:cs="Tahoma"/>
      <w:sz w:val="22"/>
      <w:szCs w:val="22"/>
      <w:lang w:val="de-AT" w:eastAsia="de-DE" w:bidi="ar-SA"/>
    </w:rPr>
  </w:style>
  <w:style w:type="character" w:customStyle="1" w:styleId="CharChar22">
    <w:name w:val="Char Char22"/>
    <w:semiHidden/>
    <w:rPr>
      <w:rFonts w:ascii="Courier New" w:hAnsi="Courier New" w:cs="Courier New"/>
      <w:sz w:val="22"/>
      <w:szCs w:val="22"/>
      <w:lang w:val="de-DE" w:eastAsia="de-DE" w:bidi="ar-SA"/>
    </w:rPr>
  </w:style>
  <w:style w:type="character" w:customStyle="1" w:styleId="CharChar21">
    <w:name w:val="Char Char21"/>
    <w:rPr>
      <w:rFonts w:ascii="Tahoma" w:hAnsi="Tahoma" w:cs="Tahoma"/>
      <w:b/>
      <w:sz w:val="36"/>
      <w:szCs w:val="36"/>
      <w:lang w:val="de-AT" w:eastAsia="de-DE" w:bidi="ar-SA"/>
    </w:rPr>
  </w:style>
  <w:style w:type="character" w:customStyle="1" w:styleId="CharChar12">
    <w:name w:val="Char Char12"/>
    <w:semiHidden/>
    <w:rPr>
      <w:rFonts w:ascii="Tahoma" w:hAnsi="Tahoma" w:cs="Tahoma"/>
      <w:sz w:val="22"/>
      <w:szCs w:val="22"/>
      <w:lang w:val="de-AT" w:eastAsia="de-DE" w:bidi="ar-SA"/>
    </w:rPr>
  </w:style>
  <w:style w:type="character" w:customStyle="1" w:styleId="CharChar9">
    <w:name w:val="Char Char9"/>
    <w:semiHidden/>
    <w:rPr>
      <w:rFonts w:ascii="Tahoma" w:hAnsi="Tahoma" w:cs="Tahoma"/>
      <w:sz w:val="22"/>
      <w:szCs w:val="22"/>
      <w:lang w:val="de-AT" w:eastAsia="de-DE" w:bidi="ar-SA"/>
    </w:rPr>
  </w:style>
  <w:style w:type="character" w:customStyle="1" w:styleId="CharChar25">
    <w:name w:val="Char Char25"/>
    <w:semiHidden/>
    <w:rPr>
      <w:rFonts w:ascii="Tahoma" w:hAnsi="Tahoma" w:cs="Tahoma"/>
      <w:sz w:val="22"/>
      <w:szCs w:val="22"/>
      <w:lang w:val="de-AT" w:eastAsia="de-DE" w:bidi="ar-SA"/>
    </w:rPr>
  </w:style>
  <w:style w:type="character" w:customStyle="1" w:styleId="CharChar15">
    <w:name w:val="Char Char15"/>
    <w:semiHidden/>
    <w:rPr>
      <w:rFonts w:ascii="Tahoma" w:hAnsi="Tahoma" w:cs="Tahoma"/>
      <w:sz w:val="22"/>
      <w:szCs w:val="22"/>
      <w:lang w:val="de-AT" w:eastAsia="de-DE" w:bidi="ar-SA"/>
    </w:rPr>
  </w:style>
  <w:style w:type="character" w:customStyle="1" w:styleId="CharChar16">
    <w:name w:val="Char Char16"/>
    <w:semiHidden/>
    <w:rPr>
      <w:rFonts w:ascii="Tahoma" w:hAnsi="Tahoma" w:cs="Arial"/>
      <w:sz w:val="24"/>
      <w:szCs w:val="24"/>
      <w:lang w:val="de-AT" w:eastAsia="de-DE" w:bidi="ar-SA"/>
    </w:rPr>
  </w:style>
  <w:style w:type="character" w:customStyle="1" w:styleId="CharChar20">
    <w:name w:val="Char Char20"/>
    <w:rPr>
      <w:rFonts w:ascii="Tahoma" w:hAnsi="Tahoma" w:cs="Tahoma"/>
      <w:b/>
      <w:sz w:val="32"/>
      <w:szCs w:val="36"/>
      <w:lang w:val="de-AT" w:eastAsia="de-DE" w:bidi="ar-SA"/>
    </w:rPr>
  </w:style>
  <w:style w:type="character" w:customStyle="1" w:styleId="CharChar13">
    <w:name w:val="Char Char13"/>
    <w:semiHidden/>
    <w:rPr>
      <w:rFonts w:ascii="Tahoma" w:hAnsi="Tahoma" w:cs="Tahoma"/>
      <w:sz w:val="22"/>
      <w:szCs w:val="22"/>
      <w:lang w:val="de-AT" w:eastAsia="de-DE" w:bidi="ar-SA"/>
    </w:rPr>
  </w:style>
  <w:style w:type="character" w:customStyle="1" w:styleId="CharChar19">
    <w:name w:val="Char Char19"/>
    <w:semiHidden/>
    <w:rPr>
      <w:rFonts w:ascii="Tahoma" w:hAnsi="Tahoma" w:cs="Tahoma"/>
      <w:sz w:val="22"/>
      <w:szCs w:val="22"/>
      <w:lang w:val="de-AT" w:eastAsia="de-DE" w:bidi="ar-SA"/>
    </w:rPr>
  </w:style>
  <w:style w:type="character" w:customStyle="1" w:styleId="CharChar3">
    <w:name w:val="Char Char3"/>
    <w:semiHidden/>
  </w:style>
  <w:style w:type="character" w:customStyle="1" w:styleId="CharChar14">
    <w:name w:val="Char Char14"/>
    <w:semiHidden/>
  </w:style>
  <w:style w:type="character" w:customStyle="1" w:styleId="CharChar17">
    <w:name w:val="Char Char17"/>
    <w:rPr>
      <w:rFonts w:ascii="Tahoma" w:hAnsi="Tahoma" w:cs="Tahoma"/>
      <w:sz w:val="22"/>
      <w:szCs w:val="22"/>
      <w:lang w:val="de-AT" w:eastAsia="de-DE" w:bidi="ar-SA"/>
    </w:rPr>
  </w:style>
  <w:style w:type="character" w:customStyle="1" w:styleId="CharChar7">
    <w:name w:val="Char Char7"/>
    <w:semiHidden/>
    <w:rPr>
      <w:rFonts w:ascii="Tahoma" w:hAnsi="Tahoma" w:cs="Tahoma"/>
      <w:sz w:val="22"/>
      <w:szCs w:val="22"/>
      <w:lang w:val="de-AT" w:eastAsia="de-DE" w:bidi="ar-SA"/>
    </w:rPr>
  </w:style>
  <w:style w:type="character" w:customStyle="1" w:styleId="CharChar6">
    <w:name w:val="Char Char6"/>
    <w:semiHidden/>
    <w:rPr>
      <w:rFonts w:ascii="Tahoma" w:hAnsi="Tahoma" w:cs="Tahoma"/>
      <w:sz w:val="16"/>
      <w:szCs w:val="16"/>
      <w:lang w:val="de-AT" w:eastAsia="de-DE" w:bidi="ar-SA"/>
    </w:rPr>
  </w:style>
  <w:style w:type="character" w:customStyle="1" w:styleId="CharChar5">
    <w:name w:val="Char Char5"/>
    <w:semiHidden/>
    <w:rPr>
      <w:rFonts w:ascii="Tahoma" w:hAnsi="Tahoma" w:cs="Tahoma"/>
      <w:sz w:val="22"/>
      <w:szCs w:val="22"/>
      <w:lang w:val="de-AT" w:eastAsia="de-DE" w:bidi="ar-SA"/>
    </w:rPr>
  </w:style>
  <w:style w:type="character" w:customStyle="1" w:styleId="CharChar4">
    <w:name w:val="Char Char4"/>
    <w:semiHidden/>
    <w:rPr>
      <w:rFonts w:ascii="Tahoma" w:hAnsi="Tahoma" w:cs="Tahoma"/>
      <w:sz w:val="16"/>
      <w:szCs w:val="16"/>
      <w:lang w:val="de-AT" w:eastAsia="de-DE" w:bidi="ar-SA"/>
    </w:rPr>
  </w:style>
  <w:style w:type="character" w:customStyle="1" w:styleId="CharChar18">
    <w:name w:val="Char Char18"/>
    <w:semiHidden/>
    <w:rPr>
      <w:rFonts w:ascii="Tahoma" w:hAnsi="Tahoma" w:cs="Tahoma"/>
      <w:sz w:val="22"/>
      <w:szCs w:val="22"/>
      <w:lang w:val="de-AT" w:eastAsia="de-DE" w:bidi="ar-SA"/>
    </w:rPr>
  </w:style>
  <w:style w:type="character" w:customStyle="1" w:styleId="CharChar8">
    <w:name w:val="Char Char8"/>
    <w:rPr>
      <w:rFonts w:ascii="Tahoma" w:hAnsi="Tahoma" w:cs="Tahoma"/>
      <w:sz w:val="22"/>
      <w:szCs w:val="22"/>
      <w:lang w:val="de-AT" w:eastAsia="de-DE" w:bidi="ar-SA"/>
    </w:rPr>
  </w:style>
  <w:style w:type="character" w:customStyle="1" w:styleId="CharChar2">
    <w:name w:val="Char Char2"/>
    <w:rPr>
      <w:rFonts w:ascii="Calibri" w:eastAsia="Calibri" w:hAnsi="Calibri" w:cs="Times New Roman"/>
      <w:b/>
      <w:bCs/>
      <w:sz w:val="20"/>
      <w:szCs w:val="20"/>
      <w:lang w:val="sq-AL" w:eastAsia="en-US" w:bidi="ar-SA"/>
    </w:rPr>
  </w:style>
  <w:style w:type="character" w:customStyle="1" w:styleId="CharChar26">
    <w:name w:val="Char Char26"/>
    <w:semiHidden/>
    <w:rPr>
      <w:rFonts w:ascii="Tahoma" w:hAnsi="Tahoma" w:cs="Tahoma"/>
      <w:sz w:val="16"/>
      <w:szCs w:val="16"/>
      <w:lang w:val="sq-AL" w:eastAsia="en-US" w:bidi="ar-SA"/>
    </w:rPr>
  </w:style>
  <w:style w:type="character" w:customStyle="1" w:styleId="CommentTextChar11">
    <w:name w:val="Comment Text Char11"/>
    <w:semiHidden/>
    <w:rPr>
      <w:rFonts w:ascii="Calibri" w:hAnsi="Calibri" w:hint="default"/>
      <w:lang w:val="sq-AL"/>
    </w:rPr>
  </w:style>
  <w:style w:type="character" w:customStyle="1" w:styleId="NormalIndentChar">
    <w:name w:val="Normal Indent Char"/>
    <w:link w:val="NormalIndent"/>
    <w:rPr>
      <w:rFonts w:ascii="Tahoma" w:eastAsia="Times New Roman" w:hAnsi="Tahoma" w:cs="Times New Roman"/>
      <w:lang w:val="de-AT" w:eastAsia="de-DE"/>
    </w:rPr>
  </w:style>
  <w:style w:type="paragraph" w:customStyle="1" w:styleId="AODefHead">
    <w:name w:val="AODefHead"/>
    <w:basedOn w:val="Normal"/>
    <w:next w:val="AODefPara"/>
    <w:link w:val="AODefHeadChar"/>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pPr>
      <w:tabs>
        <w:tab w:val="num" w:pos="360"/>
        <w:tab w:val="num" w:pos="1935"/>
        <w:tab w:val="num" w:pos="2563"/>
        <w:tab w:val="num" w:pos="3474"/>
      </w:tabs>
      <w:ind w:left="1935" w:hanging="360"/>
      <w:outlineLvl w:val="6"/>
    </w:pPr>
  </w:style>
  <w:style w:type="character" w:customStyle="1" w:styleId="AODefHeadChar">
    <w:name w:val="AODefHead Char"/>
    <w:link w:val="AODefHead"/>
    <w:rPr>
      <w:rFonts w:ascii="Times New Roman" w:eastAsia="Times New Roman" w:hAnsi="Times New Roman" w:cs="Times New Roman"/>
      <w:szCs w:val="20"/>
      <w:lang w:val="sq-AL" w:eastAsia="sq-AL" w:bidi="sq-AL"/>
    </w:rPr>
  </w:style>
  <w:style w:type="paragraph" w:customStyle="1" w:styleId="PARA">
    <w:name w:val="PARA"/>
    <w:basedOn w:val="Normal"/>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pPr>
      <w:keepLines/>
      <w:tabs>
        <w:tab w:val="left" w:pos="2268"/>
      </w:tabs>
      <w:spacing w:after="120" w:line="240" w:lineRule="auto"/>
      <w:ind w:left="1843" w:hanging="425"/>
      <w:jc w:val="both"/>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pPr>
      <w:keepLines/>
      <w:tabs>
        <w:tab w:val="left" w:pos="2268"/>
      </w:tabs>
      <w:spacing w:after="120" w:line="240" w:lineRule="auto"/>
      <w:ind w:left="1417" w:hanging="425"/>
      <w:jc w:val="both"/>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Pr>
      <w:rFonts w:ascii="Arial" w:eastAsia="Times New Roman" w:hAnsi="Arial" w:cs="Times New Roman"/>
      <w:sz w:val="20"/>
      <w:szCs w:val="20"/>
      <w:lang w:val="sq-AL" w:eastAsia="sq-AL" w:bidi="sq-AL"/>
    </w:rPr>
  </w:style>
  <w:style w:type="character" w:customStyle="1" w:styleId="DeltaViewInsertion">
    <w:name w:val="DeltaView Insertion"/>
    <w:uiPriority w:val="99"/>
    <w:rPr>
      <w:color w:val="0000FF"/>
      <w:spacing w:val="0"/>
      <w:u w:val="single"/>
    </w:rPr>
  </w:style>
  <w:style w:type="paragraph" w:customStyle="1" w:styleId="dia">
    <w:name w:val="di(a)"/>
    <w:basedOn w:val="Normal"/>
    <w:pPr>
      <w:keepLines/>
      <w:tabs>
        <w:tab w:val="num" w:pos="2552"/>
      </w:tabs>
      <w:spacing w:after="120" w:line="240" w:lineRule="auto"/>
      <w:ind w:left="2552" w:hanging="567"/>
      <w:jc w:val="both"/>
    </w:pPr>
    <w:rPr>
      <w:rFonts w:ascii="Arial" w:eastAsia="Times New Roman" w:hAnsi="Arial" w:cs="Times New Roman"/>
      <w:sz w:val="20"/>
      <w:szCs w:val="20"/>
      <w:lang w:val="sq-AL" w:eastAsia="sq-AL" w:bidi="sq-AL"/>
    </w:rPr>
  </w:style>
  <w:style w:type="paragraph" w:customStyle="1" w:styleId="PARA1">
    <w:name w:val="PARA1"/>
    <w:basedOn w:val="Normal"/>
    <w:pPr>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rPr>
      <w:rFonts w:ascii="Times New Roman" w:eastAsia="Times New Roman" w:hAnsi="Times New Roman" w:cs="Times New Roman"/>
      <w:sz w:val="24"/>
      <w:szCs w:val="20"/>
      <w:lang w:val="en-GB"/>
    </w:rPr>
  </w:style>
  <w:style w:type="paragraph" w:customStyle="1" w:styleId="Paragrapha">
    <w:name w:val="Paragraph (a)"/>
    <w:basedOn w:val="Normal"/>
    <w:link w:val="ParagraphaChar"/>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Pr>
      <w:rFonts w:cs="Times New Roman"/>
      <w:color w:val="808080"/>
    </w:rPr>
  </w:style>
  <w:style w:type="character" w:customStyle="1" w:styleId="az12">
    <w:name w:val="az12"/>
    <w:uiPriority w:val="9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Pr>
      <w:rFonts w:ascii="Calibri" w:eastAsia="Times New Roman" w:hAnsi="Calibri" w:cs="Times New Roman"/>
      <w:sz w:val="24"/>
      <w:szCs w:val="24"/>
      <w:lang w:val="en-GB" w:eastAsia="en-GB"/>
    </w:rPr>
  </w:style>
  <w:style w:type="paragraph" w:customStyle="1" w:styleId="Paragraf02">
    <w:name w:val="Paragraf 0.2"/>
    <w:basedOn w:val="Paragrafi"/>
    <w:qFormat/>
    <w:pPr>
      <w:tabs>
        <w:tab w:val="left" w:pos="6575"/>
      </w:tabs>
    </w:pPr>
    <w:rPr>
      <w:spacing w:val="-4"/>
    </w:rPr>
  </w:style>
  <w:style w:type="table" w:customStyle="1" w:styleId="TableGrid30">
    <w:name w:val="Table Grid3"/>
    <w:basedOn w:val="TableNormal"/>
    <w:next w:val="TableGrid"/>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5">
    <w:name w:val="No List5"/>
    <w:next w:val="NoList"/>
    <w:uiPriority w:val="99"/>
    <w:semiHidden/>
    <w:unhideWhenUsed/>
  </w:style>
  <w:style w:type="character" w:styleId="BookTitle">
    <w:name w:val="Book Title"/>
    <w:uiPriority w:val="33"/>
    <w:qFormat/>
    <w:rPr>
      <w:b/>
      <w:bCs/>
      <w:smallCaps/>
      <w:spacing w:val="5"/>
    </w:rPr>
  </w:style>
  <w:style w:type="paragraph" w:customStyle="1" w:styleId="Cover1">
    <w:name w:val="Cover1"/>
    <w:basedOn w:val="Normal"/>
    <w:next w:val="Normal"/>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pPr>
      <w:spacing w:after="240" w:line="240" w:lineRule="auto"/>
    </w:pPr>
    <w:rPr>
      <w:rFonts w:ascii="Arial" w:eastAsia="Times New Roman" w:hAnsi="Arial" w:cs="Times New Roman"/>
      <w:szCs w:val="20"/>
      <w:lang w:val="sq-AL" w:eastAsia="sq-AL" w:bidi="sq-AL"/>
    </w:rPr>
  </w:style>
  <w:style w:type="paragraph" w:customStyle="1" w:styleId="Stile">
    <w:name w:val="Stile"/>
    <w:pPr>
      <w:widowControl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Pr>
      <w:rFonts w:ascii="Times New Roman" w:eastAsia="Times New Roman" w:hAnsi="Times New Roman" w:cs="Times New Roman"/>
      <w:szCs w:val="20"/>
      <w:lang w:val="sq-AL"/>
    </w:rPr>
  </w:style>
  <w:style w:type="character" w:customStyle="1" w:styleId="Bodytext0">
    <w:name w:val="Body text_"/>
    <w:link w:val="BodyText1"/>
    <w:rPr>
      <w:rFonts w:ascii="Times New Roman" w:hAnsi="Times New Roman"/>
      <w:sz w:val="21"/>
      <w:szCs w:val="21"/>
      <w:shd w:val="clear" w:color="auto" w:fill="FFFFFF"/>
    </w:rPr>
  </w:style>
  <w:style w:type="paragraph" w:customStyle="1" w:styleId="BodyText1">
    <w:name w:val="Body Text1"/>
    <w:basedOn w:val="Normal"/>
    <w:link w:val="Bodytext0"/>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basedOn w:val="Normal"/>
    <w:pPr>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pPr>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pPr>
      <w:widowControl w:val="0"/>
      <w:spacing w:after="0" w:line="240" w:lineRule="auto"/>
    </w:pPr>
  </w:style>
  <w:style w:type="paragraph" w:customStyle="1" w:styleId="xl63">
    <w:name w:val="xl6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character" w:customStyle="1" w:styleId="FooterChar1">
    <w:name w:val="Footer Char1"/>
    <w:uiPriority w:val="99"/>
    <w:semiHidden/>
    <w:rPr>
      <w:rFonts w:ascii="Tahoma" w:eastAsia="Times New Roman" w:hAnsi="Tahoma" w:cs="Tahoma"/>
      <w:sz w:val="24"/>
      <w:szCs w:val="20"/>
    </w:rPr>
  </w:style>
  <w:style w:type="paragraph" w:customStyle="1" w:styleId="ListParagraph1">
    <w:name w:val="List Paragraph1"/>
    <w:basedOn w:val="Normal"/>
    <w:uiPriority w:val="34"/>
    <w:qFormat/>
    <w:pPr>
      <w:ind w:left="720"/>
      <w:contextualSpacing/>
      <w:jc w:val="both"/>
    </w:pPr>
    <w:rPr>
      <w:rFonts w:ascii="Calibri" w:eastAsia="Calibri" w:hAnsi="Calibri" w:cs="Times New Roman"/>
    </w:rPr>
  </w:style>
  <w:style w:type="paragraph" w:customStyle="1" w:styleId="ReturnAddress">
    <w:name w:val="Return Address"/>
    <w:basedOn w:val="Normal"/>
    <w:pPr>
      <w:keepLines/>
      <w:framePr w:w="2227" w:h="1539" w:hSpace="187" w:vSpace="187" w:wrap="notBeside" w:vAnchor="page" w:hAnchor="page" w:x="8252" w:y="966"/>
      <w:tabs>
        <w:tab w:val="left" w:pos="720"/>
        <w:tab w:val="left" w:pos="2160"/>
      </w:tabs>
      <w:spacing w:after="0" w:line="240" w:lineRule="auto"/>
    </w:pPr>
    <w:rPr>
      <w:rFonts w:ascii="Tahoma" w:eastAsia="Times New Roman" w:hAnsi="Tahoma" w:cs="Times New Roman"/>
      <w:b/>
      <w:color w:val="666699"/>
      <w:spacing w:val="-5"/>
      <w:sz w:val="18"/>
      <w:szCs w:val="18"/>
      <w:lang w:val="el-GR"/>
    </w:rPr>
  </w:style>
  <w:style w:type="paragraph" w:customStyle="1" w:styleId="Shorttitleleft">
    <w:name w:val="Short title left"/>
    <w:basedOn w:val="BodyText"/>
    <w:next w:val="Normal"/>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pPr>
      <w:spacing w:after="160" w:line="240" w:lineRule="exact"/>
    </w:pPr>
    <w:rPr>
      <w:rFonts w:ascii="Verdana" w:eastAsia="Times New Roman" w:hAnsi="Verdana" w:cs="Times New Roman"/>
      <w:sz w:val="20"/>
      <w:szCs w:val="20"/>
    </w:rPr>
  </w:style>
  <w:style w:type="paragraph" w:customStyle="1" w:styleId="InsideAddress">
    <w:name w:val="Inside Address"/>
    <w:basedOn w:val="Normal"/>
    <w:pPr>
      <w:spacing w:before="60" w:after="60" w:line="240" w:lineRule="auto"/>
    </w:pPr>
    <w:rPr>
      <w:rFonts w:ascii="Tahoma" w:eastAsia="Times New Roman" w:hAnsi="Tahoma" w:cs="Times New Roman"/>
      <w:b/>
      <w:spacing w:val="-5"/>
      <w:szCs w:val="24"/>
      <w:lang w:val="el-GR"/>
    </w:rPr>
  </w:style>
  <w:style w:type="paragraph" w:customStyle="1" w:styleId="1">
    <w:name w:val="Παράγραφος λίστας1"/>
    <w:basedOn w:val="Normal"/>
    <w:uiPriority w:val="34"/>
    <w:qFormat/>
    <w:pPr>
      <w:spacing w:after="0" w:line="240" w:lineRule="auto"/>
      <w:ind w:left="720"/>
    </w:pPr>
    <w:rPr>
      <w:rFonts w:ascii="Times New Roman" w:eastAsia="Times New Roman" w:hAnsi="Times New Roman" w:cs="Times New Roman"/>
      <w:sz w:val="24"/>
      <w:szCs w:val="24"/>
      <w:lang w:val="en-GB"/>
    </w:rPr>
  </w:style>
  <w:style w:type="paragraph" w:customStyle="1" w:styleId="BodyTextNumbers">
    <w:name w:val="Body Text Numbers"/>
    <w:basedOn w:val="1"/>
    <w:uiPriority w:val="99"/>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pPr>
      <w:spacing w:after="160" w:line="240" w:lineRule="exact"/>
    </w:pPr>
    <w:rPr>
      <w:rFonts w:ascii="Verdana" w:eastAsia="Times New Roman" w:hAnsi="Verdana" w:cs="Times New Roman"/>
      <w:sz w:val="20"/>
      <w:szCs w:val="20"/>
      <w:lang w:eastAsia="el-GR"/>
    </w:rPr>
  </w:style>
  <w:style w:type="paragraph" w:customStyle="1" w:styleId="BVIfnrCarCarCarCarChar">
    <w:name w:val="BVI fnr Car Car Car Car Char"/>
    <w:basedOn w:val="Normal"/>
    <w:link w:val="FootnoteReference"/>
    <w:uiPriority w:val="99"/>
    <w:pPr>
      <w:spacing w:after="160" w:line="240" w:lineRule="exact"/>
    </w:pPr>
    <w:rPr>
      <w:vertAlign w:val="superscript"/>
    </w:rPr>
  </w:style>
  <w:style w:type="character" w:customStyle="1" w:styleId="st">
    <w:name w:val="st"/>
    <w:basedOn w:val="DefaultParagraphFont"/>
  </w:style>
  <w:style w:type="numbering" w:customStyle="1" w:styleId="NoList6">
    <w:name w:val="No List6"/>
    <w:next w:val="NoList"/>
    <w:uiPriority w:val="99"/>
    <w:semiHidden/>
    <w:unhideWhenUsed/>
  </w:style>
  <w:style w:type="paragraph" w:customStyle="1" w:styleId="CharCharCharCharCharCharCharCharCharCharCharCharCharCharCharChar">
    <w:name w:val="Char Char Char Char Char Char Char Char Char Char Char Char Char Char Char Char"/>
    <w:basedOn w:val="Normal"/>
    <w:pPr>
      <w:spacing w:after="160" w:line="240" w:lineRule="exact"/>
    </w:pPr>
    <w:rPr>
      <w:rFonts w:ascii="Tahoma" w:eastAsia="MS Mincho" w:hAnsi="Tahoma" w:cs="Times New Roman"/>
      <w:sz w:val="20"/>
      <w:szCs w:val="20"/>
    </w:rPr>
  </w:style>
  <w:style w:type="character" w:customStyle="1" w:styleId="longtext1">
    <w:name w:val="long_text1"/>
    <w:rPr>
      <w:rFonts w:cs="Times New Roman"/>
      <w:sz w:val="18"/>
      <w:szCs w:val="18"/>
    </w:rPr>
  </w:style>
  <w:style w:type="character" w:customStyle="1" w:styleId="TitleChar2">
    <w:name w:val="Title Char2"/>
    <w:uiPriority w:val="99"/>
    <w:rPr>
      <w:rFonts w:ascii="Arrus BT" w:eastAsia="MS Mincho" w:hAnsi="Arrus BT" w:cs="Arrus BT"/>
      <w:b/>
      <w:bCs/>
      <w:sz w:val="32"/>
      <w:szCs w:val="32"/>
      <w:lang w:val="en-US" w:eastAsia="en-US"/>
    </w:rPr>
  </w:style>
  <w:style w:type="character" w:customStyle="1" w:styleId="TitleChar1">
    <w:name w:val="Title Char1"/>
    <w:rPr>
      <w:rFonts w:ascii="Arrus BT" w:eastAsia="MS Mincho" w:hAnsi="Arrus BT" w:cs="Arrus BT"/>
      <w:b/>
      <w:bCs/>
      <w:sz w:val="32"/>
      <w:szCs w:val="32"/>
      <w:lang w:val="en-US"/>
    </w:rPr>
  </w:style>
  <w:style w:type="paragraph" w:customStyle="1" w:styleId="Style5">
    <w:name w:val="Style5"/>
    <w:basedOn w:val="Normal"/>
    <w:pPr>
      <w:spacing w:after="0" w:line="240" w:lineRule="auto"/>
      <w:jc w:val="center"/>
    </w:pPr>
    <w:rPr>
      <w:rFonts w:ascii="Bookman Old Style" w:eastAsia="Times New Roman" w:hAnsi="Bookman Old Style" w:cs="Times New Roman"/>
      <w:b/>
      <w:bCs/>
      <w:sz w:val="24"/>
      <w:szCs w:val="20"/>
      <w:lang w:val="it-IT"/>
    </w:rPr>
  </w:style>
  <w:style w:type="paragraph" w:customStyle="1" w:styleId="DocumentLabel">
    <w:name w:val="Document Label"/>
    <w:basedOn w:val="Normal"/>
    <w:next w:val="Normal"/>
    <w:pPr>
      <w:keepNext/>
      <w:keepLines/>
      <w:spacing w:before="400" w:after="120" w:line="240" w:lineRule="atLeast"/>
      <w:ind w:left="-840"/>
    </w:pPr>
    <w:rPr>
      <w:rFonts w:ascii="Arial Black" w:eastAsia="MS Mincho" w:hAnsi="Arial Black" w:cs="Times New Roman"/>
      <w:spacing w:val="-5"/>
      <w:sz w:val="96"/>
      <w:szCs w:val="20"/>
      <w:lang w:val="sq-AL"/>
    </w:rPr>
  </w:style>
  <w:style w:type="paragraph" w:customStyle="1" w:styleId="MessageHeaderFirst">
    <w:name w:val="Message Header First"/>
    <w:basedOn w:val="MessageHeader"/>
    <w:next w:val="MessageHeader"/>
    <w:pPr>
      <w:keepLines/>
      <w:pBdr>
        <w:top w:val="none" w:sz="0" w:space="0" w:color="000000"/>
        <w:left w:val="none" w:sz="0" w:space="0" w:color="000000"/>
        <w:bottom w:val="none" w:sz="0" w:space="0" w:color="000000"/>
        <w:right w:val="none" w:sz="0" w:space="0" w:color="000000"/>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Pr>
      <w:rFonts w:ascii="Arial Black" w:hAnsi="Arial Black"/>
      <w:spacing w:val="-10"/>
      <w:sz w:val="18"/>
    </w:rPr>
  </w:style>
  <w:style w:type="paragraph" w:customStyle="1" w:styleId="MessageHeaderLast">
    <w:name w:val="Message Header Last"/>
    <w:basedOn w:val="MessageHeader"/>
    <w:next w:val="BodyText"/>
    <w:pPr>
      <w:keepLines/>
      <w:pBdr>
        <w:top w:val="none" w:sz="0" w:space="0" w:color="000000"/>
        <w:left w:val="none" w:sz="0" w:space="0" w:color="000000"/>
        <w:bottom w:val="single" w:sz="6" w:space="15" w:color="000000"/>
        <w:right w:val="none" w:sz="0" w:space="0" w:color="000000"/>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single" w:sz="6" w:space="0" w:color="C0504D"/>
          <w:left w:val="single" w:sz="8" w:space="0" w:color="C0504D"/>
          <w:bottom w:val="single" w:sz="8" w:space="0" w:color="C0504D"/>
          <w:right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tcBorders>
      </w:tcPr>
    </w:tblStylePr>
  </w:style>
  <w:style w:type="character" w:styleId="SubtleEmphasis">
    <w:name w:val="Subtle Emphasis"/>
    <w:uiPriority w:val="19"/>
    <w:qFormat/>
    <w:rPr>
      <w:i/>
      <w:iCs/>
      <w:color w:val="404040"/>
    </w:rPr>
  </w:style>
  <w:style w:type="paragraph" w:customStyle="1" w:styleId="ColorfulList-Accent11">
    <w:name w:val="Colorful List - Accent 11"/>
    <w:basedOn w:val="Normal"/>
    <w:qFormat/>
    <w:pPr>
      <w:ind w:left="720"/>
      <w:contextualSpacing/>
    </w:pPr>
    <w:rPr>
      <w:rFonts w:ascii="Calibri" w:eastAsia="MS Mincho" w:hAnsi="Calibri" w:cs="Times New Roman"/>
    </w:rPr>
  </w:style>
  <w:style w:type="paragraph" w:customStyle="1" w:styleId="Style54">
    <w:name w:val="Style54"/>
    <w:basedOn w:val="Normal"/>
    <w:uiPriority w:val="99"/>
    <w:pPr>
      <w:widowControl w:val="0"/>
      <w:spacing w:after="0" w:line="331" w:lineRule="exact"/>
    </w:pPr>
    <w:rPr>
      <w:rFonts w:ascii="Garamond" w:eastAsiaTheme="minorEastAsia" w:hAnsi="Garamond"/>
      <w:sz w:val="24"/>
      <w:szCs w:val="24"/>
      <w:lang w:val="sq-AL" w:eastAsia="sq-AL"/>
    </w:rPr>
  </w:style>
  <w:style w:type="paragraph" w:customStyle="1" w:styleId="Style65">
    <w:name w:val="Style65"/>
    <w:basedOn w:val="Normal"/>
    <w:uiPriority w:val="99"/>
    <w:pPr>
      <w:widowControl w:val="0"/>
      <w:spacing w:after="0" w:line="341" w:lineRule="exact"/>
      <w:ind w:hanging="374"/>
    </w:pPr>
    <w:rPr>
      <w:rFonts w:ascii="Garamond" w:eastAsiaTheme="minorEastAsia" w:hAnsi="Garamond"/>
      <w:sz w:val="24"/>
      <w:szCs w:val="24"/>
      <w:lang w:val="sq-AL" w:eastAsia="sq-AL"/>
    </w:rPr>
  </w:style>
  <w:style w:type="character" w:customStyle="1" w:styleId="FontStyle85">
    <w:name w:val="Font Style85"/>
    <w:basedOn w:val="DefaultParagraphFont"/>
    <w:uiPriority w:val="99"/>
    <w:rPr>
      <w:rFonts w:ascii="Garamond" w:hAnsi="Garamond" w:cs="Garamond"/>
      <w:sz w:val="22"/>
      <w:szCs w:val="22"/>
    </w:rPr>
  </w:style>
  <w:style w:type="numbering" w:customStyle="1" w:styleId="NoList111">
    <w:name w:val="No List111"/>
    <w:next w:val="NoList"/>
    <w:uiPriority w:val="99"/>
    <w:semiHidden/>
    <w:unhideWhenUsed/>
  </w:style>
  <w:style w:type="paragraph" w:customStyle="1" w:styleId="Char2">
    <w:name w:val="Char2"/>
    <w:basedOn w:val="Normal"/>
    <w:uiPriority w:val="99"/>
    <w:pPr>
      <w:spacing w:after="160" w:line="240" w:lineRule="exact"/>
    </w:pPr>
    <w:rPr>
      <w:vertAlign w:val="superscript"/>
    </w:rPr>
  </w:style>
  <w:style w:type="paragraph" w:customStyle="1" w:styleId="ecxmsonormal">
    <w:name w:val="ecxmsonormal"/>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uiPriority w:val="99"/>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rPr>
      <w:rFonts w:ascii="Garamond" w:eastAsia="MS Mincho" w:hAnsi="Garamond" w:cs="CG Times"/>
      <w:b/>
      <w:bCs/>
      <w:caps/>
      <w:color w:val="000000"/>
      <w:sz w:val="24"/>
      <w:lang w:val="en-GB"/>
    </w:rPr>
  </w:style>
  <w:style w:type="paragraph" w:customStyle="1" w:styleId="Style20">
    <w:name w:val="Style 2"/>
    <w:basedOn w:val="Normal"/>
    <w:uiPriority w:val="99"/>
    <w:qFormat/>
    <w:pPr>
      <w:spacing w:before="120"/>
      <w:jc w:val="both"/>
      <w:outlineLvl w:val="0"/>
    </w:pPr>
    <w:rPr>
      <w:rFonts w:ascii="Garamond" w:eastAsia="Calibri" w:hAnsi="Garamond" w:cs="Times New Roman"/>
      <w:b/>
      <w:color w:val="0070C0"/>
      <w:sz w:val="36"/>
      <w:szCs w:val="28"/>
      <w:lang w:val="sq-AL"/>
    </w:rPr>
  </w:style>
  <w:style w:type="paragraph" w:customStyle="1" w:styleId="Style3">
    <w:name w:val="Style 3"/>
    <w:basedOn w:val="Style20"/>
    <w:uiPriority w:val="99"/>
    <w:qFormat/>
    <w:rPr>
      <w:sz w:val="24"/>
    </w:rPr>
  </w:style>
  <w:style w:type="character" w:customStyle="1" w:styleId="Style2Char">
    <w:name w:val="Style2 Char"/>
    <w:rPr>
      <w:rFonts w:ascii="Times New Roman" w:eastAsia="Times New Roman" w:hAnsi="Times New Roman"/>
      <w:color w:val="0070C0"/>
      <w:sz w:val="28"/>
      <w:szCs w:val="24"/>
      <w:lang w:val="sq-AL"/>
    </w:rPr>
  </w:style>
  <w:style w:type="character" w:styleId="IntenseEmphasis">
    <w:name w:val="Intense Emphasis"/>
    <w:uiPriority w:val="21"/>
    <w:qFormat/>
    <w:rPr>
      <w:b/>
      <w:bCs/>
      <w:i/>
      <w:iCs/>
      <w:color w:val="4F81BD"/>
      <w:sz w:val="24"/>
    </w:rPr>
  </w:style>
  <w:style w:type="character" w:customStyle="1" w:styleId="BodyTextChar1">
    <w:name w:val="Body Text Char1"/>
    <w:uiPriority w:val="99"/>
    <w:semiHidden/>
    <w:rPr>
      <w:rFonts w:ascii="Times New Roman" w:eastAsia="Times New Roman" w:hAnsi="Times New Roman"/>
      <w:sz w:val="24"/>
      <w:szCs w:val="24"/>
    </w:rPr>
  </w:style>
  <w:style w:type="character" w:customStyle="1" w:styleId="BodyText3Char1">
    <w:name w:val="Body Text 3 Char1"/>
    <w:uiPriority w:val="99"/>
    <w:semiHidden/>
    <w:rPr>
      <w:rFonts w:ascii="Times New Roman" w:eastAsia="Times New Roman" w:hAnsi="Times New Roman"/>
      <w:sz w:val="16"/>
      <w:szCs w:val="16"/>
    </w:rPr>
  </w:style>
  <w:style w:type="character" w:customStyle="1" w:styleId="BodyTextIndent2Char1">
    <w:name w:val="Body Text Indent 2 Char1"/>
    <w:uiPriority w:val="99"/>
    <w:semiHidden/>
    <w:rPr>
      <w:rFonts w:ascii="Times New Roman" w:eastAsia="Times New Roman" w:hAnsi="Times New Roman"/>
      <w:sz w:val="24"/>
      <w:szCs w:val="24"/>
    </w:rPr>
  </w:style>
  <w:style w:type="paragraph" w:customStyle="1" w:styleId="xl160">
    <w:name w:val="xl160"/>
    <w:basedOn w:val="Normal"/>
    <w:pPr>
      <w:pBdr>
        <w:left w:val="single" w:sz="6"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1">
    <w:name w:val="xl161"/>
    <w:basedOn w:val="Normal"/>
    <w:pPr>
      <w:pBdr>
        <w:left w:val="single" w:sz="6" w:space="0" w:color="000000"/>
        <w:bottom w:val="single" w:sz="4"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2">
    <w:name w:val="xl162"/>
    <w:basedOn w:val="Normal"/>
    <w:pPr>
      <w:pBdr>
        <w:top w:val="single" w:sz="4" w:space="0" w:color="000000"/>
        <w:bottom w:val="single" w:sz="4" w:space="0" w:color="000000"/>
        <w:right w:val="single" w:sz="6" w:space="0" w:color="000000"/>
      </w:pBdr>
      <w:shd w:val="clear" w:color="DEEBF6"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63">
    <w:name w:val="xl163"/>
    <w:basedOn w:val="Normal"/>
    <w:pPr>
      <w:pBdr>
        <w:top w:val="single" w:sz="4" w:space="0" w:color="000000"/>
        <w:bottom w:val="single" w:sz="4" w:space="0" w:color="000000"/>
        <w:right w:val="single" w:sz="6" w:space="0" w:color="000000"/>
      </w:pBdr>
      <w:shd w:val="clear" w:color="DEEBF6"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4">
    <w:name w:val="xl164"/>
    <w:basedOn w:val="Normal"/>
    <w:pPr>
      <w:pBdr>
        <w:top w:val="single" w:sz="4" w:space="0" w:color="000000"/>
        <w:bottom w:val="single" w:sz="4"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5">
    <w:name w:val="xl165"/>
    <w:basedOn w:val="Normal"/>
    <w:pPr>
      <w:pBdr>
        <w:top w:val="single" w:sz="4" w:space="0" w:color="000000"/>
        <w:bottom w:val="single" w:sz="4" w:space="0" w:color="000000"/>
        <w:right w:val="single" w:sz="6" w:space="0" w:color="000000"/>
      </w:pBdr>
      <w:shd w:val="clear" w:color="BCD6EE"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66">
    <w:name w:val="xl166"/>
    <w:basedOn w:val="Normal"/>
    <w:pPr>
      <w:pBdr>
        <w:top w:val="single" w:sz="4" w:space="0" w:color="000000"/>
        <w:bottom w:val="single" w:sz="4" w:space="0" w:color="000000"/>
        <w:right w:val="single" w:sz="6" w:space="0" w:color="000000"/>
      </w:pBdr>
      <w:shd w:val="clear" w:color="DEEBF6"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67">
    <w:name w:val="xl167"/>
    <w:basedOn w:val="Normal"/>
    <w:pPr>
      <w:pBdr>
        <w:top w:val="single" w:sz="4" w:space="0" w:color="000000"/>
        <w:bottom w:val="single" w:sz="4" w:space="0" w:color="000000"/>
        <w:right w:val="single" w:sz="6" w:space="0" w:color="000000"/>
      </w:pBdr>
      <w:shd w:val="clear" w:color="DEEBF6"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8">
    <w:name w:val="xl168"/>
    <w:basedOn w:val="Normal"/>
    <w:pPr>
      <w:pBdr>
        <w:top w:val="single" w:sz="4" w:space="0" w:color="000000"/>
        <w:bottom w:val="single" w:sz="4" w:space="0" w:color="000000"/>
        <w:right w:val="single" w:sz="6" w:space="0" w:color="000000"/>
      </w:pBdr>
      <w:shd w:val="clear" w:color="BCD6EE"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9">
    <w:name w:val="xl169"/>
    <w:basedOn w:val="Normal"/>
    <w:pPr>
      <w:pBdr>
        <w:top w:val="single" w:sz="4" w:space="0" w:color="000000"/>
        <w:bottom w:val="single" w:sz="4" w:space="0" w:color="000000"/>
        <w:right w:val="single" w:sz="6" w:space="0" w:color="000000"/>
      </w:pBdr>
      <w:shd w:val="clear" w:color="BCD6EE"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0">
    <w:name w:val="xl170"/>
    <w:basedOn w:val="Normal"/>
    <w:pPr>
      <w:pBdr>
        <w:top w:val="single" w:sz="4" w:space="0" w:color="000000"/>
        <w:bottom w:val="single" w:sz="4" w:space="0" w:color="000000"/>
        <w:right w:val="single" w:sz="6" w:space="0" w:color="000000"/>
      </w:pBdr>
      <w:shd w:val="clear" w:color="DEEBF6"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71">
    <w:name w:val="xl171"/>
    <w:basedOn w:val="Normal"/>
    <w:pPr>
      <w:pBdr>
        <w:left w:val="single" w:sz="6" w:space="0" w:color="000000"/>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2">
    <w:name w:val="xl172"/>
    <w:basedOn w:val="Normal"/>
    <w:pPr>
      <w:pBdr>
        <w:top w:val="single" w:sz="4" w:space="0" w:color="000000"/>
        <w:right w:val="single" w:sz="6" w:space="0" w:color="000000"/>
      </w:pBdr>
      <w:shd w:val="clear" w:color="000000" w:fill="FFFFFF"/>
      <w:spacing w:before="100" w:beforeAutospacing="1" w:after="100" w:afterAutospacing="1" w:line="240" w:lineRule="auto"/>
    </w:pPr>
    <w:rPr>
      <w:rFonts w:ascii="Garamond" w:eastAsia="Times New Roman" w:hAnsi="Garamond" w:cs="Times New Roman"/>
      <w:sz w:val="14"/>
      <w:szCs w:val="14"/>
    </w:rPr>
  </w:style>
  <w:style w:type="paragraph" w:customStyle="1" w:styleId="xl173">
    <w:name w:val="xl173"/>
    <w:basedOn w:val="Normal"/>
    <w:pPr>
      <w:pBdr>
        <w:top w:val="single" w:sz="4" w:space="0" w:color="000000"/>
        <w:left w:val="single" w:sz="6"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4">
    <w:name w:val="xl174"/>
    <w:basedOn w:val="Normal"/>
    <w:pPr>
      <w:pBdr>
        <w:top w:val="single" w:sz="4" w:space="0" w:color="000000"/>
        <w:bottom w:val="single" w:sz="4"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75">
    <w:name w:val="xl175"/>
    <w:basedOn w:val="Normal"/>
    <w:pPr>
      <w:pBdr>
        <w:top w:val="single" w:sz="4" w:space="0" w:color="000000"/>
        <w:right w:val="single" w:sz="6" w:space="0" w:color="000000"/>
      </w:pBdr>
      <w:shd w:val="clear" w:color="DEEBF6"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6">
    <w:name w:val="xl176"/>
    <w:basedOn w:val="Normal"/>
    <w:pPr>
      <w:pBdr>
        <w:top w:val="single" w:sz="4" w:space="0" w:color="000000"/>
        <w:right w:val="single" w:sz="6" w:space="0" w:color="000000"/>
      </w:pBdr>
      <w:shd w:val="clear" w:color="DEEBF6"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7">
    <w:name w:val="xl177"/>
    <w:basedOn w:val="Normal"/>
    <w:pPr>
      <w:pBdr>
        <w:top w:val="single" w:sz="4" w:space="0" w:color="000000"/>
        <w:bottom w:val="single" w:sz="4" w:space="0" w:color="000000"/>
        <w:right w:val="single" w:sz="6" w:space="0" w:color="000000"/>
      </w:pBdr>
      <w:shd w:val="clear" w:color="DEEBF6"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78">
    <w:name w:val="xl178"/>
    <w:basedOn w:val="Normal"/>
    <w:pPr>
      <w:pBdr>
        <w:top w:val="single" w:sz="4" w:space="0" w:color="000000"/>
        <w:left w:val="single" w:sz="6" w:space="0" w:color="000000"/>
        <w:right w:val="single" w:sz="6" w:space="0" w:color="000000"/>
      </w:pBdr>
      <w:shd w:val="clear" w:color="DEEBF6"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9">
    <w:name w:val="xl179"/>
    <w:basedOn w:val="Normal"/>
    <w:pPr>
      <w:pBdr>
        <w:left w:val="single" w:sz="6" w:space="0" w:color="000000"/>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0">
    <w:name w:val="xl180"/>
    <w:basedOn w:val="Normal"/>
    <w:pPr>
      <w:pBdr>
        <w:left w:val="single" w:sz="6" w:space="0" w:color="000000"/>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1">
    <w:name w:val="xl181"/>
    <w:basedOn w:val="Normal"/>
    <w:pPr>
      <w:pBdr>
        <w:left w:val="single" w:sz="6" w:space="0" w:color="000000"/>
        <w:right w:val="single" w:sz="6" w:space="0" w:color="000000"/>
      </w:pBdr>
      <w:shd w:val="clear" w:color="DEEBF6"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2">
    <w:name w:val="xl182"/>
    <w:basedOn w:val="Normal"/>
    <w:pPr>
      <w:pBdr>
        <w:left w:val="single" w:sz="6" w:space="0" w:color="000000"/>
        <w:bottom w:val="single" w:sz="4" w:space="0" w:color="000000"/>
        <w:right w:val="single" w:sz="6" w:space="0" w:color="000000"/>
      </w:pBdr>
      <w:shd w:val="clear" w:color="DEEBF6"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3">
    <w:name w:val="xl183"/>
    <w:basedOn w:val="Normal"/>
    <w:pPr>
      <w:pBdr>
        <w:top w:val="single" w:sz="4" w:space="0" w:color="000000"/>
        <w:bottom w:val="single" w:sz="4" w:space="0" w:color="000000"/>
        <w:right w:val="single" w:sz="6" w:space="0" w:color="000000"/>
      </w:pBdr>
      <w:shd w:val="clear" w:color="DEEBF6"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4">
    <w:name w:val="xl184"/>
    <w:basedOn w:val="Normal"/>
    <w:pPr>
      <w:pBdr>
        <w:top w:val="single" w:sz="4" w:space="0" w:color="000000"/>
        <w:right w:val="single" w:sz="6" w:space="0" w:color="000000"/>
      </w:pBdr>
      <w:shd w:val="clear" w:color="000000" w:fill="FFFFFF"/>
      <w:spacing w:before="100" w:beforeAutospacing="1" w:after="100" w:afterAutospacing="1" w:line="240" w:lineRule="auto"/>
    </w:pPr>
    <w:rPr>
      <w:rFonts w:ascii="Garamond" w:eastAsia="Times New Roman" w:hAnsi="Garamond" w:cs="Times New Roman"/>
      <w:sz w:val="14"/>
      <w:szCs w:val="14"/>
    </w:rPr>
  </w:style>
  <w:style w:type="paragraph" w:customStyle="1" w:styleId="xl185">
    <w:name w:val="xl185"/>
    <w:basedOn w:val="Normal"/>
    <w:pPr>
      <w:pBdr>
        <w:top w:val="single" w:sz="4" w:space="0" w:color="000000"/>
        <w:bottom w:val="single" w:sz="4"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86">
    <w:name w:val="xl186"/>
    <w:basedOn w:val="Normal"/>
    <w:pPr>
      <w:pBdr>
        <w:top w:val="single" w:sz="4" w:space="0" w:color="000000"/>
        <w:bottom w:val="single" w:sz="4" w:space="0" w:color="000000"/>
        <w:right w:val="single" w:sz="6" w:space="0" w:color="000000"/>
      </w:pBdr>
      <w:shd w:val="clear" w:color="000000" w:fill="FFFFFF"/>
      <w:spacing w:before="100" w:beforeAutospacing="1" w:after="100" w:afterAutospacing="1" w:line="240" w:lineRule="auto"/>
    </w:pPr>
    <w:rPr>
      <w:rFonts w:ascii="Garamond" w:eastAsia="Times New Roman" w:hAnsi="Garamond" w:cs="Times New Roman"/>
      <w:sz w:val="14"/>
      <w:szCs w:val="14"/>
    </w:rPr>
  </w:style>
  <w:style w:type="paragraph" w:customStyle="1" w:styleId="xl187">
    <w:name w:val="xl187"/>
    <w:basedOn w:val="Normal"/>
    <w:pPr>
      <w:pBdr>
        <w:top w:val="single" w:sz="4" w:space="0" w:color="000000"/>
        <w:left w:val="single" w:sz="6" w:space="0" w:color="000000"/>
        <w:bottom w:val="single" w:sz="4"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88">
    <w:name w:val="xl188"/>
    <w:basedOn w:val="Normal"/>
    <w:pPr>
      <w:pBdr>
        <w:top w:val="single" w:sz="4"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89">
    <w:name w:val="xl189"/>
    <w:basedOn w:val="Normal"/>
    <w:pPr>
      <w:pBdr>
        <w:bottom w:val="single" w:sz="4"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0">
    <w:name w:val="xl190"/>
    <w:basedOn w:val="Normal"/>
    <w:pPr>
      <w:pBdr>
        <w:top w:val="single" w:sz="4" w:space="0" w:color="000000"/>
        <w:left w:val="single" w:sz="6" w:space="0" w:color="000000"/>
        <w:bottom w:val="single" w:sz="4"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1">
    <w:name w:val="xl191"/>
    <w:basedOn w:val="Normal"/>
    <w:pPr>
      <w:pBdr>
        <w:top w:val="single" w:sz="4" w:space="0" w:color="000000"/>
        <w:bottom w:val="single" w:sz="4"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2">
    <w:name w:val="xl192"/>
    <w:basedOn w:val="Normal"/>
    <w:pPr>
      <w:pBdr>
        <w:top w:val="single" w:sz="4" w:space="0" w:color="000000"/>
        <w:bottom w:val="single" w:sz="4"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3">
    <w:name w:val="xl193"/>
    <w:basedOn w:val="Normal"/>
    <w:pPr>
      <w:pBdr>
        <w:top w:val="single" w:sz="4" w:space="0" w:color="000000"/>
        <w:right w:val="single" w:sz="6" w:space="0" w:color="000000"/>
      </w:pBdr>
      <w:shd w:val="clear" w:color="DEEBF6"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94">
    <w:name w:val="xl194"/>
    <w:basedOn w:val="Normal"/>
    <w:pPr>
      <w:pBdr>
        <w:top w:val="single" w:sz="4" w:space="0" w:color="000000"/>
        <w:left w:val="single" w:sz="6" w:space="0" w:color="000000"/>
        <w:right w:val="single" w:sz="6" w:space="0" w:color="000000"/>
      </w:pBdr>
      <w:shd w:val="clear" w:color="DEEBF6"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95">
    <w:name w:val="xl195"/>
    <w:basedOn w:val="Normal"/>
    <w:pPr>
      <w:pBdr>
        <w:top w:val="single" w:sz="4" w:space="0" w:color="000000"/>
        <w:bottom w:val="single" w:sz="4" w:space="0" w:color="000000"/>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96">
    <w:name w:val="xl196"/>
    <w:basedOn w:val="Normal"/>
    <w:pPr>
      <w:pBdr>
        <w:top w:val="single" w:sz="4"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7">
    <w:name w:val="xl197"/>
    <w:basedOn w:val="Normal"/>
    <w:pPr>
      <w:pBdr>
        <w:bottom w:val="single" w:sz="4"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8">
    <w:name w:val="xl198"/>
    <w:basedOn w:val="Normal"/>
    <w:pPr>
      <w:pBdr>
        <w:top w:val="single" w:sz="4" w:space="0" w:color="000000"/>
        <w:bottom w:val="single" w:sz="4"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9">
    <w:name w:val="xl199"/>
    <w:basedOn w:val="Normal"/>
    <w:pPr>
      <w:pBdr>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0">
    <w:name w:val="xl200"/>
    <w:basedOn w:val="Normal"/>
    <w:pPr>
      <w:pBdr>
        <w:top w:val="single" w:sz="4" w:space="0" w:color="000000"/>
        <w:left w:val="single" w:sz="6" w:space="0" w:color="000000"/>
        <w:bottom w:val="single" w:sz="4"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01">
    <w:name w:val="xl201"/>
    <w:basedOn w:val="Normal"/>
    <w:pPr>
      <w:pBdr>
        <w:top w:val="single" w:sz="4" w:space="0" w:color="000000"/>
        <w:left w:val="single" w:sz="6" w:space="0" w:color="000000"/>
        <w:right w:val="single" w:sz="6" w:space="0" w:color="000000"/>
      </w:pBdr>
      <w:shd w:val="clear" w:color="000000"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02">
    <w:name w:val="xl202"/>
    <w:basedOn w:val="Normal"/>
    <w:pPr>
      <w:pBdr>
        <w:right w:val="single" w:sz="6" w:space="0" w:color="000000"/>
      </w:pBdr>
      <w:shd w:val="clear" w:color="000000"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03">
    <w:name w:val="xl203"/>
    <w:basedOn w:val="Normal"/>
    <w:pPr>
      <w:pBdr>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4">
    <w:name w:val="xl204"/>
    <w:basedOn w:val="Normal"/>
    <w:pPr>
      <w:pBdr>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05">
    <w:name w:val="xl205"/>
    <w:basedOn w:val="Normal"/>
    <w:pPr>
      <w:pBdr>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06">
    <w:name w:val="xl206"/>
    <w:basedOn w:val="Normal"/>
    <w:pPr>
      <w:pBdr>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7">
    <w:name w:val="xl207"/>
    <w:basedOn w:val="Normal"/>
    <w:pPr>
      <w:pBdr>
        <w:left w:val="single" w:sz="6" w:space="0" w:color="000000"/>
        <w:right w:val="single" w:sz="6" w:space="0" w:color="000000"/>
      </w:pBdr>
      <w:shd w:val="clear" w:color="000000"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08">
    <w:name w:val="xl208"/>
    <w:basedOn w:val="Normal"/>
    <w:pPr>
      <w:pBdr>
        <w:top w:val="single" w:sz="4" w:space="0" w:color="000000"/>
        <w:bottom w:val="single" w:sz="4"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9">
    <w:name w:val="xl209"/>
    <w:basedOn w:val="Normal"/>
    <w:pPr>
      <w:pBdr>
        <w:top w:val="single" w:sz="4" w:space="0" w:color="000000"/>
        <w:bottom w:val="single" w:sz="4"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0">
    <w:name w:val="xl210"/>
    <w:basedOn w:val="Normal"/>
    <w:pPr>
      <w:pBdr>
        <w:top w:val="single" w:sz="4" w:space="0" w:color="000000"/>
        <w:left w:val="single" w:sz="6" w:space="0" w:color="000000"/>
        <w:bottom w:val="single" w:sz="4" w:space="0" w:color="000000"/>
        <w:right w:val="single" w:sz="6" w:space="0" w:color="000000"/>
      </w:pBdr>
      <w:shd w:val="clear" w:color="DEEBF6"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1">
    <w:name w:val="xl211"/>
    <w:basedOn w:val="Normal"/>
    <w:pPr>
      <w:pBdr>
        <w:left w:val="single" w:sz="6" w:space="0" w:color="000000"/>
        <w:bottom w:val="single" w:sz="6" w:space="0" w:color="000000"/>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2">
    <w:name w:val="xl212"/>
    <w:basedOn w:val="Normal"/>
    <w:pPr>
      <w:pBdr>
        <w:left w:val="single" w:sz="6" w:space="0" w:color="000000"/>
        <w:bottom w:val="single" w:sz="6" w:space="0" w:color="000000"/>
        <w:right w:val="single" w:sz="6" w:space="0" w:color="000000"/>
      </w:pBdr>
      <w:shd w:val="clear" w:color="000000"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13">
    <w:name w:val="xl213"/>
    <w:basedOn w:val="Normal"/>
    <w:pPr>
      <w:pBdr>
        <w:top w:val="single" w:sz="4" w:space="0" w:color="000000"/>
        <w:left w:val="single" w:sz="6" w:space="0" w:color="000000"/>
        <w:bottom w:val="single" w:sz="6" w:space="0" w:color="000000"/>
        <w:right w:val="single" w:sz="6" w:space="0" w:color="000000"/>
      </w:pBdr>
      <w:shd w:val="clear" w:color="000000"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14">
    <w:name w:val="xl214"/>
    <w:basedOn w:val="Normal"/>
    <w:pPr>
      <w:pBdr>
        <w:top w:val="single" w:sz="4" w:space="0" w:color="000000"/>
        <w:left w:val="single" w:sz="6" w:space="0" w:color="000000"/>
        <w:bottom w:val="single" w:sz="6" w:space="0" w:color="000000"/>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5">
    <w:name w:val="xl215"/>
    <w:basedOn w:val="Normal"/>
    <w:pPr>
      <w:pBdr>
        <w:top w:val="single" w:sz="4" w:space="0" w:color="000000"/>
        <w:left w:val="single" w:sz="6" w:space="0" w:color="000000"/>
        <w:bottom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6">
    <w:name w:val="xl216"/>
    <w:basedOn w:val="Normal"/>
    <w:pPr>
      <w:pBdr>
        <w:top w:val="single" w:sz="4" w:space="0" w:color="000000"/>
        <w:bottom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7">
    <w:name w:val="xl217"/>
    <w:basedOn w:val="Normal"/>
    <w:pPr>
      <w:pBdr>
        <w:top w:val="single" w:sz="4" w:space="0" w:color="000000"/>
        <w:left w:val="single" w:sz="6" w:space="0" w:color="000000"/>
        <w:bottom w:val="single" w:sz="6"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8">
    <w:name w:val="xl218"/>
    <w:basedOn w:val="Normal"/>
    <w:pPr>
      <w:pBdr>
        <w:top w:val="single" w:sz="4" w:space="0" w:color="000000"/>
        <w:bottom w:val="single" w:sz="6"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9">
    <w:name w:val="xl219"/>
    <w:basedOn w:val="Normal"/>
    <w:pPr>
      <w:pBdr>
        <w:top w:val="single" w:sz="6" w:space="0" w:color="000000"/>
        <w:left w:val="single" w:sz="6" w:space="0" w:color="000000"/>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20">
    <w:name w:val="xl220"/>
    <w:basedOn w:val="Normal"/>
    <w:pPr>
      <w:pBdr>
        <w:top w:val="single" w:sz="6" w:space="0" w:color="000000"/>
        <w:left w:val="single" w:sz="6" w:space="0" w:color="000000"/>
      </w:pBdr>
      <w:shd w:val="clear" w:color="000000"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1">
    <w:name w:val="xl221"/>
    <w:basedOn w:val="Normal"/>
    <w:pPr>
      <w:pBdr>
        <w:top w:val="single" w:sz="6" w:space="0" w:color="000000"/>
      </w:pBdr>
      <w:shd w:val="clear" w:color="000000"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2">
    <w:name w:val="xl222"/>
    <w:basedOn w:val="Normal"/>
    <w:pPr>
      <w:pBdr>
        <w:top w:val="single" w:sz="6" w:space="0" w:color="000000"/>
        <w:right w:val="single" w:sz="6" w:space="0" w:color="000000"/>
      </w:pBdr>
      <w:shd w:val="clear" w:color="000000"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3">
    <w:name w:val="xl223"/>
    <w:basedOn w:val="Normal"/>
    <w:pPr>
      <w:pBdr>
        <w:top w:val="single" w:sz="6" w:space="0" w:color="000000"/>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24">
    <w:name w:val="xl224"/>
    <w:basedOn w:val="Normal"/>
    <w:pPr>
      <w:pBdr>
        <w:left w:val="single" w:sz="6" w:space="0" w:color="000000"/>
        <w:bottom w:val="single" w:sz="6" w:space="0" w:color="000000"/>
      </w:pBdr>
      <w:shd w:val="clear" w:color="000000"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5">
    <w:name w:val="xl225"/>
    <w:basedOn w:val="Normal"/>
    <w:pPr>
      <w:pBdr>
        <w:bottom w:val="single" w:sz="6" w:space="0" w:color="000000"/>
      </w:pBdr>
      <w:shd w:val="clear" w:color="000000"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6">
    <w:name w:val="xl226"/>
    <w:basedOn w:val="Normal"/>
    <w:pPr>
      <w:pBdr>
        <w:bottom w:val="single" w:sz="6" w:space="0" w:color="000000"/>
        <w:right w:val="single" w:sz="6" w:space="0" w:color="000000"/>
      </w:pBdr>
      <w:shd w:val="clear" w:color="000000"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7">
    <w:name w:val="xl227"/>
    <w:basedOn w:val="Normal"/>
    <w:pPr>
      <w:pBdr>
        <w:bottom w:val="single" w:sz="6"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28">
    <w:name w:val="xl228"/>
    <w:basedOn w:val="Normal"/>
    <w:pPr>
      <w:pBdr>
        <w:bottom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29">
    <w:name w:val="xl229"/>
    <w:basedOn w:val="Normal"/>
    <w:pPr>
      <w:pBdr>
        <w:bottom w:val="single" w:sz="6" w:space="0" w:color="000000"/>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0">
    <w:name w:val="xl230"/>
    <w:basedOn w:val="Normal"/>
    <w:pPr>
      <w:pBdr>
        <w:top w:val="single" w:sz="4" w:space="0" w:color="000000"/>
        <w:left w:val="single" w:sz="6" w:space="0" w:color="000000"/>
        <w:right w:val="single" w:sz="6" w:space="0" w:color="000000"/>
      </w:pBdr>
      <w:shd w:val="clear" w:color="000000"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31">
    <w:name w:val="xl231"/>
    <w:basedOn w:val="Normal"/>
    <w:pPr>
      <w:pBdr>
        <w:top w:val="single" w:sz="4" w:space="0" w:color="000000"/>
        <w:bottom w:val="single" w:sz="4" w:space="0" w:color="000000"/>
        <w:right w:val="single" w:sz="6" w:space="0" w:color="000000"/>
      </w:pBdr>
      <w:shd w:val="clear" w:color="DEEBF6"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2">
    <w:name w:val="xl232"/>
    <w:basedOn w:val="Normal"/>
    <w:pPr>
      <w:pBdr>
        <w:top w:val="single" w:sz="6" w:space="0" w:color="000000"/>
        <w:left w:val="single" w:sz="6" w:space="0" w:color="000000"/>
        <w:bottom w:val="single" w:sz="6" w:space="0" w:color="000000"/>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3">
    <w:name w:val="xl233"/>
    <w:basedOn w:val="Normal"/>
    <w:pPr>
      <w:pBdr>
        <w:top w:val="single" w:sz="6" w:space="0" w:color="000000"/>
        <w:left w:val="single" w:sz="6" w:space="0" w:color="000000"/>
        <w:bottom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b/>
      <w:bCs/>
      <w:sz w:val="14"/>
      <w:szCs w:val="14"/>
    </w:rPr>
  </w:style>
  <w:style w:type="paragraph" w:customStyle="1" w:styleId="xl234">
    <w:name w:val="xl234"/>
    <w:basedOn w:val="Normal"/>
    <w:pPr>
      <w:pBdr>
        <w:top w:val="single" w:sz="6" w:space="0" w:color="000000"/>
        <w:bottom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b/>
      <w:bCs/>
      <w:sz w:val="14"/>
      <w:szCs w:val="14"/>
    </w:rPr>
  </w:style>
  <w:style w:type="paragraph" w:customStyle="1" w:styleId="xl235">
    <w:name w:val="xl235"/>
    <w:basedOn w:val="Normal"/>
    <w:pPr>
      <w:pBdr>
        <w:top w:val="single" w:sz="6" w:space="0" w:color="000000"/>
        <w:bottom w:val="single" w:sz="6" w:space="0" w:color="000000"/>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6">
    <w:name w:val="xl236"/>
    <w:basedOn w:val="Normal"/>
    <w:pPr>
      <w:pBdr>
        <w:top w:val="single" w:sz="6" w:space="0" w:color="000000"/>
        <w:bottom w:val="single" w:sz="6" w:space="0" w:color="000000"/>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7">
    <w:name w:val="xl237"/>
    <w:basedOn w:val="Normal"/>
    <w:pPr>
      <w:pBdr>
        <w:top w:val="single" w:sz="6" w:space="0" w:color="000000"/>
        <w:bottom w:val="single" w:sz="6"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38">
    <w:name w:val="xl238"/>
    <w:basedOn w:val="Normal"/>
    <w:pPr>
      <w:pBdr>
        <w:top w:val="single" w:sz="6" w:space="0" w:color="000000"/>
        <w:bottom w:val="single" w:sz="6"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b/>
      <w:bCs/>
      <w:sz w:val="14"/>
      <w:szCs w:val="14"/>
    </w:rPr>
  </w:style>
  <w:style w:type="paragraph" w:customStyle="1" w:styleId="xl239">
    <w:name w:val="xl239"/>
    <w:basedOn w:val="Normal"/>
    <w:pPr>
      <w:pBdr>
        <w:top w:val="single" w:sz="6" w:space="0" w:color="000000"/>
        <w:bottom w:val="single" w:sz="6" w:space="0" w:color="000000"/>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40">
    <w:name w:val="xl240"/>
    <w:basedOn w:val="Normal"/>
    <w:pPr>
      <w:pBdr>
        <w:left w:val="single" w:sz="4" w:space="0" w:color="000000"/>
        <w:bottom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41">
    <w:name w:val="xl241"/>
    <w:basedOn w:val="Normal"/>
    <w:pPr>
      <w:pBdr>
        <w:bottom w:val="single" w:sz="4" w:space="0" w:color="000000"/>
        <w:right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42">
    <w:name w:val="xl242"/>
    <w:basedOn w:val="Normal"/>
    <w:pPr>
      <w:pBdr>
        <w:left w:val="single" w:sz="4" w:space="5" w:color="000000"/>
        <w:bottom w:val="single" w:sz="4" w:space="0" w:color="000000"/>
        <w:right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43">
    <w:name w:val="xl243"/>
    <w:basedOn w:val="Normal"/>
    <w:pPr>
      <w:pBdr>
        <w:top w:val="single" w:sz="4" w:space="0" w:color="000000"/>
        <w:left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244">
    <w:name w:val="xl244"/>
    <w:basedOn w:val="Normal"/>
    <w:pPr>
      <w:pBdr>
        <w:top w:val="single" w:sz="4" w:space="0" w:color="000000"/>
        <w:left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245">
    <w:name w:val="xl245"/>
    <w:basedOn w:val="Normal"/>
    <w:pPr>
      <w:pBdr>
        <w:top w:val="single" w:sz="4" w:space="0" w:color="000000"/>
        <w:bottom w:val="single" w:sz="4" w:space="0" w:color="000000"/>
        <w:right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46">
    <w:name w:val="xl246"/>
    <w:basedOn w:val="Normal"/>
    <w:pPr>
      <w:pBdr>
        <w:left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247">
    <w:name w:val="xl247"/>
    <w:basedOn w:val="Normal"/>
    <w:pPr>
      <w:pBdr>
        <w:left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248">
    <w:name w:val="xl248"/>
    <w:basedOn w:val="Normal"/>
    <w:pPr>
      <w:pBdr>
        <w:left w:val="single" w:sz="4" w:space="0" w:color="000000"/>
        <w:bottom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249">
    <w:name w:val="xl249"/>
    <w:basedOn w:val="Normal"/>
    <w:pPr>
      <w:pBdr>
        <w:left w:val="single" w:sz="4" w:space="0" w:color="000000"/>
        <w:bottom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250">
    <w:name w:val="xl250"/>
    <w:basedOn w:val="Normal"/>
    <w:pPr>
      <w:pBdr>
        <w:left w:val="single" w:sz="4" w:space="5" w:color="000000"/>
        <w:bottom w:val="single" w:sz="4" w:space="0" w:color="000000"/>
        <w:right w:val="single" w:sz="4" w:space="0" w:color="000000"/>
      </w:pBdr>
      <w:shd w:val="clear" w:color="000000" w:fill="D8D8D8"/>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51">
    <w:name w:val="xl251"/>
    <w:basedOn w:val="Normal"/>
    <w:pPr>
      <w:pBdr>
        <w:left w:val="single" w:sz="4" w:space="0" w:color="000000"/>
        <w:bottom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2">
    <w:name w:val="xl252"/>
    <w:basedOn w:val="Normal"/>
    <w:pPr>
      <w:pBdr>
        <w:left w:val="single" w:sz="4" w:space="0" w:color="000000"/>
        <w:bottom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3">
    <w:name w:val="xl253"/>
    <w:basedOn w:val="Normal"/>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4">
    <w:name w:val="xl254"/>
    <w:basedOn w:val="Normal"/>
    <w:pPr>
      <w:pBdr>
        <w:top w:val="single" w:sz="4" w:space="0" w:color="000000"/>
        <w:left w:val="single" w:sz="4" w:space="5" w:color="000000"/>
        <w:bottom w:val="single" w:sz="4" w:space="0" w:color="000000"/>
        <w:right w:val="single" w:sz="4" w:space="0" w:color="000000"/>
      </w:pBdr>
      <w:shd w:val="clear" w:color="000000" w:fill="D8D8D8"/>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55">
    <w:name w:val="xl255"/>
    <w:basedOn w:val="Normal"/>
    <w:pPr>
      <w:pBdr>
        <w:top w:val="single" w:sz="4" w:space="0" w:color="000000"/>
        <w:left w:val="single" w:sz="4" w:space="5" w:color="000000"/>
        <w:bottom w:val="single" w:sz="4" w:space="0" w:color="000000"/>
        <w:right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56">
    <w:name w:val="xl25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7">
    <w:name w:val="xl257"/>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8">
    <w:name w:val="xl258"/>
    <w:basedOn w:val="Normal"/>
    <w:pPr>
      <w:pBdr>
        <w:top w:val="single" w:sz="4" w:space="0" w:color="000000"/>
        <w:left w:val="single" w:sz="4" w:space="0" w:color="000000"/>
        <w:bottom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259">
    <w:name w:val="xl259"/>
    <w:basedOn w:val="Normal"/>
    <w:pPr>
      <w:pBdr>
        <w:top w:val="single" w:sz="4" w:space="0" w:color="000000"/>
        <w:left w:val="single" w:sz="4" w:space="0" w:color="000000"/>
        <w:bottom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260">
    <w:name w:val="xl260"/>
    <w:basedOn w:val="Normal"/>
    <w:pPr>
      <w:pBdr>
        <w:top w:val="single" w:sz="4" w:space="0" w:color="000000"/>
        <w:left w:val="single" w:sz="4" w:space="5" w:color="000000"/>
        <w:bottom w:val="single" w:sz="4" w:space="0" w:color="000000"/>
        <w:right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61">
    <w:name w:val="xl261"/>
    <w:basedOn w:val="Normal"/>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2">
    <w:name w:val="xl262"/>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3">
    <w:name w:val="xl263"/>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4">
    <w:name w:val="xl264"/>
    <w:basedOn w:val="Normal"/>
    <w:pPr>
      <w:pBdr>
        <w:left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5">
    <w:name w:val="xl265"/>
    <w:basedOn w:val="Normal"/>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6">
    <w:name w:val="xl266"/>
    <w:basedOn w:val="Normal"/>
    <w:pPr>
      <w:pBdr>
        <w:top w:val="single" w:sz="4" w:space="0" w:color="000000"/>
        <w:left w:val="single" w:sz="4" w:space="5" w:color="000000"/>
        <w:right w:val="single" w:sz="4" w:space="0" w:color="000000"/>
      </w:pBdr>
      <w:shd w:val="clear" w:color="000000" w:fill="D8D8D8"/>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67">
    <w:name w:val="xl267"/>
    <w:basedOn w:val="Normal"/>
    <w:pPr>
      <w:pBdr>
        <w:top w:val="single" w:sz="4" w:space="0" w:color="000000"/>
        <w:left w:val="single" w:sz="4" w:space="5" w:color="000000"/>
        <w:right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68">
    <w:name w:val="xl26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9">
    <w:name w:val="xl269"/>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70">
    <w:name w:val="xl270"/>
    <w:basedOn w:val="Normal"/>
    <w:pPr>
      <w:pBdr>
        <w:top w:val="single" w:sz="4" w:space="0" w:color="000000"/>
        <w:left w:val="single" w:sz="4" w:space="5" w:color="000000"/>
        <w:bottom w:val="single" w:sz="4" w:space="0" w:color="000000"/>
        <w:right w:val="single" w:sz="4" w:space="0" w:color="000000"/>
      </w:pBdr>
      <w:shd w:val="clear" w:color="000000" w:fill="D8D8D8"/>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71">
    <w:name w:val="xl271"/>
    <w:basedOn w:val="Normal"/>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72">
    <w:name w:val="xl272"/>
    <w:basedOn w:val="Normal"/>
    <w:pPr>
      <w:pBdr>
        <w:top w:val="single" w:sz="4" w:space="0" w:color="000000"/>
        <w:left w:val="single" w:sz="4" w:space="0" w:color="000000"/>
        <w:bottom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273">
    <w:name w:val="xl273"/>
    <w:basedOn w:val="Normal"/>
    <w:pPr>
      <w:pBdr>
        <w:top w:val="single" w:sz="4" w:space="0" w:color="000000"/>
        <w:left w:val="single" w:sz="4" w:space="0" w:color="000000"/>
        <w:bottom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274">
    <w:name w:val="xl274"/>
    <w:basedOn w:val="Normal"/>
    <w:pPr>
      <w:pBdr>
        <w:top w:val="single" w:sz="4" w:space="0" w:color="000000"/>
        <w:left w:val="single" w:sz="4" w:space="5" w:color="000000"/>
        <w:bottom w:val="single" w:sz="4" w:space="0" w:color="000000"/>
        <w:right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75">
    <w:name w:val="xl275"/>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76">
    <w:name w:val="xl276"/>
    <w:basedOn w:val="Normal"/>
    <w:pPr>
      <w:pBdr>
        <w:top w:val="single" w:sz="4" w:space="0" w:color="000000"/>
        <w:left w:val="single" w:sz="4" w:space="0" w:color="000000"/>
        <w:bottom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277">
    <w:name w:val="xl277"/>
    <w:basedOn w:val="Normal"/>
    <w:pPr>
      <w:pBdr>
        <w:top w:val="single" w:sz="4" w:space="0" w:color="000000"/>
        <w:left w:val="single" w:sz="4" w:space="0" w:color="000000"/>
        <w:bottom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278">
    <w:name w:val="xl278"/>
    <w:basedOn w:val="Normal"/>
    <w:pPr>
      <w:pBdr>
        <w:top w:val="single" w:sz="4" w:space="0" w:color="000000"/>
        <w:left w:val="single" w:sz="4" w:space="5" w:color="000000"/>
        <w:right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79">
    <w:name w:val="xl279"/>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0">
    <w:name w:val="xl280"/>
    <w:basedOn w:val="Normal"/>
    <w:pPr>
      <w:pBdr>
        <w:top w:val="single" w:sz="4" w:space="0" w:color="000000"/>
        <w:left w:val="single" w:sz="4" w:space="0" w:color="000000"/>
        <w:bottom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1">
    <w:name w:val="xl281"/>
    <w:basedOn w:val="Normal"/>
    <w:pPr>
      <w:pBdr>
        <w:top w:val="single" w:sz="4" w:space="0" w:color="000000"/>
        <w:bottom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82">
    <w:name w:val="xl282"/>
    <w:basedOn w:val="Normal"/>
    <w:pPr>
      <w:pBdr>
        <w:top w:val="single" w:sz="4" w:space="0" w:color="000000"/>
        <w:bottom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3">
    <w:name w:val="xl283"/>
    <w:basedOn w:val="Normal"/>
    <w:pPr>
      <w:pBdr>
        <w:top w:val="single" w:sz="4" w:space="0" w:color="000000"/>
        <w:bottom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4">
    <w:name w:val="xl284"/>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5">
    <w:name w:val="xl285"/>
    <w:basedOn w:val="Normal"/>
    <w:pPr>
      <w:pBdr>
        <w:top w:val="single" w:sz="4" w:space="0" w:color="000000"/>
        <w:left w:val="single" w:sz="4" w:space="0" w:color="000000"/>
        <w:bottom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b/>
      <w:bCs/>
      <w:sz w:val="18"/>
      <w:szCs w:val="18"/>
    </w:rPr>
  </w:style>
  <w:style w:type="paragraph" w:customStyle="1" w:styleId="xl286">
    <w:name w:val="xl286"/>
    <w:basedOn w:val="Normal"/>
    <w:pPr>
      <w:pBdr>
        <w:top w:val="single" w:sz="4" w:space="0" w:color="000000"/>
        <w:left w:val="single" w:sz="4" w:space="0" w:color="000000"/>
        <w:bottom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b/>
      <w:bCs/>
      <w:sz w:val="18"/>
      <w:szCs w:val="18"/>
    </w:rPr>
  </w:style>
  <w:style w:type="paragraph" w:customStyle="1" w:styleId="xl287">
    <w:name w:val="xl287"/>
    <w:basedOn w:val="Normal"/>
    <w:pPr>
      <w:pBdr>
        <w:top w:val="single" w:sz="4" w:space="0" w:color="000000"/>
        <w:left w:val="single" w:sz="4" w:space="0" w:color="000000"/>
        <w:bottom w:val="single" w:sz="4" w:space="0" w:color="000000"/>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288">
    <w:name w:val="xl288"/>
    <w:basedOn w:val="Normal"/>
    <w:pPr>
      <w:pBdr>
        <w:top w:val="single" w:sz="4" w:space="0" w:color="000000"/>
        <w:bottom w:val="single" w:sz="4" w:space="0" w:color="000000"/>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289">
    <w:name w:val="xl289"/>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290">
    <w:name w:val="xl290"/>
    <w:basedOn w:val="Normal"/>
    <w:pPr>
      <w:pBdr>
        <w:left w:val="single" w:sz="4" w:space="5" w:color="000000"/>
        <w:bottom w:val="single" w:sz="4" w:space="0" w:color="000000"/>
        <w:right w:val="single" w:sz="4" w:space="0" w:color="000000"/>
      </w:pBdr>
      <w:shd w:val="clear" w:color="000000" w:fill="D8D8D8"/>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91">
    <w:name w:val="xl291"/>
    <w:basedOn w:val="Normal"/>
    <w:pPr>
      <w:pBdr>
        <w:left w:val="single" w:sz="4" w:space="5" w:color="000000"/>
        <w:bottom w:val="single" w:sz="4" w:space="0" w:color="000000"/>
        <w:right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92">
    <w:name w:val="xl292"/>
    <w:basedOn w:val="Normal"/>
    <w:pPr>
      <w:pBdr>
        <w:top w:val="single" w:sz="4" w:space="0" w:color="000000"/>
        <w:left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3">
    <w:name w:val="xl293"/>
    <w:basedOn w:val="Normal"/>
    <w:pPr>
      <w:pBdr>
        <w:left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4">
    <w:name w:val="xl294"/>
    <w:basedOn w:val="Normal"/>
    <w:pPr>
      <w:pBdr>
        <w:left w:val="single" w:sz="4" w:space="0" w:color="000000"/>
        <w:bottom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5">
    <w:name w:val="xl295"/>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6">
    <w:name w:val="xl296"/>
    <w:basedOn w:val="Normal"/>
    <w:pPr>
      <w:pBdr>
        <w:left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7">
    <w:name w:val="xl297"/>
    <w:basedOn w:val="Normal"/>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8">
    <w:name w:val="xl29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9">
    <w:name w:val="xl29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0">
    <w:name w:val="xl300"/>
    <w:basedOn w:val="Normal"/>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1">
    <w:name w:val="xl301"/>
    <w:basedOn w:val="Normal"/>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2">
    <w:name w:val="xl302"/>
    <w:basedOn w:val="Normal"/>
    <w:pPr>
      <w:pBdr>
        <w:top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03">
    <w:name w:val="xl303"/>
    <w:basedOn w:val="Normal"/>
    <w:pPr>
      <w:pBdr>
        <w:bottom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04">
    <w:name w:val="xl304"/>
    <w:basedOn w:val="Normal"/>
    <w:pPr>
      <w:pBdr>
        <w:top w:val="single" w:sz="4" w:space="0" w:color="000000"/>
        <w:left w:val="single" w:sz="8" w:space="0" w:color="000000"/>
        <w:bottom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05">
    <w:name w:val="xl305"/>
    <w:basedOn w:val="Normal"/>
    <w:pPr>
      <w:pBdr>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06">
    <w:name w:val="xl306"/>
    <w:basedOn w:val="Normal"/>
    <w:pPr>
      <w:pBdr>
        <w:left w:val="single" w:sz="4" w:space="0" w:color="000000"/>
        <w:bottom w:val="single" w:sz="4" w:space="0" w:color="000000"/>
        <w:right w:val="single" w:sz="6"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7">
    <w:name w:val="xl307"/>
    <w:basedOn w:val="Normal"/>
    <w:pPr>
      <w:pBdr>
        <w:left w:val="single" w:sz="4" w:space="0" w:color="000000"/>
        <w:bottom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8">
    <w:name w:val="xl308"/>
    <w:basedOn w:val="Normal"/>
    <w:pPr>
      <w:pBdr>
        <w:left w:val="single" w:sz="4" w:space="0" w:color="000000"/>
        <w:bottom w:val="single" w:sz="4" w:space="0" w:color="000000"/>
        <w:right w:val="single" w:sz="6"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9">
    <w:name w:val="xl309"/>
    <w:basedOn w:val="Normal"/>
    <w:pPr>
      <w:pBdr>
        <w:top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10">
    <w:name w:val="xl310"/>
    <w:basedOn w:val="Normal"/>
    <w:pPr>
      <w:pBdr>
        <w:bottom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11">
    <w:name w:val="xl311"/>
    <w:basedOn w:val="Normal"/>
    <w:pPr>
      <w:pBdr>
        <w:top w:val="single" w:sz="4" w:space="0" w:color="000000"/>
        <w:left w:val="single" w:sz="4" w:space="0" w:color="000000"/>
        <w:bottom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12">
    <w:name w:val="xl312"/>
    <w:basedOn w:val="Normal"/>
    <w:pPr>
      <w:pBdr>
        <w:top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13">
    <w:name w:val="xl313"/>
    <w:basedOn w:val="Normal"/>
    <w:pPr>
      <w:pBdr>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14">
    <w:name w:val="xl314"/>
    <w:basedOn w:val="Normal"/>
    <w:pPr>
      <w:pBdr>
        <w:bottom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15">
    <w:name w:val="xl315"/>
    <w:basedOn w:val="Normal"/>
    <w:pPr>
      <w:pBdr>
        <w:top w:val="single" w:sz="4" w:space="0" w:color="000000"/>
        <w:left w:val="single" w:sz="4" w:space="0" w:color="000000"/>
        <w:bottom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16">
    <w:name w:val="xl316"/>
    <w:basedOn w:val="Normal"/>
    <w:pPr>
      <w:pBdr>
        <w:top w:val="single" w:sz="4" w:space="0" w:color="000000"/>
        <w:bottom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17">
    <w:name w:val="xl317"/>
    <w:basedOn w:val="Normal"/>
    <w:pPr>
      <w:pBdr>
        <w:top w:val="single" w:sz="4" w:space="0" w:color="000000"/>
        <w:bottom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18">
    <w:name w:val="xl318"/>
    <w:basedOn w:val="Normal"/>
    <w:pPr>
      <w:pBdr>
        <w:top w:val="single" w:sz="4" w:space="0" w:color="000000"/>
        <w:left w:val="single" w:sz="4" w:space="5" w:color="000000"/>
        <w:bottom w:val="single" w:sz="4" w:space="0" w:color="000000"/>
        <w:right w:val="single" w:sz="4" w:space="0" w:color="000000"/>
      </w:pBdr>
      <w:shd w:val="clear" w:color="000000" w:fill="D8D8D8"/>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319">
    <w:name w:val="xl319"/>
    <w:basedOn w:val="Normal"/>
    <w:pPr>
      <w:pBdr>
        <w:left w:val="single" w:sz="4" w:space="5" w:color="000000"/>
        <w:right w:val="single" w:sz="4" w:space="0" w:color="000000"/>
      </w:pBdr>
      <w:shd w:val="clear" w:color="000000" w:fill="D8D8D8"/>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320">
    <w:name w:val="xl320"/>
    <w:basedOn w:val="Normal"/>
    <w:pPr>
      <w:pBdr>
        <w:left w:val="single" w:sz="4" w:space="5" w:color="000000"/>
        <w:right w:val="single" w:sz="4" w:space="0" w:color="000000"/>
      </w:pBdr>
      <w:shd w:val="clear" w:color="000000" w:fill="D8D8D8"/>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321">
    <w:name w:val="xl321"/>
    <w:basedOn w:val="Normal"/>
    <w:pPr>
      <w:pBdr>
        <w:top w:val="single" w:sz="4" w:space="0" w:color="000000"/>
        <w:bottom w:val="single" w:sz="4" w:space="0" w:color="000000"/>
      </w:pBdr>
      <w:spacing w:before="100" w:beforeAutospacing="1" w:after="100" w:afterAutospacing="1" w:line="240" w:lineRule="auto"/>
      <w:ind w:firstLine="300"/>
    </w:pPr>
    <w:rPr>
      <w:rFonts w:ascii="Garamond" w:eastAsia="Times New Roman" w:hAnsi="Garamond" w:cs="Times New Roman"/>
      <w:sz w:val="18"/>
      <w:szCs w:val="18"/>
    </w:rPr>
  </w:style>
  <w:style w:type="paragraph" w:customStyle="1" w:styleId="xl322">
    <w:name w:val="xl322"/>
    <w:basedOn w:val="Normal"/>
    <w:pPr>
      <w:pBdr>
        <w:top w:val="single" w:sz="4" w:space="0" w:color="000000"/>
        <w:bottom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23">
    <w:name w:val="xl323"/>
    <w:basedOn w:val="Normal"/>
    <w:pPr>
      <w:pBdr>
        <w:top w:val="single" w:sz="4" w:space="0" w:color="000000"/>
        <w:left w:val="single" w:sz="4" w:space="0" w:color="000000"/>
        <w:bottom w:val="single" w:sz="4" w:space="0" w:color="000000"/>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24">
    <w:name w:val="xl324"/>
    <w:basedOn w:val="Normal"/>
    <w:pPr>
      <w:pBdr>
        <w:top w:val="single" w:sz="4" w:space="0" w:color="000000"/>
        <w:bottom w:val="single" w:sz="4" w:space="0" w:color="000000"/>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25">
    <w:name w:val="xl325"/>
    <w:basedOn w:val="Normal"/>
    <w:pPr>
      <w:pBdr>
        <w:top w:val="single" w:sz="4" w:space="0" w:color="000000"/>
        <w:bottom w:val="single" w:sz="4" w:space="0" w:color="000000"/>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326">
    <w:name w:val="xl326"/>
    <w:basedOn w:val="Normal"/>
    <w:pPr>
      <w:pBdr>
        <w:top w:val="single" w:sz="4" w:space="0" w:color="000000"/>
        <w:bottom w:val="single" w:sz="4" w:space="0" w:color="000000"/>
        <w:right w:val="single" w:sz="4" w:space="0" w:color="000000"/>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27">
    <w:name w:val="xl327"/>
    <w:basedOn w:val="Normal"/>
    <w:pPr>
      <w:pBdr>
        <w:top w:val="single" w:sz="4" w:space="0" w:color="000000"/>
        <w:left w:val="single" w:sz="4" w:space="0" w:color="000000"/>
        <w:bottom w:val="single" w:sz="4" w:space="0" w:color="000000"/>
        <w:right w:val="single" w:sz="6"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28">
    <w:name w:val="xl328"/>
    <w:basedOn w:val="Normal"/>
    <w:pPr>
      <w:pBdr>
        <w:top w:val="single" w:sz="4" w:space="0" w:color="000000"/>
        <w:left w:val="single" w:sz="4" w:space="0" w:color="000000"/>
        <w:bottom w:val="single" w:sz="4" w:space="0" w:color="000000"/>
        <w:right w:val="single" w:sz="6"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29">
    <w:name w:val="xl329"/>
    <w:basedOn w:val="Normal"/>
    <w:pPr>
      <w:pBdr>
        <w:top w:val="single" w:sz="4" w:space="0" w:color="000000"/>
        <w:bottom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30">
    <w:name w:val="xl330"/>
    <w:basedOn w:val="Normal"/>
    <w:pPr>
      <w:pBdr>
        <w:top w:val="single" w:sz="4" w:space="0" w:color="000000"/>
        <w:left w:val="single" w:sz="4" w:space="5" w:color="000000"/>
        <w:right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331">
    <w:name w:val="xl331"/>
    <w:basedOn w:val="Normal"/>
    <w:pPr>
      <w:pBdr>
        <w:top w:val="single" w:sz="4" w:space="0" w:color="000000"/>
        <w:bottom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32">
    <w:name w:val="xl332"/>
    <w:basedOn w:val="Normal"/>
    <w:pPr>
      <w:pBdr>
        <w:top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333">
    <w:name w:val="xl333"/>
    <w:basedOn w:val="Normal"/>
    <w:pPr>
      <w:pBdr>
        <w:top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334">
    <w:name w:val="xl334"/>
    <w:basedOn w:val="Normal"/>
    <w:pPr>
      <w:pBdr>
        <w:top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35">
    <w:name w:val="xl335"/>
    <w:basedOn w:val="Normal"/>
    <w:pPr>
      <w:pBdr>
        <w:top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36">
    <w:name w:val="xl336"/>
    <w:basedOn w:val="Normal"/>
    <w:pPr>
      <w:pBdr>
        <w:top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37">
    <w:name w:val="xl337"/>
    <w:basedOn w:val="Normal"/>
    <w:pPr>
      <w:pBdr>
        <w:top w:val="single" w:sz="4" w:space="0" w:color="000000"/>
        <w:bottom w:val="single" w:sz="4" w:space="0" w:color="000000"/>
      </w:pBdr>
      <w:spacing w:before="100" w:beforeAutospacing="1" w:after="100" w:afterAutospacing="1" w:line="240" w:lineRule="auto"/>
      <w:ind w:firstLine="100"/>
    </w:pPr>
    <w:rPr>
      <w:rFonts w:ascii="Garamond" w:eastAsia="Times New Roman" w:hAnsi="Garamond" w:cs="Times New Roman"/>
      <w:b/>
      <w:bCs/>
      <w:sz w:val="18"/>
      <w:szCs w:val="18"/>
    </w:rPr>
  </w:style>
  <w:style w:type="paragraph" w:customStyle="1" w:styleId="xl338">
    <w:name w:val="xl338"/>
    <w:basedOn w:val="Normal"/>
    <w:pPr>
      <w:pBdr>
        <w:top w:val="single" w:sz="4" w:space="0" w:color="000000"/>
        <w:bottom w:val="single" w:sz="4" w:space="0" w:color="000000"/>
      </w:pBdr>
      <w:spacing w:before="100" w:beforeAutospacing="1" w:after="100" w:afterAutospacing="1" w:line="240" w:lineRule="auto"/>
      <w:ind w:firstLine="100"/>
      <w:jc w:val="right"/>
    </w:pPr>
    <w:rPr>
      <w:rFonts w:ascii="Garamond" w:eastAsia="Times New Roman" w:hAnsi="Garamond" w:cs="Times New Roman"/>
      <w:b/>
      <w:bCs/>
      <w:sz w:val="18"/>
      <w:szCs w:val="18"/>
    </w:rPr>
  </w:style>
  <w:style w:type="paragraph" w:customStyle="1" w:styleId="xl339">
    <w:name w:val="xl339"/>
    <w:basedOn w:val="Normal"/>
    <w:pPr>
      <w:pBdr>
        <w:top w:val="single" w:sz="4" w:space="0" w:color="000000"/>
        <w:bottom w:val="single" w:sz="4" w:space="0" w:color="000000"/>
      </w:pBdr>
      <w:spacing w:before="100" w:beforeAutospacing="1" w:after="100" w:afterAutospacing="1" w:line="240" w:lineRule="auto"/>
      <w:ind w:firstLine="100"/>
      <w:jc w:val="right"/>
    </w:pPr>
    <w:rPr>
      <w:rFonts w:ascii="Garamond" w:eastAsia="Times New Roman" w:hAnsi="Garamond" w:cs="Times New Roman"/>
      <w:b/>
      <w:bCs/>
      <w:sz w:val="18"/>
      <w:szCs w:val="18"/>
    </w:rPr>
  </w:style>
  <w:style w:type="paragraph" w:customStyle="1" w:styleId="xl340">
    <w:name w:val="xl340"/>
    <w:basedOn w:val="Normal"/>
    <w:pPr>
      <w:pBdr>
        <w:top w:val="single" w:sz="4" w:space="0" w:color="000000"/>
        <w:bottom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b/>
      <w:bCs/>
      <w:sz w:val="18"/>
      <w:szCs w:val="18"/>
    </w:rPr>
  </w:style>
  <w:style w:type="paragraph" w:customStyle="1" w:styleId="xl341">
    <w:name w:val="xl341"/>
    <w:basedOn w:val="Normal"/>
    <w:pPr>
      <w:pBdr>
        <w:left w:val="single" w:sz="4" w:space="0" w:color="000000"/>
        <w:bottom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2">
    <w:name w:val="xl342"/>
    <w:basedOn w:val="Normal"/>
    <w:pPr>
      <w:pBdr>
        <w:left w:val="single" w:sz="4" w:space="0" w:color="000000"/>
        <w:bottom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3">
    <w:name w:val="xl343"/>
    <w:basedOn w:val="Normal"/>
    <w:pPr>
      <w:pBdr>
        <w:left w:val="single" w:sz="4" w:space="0" w:color="000000"/>
        <w:bottom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44">
    <w:name w:val="xl344"/>
    <w:basedOn w:val="Normal"/>
    <w:pPr>
      <w:pBdr>
        <w:left w:val="single" w:sz="4" w:space="0" w:color="000000"/>
        <w:bottom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45">
    <w:name w:val="xl345"/>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6">
    <w:name w:val="xl34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7">
    <w:name w:val="xl347"/>
    <w:basedOn w:val="Normal"/>
    <w:pPr>
      <w:pBdr>
        <w:top w:val="single" w:sz="4" w:space="0" w:color="000000"/>
        <w:left w:val="single" w:sz="4" w:space="0" w:color="000000"/>
        <w:bottom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48">
    <w:name w:val="xl348"/>
    <w:basedOn w:val="Normal"/>
    <w:pPr>
      <w:pBdr>
        <w:top w:val="single" w:sz="4" w:space="0" w:color="000000"/>
        <w:left w:val="single" w:sz="4" w:space="0" w:color="000000"/>
        <w:bottom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49">
    <w:name w:val="xl349"/>
    <w:basedOn w:val="Normal"/>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0">
    <w:name w:val="xl350"/>
    <w:basedOn w:val="Normal"/>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1">
    <w:name w:val="xl351"/>
    <w:basedOn w:val="Normal"/>
    <w:pPr>
      <w:pBdr>
        <w:top w:val="single" w:sz="4" w:space="0" w:color="000000"/>
        <w:left w:val="single" w:sz="4" w:space="0" w:color="000000"/>
        <w:bottom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52">
    <w:name w:val="xl352"/>
    <w:basedOn w:val="Normal"/>
    <w:pPr>
      <w:pBdr>
        <w:top w:val="single" w:sz="4" w:space="0" w:color="000000"/>
        <w:left w:val="single" w:sz="4" w:space="0" w:color="000000"/>
        <w:bottom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53">
    <w:name w:val="xl353"/>
    <w:basedOn w:val="Normal"/>
    <w:pPr>
      <w:pBdr>
        <w:top w:val="single" w:sz="4" w:space="0" w:color="000000"/>
        <w:left w:val="single" w:sz="4" w:space="5" w:color="000000"/>
        <w:right w:val="single" w:sz="4" w:space="0" w:color="000000"/>
      </w:pBdr>
      <w:shd w:val="clear" w:color="000000" w:fill="D8D8D8"/>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354">
    <w:name w:val="xl354"/>
    <w:basedOn w:val="Normal"/>
    <w:pPr>
      <w:pBdr>
        <w:top w:val="single" w:sz="4" w:space="0" w:color="000000"/>
        <w:left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5">
    <w:name w:val="xl355"/>
    <w:basedOn w:val="Normal"/>
    <w:pPr>
      <w:pBdr>
        <w:top w:val="single" w:sz="4" w:space="0" w:color="000000"/>
        <w:left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6">
    <w:name w:val="xl356"/>
    <w:basedOn w:val="Normal"/>
    <w:pPr>
      <w:pBdr>
        <w:top w:val="single" w:sz="4" w:space="0" w:color="000000"/>
        <w:left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57">
    <w:name w:val="xl357"/>
    <w:basedOn w:val="Normal"/>
    <w:pPr>
      <w:pBdr>
        <w:top w:val="single" w:sz="4" w:space="0" w:color="000000"/>
        <w:left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58">
    <w:name w:val="xl358"/>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9">
    <w:name w:val="xl359"/>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0">
    <w:name w:val="xl360"/>
    <w:basedOn w:val="Normal"/>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1">
    <w:name w:val="xl361"/>
    <w:basedOn w:val="Normal"/>
    <w:pPr>
      <w:pBdr>
        <w:top w:val="single" w:sz="4" w:space="0" w:color="000000"/>
        <w:left w:val="single" w:sz="4" w:space="0" w:color="000000"/>
        <w:bottom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2">
    <w:name w:val="xl362"/>
    <w:basedOn w:val="Normal"/>
    <w:pPr>
      <w:pBdr>
        <w:top w:val="single" w:sz="4" w:space="0" w:color="000000"/>
        <w:bottom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363">
    <w:name w:val="xl363"/>
    <w:basedOn w:val="Normal"/>
    <w:pPr>
      <w:pBdr>
        <w:top w:val="single" w:sz="4" w:space="0" w:color="000000"/>
        <w:bottom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4">
    <w:name w:val="xl364"/>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5">
    <w:name w:val="xl365"/>
    <w:basedOn w:val="Normal"/>
    <w:pPr>
      <w:pBdr>
        <w:top w:val="single" w:sz="4" w:space="0" w:color="000000"/>
        <w:left w:val="single" w:sz="4" w:space="0" w:color="000000"/>
        <w:bottom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b/>
      <w:bCs/>
      <w:sz w:val="18"/>
      <w:szCs w:val="18"/>
    </w:rPr>
  </w:style>
  <w:style w:type="paragraph" w:customStyle="1" w:styleId="xl366">
    <w:name w:val="xl366"/>
    <w:basedOn w:val="Normal"/>
    <w:pPr>
      <w:pBdr>
        <w:left w:val="single" w:sz="4" w:space="10" w:color="000000"/>
        <w:bottom w:val="single" w:sz="4" w:space="0" w:color="000000"/>
        <w:right w:val="single" w:sz="4" w:space="0" w:color="000000"/>
      </w:pBdr>
      <w:shd w:val="clear" w:color="000000" w:fill="D8D8D8"/>
      <w:spacing w:before="100" w:beforeAutospacing="1" w:after="100" w:afterAutospacing="1" w:line="240" w:lineRule="auto"/>
      <w:ind w:firstLine="200"/>
    </w:pPr>
    <w:rPr>
      <w:rFonts w:ascii="Garamond" w:eastAsia="Times New Roman" w:hAnsi="Garamond" w:cs="Times New Roman"/>
      <w:sz w:val="18"/>
      <w:szCs w:val="18"/>
    </w:rPr>
  </w:style>
  <w:style w:type="paragraph" w:customStyle="1" w:styleId="xl367">
    <w:name w:val="xl367"/>
    <w:basedOn w:val="Normal"/>
    <w:pPr>
      <w:pBdr>
        <w:top w:val="single" w:sz="4" w:space="0" w:color="000000"/>
        <w:left w:val="single" w:sz="4" w:space="10" w:color="000000"/>
        <w:bottom w:val="single" w:sz="4" w:space="0" w:color="000000"/>
        <w:right w:val="single" w:sz="4" w:space="0" w:color="000000"/>
      </w:pBdr>
      <w:shd w:val="clear" w:color="000000" w:fill="D8D8D8"/>
      <w:spacing w:before="100" w:beforeAutospacing="1" w:after="100" w:afterAutospacing="1" w:line="240" w:lineRule="auto"/>
      <w:ind w:firstLine="200"/>
    </w:pPr>
    <w:rPr>
      <w:rFonts w:ascii="Garamond" w:eastAsia="Times New Roman" w:hAnsi="Garamond" w:cs="Times New Roman"/>
      <w:sz w:val="18"/>
      <w:szCs w:val="18"/>
    </w:rPr>
  </w:style>
  <w:style w:type="paragraph" w:customStyle="1" w:styleId="xl368">
    <w:name w:val="xl368"/>
    <w:basedOn w:val="Normal"/>
    <w:pPr>
      <w:pBdr>
        <w:top w:val="single" w:sz="4" w:space="0" w:color="000000"/>
        <w:left w:val="single" w:sz="4" w:space="10" w:color="000000"/>
        <w:bottom w:val="single" w:sz="4" w:space="0" w:color="000000"/>
        <w:right w:val="single" w:sz="4" w:space="0" w:color="000000"/>
      </w:pBdr>
      <w:shd w:val="clear" w:color="000000" w:fill="D8D8D8"/>
      <w:spacing w:before="100" w:beforeAutospacing="1" w:after="100" w:afterAutospacing="1" w:line="240" w:lineRule="auto"/>
      <w:ind w:firstLine="200"/>
    </w:pPr>
    <w:rPr>
      <w:rFonts w:ascii="Garamond" w:eastAsia="Times New Roman" w:hAnsi="Garamond" w:cs="Times New Roman"/>
      <w:sz w:val="18"/>
      <w:szCs w:val="18"/>
    </w:rPr>
  </w:style>
  <w:style w:type="paragraph" w:customStyle="1" w:styleId="xl369">
    <w:name w:val="xl369"/>
    <w:basedOn w:val="Normal"/>
    <w:pPr>
      <w:pBdr>
        <w:top w:val="single" w:sz="4" w:space="0" w:color="000000"/>
        <w:left w:val="single" w:sz="4" w:space="5" w:color="000000"/>
        <w:bottom w:val="single" w:sz="4" w:space="0" w:color="000000"/>
        <w:right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370">
    <w:name w:val="xl370"/>
    <w:basedOn w:val="Normal"/>
    <w:pPr>
      <w:pBdr>
        <w:left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1">
    <w:name w:val="xl371"/>
    <w:basedOn w:val="Normal"/>
    <w:pPr>
      <w:pBdr>
        <w:top w:val="single" w:sz="4" w:space="0" w:color="000000"/>
        <w:left w:val="single" w:sz="4" w:space="0" w:color="000000"/>
        <w:bottom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2">
    <w:name w:val="xl372"/>
    <w:basedOn w:val="Normal"/>
    <w:pPr>
      <w:pBdr>
        <w:top w:val="single" w:sz="4" w:space="0" w:color="000000"/>
        <w:bottom w:val="single" w:sz="4" w:space="0" w:color="000000"/>
      </w:pBdr>
      <w:spacing w:before="100" w:beforeAutospacing="1" w:after="100" w:afterAutospacing="1" w:line="240" w:lineRule="auto"/>
      <w:ind w:firstLine="300"/>
    </w:pPr>
    <w:rPr>
      <w:rFonts w:ascii="Garamond" w:eastAsia="Times New Roman" w:hAnsi="Garamond" w:cs="Times New Roman"/>
      <w:sz w:val="18"/>
      <w:szCs w:val="18"/>
    </w:rPr>
  </w:style>
  <w:style w:type="paragraph" w:customStyle="1" w:styleId="xl373">
    <w:name w:val="xl373"/>
    <w:basedOn w:val="Normal"/>
    <w:pPr>
      <w:pBdr>
        <w:top w:val="single" w:sz="4" w:space="0" w:color="000000"/>
        <w:bottom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4">
    <w:name w:val="xl374"/>
    <w:basedOn w:val="Normal"/>
    <w:pPr>
      <w:pBdr>
        <w:top w:val="single" w:sz="4" w:space="0" w:color="000000"/>
        <w:left w:val="single" w:sz="4" w:space="0" w:color="000000"/>
        <w:bottom w:val="single" w:sz="4" w:space="0" w:color="000000"/>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75">
    <w:name w:val="xl375"/>
    <w:basedOn w:val="Normal"/>
    <w:pPr>
      <w:pBdr>
        <w:top w:val="single" w:sz="4" w:space="0" w:color="000000"/>
        <w:bottom w:val="single" w:sz="4" w:space="0" w:color="000000"/>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76">
    <w:name w:val="xl376"/>
    <w:basedOn w:val="Normal"/>
    <w:pPr>
      <w:pBdr>
        <w:top w:val="single" w:sz="4" w:space="0" w:color="000000"/>
        <w:bottom w:val="single" w:sz="4" w:space="0" w:color="000000"/>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377">
    <w:name w:val="xl377"/>
    <w:basedOn w:val="Normal"/>
    <w:pPr>
      <w:pBdr>
        <w:top w:val="single" w:sz="4" w:space="0" w:color="000000"/>
        <w:bottom w:val="single" w:sz="4" w:space="0" w:color="000000"/>
        <w:right w:val="single" w:sz="4" w:space="0" w:color="000000"/>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78">
    <w:name w:val="xl378"/>
    <w:basedOn w:val="Normal"/>
    <w:pPr>
      <w:pBdr>
        <w:top w:val="single" w:sz="4" w:space="0" w:color="000000"/>
        <w:left w:val="single" w:sz="4" w:space="0" w:color="000000"/>
        <w:bottom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9">
    <w:name w:val="xl379"/>
    <w:basedOn w:val="Normal"/>
    <w:pPr>
      <w:pBdr>
        <w:left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0">
    <w:name w:val="xl380"/>
    <w:basedOn w:val="Normal"/>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1">
    <w:name w:val="xl381"/>
    <w:basedOn w:val="Normal"/>
    <w:pPr>
      <w:pBdr>
        <w:top w:val="single" w:sz="4" w:space="0" w:color="000000"/>
        <w:bottom w:val="single" w:sz="4" w:space="0" w:color="000000"/>
      </w:pBdr>
      <w:shd w:val="clear" w:color="000000" w:fill="FFFFFF"/>
      <w:spacing w:before="100" w:beforeAutospacing="1" w:after="100" w:afterAutospacing="1" w:line="240" w:lineRule="auto"/>
      <w:ind w:firstLine="300"/>
    </w:pPr>
    <w:rPr>
      <w:rFonts w:ascii="Garamond" w:eastAsia="Times New Roman" w:hAnsi="Garamond" w:cs="Times New Roman"/>
      <w:sz w:val="18"/>
      <w:szCs w:val="18"/>
    </w:rPr>
  </w:style>
  <w:style w:type="paragraph" w:customStyle="1" w:styleId="xl382">
    <w:name w:val="xl382"/>
    <w:basedOn w:val="Normal"/>
    <w:pPr>
      <w:pBdr>
        <w:top w:val="single" w:sz="4" w:space="0" w:color="000000"/>
        <w:bottom w:val="single" w:sz="4" w:space="0" w:color="000000"/>
      </w:pBdr>
      <w:shd w:val="clear" w:color="000000"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3">
    <w:name w:val="xl383"/>
    <w:basedOn w:val="Normal"/>
    <w:pPr>
      <w:pBdr>
        <w:top w:val="single" w:sz="4" w:space="0" w:color="000000"/>
        <w:bottom w:val="single" w:sz="4" w:space="0" w:color="000000"/>
      </w:pBdr>
      <w:shd w:val="clear" w:color="000000"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4">
    <w:name w:val="xl384"/>
    <w:basedOn w:val="Normal"/>
    <w:pPr>
      <w:pBdr>
        <w:top w:val="single" w:sz="4" w:space="0" w:color="000000"/>
        <w:bottom w:val="single" w:sz="4" w:space="0" w:color="000000"/>
      </w:pBdr>
      <w:shd w:val="clear" w:color="000000"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5">
    <w:name w:val="xl385"/>
    <w:basedOn w:val="Normal"/>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6">
    <w:name w:val="xl386"/>
    <w:basedOn w:val="Normal"/>
    <w:pPr>
      <w:shd w:val="clear" w:color="000000"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7">
    <w:name w:val="xl387"/>
    <w:basedOn w:val="Normal"/>
    <w:pPr>
      <w:shd w:val="clear" w:color="000000" w:fill="FFFFFF"/>
      <w:spacing w:before="100" w:beforeAutospacing="1" w:after="100" w:afterAutospacing="1" w:line="240" w:lineRule="auto"/>
      <w:ind w:firstLine="300"/>
    </w:pPr>
    <w:rPr>
      <w:rFonts w:ascii="Garamond" w:eastAsia="Times New Roman" w:hAnsi="Garamond" w:cs="Times New Roman"/>
      <w:sz w:val="18"/>
      <w:szCs w:val="18"/>
    </w:rPr>
  </w:style>
  <w:style w:type="paragraph" w:customStyle="1" w:styleId="xl388">
    <w:name w:val="xl388"/>
    <w:basedOn w:val="Normal"/>
    <w:pPr>
      <w:shd w:val="clear" w:color="000000"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9">
    <w:name w:val="xl389"/>
    <w:basedOn w:val="Normal"/>
    <w:pP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90">
    <w:name w:val="xl390"/>
    <w:basedOn w:val="Normal"/>
    <w:pPr>
      <w:pBdr>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91">
    <w:name w:val="xl391"/>
    <w:basedOn w:val="Normal"/>
    <w:pPr>
      <w:pBdr>
        <w:top w:val="single" w:sz="4" w:space="0" w:color="000000"/>
        <w:left w:val="single" w:sz="4" w:space="0" w:color="000000"/>
        <w:right w:val="single" w:sz="4" w:space="5" w:color="000000"/>
      </w:pBdr>
      <w:shd w:val="clear" w:color="000000" w:fill="FFFFFF"/>
      <w:spacing w:before="100" w:beforeAutospacing="1" w:after="100" w:afterAutospacing="1" w:line="240" w:lineRule="auto"/>
      <w:ind w:firstLine="100"/>
      <w:jc w:val="right"/>
    </w:pPr>
    <w:rPr>
      <w:rFonts w:ascii="Garamond" w:eastAsia="Times New Roman" w:hAnsi="Garamond" w:cs="Times New Roman"/>
      <w:b/>
      <w:bCs/>
      <w:sz w:val="18"/>
      <w:szCs w:val="18"/>
    </w:rPr>
  </w:style>
  <w:style w:type="paragraph" w:customStyle="1" w:styleId="xl392">
    <w:name w:val="xl392"/>
    <w:basedOn w:val="Normal"/>
    <w:pPr>
      <w:pBdr>
        <w:left w:val="single" w:sz="4" w:space="0" w:color="000000"/>
        <w:right w:val="single" w:sz="4" w:space="5" w:color="000000"/>
      </w:pBdr>
      <w:shd w:val="clear" w:color="000000" w:fill="FFFFFF"/>
      <w:spacing w:before="100" w:beforeAutospacing="1" w:after="100" w:afterAutospacing="1" w:line="240" w:lineRule="auto"/>
      <w:ind w:firstLine="100"/>
      <w:jc w:val="right"/>
    </w:pPr>
    <w:rPr>
      <w:rFonts w:ascii="Garamond" w:eastAsia="Times New Roman" w:hAnsi="Garamond" w:cs="Times New Roman"/>
      <w:b/>
      <w:bCs/>
      <w:sz w:val="18"/>
      <w:szCs w:val="18"/>
    </w:rPr>
  </w:style>
  <w:style w:type="paragraph" w:customStyle="1" w:styleId="xl393">
    <w:name w:val="xl393"/>
    <w:basedOn w:val="Normal"/>
    <w:pPr>
      <w:pBdr>
        <w:left w:val="single" w:sz="4" w:space="0" w:color="000000"/>
      </w:pBdr>
      <w:shd w:val="clear" w:color="000000" w:fill="FFFFFF"/>
      <w:spacing w:before="100" w:beforeAutospacing="1" w:after="100" w:afterAutospacing="1" w:line="240" w:lineRule="auto"/>
      <w:ind w:firstLine="100"/>
      <w:jc w:val="right"/>
    </w:pPr>
    <w:rPr>
      <w:rFonts w:ascii="Garamond" w:eastAsia="Times New Roman" w:hAnsi="Garamond" w:cs="Times New Roman"/>
      <w:b/>
      <w:bCs/>
      <w:sz w:val="18"/>
      <w:szCs w:val="18"/>
    </w:rPr>
  </w:style>
  <w:style w:type="paragraph" w:customStyle="1" w:styleId="font7">
    <w:name w:val="font7"/>
    <w:basedOn w:val="Normal"/>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Definition">
    <w:name w:val="Definition"/>
    <w:basedOn w:val="Normal"/>
    <w:link w:val="DefinitionChar"/>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lang w:val="en-GB" w:eastAsia="en-GB"/>
    </w:rPr>
  </w:style>
  <w:style w:type="paragraph" w:customStyle="1" w:styleId="Definition1b">
    <w:name w:val="Definition 1b"/>
    <w:basedOn w:val="Definition"/>
    <w:pPr>
      <w:spacing w:before="0"/>
    </w:pPr>
  </w:style>
  <w:style w:type="paragraph" w:customStyle="1" w:styleId="Definition1a">
    <w:name w:val="Definition 1a"/>
    <w:basedOn w:val="Definition"/>
    <w:next w:val="Definition1b"/>
    <w:pPr>
      <w:keepNext/>
    </w:pPr>
  </w:style>
  <w:style w:type="paragraph" w:customStyle="1" w:styleId="Paragraph1">
    <w:name w:val="Paragraph (1)"/>
    <w:basedOn w:val="Normal"/>
    <w:link w:val="Paragraph1Char"/>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Definition2">
    <w:name w:val="Definition 2"/>
    <w:basedOn w:val="Definition"/>
    <w:pPr>
      <w:tabs>
        <w:tab w:val="clear" w:pos="2835"/>
      </w:tabs>
      <w:ind w:firstLine="0"/>
    </w:pPr>
  </w:style>
  <w:style w:type="paragraph" w:customStyle="1" w:styleId="Definition3">
    <w:name w:val="Definition 3"/>
    <w:basedOn w:val="Definition2"/>
    <w:pPr>
      <w:tabs>
        <w:tab w:val="clear" w:pos="3402"/>
      </w:tabs>
      <w:ind w:left="3402"/>
    </w:pPr>
  </w:style>
  <w:style w:type="paragraph" w:customStyle="1" w:styleId="Definition4">
    <w:name w:val="Definition 4"/>
    <w:basedOn w:val="Definition3"/>
    <w:pPr>
      <w:tabs>
        <w:tab w:val="clear" w:pos="3969"/>
      </w:tabs>
      <w:ind w:left="3969"/>
    </w:pPr>
  </w:style>
  <w:style w:type="paragraph" w:customStyle="1" w:styleId="Paragraphi">
    <w:name w:val="Paragraph (i)"/>
    <w:basedOn w:val="Normal"/>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pPr>
      <w:keepNext/>
      <w:pBdr>
        <w:bottom w:val="none" w:sz="0" w:space="0" w:color="000000"/>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pPr>
      <w:keepNext/>
      <w:pBdr>
        <w:bottom w:val="none" w:sz="0" w:space="0" w:color="000000"/>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ModelNrmlDouble">
    <w:name w:val="ModelNrmlDouble"/>
    <w:basedOn w:val="Normal"/>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pPr>
      <w:ind w:firstLine="0"/>
    </w:pPr>
    <w:rPr>
      <w:u w:val="single"/>
    </w:rPr>
  </w:style>
  <w:style w:type="paragraph" w:customStyle="1" w:styleId="Section1">
    <w:name w:val="Section 1"/>
    <w:basedOn w:val="Normal"/>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character" w:customStyle="1" w:styleId="DefinitionChar">
    <w:name w:val="Definition Char"/>
    <w:link w:val="Definition"/>
    <w:rPr>
      <w:rFonts w:ascii="Times New Roman" w:eastAsia="Times New Roman" w:hAnsi="Times New Roman" w:cs="Times New Roman"/>
      <w:sz w:val="24"/>
      <w:szCs w:val="20"/>
      <w:lang w:val="en-GB" w:eastAsia="en-GB"/>
    </w:rPr>
  </w:style>
  <w:style w:type="character" w:customStyle="1" w:styleId="ParagraphaChar">
    <w:name w:val="Paragraph (a) Char"/>
    <w:link w:val="Paragrapha"/>
    <w:rPr>
      <w:rFonts w:ascii="Times New Roman" w:eastAsia="Times New Roman" w:hAnsi="Times New Roman" w:cs="Times New Roman"/>
      <w:sz w:val="24"/>
      <w:szCs w:val="24"/>
      <w:lang w:val="en-GB" w:eastAsia="en-GB"/>
    </w:rPr>
  </w:style>
  <w:style w:type="character" w:customStyle="1" w:styleId="Paragraph1Char">
    <w:name w:val="Paragraph (1) Char"/>
    <w:link w:val="Paragraph1"/>
    <w:rPr>
      <w:rFonts w:ascii="Times New Roman" w:eastAsia="Times New Roman" w:hAnsi="Times New Roman" w:cs="Times New Roman"/>
      <w:sz w:val="24"/>
      <w:szCs w:val="20"/>
      <w:lang w:val="en-GB" w:eastAsia="en-GB"/>
    </w:rPr>
  </w:style>
  <w:style w:type="paragraph" w:customStyle="1" w:styleId="Indenta">
    <w:name w:val="Indent (a)"/>
    <w:basedOn w:val="Normal"/>
    <w:pPr>
      <w:spacing w:before="240" w:after="0" w:line="240" w:lineRule="auto"/>
      <w:ind w:left="3969" w:hanging="567"/>
      <w:jc w:val="both"/>
    </w:pPr>
    <w:rPr>
      <w:rFonts w:ascii="Times New Roman" w:eastAsia="Calibri" w:hAnsi="Times New Roman" w:cs="Times New Roman"/>
      <w:sz w:val="24"/>
      <w:szCs w:val="24"/>
      <w:lang w:val="en-GB" w:eastAsia="en-GB"/>
    </w:rPr>
  </w:style>
  <w:style w:type="numbering" w:customStyle="1" w:styleId="aAhs">
    <w:name w:val="aAhs"/>
    <w:uiPriority w:val="99"/>
    <w:pPr>
      <w:numPr>
        <w:numId w:val="17"/>
      </w:numPr>
    </w:pPr>
  </w:style>
  <w:style w:type="paragraph" w:customStyle="1" w:styleId="CharCharChar">
    <w:name w:val="Char Char Char"/>
    <w:basedOn w:val="Normal"/>
    <w:pPr>
      <w:spacing w:after="160" w:line="240" w:lineRule="exact"/>
    </w:pPr>
    <w:rPr>
      <w:rFonts w:ascii="Tahoma" w:eastAsia="Times New Roman" w:hAnsi="Tahoma" w:cs="Times New Roman"/>
      <w:sz w:val="20"/>
      <w:szCs w:val="20"/>
      <w:lang w:val="sq-AL"/>
    </w:rPr>
  </w:style>
  <w:style w:type="character" w:customStyle="1" w:styleId="arial14">
    <w:name w:val="arial14"/>
  </w:style>
  <w:style w:type="character" w:customStyle="1" w:styleId="ju-005fpara--char">
    <w:name w:val="ju-005fpara--char"/>
    <w:basedOn w:val="DefaultParagraphFont"/>
  </w:style>
  <w:style w:type="paragraph" w:styleId="Quote">
    <w:name w:val="Quote"/>
    <w:basedOn w:val="Normal"/>
    <w:next w:val="Normal"/>
    <w:link w:val="QuoteChar"/>
    <w:uiPriority w:val="29"/>
    <w:qFormat/>
    <w:pPr>
      <w:spacing w:after="0"/>
      <w:jc w:val="both"/>
    </w:pPr>
    <w:rPr>
      <w:rFonts w:ascii="Minion Pro Med" w:eastAsia="MS Mincho" w:hAnsi="Minion Pro Med"/>
      <w:i/>
      <w:iCs/>
      <w:color w:val="000000" w:themeColor="text1"/>
    </w:rPr>
  </w:style>
  <w:style w:type="character" w:customStyle="1" w:styleId="QuoteChar">
    <w:name w:val="Quote Char"/>
    <w:basedOn w:val="DefaultParagraphFont"/>
    <w:link w:val="Quote"/>
    <w:uiPriority w:val="29"/>
    <w:rPr>
      <w:rFonts w:ascii="Minion Pro Med" w:eastAsia="MS Mincho" w:hAnsi="Minion Pro Med"/>
      <w:i/>
      <w:iCs/>
      <w:color w:val="000000" w:themeColor="tex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spacing w:before="240" w:after="60" w:line="240" w:lineRule="auto"/>
      <w:jc w:val="both"/>
      <w:outlineLvl w:val="0"/>
    </w:pPr>
    <w:rPr>
      <w:rFonts w:ascii="Arial" w:eastAsia="MS Mincho" w:hAnsi="Arial" w:cs="Arial"/>
      <w:b/>
      <w:bCs/>
      <w:sz w:val="32"/>
      <w:szCs w:val="32"/>
    </w:rPr>
  </w:style>
  <w:style w:type="paragraph" w:styleId="Heading2">
    <w:name w:val="heading 2"/>
    <w:basedOn w:val="Normal"/>
    <w:next w:val="Normal"/>
    <w:link w:val="Heading2Char1"/>
    <w:uiPriority w:val="9"/>
    <w:qFormat/>
    <w:pPr>
      <w:spacing w:before="200" w:after="0" w:line="240" w:lineRule="auto"/>
      <w:jc w:val="both"/>
      <w:outlineLvl w:val="1"/>
    </w:pPr>
    <w:rPr>
      <w:rFonts w:ascii="Cambria" w:eastAsia="MS Mincho" w:hAnsi="Cambria" w:cs="Cambria"/>
      <w:b/>
      <w:bCs/>
      <w:sz w:val="26"/>
      <w:szCs w:val="26"/>
    </w:rPr>
  </w:style>
  <w:style w:type="paragraph" w:styleId="Heading3">
    <w:name w:val="heading 3"/>
    <w:basedOn w:val="Normal"/>
    <w:next w:val="Normal"/>
    <w:link w:val="Heading3Char1"/>
    <w:uiPriority w:val="9"/>
    <w:qFormat/>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basedOn w:val="Normal"/>
    <w:next w:val="Normal"/>
    <w:link w:val="Heading8Char"/>
    <w:uiPriority w:val="9"/>
    <w:qFormat/>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character" w:customStyle="1" w:styleId="CaptionChar">
    <w:name w:val="Caption Char"/>
    <w:uiPriority w:val="99"/>
  </w:style>
  <w:style w:type="table" w:customStyle="1" w:styleId="TableGridLight">
    <w:name w:val="Table Grid Light"/>
    <w:basedOn w:val="Table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Table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TableNormal"/>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TableNormal"/>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Normal"/>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Normal"/>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Normal"/>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Normal"/>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Normal"/>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Normal"/>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TableNormal"/>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Normal"/>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Normal"/>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Normal"/>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Normal"/>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Normal"/>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Normal"/>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TableNormal"/>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Normal"/>
    <w:uiPriority w:val="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Normal"/>
    <w:uiPriority w:val="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Normal"/>
    <w:uiPriority w:val="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Normal"/>
    <w:uiPriority w:val="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Normal"/>
    <w:uiPriority w:val="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Normal"/>
    <w:uiPriority w:val="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TableNormal"/>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Normal"/>
    <w:uiPriority w:val="5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Normal"/>
    <w:uiPriority w:val="5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Normal"/>
    <w:uiPriority w:val="5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Normal"/>
    <w:uiPriority w:val="5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Normal"/>
    <w:uiPriority w:val="5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Normal"/>
    <w:uiPriority w:val="5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TableNormal"/>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Normal"/>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Normal"/>
    <w:uiPriority w:val="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Normal"/>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Normal"/>
    <w:uiPriority w:val="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Normal"/>
    <w:uiPriority w:val="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TableNormal"/>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Normal"/>
    <w:uiPriority w:val="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Normal"/>
    <w:uiPriority w:val="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Normal"/>
    <w:uiPriority w:val="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Normal"/>
    <w:uiPriority w:val="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Normal"/>
    <w:uiPriority w:val="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TableNormal"/>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Normal"/>
    <w:uiPriority w:val="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Normal"/>
    <w:uiPriority w:val="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Normal"/>
    <w:uiPriority w:val="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Normal"/>
    <w:uiPriority w:val="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Normal"/>
    <w:uiPriority w:val="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Normal"/>
    <w:uiPriority w:val="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TableNormal"/>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Normal"/>
    <w:uiPriority w:val="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Normal"/>
    <w:uiPriority w:val="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Normal"/>
    <w:uiPriority w:val="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Normal"/>
    <w:uiPriority w:val="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Normal"/>
    <w:uiPriority w:val="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Normal"/>
    <w:uiPriority w:val="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TableNormal"/>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Normal"/>
    <w:uiPriority w:val="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Normal"/>
    <w:uiPriority w:val="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Normal"/>
    <w:uiPriority w:val="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Normal"/>
    <w:uiPriority w:val="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Normal"/>
    <w:uiPriority w:val="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Normal"/>
    <w:uiPriority w:val="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TableNormal"/>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Normal"/>
    <w:uiPriority w:val="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Normal"/>
    <w:uiPriority w:val="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Normal"/>
    <w:uiPriority w:val="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Normal"/>
    <w:uiPriority w:val="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Normal"/>
    <w:uiPriority w:val="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Normal"/>
    <w:uiPriority w:val="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TableNormal"/>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Normal"/>
    <w:uiPriority w:val="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Normal"/>
    <w:uiPriority w:val="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Normal"/>
    <w:uiPriority w:val="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Normal"/>
    <w:uiPriority w:val="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Normal"/>
    <w:uiPriority w:val="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TableNormal"/>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Normal"/>
    <w:uiPriority w:val="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Normal"/>
    <w:uiPriority w:val="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Normal"/>
    <w:uiPriority w:val="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Normal"/>
    <w:uiPriority w:val="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Normal"/>
    <w:uiPriority w:val="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MS Mincho" w:hAnsi="Arial" w:cs="Arial"/>
      <w:b/>
      <w:bCs/>
      <w:sz w:val="32"/>
      <w:szCs w:val="32"/>
    </w:rPr>
  </w:style>
  <w:style w:type="character" w:customStyle="1" w:styleId="Heading2Char">
    <w:name w:val="Heading 2 Char"/>
    <w:basedOn w:val="DefaultParagraphFont"/>
    <w:uiPriority w:val="9"/>
    <w:rPr>
      <w:rFonts w:ascii="Cambria" w:eastAsia="MS Mincho" w:hAnsi="Cambria" w:cs="Cambria"/>
      <w:b/>
      <w:bCs/>
      <w:sz w:val="26"/>
      <w:szCs w:val="26"/>
    </w:rPr>
  </w:style>
  <w:style w:type="character" w:customStyle="1" w:styleId="Heading3Char">
    <w:name w:val="Heading 3 Char"/>
    <w:basedOn w:val="DefaultParagraphFont"/>
    <w:uiPriority w:val="9"/>
    <w:rPr>
      <w:rFonts w:ascii="Cambria" w:eastAsia="MS Mincho" w:hAnsi="Cambria" w:cs="Cambria"/>
      <w:b/>
      <w:bCs/>
      <w:sz w:val="24"/>
      <w:szCs w:val="24"/>
    </w:rPr>
  </w:style>
  <w:style w:type="character" w:customStyle="1" w:styleId="Heading4Char">
    <w:name w:val="Heading 4 Char"/>
    <w:basedOn w:val="DefaultParagraphFont"/>
    <w:link w:val="Heading4"/>
    <w:uiPriority w:val="9"/>
    <w:rPr>
      <w:rFonts w:ascii="Cambria" w:eastAsia="MS Mincho" w:hAnsi="Cambria" w:cs="Cambria"/>
      <w:b/>
      <w:bCs/>
      <w:i/>
      <w:iCs/>
      <w:sz w:val="24"/>
      <w:szCs w:val="24"/>
    </w:rPr>
  </w:style>
  <w:style w:type="character" w:customStyle="1" w:styleId="Heading5Char">
    <w:name w:val="Heading 5 Char"/>
    <w:basedOn w:val="DefaultParagraphFont"/>
    <w:link w:val="Heading5"/>
    <w:rPr>
      <w:rFonts w:ascii="Cambria" w:eastAsia="MS Mincho" w:hAnsi="Cambria" w:cs="Cambria"/>
      <w:b/>
      <w:bCs/>
      <w:color w:val="7F7F7F"/>
      <w:sz w:val="24"/>
      <w:szCs w:val="24"/>
    </w:rPr>
  </w:style>
  <w:style w:type="character" w:customStyle="1" w:styleId="Heading6Char">
    <w:name w:val="Heading 6 Char"/>
    <w:basedOn w:val="DefaultParagraphFont"/>
    <w:link w:val="Heading6"/>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Pr>
      <w:rFonts w:ascii="Cambria" w:eastAsia="MS Mincho" w:hAnsi="Cambria" w:cs="Cambria"/>
      <w:i/>
      <w:iCs/>
      <w:sz w:val="24"/>
      <w:szCs w:val="24"/>
    </w:rPr>
  </w:style>
  <w:style w:type="character" w:customStyle="1" w:styleId="Heading8Char">
    <w:name w:val="Heading 8 Char"/>
    <w:basedOn w:val="DefaultParagraphFont"/>
    <w:link w:val="Heading8"/>
    <w:uiPriority w:val="9"/>
    <w:rPr>
      <w:rFonts w:ascii="Cambria" w:eastAsia="MS Mincho" w:hAnsi="Cambria" w:cs="Cambria"/>
      <w:sz w:val="20"/>
      <w:szCs w:val="20"/>
    </w:rPr>
  </w:style>
  <w:style w:type="character" w:customStyle="1" w:styleId="Heading9Char">
    <w:name w:val="Heading 9 Char"/>
    <w:basedOn w:val="DefaultParagraphFont"/>
    <w:link w:val="Heading9"/>
    <w:rPr>
      <w:rFonts w:ascii="Cambria" w:eastAsia="MS Mincho" w:hAnsi="Cambria" w:cs="Cambria"/>
      <w:i/>
      <w:iCs/>
      <w:spacing w:val="5"/>
      <w:sz w:val="20"/>
      <w:szCs w:val="20"/>
    </w:rPr>
  </w:style>
  <w:style w:type="numbering" w:customStyle="1" w:styleId="NoList1">
    <w:name w:val="No List1"/>
    <w:next w:val="NoList"/>
    <w:uiPriority w:val="99"/>
    <w:semiHidden/>
    <w:unhideWhenUsed/>
  </w:style>
  <w:style w:type="paragraph" w:styleId="NoSpacing">
    <w:name w:val="No Spacing"/>
    <w:link w:val="NoSpacingChar"/>
    <w:uiPriority w:val="1"/>
    <w:qFormat/>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Pr>
      <w:rFonts w:ascii="Tahoma" w:eastAsia="Calibri" w:hAnsi="Tahoma" w:cs="Tahoma"/>
      <w:sz w:val="16"/>
      <w:szCs w:val="16"/>
    </w:rPr>
  </w:style>
  <w:style w:type="paragraph" w:styleId="Header">
    <w:name w:val="header"/>
    <w:basedOn w:val="Normal"/>
    <w:link w:val="HeaderChar"/>
    <w:uiPriority w:val="99"/>
    <w:unhideWhenUsed/>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unhideWhenUsed/>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Pr>
      <w:rFonts w:ascii="Calibri" w:eastAsia="Calibri" w:hAnsi="Calibri" w:cs="Times New Roman"/>
    </w:rPr>
  </w:style>
  <w:style w:type="paragraph" w:customStyle="1" w:styleId="Akti">
    <w:name w:val="Akti"/>
    <w:link w:val="AktiChar"/>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rPr>
      <w:rFonts w:ascii="Garamond" w:eastAsia="MS Mincho" w:hAnsi="Garamond" w:cs="CG Times"/>
      <w:b/>
      <w:bCs/>
      <w:sz w:val="24"/>
      <w:lang w:val="en-GB"/>
    </w:rPr>
  </w:style>
  <w:style w:type="paragraph" w:customStyle="1" w:styleId="Paragrafi">
    <w:name w:val="Paragrafi"/>
    <w:link w:val="ParagrafiChar"/>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rPr>
      <w:rFonts w:ascii="Garamond" w:eastAsia="MS Mincho" w:hAnsi="Garamond" w:cs="CG Times"/>
      <w:sz w:val="24"/>
    </w:rPr>
  </w:style>
  <w:style w:type="paragraph" w:customStyle="1" w:styleId="Titulli">
    <w:name w:val="Titulli"/>
    <w:next w:val="Normal"/>
    <w:link w:val="TitulliChar"/>
    <w:uiPriority w:val="9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Pr>
      <w:rFonts w:ascii="Garamond" w:eastAsia="MS Mincho" w:hAnsi="Garamond" w:cs="CG Times"/>
      <w:b/>
      <w:bCs/>
      <w:caps/>
      <w:sz w:val="24"/>
      <w:lang w:val="en-GB"/>
    </w:rPr>
  </w:style>
  <w:style w:type="character" w:customStyle="1" w:styleId="AktiChar">
    <w:name w:val="Akti Char"/>
    <w:basedOn w:val="DefaultParagraphFont"/>
    <w:link w:val="Akti"/>
    <w:rPr>
      <w:rFonts w:ascii="Garamond" w:eastAsia="MS Mincho" w:hAnsi="Garamond" w:cs="CG Times"/>
      <w:b/>
      <w:bCs/>
      <w:caps/>
      <w:color w:val="000000"/>
      <w:sz w:val="24"/>
      <w:lang w:val="en-GB"/>
    </w:rPr>
  </w:style>
  <w:style w:type="paragraph" w:customStyle="1" w:styleId="NeniNr">
    <w:name w:val="Neni_Nr"/>
    <w:next w:val="Normal"/>
    <w:link w:val="NeniNrChar"/>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Pr>
      <w:rFonts w:ascii="Garamond" w:eastAsia="MS Mincho" w:hAnsi="Garamond" w:cs="CG Times"/>
      <w:sz w:val="24"/>
      <w:lang w:val="en-GB"/>
    </w:rPr>
  </w:style>
  <w:style w:type="paragraph" w:customStyle="1" w:styleId="Autoriteti">
    <w:name w:val="Autoriteti"/>
    <w:next w:val="Normal"/>
    <w:link w:val="AutoritetiChar"/>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rPr>
      <w:rFonts w:ascii="Garamond" w:eastAsia="MS Mincho" w:hAnsi="Garamond" w:cs="CG Times"/>
      <w:caps/>
      <w:sz w:val="24"/>
      <w:lang w:val="en-GB"/>
    </w:rPr>
  </w:style>
  <w:style w:type="character" w:customStyle="1" w:styleId="AutoritetiEmerChar">
    <w:name w:val="Autoriteti_Emer Char"/>
    <w:link w:val="AutoritetiEmer"/>
    <w:rPr>
      <w:rFonts w:ascii="Garamond" w:eastAsia="MS Mincho" w:hAnsi="Garamond" w:cs="Times New Roman"/>
      <w:b/>
      <w:bCs/>
      <w:sz w:val="24"/>
      <w:lang w:val="en-GB"/>
    </w:rPr>
  </w:style>
  <w:style w:type="paragraph" w:customStyle="1" w:styleId="Titull-Titull">
    <w:name w:val="Titull-Titull"/>
    <w:basedOn w:val="Paragrafi"/>
    <w:qFormat/>
    <w:pPr>
      <w:ind w:firstLine="0"/>
      <w:jc w:val="center"/>
    </w:pPr>
    <w:rPr>
      <w:caps/>
      <w:szCs w:val="24"/>
    </w:rPr>
  </w:style>
  <w:style w:type="paragraph" w:customStyle="1" w:styleId="Vendosi">
    <w:name w:val="Vendosi"/>
    <w:basedOn w:val="Titull-Titull"/>
    <w:qFormat/>
  </w:style>
  <w:style w:type="paragraph" w:customStyle="1" w:styleId="Hapesira7">
    <w:name w:val="Hapesira 7"/>
    <w:basedOn w:val="Paragrafi"/>
    <w:qFormat/>
    <w:rPr>
      <w:sz w:val="14"/>
      <w:szCs w:val="24"/>
    </w:rPr>
  </w:style>
  <w:style w:type="paragraph" w:styleId="ListParagraph">
    <w:name w:val="List Paragraph"/>
    <w:basedOn w:val="Normal"/>
    <w:link w:val="ListParagraphChar"/>
    <w:uiPriority w:val="34"/>
    <w:qFormat/>
    <w:pPr>
      <w:ind w:left="720"/>
      <w:contextualSpacing/>
    </w:pPr>
    <w:rPr>
      <w:rFonts w:ascii="Calibri" w:eastAsia="Times New Roman" w:hAnsi="Calibri" w:cs="Times New Roman"/>
    </w:rPr>
  </w:style>
  <w:style w:type="character" w:customStyle="1" w:styleId="ListParagraphChar">
    <w:name w:val="List Paragraph Char"/>
    <w:link w:val="ListParagraph"/>
    <w:uiPriority w:val="34"/>
    <w:rPr>
      <w:rFonts w:ascii="Calibri" w:eastAsia="Times New Roman" w:hAnsi="Calibri" w:cs="Times New Roman"/>
    </w:rPr>
  </w:style>
  <w:style w:type="paragraph" w:customStyle="1" w:styleId="Style1">
    <w:name w:val="Style1"/>
    <w:basedOn w:val="Akti"/>
    <w:link w:val="Style1Char"/>
    <w:qFormat/>
  </w:style>
  <w:style w:type="character" w:customStyle="1" w:styleId="Heading2Char1">
    <w:name w:val="Heading 2 Char1"/>
    <w:link w:val="Heading2"/>
    <w:uiPriority w:val="9"/>
    <w:rPr>
      <w:rFonts w:ascii="Cambria" w:eastAsia="MS Mincho" w:hAnsi="Cambria" w:cs="Cambria"/>
      <w:b/>
      <w:bCs/>
      <w:sz w:val="26"/>
      <w:szCs w:val="26"/>
    </w:rPr>
  </w:style>
  <w:style w:type="character" w:customStyle="1" w:styleId="Heading3Char1">
    <w:name w:val="Heading 3 Char1"/>
    <w:link w:val="Heading3"/>
    <w:uiPriority w:val="9"/>
    <w:rPr>
      <w:rFonts w:ascii="Cambria" w:eastAsia="MS Mincho" w:hAnsi="Cambria" w:cs="Cambria"/>
      <w:b/>
      <w:bCs/>
      <w:sz w:val="24"/>
      <w:szCs w:val="24"/>
    </w:rPr>
  </w:style>
  <w:style w:type="paragraph" w:customStyle="1" w:styleId="ADDRESS">
    <w:name w:val="ADDRESS"/>
    <w:basedOn w:val="Normal"/>
    <w:pPr>
      <w:keepLines/>
      <w:widowControl w:val="0"/>
      <w:tabs>
        <w:tab w:val="left" w:pos="1701"/>
        <w:tab w:val="left" w:pos="2268"/>
        <w:tab w:val="left" w:pos="5387"/>
      </w:tabs>
      <w:spacing w:after="120" w:line="240" w:lineRule="atLeast"/>
      <w:ind w:left="5103" w:hanging="4282"/>
      <w:jc w:val="both"/>
    </w:pPr>
    <w:rPr>
      <w:rFonts w:ascii="Arial" w:eastAsia="MS Mincho" w:hAnsi="Arial" w:cs="Arial"/>
      <w:sz w:val="20"/>
      <w:szCs w:val="20"/>
      <w:lang w:val="en-GB"/>
    </w:rPr>
  </w:style>
  <w:style w:type="paragraph" w:customStyle="1" w:styleId="Aneksi">
    <w:name w:val="Aneksi"/>
    <w:next w:val="Normal"/>
    <w:pPr>
      <w:spacing w:after="0" w:line="240" w:lineRule="auto"/>
      <w:jc w:val="both"/>
    </w:pPr>
    <w:rPr>
      <w:rFonts w:ascii="CG Times" w:eastAsia="MS Mincho" w:hAnsi="CG Times" w:cs="CG Times"/>
      <w:sz w:val="21"/>
      <w:lang w:val="en-GB"/>
    </w:rPr>
  </w:style>
  <w:style w:type="paragraph" w:customStyle="1" w:styleId="AneksiNr">
    <w:name w:val="Aneksi_Nr"/>
    <w:next w:val="Normal"/>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Pr>
      <w:rFonts w:ascii="Arial" w:eastAsia="Times New Roman" w:hAnsi="Arial" w:cs="Arial"/>
      <w:color w:val="000000"/>
      <w:sz w:val="24"/>
      <w:szCs w:val="24"/>
    </w:rPr>
  </w:style>
  <w:style w:type="paragraph" w:customStyle="1" w:styleId="BazLigjPropozues">
    <w:name w:val="Baz_Ligj_Propozues"/>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Pr>
      <w:rFonts w:ascii="Times New Roman" w:eastAsia="Times New Roman" w:hAnsi="Times New Roman" w:cs="Times New Roman"/>
      <w:caps/>
      <w:sz w:val="26"/>
      <w:szCs w:val="26"/>
      <w:lang w:val="en-GB"/>
    </w:rPr>
  </w:style>
  <w:style w:type="character" w:customStyle="1" w:styleId="apple-converted-space">
    <w:name w:val="apple-converted-space"/>
  </w:style>
  <w:style w:type="character" w:styleId="Hyperlink">
    <w:name w:val="Hyperlink"/>
    <w:uiPriority w:val="99"/>
    <w:unhideWhenUsed/>
    <w:rPr>
      <w:color w:val="0000FF"/>
      <w:u w:val="single"/>
    </w:rPr>
  </w:style>
  <w:style w:type="character" w:styleId="FollowedHyperlink">
    <w:name w:val="FollowedHyperlink"/>
    <w:uiPriority w:val="99"/>
    <w:unhideWhenUsed/>
    <w:rPr>
      <w:color w:val="800080"/>
      <w:u w:val="single"/>
    </w:rPr>
  </w:style>
  <w:style w:type="paragraph" w:customStyle="1" w:styleId="font5">
    <w:name w:val="font5"/>
    <w:basedOn w:val="Normal"/>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pPr>
      <w:pBdr>
        <w:top w:val="single" w:sz="8" w:space="0" w:color="000000"/>
        <w:left w:val="single" w:sz="8" w:space="0" w:color="000000"/>
        <w:right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pPr>
      <w:pBdr>
        <w:top w:val="single" w:sz="8" w:space="0" w:color="000000"/>
        <w:left w:val="single" w:sz="8" w:space="0" w:color="000000"/>
        <w:bottom w:val="single" w:sz="8"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pPr>
      <w:pBdr>
        <w:top w:val="single" w:sz="8" w:space="0" w:color="000000"/>
        <w:bottom w:val="single" w:sz="8"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pPr>
      <w:pBdr>
        <w:top w:val="single" w:sz="8" w:space="0" w:color="000000"/>
        <w:bottom w:val="single" w:sz="8" w:space="0" w:color="000000"/>
        <w:right w:val="single" w:sz="8"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pPr>
      <w:pageBreakBefore/>
      <w:spacing w:after="0" w:line="240" w:lineRule="auto"/>
      <w:jc w:val="both"/>
    </w:pPr>
    <w:rPr>
      <w:rFonts w:ascii="CG Times" w:eastAsia="MS Mincho" w:hAnsi="CG Times" w:cs="CG Times"/>
      <w:b/>
      <w:bCs/>
      <w:sz w:val="21"/>
    </w:rPr>
  </w:style>
  <w:style w:type="paragraph" w:customStyle="1" w:styleId="KapitulliNr">
    <w:name w:val="Kapitulli_Nr"/>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pPr>
      <w:pBdr>
        <w:top w:val="single" w:sz="8" w:space="0" w:color="000000"/>
        <w:left w:val="single" w:sz="8" w:space="0" w:color="000000"/>
        <w:right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pPr>
      <w:pBdr>
        <w:top w:val="single" w:sz="8" w:space="0" w:color="000000"/>
        <w:left w:val="single" w:sz="6" w:space="0" w:color="000000"/>
        <w:bottom w:val="single" w:sz="8"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pPr>
      <w:pBdr>
        <w:top w:val="single" w:sz="8" w:space="0" w:color="000000"/>
        <w:bottom w:val="single" w:sz="8"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pPr>
      <w:pBdr>
        <w:top w:val="single" w:sz="8" w:space="0" w:color="000000"/>
        <w:bottom w:val="single" w:sz="8" w:space="0" w:color="000000"/>
        <w:right w:val="single" w:sz="6"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pPr>
      <w:pBdr>
        <w:top w:val="single" w:sz="8" w:space="0" w:color="000000"/>
        <w:left w:val="single" w:sz="6" w:space="0" w:color="000000"/>
        <w:right w:val="single" w:sz="8"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pPr>
      <w:pBdr>
        <w:top w:val="single" w:sz="8" w:space="0" w:color="000000"/>
        <w:left w:val="single" w:sz="8" w:space="0" w:color="000000"/>
        <w:right w:val="single" w:sz="8"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pPr>
      <w:pBdr>
        <w:left w:val="single" w:sz="8" w:space="0" w:color="000000"/>
        <w:right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pPr>
      <w:pBdr>
        <w:top w:val="single" w:sz="8" w:space="0" w:color="000000"/>
        <w:right w:val="single" w:sz="4"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pPr>
      <w:keepNext/>
      <w:widowControl w:val="0"/>
      <w:spacing w:after="0" w:line="240" w:lineRule="auto"/>
      <w:jc w:val="center"/>
    </w:pPr>
    <w:rPr>
      <w:rFonts w:ascii="CG Times" w:eastAsia="MS Mincho" w:hAnsi="CG Times" w:cs="CG Times"/>
      <w:i/>
      <w:iCs/>
      <w:sz w:val="21"/>
    </w:rPr>
  </w:style>
  <w:style w:type="paragraph" w:customStyle="1" w:styleId="NenkreuNr">
    <w:name w:val="Nenkreu_Nr"/>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pPr>
      <w:spacing w:after="0" w:line="240" w:lineRule="auto"/>
      <w:jc w:val="center"/>
    </w:pPr>
    <w:rPr>
      <w:rFonts w:ascii="CG Times" w:eastAsia="MS Mincho" w:hAnsi="CG Times" w:cs="CG Times"/>
      <w:caps/>
      <w:sz w:val="21"/>
      <w:lang w:val="en-GB"/>
    </w:rPr>
  </w:style>
  <w:style w:type="paragraph" w:customStyle="1" w:styleId="xl82">
    <w:name w:val="xl82"/>
    <w:basedOn w:val="Normal"/>
    <w:pPr>
      <w:pBdr>
        <w:top w:val="single" w:sz="8" w:space="0" w:color="000000"/>
        <w:left w:val="single" w:sz="4" w:space="0" w:color="000000"/>
        <w:right w:val="single" w:sz="4"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pPr>
      <w:pBdr>
        <w:top w:val="single" w:sz="8" w:space="0" w:color="000000"/>
        <w:left w:val="single" w:sz="4"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pPr>
      <w:pBdr>
        <w:left w:val="single" w:sz="8" w:space="0" w:color="000000"/>
        <w:right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pPr>
      <w:pBdr>
        <w:top w:val="single" w:sz="8" w:space="0" w:color="000000"/>
        <w:left w:val="single" w:sz="8" w:space="0" w:color="000000"/>
        <w:right w:val="single" w:sz="6"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pPr>
      <w:pBdr>
        <w:left w:val="single" w:sz="6" w:space="0" w:color="000000"/>
        <w:right w:val="single" w:sz="8"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pPr>
      <w:pBdr>
        <w:left w:val="single" w:sz="8" w:space="0" w:color="000000"/>
        <w:right w:val="single" w:sz="8"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pPr>
      <w:pBdr>
        <w:right w:val="single" w:sz="4"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pPr>
      <w:pBdr>
        <w:left w:val="single" w:sz="4" w:space="0" w:color="000000"/>
        <w:right w:val="single" w:sz="4"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pPr>
      <w:widowControl w:val="0"/>
      <w:spacing w:after="0" w:line="240" w:lineRule="auto"/>
      <w:jc w:val="both"/>
    </w:pPr>
    <w:rPr>
      <w:rFonts w:ascii="CG Times" w:eastAsia="MS Mincho" w:hAnsi="CG Times" w:cs="CG Times"/>
      <w:sz w:val="21"/>
    </w:rPr>
  </w:style>
  <w:style w:type="paragraph" w:customStyle="1" w:styleId="PikeKreu">
    <w:name w:val="Pike_Kreu"/>
    <w:basedOn w:val="Heading1"/>
  </w:style>
  <w:style w:type="paragraph" w:customStyle="1" w:styleId="PjesaNr">
    <w:name w:val="Pjesa_Nr"/>
    <w:next w:val="Normal"/>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pPr>
      <w:pBdr>
        <w:left w:val="single" w:sz="4"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pPr>
      <w:pBdr>
        <w:top w:val="single" w:sz="8" w:space="0" w:color="000000"/>
        <w:left w:val="single" w:sz="6" w:space="0" w:color="000000"/>
        <w:right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pPr>
      <w:pBdr>
        <w:left w:val="single" w:sz="8" w:space="0" w:color="000000"/>
        <w:right w:val="single" w:sz="6"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pPr>
      <w:pBdr>
        <w:left w:val="single" w:sz="8" w:space="0" w:color="000000"/>
        <w:bottom w:val="single" w:sz="8" w:space="0" w:color="000000"/>
        <w:right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pPr>
      <w:pBdr>
        <w:bottom w:val="single" w:sz="8" w:space="0" w:color="000000"/>
        <w:right w:val="single" w:sz="4"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pPr>
      <w:pBdr>
        <w:left w:val="single" w:sz="4" w:space="0" w:color="000000"/>
        <w:bottom w:val="single" w:sz="8" w:space="0" w:color="000000"/>
        <w:right w:val="single" w:sz="4"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pPr>
      <w:pBdr>
        <w:left w:val="single" w:sz="4" w:space="0" w:color="000000"/>
        <w:bottom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pPr>
      <w:spacing w:after="0" w:line="240" w:lineRule="auto"/>
      <w:ind w:firstLine="284"/>
      <w:jc w:val="both"/>
    </w:pPr>
    <w:rPr>
      <w:rFonts w:ascii="CG Times" w:eastAsia="MS Mincho" w:hAnsi="CG Times" w:cs="CG Times"/>
      <w:lang w:val="en-GB"/>
    </w:rPr>
  </w:style>
  <w:style w:type="paragraph" w:customStyle="1" w:styleId="xl97">
    <w:name w:val="xl97"/>
    <w:basedOn w:val="Normal"/>
    <w:pPr>
      <w:pBdr>
        <w:left w:val="single" w:sz="8" w:space="0" w:color="000000"/>
        <w:bottom w:val="single" w:sz="8" w:space="0" w:color="000000"/>
        <w:right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pPr>
      <w:pBdr>
        <w:left w:val="single" w:sz="6" w:space="0" w:color="000000"/>
        <w:bottom w:val="single" w:sz="8" w:space="0" w:color="000000"/>
        <w:right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pPr>
      <w:pBdr>
        <w:left w:val="single" w:sz="8" w:space="0" w:color="000000"/>
        <w:bottom w:val="single" w:sz="8" w:space="0" w:color="000000"/>
        <w:right w:val="single" w:sz="6"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pPr>
      <w:pBdr>
        <w:left w:val="single" w:sz="6" w:space="0" w:color="000000"/>
        <w:bottom w:val="single" w:sz="8" w:space="0" w:color="000000"/>
        <w:right w:val="single" w:sz="8" w:space="0" w:color="000000"/>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pPr>
      <w:pBdr>
        <w:top w:val="single" w:sz="8" w:space="0" w:color="000000"/>
        <w:left w:val="single" w:sz="4" w:space="0" w:color="000000"/>
        <w:bottom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pPr>
      <w:pBdr>
        <w:top w:val="single" w:sz="8" w:space="0" w:color="000000"/>
        <w:bottom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pPr>
      <w:pBdr>
        <w:top w:val="single" w:sz="8"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pPr>
      <w:pBdr>
        <w:top w:val="single" w:sz="4" w:space="0" w:color="000000"/>
        <w:left w:val="single" w:sz="8" w:space="0" w:color="000000"/>
        <w:bottom w:val="single" w:sz="8"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pPr>
      <w:pBdr>
        <w:top w:val="single" w:sz="4" w:space="0" w:color="000000"/>
        <w:left w:val="single" w:sz="4" w:space="0" w:color="000000"/>
        <w:bottom w:val="single" w:sz="8" w:space="0" w:color="000000"/>
        <w:right w:val="single" w:sz="8"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pPr>
      <w:pBdr>
        <w:left w:val="single" w:sz="8"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pPr>
      <w:pBdr>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pPr>
      <w:pBdr>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pPr>
      <w:pBdr>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pPr>
      <w:pBdr>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pPr>
      <w:pBdr>
        <w:left w:val="single" w:sz="4" w:space="0" w:color="000000"/>
        <w:bottom w:val="single" w:sz="4" w:space="0" w:color="000000"/>
        <w:right w:val="single" w:sz="8" w:space="0" w:color="000000"/>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pPr>
      <w:spacing w:after="0" w:line="240" w:lineRule="auto"/>
    </w:pPr>
    <w:rPr>
      <w:rFonts w:ascii="Times New Roman" w:eastAsia="MS Mincho"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130">
    <w:name w:val="xl13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32">
    <w:name w:val="xl132"/>
    <w:basedOn w:val="Normal"/>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Pr>
      <w:b/>
      <w:bCs/>
    </w:rPr>
  </w:style>
  <w:style w:type="paragraph" w:customStyle="1" w:styleId="xl136">
    <w:name w:val="xl136"/>
    <w:basedOn w:val="Normal"/>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pPr>
      <w:pBdr>
        <w:top w:val="single" w:sz="4" w:space="0" w:color="000000"/>
        <w:left w:val="single" w:sz="4" w:space="0" w:color="000000"/>
        <w:right w:val="single" w:sz="8" w:space="0" w:color="000000"/>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pPr>
      <w:pBdr>
        <w:top w:val="single" w:sz="8" w:space="0" w:color="000000"/>
        <w:left w:val="single" w:sz="8" w:space="0" w:color="000000"/>
        <w:bottom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pPr>
      <w:pBdr>
        <w:top w:val="single" w:sz="8" w:space="0" w:color="000000"/>
        <w:bottom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pPr>
      <w:pBdr>
        <w:top w:val="single" w:sz="8" w:space="0" w:color="000000"/>
        <w:bottom w:val="single" w:sz="8" w:space="0" w:color="000000"/>
        <w:right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pPr>
      <w:pBdr>
        <w:top w:val="single" w:sz="8" w:space="0" w:color="000000"/>
        <w:bottom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pPr>
      <w:pBdr>
        <w:top w:val="single" w:sz="8" w:space="0" w:color="000000"/>
        <w:bottom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pPr>
      <w:pBdr>
        <w:top w:val="single" w:sz="8" w:space="0" w:color="000000"/>
        <w:bottom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pPr>
      <w:pBdr>
        <w:top w:val="single" w:sz="4" w:space="0" w:color="000000"/>
        <w:left w:val="single" w:sz="4" w:space="0" w:color="000000"/>
        <w:right w:val="single" w:sz="4" w:space="0" w:color="000000"/>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pPr>
      <w:pBdr>
        <w:top w:val="single" w:sz="4" w:space="0" w:color="000000"/>
        <w:left w:val="single" w:sz="4" w:space="0" w:color="000000"/>
        <w:right w:val="single" w:sz="4" w:space="0" w:color="000000"/>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pPr>
      <w:pBdr>
        <w:top w:val="single" w:sz="4" w:space="0" w:color="000000"/>
        <w:left w:val="single" w:sz="4" w:space="0" w:color="000000"/>
        <w:bottom w:val="single" w:sz="8" w:space="0" w:color="000000"/>
        <w:right w:val="single" w:sz="8" w:space="0" w:color="000000"/>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pPr>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style>
  <w:style w:type="paragraph" w:styleId="Title">
    <w:name w:val="Title"/>
    <w:basedOn w:val="Heading1"/>
    <w:next w:val="Normal"/>
    <w:link w:val="TitleChar"/>
    <w:qFormat/>
    <w:pPr>
      <w:keepNext w:val="0"/>
      <w:pBdr>
        <w:bottom w:val="single" w:sz="4" w:space="1" w:color="000000"/>
      </w:pBdr>
      <w:tabs>
        <w:tab w:val="num" w:pos="360"/>
      </w:tabs>
      <w:spacing w:after="0"/>
      <w:ind w:left="360"/>
      <w:contextualSpacing/>
      <w:jc w:val="left"/>
    </w:pPr>
    <w:rPr>
      <w:rFonts w:ascii="Calibri" w:eastAsia="Times New Roman" w:hAnsi="Calibri"/>
      <w:bCs w:val="0"/>
      <w:caps/>
      <w:spacing w:val="10"/>
      <w:sz w:val="40"/>
      <w:szCs w:val="40"/>
      <w:lang w:val="sq-AL"/>
    </w:rPr>
  </w:style>
  <w:style w:type="character" w:customStyle="1" w:styleId="TitleChar">
    <w:name w:val="Title Char"/>
    <w:basedOn w:val="DefaultParagraphFont"/>
    <w:link w:val="Title"/>
    <w:rPr>
      <w:rFonts w:ascii="Calibri" w:eastAsia="Times New Roman" w:hAnsi="Calibri" w:cs="Arial"/>
      <w:b/>
      <w:caps/>
      <w:spacing w:val="10"/>
      <w:sz w:val="40"/>
      <w:szCs w:val="40"/>
      <w:lang w:val="sq-AL"/>
    </w:rPr>
  </w:style>
  <w:style w:type="paragraph" w:customStyle="1" w:styleId="articlebody">
    <w:name w:val="articlebody"/>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pPr>
      <w:keepLines/>
      <w:spacing w:before="480" w:after="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TOC1">
    <w:name w:val="toc 1"/>
    <w:basedOn w:val="Normal"/>
    <w:next w:val="Normal"/>
    <w:uiPriority w:val="39"/>
    <w:unhideWhenUsed/>
    <w:qFormat/>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uiPriority w:val="39"/>
    <w:unhideWhenUsed/>
    <w:qFormat/>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uiPriority w:val="39"/>
    <w:unhideWhenUsed/>
    <w:qFormat/>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uiPriority w:val="39"/>
    <w:unhideWhenUsed/>
    <w:pPr>
      <w:spacing w:after="100"/>
      <w:ind w:left="660"/>
    </w:pPr>
    <w:rPr>
      <w:rFonts w:ascii="Calibri" w:eastAsia="Times New Roman" w:hAnsi="Calibri" w:cs="Times New Roman"/>
    </w:rPr>
  </w:style>
  <w:style w:type="paragraph" w:styleId="TOC5">
    <w:name w:val="toc 5"/>
    <w:basedOn w:val="Normal"/>
    <w:next w:val="Normal"/>
    <w:uiPriority w:val="39"/>
    <w:unhideWhenUsed/>
    <w:pPr>
      <w:spacing w:after="100"/>
      <w:ind w:left="880"/>
    </w:pPr>
    <w:rPr>
      <w:rFonts w:ascii="Calibri" w:eastAsia="Times New Roman" w:hAnsi="Calibri" w:cs="Times New Roman"/>
    </w:rPr>
  </w:style>
  <w:style w:type="paragraph" w:styleId="TOC6">
    <w:name w:val="toc 6"/>
    <w:basedOn w:val="Normal"/>
    <w:next w:val="Normal"/>
    <w:uiPriority w:val="39"/>
    <w:unhideWhenUsed/>
    <w:pPr>
      <w:spacing w:after="100"/>
      <w:ind w:left="1100"/>
    </w:pPr>
    <w:rPr>
      <w:rFonts w:ascii="Calibri" w:eastAsia="Times New Roman" w:hAnsi="Calibri" w:cs="Times New Roman"/>
    </w:rPr>
  </w:style>
  <w:style w:type="paragraph" w:styleId="TOC7">
    <w:name w:val="toc 7"/>
    <w:basedOn w:val="Normal"/>
    <w:next w:val="Normal"/>
    <w:uiPriority w:val="39"/>
    <w:unhideWhenUsed/>
    <w:pPr>
      <w:spacing w:after="100"/>
      <w:ind w:left="1320"/>
    </w:pPr>
    <w:rPr>
      <w:rFonts w:ascii="Calibri" w:eastAsia="Times New Roman" w:hAnsi="Calibri" w:cs="Times New Roman"/>
    </w:rPr>
  </w:style>
  <w:style w:type="paragraph" w:styleId="TOC8">
    <w:name w:val="toc 8"/>
    <w:basedOn w:val="Normal"/>
    <w:next w:val="Normal"/>
    <w:uiPriority w:val="39"/>
    <w:unhideWhenUsed/>
    <w:pPr>
      <w:spacing w:after="100"/>
      <w:ind w:left="1540"/>
    </w:pPr>
    <w:rPr>
      <w:rFonts w:ascii="Calibri" w:eastAsia="Times New Roman" w:hAnsi="Calibri" w:cs="Times New Roman"/>
    </w:rPr>
  </w:style>
  <w:style w:type="paragraph" w:styleId="TOC9">
    <w:name w:val="toc 9"/>
    <w:basedOn w:val="Normal"/>
    <w:next w:val="Normal"/>
    <w:uiPriority w:val="39"/>
    <w:unhideWhenUsed/>
    <w:pPr>
      <w:spacing w:after="100"/>
      <w:ind w:left="1760"/>
    </w:pPr>
    <w:rPr>
      <w:rFonts w:ascii="Calibri" w:eastAsia="Times New Roman" w:hAnsi="Calibri" w:cs="Times New Roman"/>
    </w:rPr>
  </w:style>
  <w:style w:type="paragraph" w:styleId="BodyTextIndent">
    <w:name w:val="Body Text Indent"/>
    <w:basedOn w:val="Normal"/>
    <w:link w:val="BodyTextIndentChar"/>
    <w:uiPriority w:val="99"/>
    <w:unhideWhenUsed/>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Pr>
      <w:rFonts w:ascii="Calibri" w:eastAsia="Calibri" w:hAnsi="Calibri" w:cs="Times New Roman"/>
    </w:rPr>
  </w:style>
  <w:style w:type="paragraph" w:customStyle="1" w:styleId="numridata0">
    <w:name w:val="numridata"/>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Pr>
      <w:rFonts w:ascii="Times New Roman" w:eastAsia="Times New Roman" w:hAnsi="Times New Roman" w:cs="Times New Roman"/>
      <w:sz w:val="16"/>
      <w:szCs w:val="16"/>
    </w:rPr>
  </w:style>
  <w:style w:type="paragraph" w:customStyle="1" w:styleId="s32b251d">
    <w:name w:val="s32b251d"/>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style>
  <w:style w:type="paragraph" w:customStyle="1" w:styleId="s30eec3f8">
    <w:name w:val="s30eec3f8"/>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rPr>
      <w:sz w:val="24"/>
      <w:lang w:val="en-GB" w:eastAsia="fr-FR"/>
    </w:rPr>
  </w:style>
  <w:style w:type="paragraph" w:customStyle="1" w:styleId="JuPara">
    <w:name w:val="Ju_Para"/>
    <w:basedOn w:val="Normal"/>
    <w:link w:val="JuParaCar"/>
    <w:qFormat/>
    <w:pPr>
      <w:spacing w:after="0" w:line="240" w:lineRule="auto"/>
      <w:ind w:firstLine="284"/>
      <w:jc w:val="both"/>
    </w:pPr>
    <w:rPr>
      <w:sz w:val="24"/>
      <w:lang w:val="en-GB" w:eastAsia="fr-FR"/>
    </w:rPr>
  </w:style>
  <w:style w:type="paragraph" w:customStyle="1" w:styleId="BodyText212pt">
    <w:name w:val="Body Text 2 + 12 pt"/>
    <w:next w:val="Level1"/>
    <w:uiPriority w:val="9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pPr>
      <w:keepNext/>
      <w:keepLines/>
      <w:numPr>
        <w:numId w:val="2"/>
      </w:numPr>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basedOn w:val="Normal"/>
    <w:link w:val="FootnoteTextChar"/>
    <w:uiPriority w:val="99"/>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uiPriority w:val="99"/>
    <w:rPr>
      <w:rFonts w:ascii="Times New Roman" w:eastAsia="MS Mincho" w:hAnsi="Times New Roman" w:cs="Times New Roman"/>
      <w:sz w:val="20"/>
      <w:szCs w:val="20"/>
      <w:lang w:val="sq-AL"/>
    </w:rPr>
  </w:style>
  <w:style w:type="character" w:styleId="FootnoteReference">
    <w:name w:val="footnote reference"/>
    <w:link w:val="BVIfnrCarCarCarCarChar"/>
    <w:uiPriority w:val="99"/>
    <w:qFormat/>
    <w:rPr>
      <w:vertAlign w:val="superscript"/>
    </w:rPr>
  </w:style>
  <w:style w:type="paragraph" w:customStyle="1" w:styleId="ju-005fpara">
    <w:name w:val="ju-005fpara"/>
    <w:basedOn w:val="Normal"/>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style>
  <w:style w:type="character" w:customStyle="1" w:styleId="s7d2086b4">
    <w:name w:val="s7d2086b4"/>
    <w:basedOn w:val="DefaultParagraphFont"/>
    <w:uiPriority w:val="99"/>
  </w:style>
  <w:style w:type="character" w:customStyle="1" w:styleId="hps">
    <w:name w:val="hps"/>
    <w:basedOn w:val="DefaultParagraphFont"/>
  </w:style>
  <w:style w:type="paragraph" w:customStyle="1" w:styleId="paragrafi0">
    <w:name w:val="paragrafi"/>
    <w:basedOn w:val="Normal"/>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Pr>
      <w:rFonts w:cs="Times New Roman"/>
    </w:rPr>
  </w:style>
  <w:style w:type="paragraph" w:customStyle="1" w:styleId="titulli0">
    <w:name w:val="titulli"/>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style>
  <w:style w:type="paragraph" w:customStyle="1" w:styleId="akti0">
    <w:name w:val="akti"/>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style>
  <w:style w:type="paragraph" w:customStyle="1" w:styleId="CM49">
    <w:name w:val="CM49"/>
    <w:basedOn w:val="Normal"/>
    <w:next w:val="Normal"/>
    <w:pPr>
      <w:widowControl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pPr>
      <w:widowControl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pPr>
      <w:widowControl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pPr>
      <w:widowControl w:val="0"/>
    </w:pPr>
    <w:rPr>
      <w:rFonts w:ascii="Helvetica" w:eastAsia="Times New Roman" w:hAnsi="Helvetica" w:cs="Helvetica"/>
      <w:lang w:val="sq-AL"/>
    </w:rPr>
  </w:style>
  <w:style w:type="paragraph" w:customStyle="1" w:styleId="CM57">
    <w:name w:val="CM57"/>
    <w:basedOn w:val="Normal"/>
    <w:next w:val="Normal"/>
    <w:pPr>
      <w:widowControl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pPr>
      <w:widowControl w:val="0"/>
      <w:spacing w:after="0" w:line="253" w:lineRule="atLeast"/>
    </w:pPr>
    <w:rPr>
      <w:rFonts w:ascii="Helvetica" w:eastAsia="Times New Roman" w:hAnsi="Helvetica" w:cs="Helvetica"/>
      <w:sz w:val="24"/>
      <w:szCs w:val="24"/>
      <w:lang w:val="sq-AL"/>
    </w:rPr>
  </w:style>
  <w:style w:type="paragraph" w:customStyle="1" w:styleId="Normal0">
    <w:name w:val="[Normal]"/>
    <w:pPr>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ote">
    <w:name w:val="note"/>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style>
  <w:style w:type="character" w:customStyle="1" w:styleId="StyleHeading6BoldChar">
    <w:name w:val="Style Heading 6 + Bold Char"/>
    <w:link w:val="StyleHeading6Bold"/>
    <w:rPr>
      <w:rFonts w:ascii="Cambria" w:eastAsia="MS Mincho" w:hAnsi="Cambria" w:cs="Cambria"/>
      <w:b/>
      <w:bCs/>
      <w:i/>
      <w:iCs/>
      <w:color w:val="7F7F7F"/>
      <w:sz w:val="24"/>
      <w:szCs w:val="24"/>
    </w:rPr>
  </w:style>
  <w:style w:type="paragraph" w:customStyle="1" w:styleId="tableheaders">
    <w:name w:val="table headers"/>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Pr>
      <w:b w:val="0"/>
    </w:rPr>
  </w:style>
  <w:style w:type="paragraph" w:styleId="PlainText">
    <w:name w:val="Plain Text"/>
    <w:basedOn w:val="Normal"/>
    <w:link w:val="PlainTextChar"/>
    <w:uiPriority w:val="99"/>
    <w:unhideWhenUsed/>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Pr>
      <w:rFonts w:ascii="Consolas" w:eastAsia="Calibri" w:hAnsi="Consolas" w:cs="Times New Roman"/>
      <w:sz w:val="21"/>
      <w:szCs w:val="21"/>
      <w:lang w:val="sq-AL"/>
    </w:rPr>
  </w:style>
  <w:style w:type="paragraph" w:customStyle="1" w:styleId="StyleStyle1Bold">
    <w:name w:val="Style Style1 + Bold"/>
    <w:basedOn w:val="Style1"/>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rPr>
      <w:rFonts w:ascii="EUAlbertina" w:hAnsi="EUAlbertina"/>
      <w:color w:val="auto"/>
    </w:rPr>
  </w:style>
  <w:style w:type="paragraph" w:customStyle="1" w:styleId="CM4">
    <w:name w:val="CM4"/>
    <w:basedOn w:val="Normal"/>
    <w:next w:val="Normal"/>
    <w:pPr>
      <w:spacing w:after="0" w:line="240" w:lineRule="auto"/>
    </w:pPr>
    <w:rPr>
      <w:rFonts w:ascii="EUAlbertina" w:eastAsia="Times New Roman" w:hAnsi="EUAlbertina" w:cs="Times New Roman"/>
      <w:sz w:val="24"/>
      <w:szCs w:val="24"/>
    </w:rPr>
  </w:style>
  <w:style w:type="paragraph" w:customStyle="1" w:styleId="CM3">
    <w:name w:val="CM3"/>
    <w:basedOn w:val="Normal"/>
    <w:next w:val="Normal"/>
    <w:pPr>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Pr>
      <w:rFonts w:ascii="Tahoma" w:eastAsia="Times New Roman" w:hAnsi="Tahoma" w:cs="Times New Roman"/>
      <w:sz w:val="16"/>
      <w:szCs w:val="16"/>
      <w:lang w:val="sq-AL"/>
    </w:rPr>
  </w:style>
  <w:style w:type="numbering" w:customStyle="1" w:styleId="NoList3">
    <w:name w:val="No List3"/>
    <w:next w:val="NoList"/>
    <w:semiHidden/>
  </w:style>
  <w:style w:type="numbering" w:customStyle="1" w:styleId="NoList4">
    <w:name w:val="No List4"/>
    <w:next w:val="NoList"/>
    <w:semiHidden/>
  </w:style>
  <w:style w:type="paragraph" w:customStyle="1" w:styleId="Point1">
    <w:name w:val="Point 1"/>
    <w:basedOn w:val="Normal"/>
    <w:link w:val="Point1Char"/>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Pr>
      <w:rFonts w:ascii="Calibri" w:eastAsia="Times New Roman" w:hAnsi="Calibri" w:cs="Times New Roman"/>
      <w:sz w:val="24"/>
      <w:szCs w:val="24"/>
      <w:lang w:val="en-GB" w:eastAsia="en-GB"/>
    </w:rPr>
  </w:style>
  <w:style w:type="character" w:customStyle="1" w:styleId="longtext">
    <w:name w:val="long_text"/>
    <w:rPr>
      <w:rFonts w:ascii="Comic Sans MS" w:hAnsi="Comic Sans MS"/>
      <w:b/>
      <w:sz w:val="96"/>
      <w:szCs w:val="24"/>
      <w:lang w:val="pl-PL" w:eastAsia="pl-PL" w:bidi="ar-SA"/>
    </w:rPr>
  </w:style>
  <w:style w:type="paragraph" w:customStyle="1" w:styleId="Text1">
    <w:name w:val="Text 1"/>
    <w:basedOn w:val="Normal"/>
    <w:link w:val="Text1Char"/>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style>
  <w:style w:type="character" w:customStyle="1" w:styleId="SectionTitleCharCharChar">
    <w:name w:val="SectionTitle Char Char Char"/>
    <w:link w:val="SectionTitleCharChar"/>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Pr>
      <w:rFonts w:ascii="Calibri" w:eastAsia="Times New Roman" w:hAnsi="Calibri" w:cs="Times New Roman"/>
      <w:b/>
      <w:bCs/>
      <w:smallCaps/>
      <w:sz w:val="28"/>
      <w:szCs w:val="28"/>
      <w:lang w:val="en-GB" w:eastAsia="en-GB"/>
    </w:rPr>
  </w:style>
  <w:style w:type="character" w:customStyle="1" w:styleId="Text1Char">
    <w:name w:val="Text 1 Char"/>
    <w:link w:val="Text1"/>
    <w:rPr>
      <w:rFonts w:ascii="Calibri" w:eastAsia="Times New Roman" w:hAnsi="Calibri" w:cs="Times New Roman"/>
      <w:sz w:val="24"/>
      <w:szCs w:val="24"/>
      <w:lang w:val="en-GB" w:eastAsia="en-GB"/>
    </w:rPr>
  </w:style>
  <w:style w:type="character" w:customStyle="1" w:styleId="Point1CharChar">
    <w:name w:val="Point 1 Char Char"/>
    <w:rPr>
      <w:sz w:val="24"/>
      <w:szCs w:val="24"/>
      <w:lang w:val="en-GB" w:eastAsia="en-GB" w:bidi="ar-SA"/>
    </w:rPr>
  </w:style>
  <w:style w:type="paragraph" w:customStyle="1" w:styleId="Point0">
    <w:name w:val="Point 0"/>
    <w:basedOn w:val="Normal"/>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Pr>
      <w:rFonts w:ascii="CG Times" w:hAnsi="CG Times"/>
      <w:sz w:val="22"/>
      <w:lang w:val="en-US" w:eastAsia="en-US" w:bidi="ar-SA"/>
    </w:rPr>
  </w:style>
  <w:style w:type="paragraph" w:customStyle="1" w:styleId="SectionTitle">
    <w:name w:val="SectionTitle"/>
    <w:basedOn w:val="Normal"/>
    <w:next w:val="Heading1"/>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style>
  <w:style w:type="paragraph" w:styleId="TableofFigures">
    <w:name w:val="table of figures"/>
    <w:basedOn w:val="Normal"/>
    <w:next w:val="Normal"/>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semiHidden/>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semiHidden/>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semiHidden/>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semiHidden/>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semiHidden/>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semiHidden/>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semiHidden/>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semiHidden/>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semiHidden/>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pPr>
      <w:spacing w:after="0" w:line="360" w:lineRule="auto"/>
    </w:pPr>
    <w:rPr>
      <w:rFonts w:ascii="Tahoma" w:eastAsia="Times New Roman" w:hAnsi="Tahoma" w:cs="Times New Roman"/>
      <w:lang w:val="de-AT" w:eastAsia="de-DE"/>
    </w:rPr>
  </w:style>
  <w:style w:type="paragraph" w:styleId="List">
    <w:name w:val="List"/>
    <w:basedOn w:val="Normal"/>
    <w:pPr>
      <w:spacing w:after="0" w:line="360" w:lineRule="auto"/>
      <w:ind w:left="454" w:hanging="454"/>
    </w:pPr>
    <w:rPr>
      <w:rFonts w:ascii="Tahoma" w:eastAsia="Times New Roman" w:hAnsi="Tahoma" w:cs="Times New Roman"/>
      <w:lang w:val="de-AT" w:eastAsia="de-DE"/>
    </w:rPr>
  </w:style>
  <w:style w:type="paragraph" w:styleId="List2">
    <w:name w:val="List 2"/>
    <w:basedOn w:val="Normal"/>
    <w:pPr>
      <w:spacing w:after="0" w:line="360" w:lineRule="auto"/>
      <w:ind w:left="681" w:hanging="454"/>
    </w:pPr>
    <w:rPr>
      <w:rFonts w:ascii="Tahoma" w:eastAsia="Times New Roman" w:hAnsi="Tahoma" w:cs="Times New Roman"/>
      <w:lang w:val="de-AT" w:eastAsia="de-DE"/>
    </w:rPr>
  </w:style>
  <w:style w:type="paragraph" w:styleId="List3">
    <w:name w:val="List 3"/>
    <w:basedOn w:val="Normal"/>
    <w:pPr>
      <w:spacing w:after="0" w:line="360" w:lineRule="auto"/>
      <w:ind w:left="908" w:hanging="454"/>
    </w:pPr>
    <w:rPr>
      <w:rFonts w:ascii="Tahoma" w:eastAsia="Times New Roman" w:hAnsi="Tahoma" w:cs="Times New Roman"/>
      <w:lang w:val="de-AT" w:eastAsia="de-DE"/>
    </w:rPr>
  </w:style>
  <w:style w:type="paragraph" w:styleId="List4">
    <w:name w:val="List 4"/>
    <w:basedOn w:val="Normal"/>
    <w:pPr>
      <w:spacing w:after="0" w:line="360" w:lineRule="auto"/>
      <w:ind w:left="1134" w:hanging="454"/>
    </w:pPr>
    <w:rPr>
      <w:rFonts w:ascii="Tahoma" w:eastAsia="Times New Roman" w:hAnsi="Tahoma" w:cs="Times New Roman"/>
      <w:lang w:val="de-AT" w:eastAsia="de-DE"/>
    </w:rPr>
  </w:style>
  <w:style w:type="paragraph" w:styleId="List5">
    <w:name w:val="List 5"/>
    <w:basedOn w:val="Normal"/>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pPr>
      <w:spacing w:after="0" w:line="360" w:lineRule="auto"/>
      <w:ind w:left="1134"/>
    </w:pPr>
    <w:rPr>
      <w:rFonts w:ascii="Tahoma" w:eastAsia="Times New Roman" w:hAnsi="Tahoma" w:cs="Times New Roman"/>
      <w:lang w:val="de-AT" w:eastAsia="de-DE"/>
    </w:rPr>
  </w:style>
  <w:style w:type="paragraph" w:styleId="ListNumber">
    <w:name w:val="List Number"/>
    <w:basedOn w:val="Normal"/>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Calibri" w:eastAsia="MS Mincho" w:hAnsi="Calibri" w:cs="Times New Roman"/>
      <w:b/>
      <w:bCs/>
      <w:sz w:val="20"/>
      <w:szCs w:val="20"/>
      <w:lang w:val="sq-AL"/>
    </w:rPr>
  </w:style>
  <w:style w:type="paragraph" w:styleId="ListNumber4">
    <w:name w:val="List Number 4"/>
    <w:basedOn w:val="Normal"/>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Pr>
      <w:rFonts w:ascii="Courier New" w:eastAsia="Times New Roman" w:hAnsi="Courier New" w:cs="Times New Roman"/>
      <w:lang w:val="de-DE" w:eastAsia="de-DE"/>
    </w:rPr>
  </w:style>
  <w:style w:type="paragraph" w:styleId="NormalIndent">
    <w:name w:val="Normal Indent"/>
    <w:basedOn w:val="Normal"/>
    <w:link w:val="NormalIndentChar"/>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Pr>
      <w:rFonts w:ascii="Tahoma" w:hAnsi="Tahoma"/>
      <w:sz w:val="22"/>
    </w:rPr>
  </w:style>
  <w:style w:type="paragraph" w:styleId="BlockText">
    <w:name w:val="Block Text"/>
    <w:basedOn w:val="Normal"/>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rPr>
      <w:rFonts w:ascii="Tahoma" w:eastAsia="Times New Roman" w:hAnsi="Tahoma" w:cs="Times New Roman"/>
      <w:lang w:val="de-AT" w:eastAsia="de-DE"/>
    </w:rPr>
  </w:style>
  <w:style w:type="character" w:customStyle="1" w:styleId="Emphasis1">
    <w:name w:val="Emphasis1"/>
    <w:semiHidden/>
  </w:style>
  <w:style w:type="paragraph" w:styleId="NoteHeading">
    <w:name w:val="Note Heading"/>
    <w:basedOn w:val="Normal"/>
    <w:next w:val="Normal"/>
    <w:link w:val="NoteHeadingChar"/>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Pr>
      <w:rFonts w:ascii="Tahoma" w:eastAsia="Times New Roman" w:hAnsi="Tahoma" w:cs="Times New Roman"/>
      <w:lang w:val="de-AT" w:eastAsia="de-DE"/>
    </w:rPr>
  </w:style>
  <w:style w:type="paragraph" w:styleId="MessageHeader">
    <w:name w:val="Message Header"/>
    <w:basedOn w:val="Normal"/>
    <w:link w:val="MessageHeaderChar"/>
    <w:pPr>
      <w:pBdr>
        <w:top w:val="single" w:sz="6" w:space="1" w:color="000000"/>
        <w:left w:val="single" w:sz="6" w:space="1" w:color="000000"/>
        <w:bottom w:val="single" w:sz="6" w:space="1" w:color="000000"/>
        <w:right w:val="single" w:sz="6" w:space="1" w:color="000000"/>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pPr>
      <w:spacing w:after="120" w:line="360" w:lineRule="auto"/>
      <w:ind w:left="284"/>
    </w:pPr>
    <w:rPr>
      <w:rFonts w:ascii="Tahoma" w:eastAsia="Times New Roman" w:hAnsi="Tahoma" w:cs="Times New Roman"/>
      <w:lang w:val="de-AT" w:eastAsia="de-DE"/>
    </w:rPr>
  </w:style>
  <w:style w:type="paragraph" w:styleId="EndnoteText">
    <w:name w:val="endnote text"/>
    <w:basedOn w:val="Normal"/>
    <w:link w:val="EndnoteTextChar"/>
    <w:unhideWhenUsed/>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rPr>
      <w:rFonts w:ascii="Tahoma" w:eastAsia="Times New Roman" w:hAnsi="Tahoma" w:cs="Times New Roman"/>
      <w:sz w:val="20"/>
      <w:szCs w:val="20"/>
    </w:rPr>
  </w:style>
  <w:style w:type="character" w:styleId="EndnoteReference">
    <w:name w:val="endnote reference"/>
    <w:semiHidden/>
    <w:unhideWhenUsed/>
    <w:rPr>
      <w:vertAlign w:val="superscript"/>
    </w:rPr>
  </w:style>
  <w:style w:type="paragraph" w:styleId="BodyTextFirstIndent2">
    <w:name w:val="Body Text First Indent 2"/>
    <w:basedOn w:val="BodyTextIndent"/>
    <w:link w:val="BodyTextFirstIndent2Char"/>
    <w:semiHidden/>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Pr>
      <w:rFonts w:ascii="Tahoma" w:eastAsia="Times New Roman" w:hAnsi="Tahoma" w:cs="Times New Roman"/>
      <w:lang w:val="de-AT" w:eastAsia="de-DE"/>
    </w:rPr>
  </w:style>
  <w:style w:type="numbering" w:styleId="111111">
    <w:name w:val="Outline List 2"/>
    <w:basedOn w:val="NoList"/>
    <w:semiHidden/>
    <w:pPr>
      <w:numPr>
        <w:numId w:val="14"/>
      </w:numPr>
    </w:pPr>
  </w:style>
  <w:style w:type="paragraph" w:customStyle="1" w:styleId="Zusatz2">
    <w:name w:val="Zusatz 2"/>
    <w:basedOn w:val="Normal"/>
    <w:next w:val="Normal"/>
    <w:semiHidden/>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pPr>
      <w:numPr>
        <w:numId w:val="15"/>
      </w:numPr>
    </w:pPr>
  </w:style>
  <w:style w:type="paragraph" w:styleId="Salutation">
    <w:name w:val="Salutation"/>
    <w:basedOn w:val="Normal"/>
    <w:next w:val="Normal"/>
    <w:link w:val="SalutationChar"/>
    <w:semiHidden/>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Pr>
      <w:rFonts w:ascii="Tahoma" w:eastAsia="Times New Roman" w:hAnsi="Tahoma" w:cs="Times New Roman"/>
      <w:lang w:val="de-AT" w:eastAsia="de-DE"/>
    </w:rPr>
  </w:style>
  <w:style w:type="numbering" w:styleId="ArticleSection">
    <w:name w:val="Outline List 3"/>
    <w:basedOn w:val="NoList"/>
    <w:semiHidden/>
    <w:pPr>
      <w:numPr>
        <w:numId w:val="16"/>
      </w:numPr>
    </w:pPr>
  </w:style>
  <w:style w:type="paragraph" w:styleId="Closing">
    <w:name w:val="Closing"/>
    <w:basedOn w:val="Normal"/>
    <w:link w:val="ClosingChar"/>
    <w:semiHidden/>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Pr>
      <w:rFonts w:ascii="Tahoma" w:eastAsia="Times New Roman" w:hAnsi="Tahoma" w:cs="Times New Roman"/>
      <w:lang w:val="de-AT" w:eastAsia="de-DE"/>
    </w:rPr>
  </w:style>
  <w:style w:type="character" w:styleId="Emphasis">
    <w:name w:val="Emphasis"/>
    <w:uiPriority w:val="20"/>
    <w:qFormat/>
    <w:rPr>
      <w:i/>
      <w:iCs/>
    </w:rPr>
  </w:style>
  <w:style w:type="paragraph" w:styleId="HTMLAddress">
    <w:name w:val="HTML Address"/>
    <w:basedOn w:val="Normal"/>
    <w:link w:val="HTMLAddressChar"/>
    <w:semiHidden/>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Pr>
      <w:rFonts w:ascii="Tahoma" w:eastAsia="Times New Roman" w:hAnsi="Tahoma" w:cs="Times New Roman"/>
      <w:i/>
      <w:iCs/>
      <w:lang w:val="de-AT" w:eastAsia="de-DE"/>
    </w:rPr>
  </w:style>
  <w:style w:type="character" w:styleId="HTMLAcronym">
    <w:name w:val="HTML Acronym"/>
    <w:semiHidden/>
  </w:style>
  <w:style w:type="character" w:styleId="HTMLSample">
    <w:name w:val="HTML Sample"/>
    <w:semiHidden/>
    <w:rPr>
      <w:rFonts w:ascii="Courier New" w:hAnsi="Courier New" w:cs="Courier New"/>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Typewriter">
    <w:name w:val="HTML Typewriter"/>
    <w:semiHidden/>
    <w:rPr>
      <w:rFonts w:ascii="Courier New" w:hAnsi="Courier New" w:cs="Courier New"/>
      <w:sz w:val="20"/>
      <w:szCs w:val="20"/>
    </w:rPr>
  </w:style>
  <w:style w:type="character" w:styleId="HTMLKeyboard">
    <w:name w:val="HTML Keyboard"/>
    <w:semiHidden/>
    <w:rPr>
      <w:rFonts w:ascii="Courier New" w:hAnsi="Courier New" w:cs="Courier New"/>
      <w:sz w:val="20"/>
      <w:szCs w:val="20"/>
    </w:rPr>
  </w:style>
  <w:style w:type="character" w:styleId="HTMLVariable">
    <w:name w:val="HTML Variable"/>
    <w:semiHidden/>
    <w:rPr>
      <w:i/>
      <w:iCs/>
    </w:rPr>
  </w:style>
  <w:style w:type="paragraph" w:styleId="HTMLPreformatted">
    <w:name w:val="HTML Preformatted"/>
    <w:basedOn w:val="Normal"/>
    <w:link w:val="HTMLPreformattedChar"/>
    <w:uiPriority w:val="99"/>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Pr>
      <w:rFonts w:ascii="Courier New" w:eastAsia="Times New Roman" w:hAnsi="Courier New" w:cs="Times New Roman"/>
      <w:sz w:val="20"/>
      <w:lang w:val="de-AT" w:eastAsia="de-DE"/>
    </w:rPr>
  </w:style>
  <w:style w:type="character" w:styleId="HTMLCite">
    <w:name w:val="HTML Cite"/>
    <w:semiHidden/>
    <w:rPr>
      <w:i/>
      <w:iCs/>
    </w:rPr>
  </w:style>
  <w:style w:type="table" w:styleId="Table3Deffects1">
    <w:name w:val="Table 3D effects 1"/>
    <w:basedOn w:val="TableNormal"/>
    <w:semiHidden/>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000000"/>
          <w:bottom w:val="none" w:sz="0" w:space="0" w:color="000000"/>
        </w:tcBorders>
      </w:tcPr>
    </w:tblStylePr>
    <w:tblStylePr w:type="nwCell">
      <w:tblPr/>
      <w:tcPr>
        <w:tcBorders>
          <w:bottom w:val="none" w:sz="0" w:space="0" w:color="000000"/>
          <w:right w:val="none" w:sz="0" w:space="0" w:color="000000"/>
        </w:tcBorders>
      </w:tcPr>
    </w:tblStylePr>
    <w:tblStylePr w:type="seCell">
      <w:tblPr/>
      <w:tcPr>
        <w:tcBorders>
          <w:top w:val="none" w:sz="0" w:space="0" w:color="000000"/>
          <w:left w:val="none" w:sz="0" w:space="0" w:color="000000"/>
        </w:tcBorders>
      </w:tcPr>
    </w:tblStylePr>
    <w:tblStylePr w:type="swCell">
      <w:rPr>
        <w:color w:val="000080"/>
      </w:rPr>
      <w:tblPr/>
      <w:tcPr>
        <w:tcBorders>
          <w:top w:val="none" w:sz="0" w:space="0" w:color="000000"/>
          <w:right w:val="none" w:sz="0" w:space="0" w:color="000000"/>
        </w:tcBorders>
      </w:tcPr>
    </w:tblStylePr>
  </w:style>
  <w:style w:type="table" w:styleId="Table3Deffects2">
    <w:name w:val="Table 3D effects 2"/>
    <w:basedOn w:val="TableNormal"/>
    <w:semiHidden/>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StylePr>
    <w:tblStylePr w:type="firstCol">
      <w:tblPr/>
      <w:tcPr>
        <w:tcBorders>
          <w:top w:val="none" w:sz="0" w:space="0" w:color="000000"/>
          <w:bottom w:val="none" w:sz="0" w:space="0" w:color="000000"/>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Table3Deffects3">
    <w:name w:val="Table 3D effects 3"/>
    <w:basedOn w:val="TableNormal"/>
    <w:semiHidden/>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StylePr>
    <w:tblStylePr w:type="firstCol">
      <w:tblPr/>
      <w:tcPr>
        <w:tcBorders>
          <w:top w:val="none" w:sz="0" w:space="0" w:color="000000"/>
          <w:bottom w:val="none" w:sz="0" w:space="0" w:color="000000"/>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table" w:styleId="TableContemporary">
    <w:name w:val="Table Contemporary"/>
    <w:basedOn w:val="TableNormal"/>
    <w:semiHidden/>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Simple1">
    <w:name w:val="Table Simple 1"/>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semiHidden/>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cBorders>
          <w:left w:val="none" w:sz="0" w:space="0" w:color="000000"/>
        </w:tcBorders>
      </w:tcPr>
    </w:tblStylePr>
    <w:tblStylePr w:type="swCell">
      <w:rPr>
        <w:b/>
        <w:bCs/>
      </w:rPr>
      <w:tblPr/>
      <w:tcPr>
        <w:tcBorders>
          <w:top w:val="none" w:sz="0" w:space="0" w:color="000000"/>
        </w:tcBorders>
      </w:tcPr>
    </w:tblStylePr>
  </w:style>
  <w:style w:type="table" w:styleId="TableSimple3">
    <w:name w:val="Table Simple 3"/>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shd w:val="solid" w:color="000000" w:fill="FFFFFF"/>
      </w:tcPr>
    </w:tblStylePr>
  </w:style>
  <w:style w:type="table" w:styleId="TableElegant">
    <w:name w:val="Table Elegant"/>
    <w:basedOn w:val="TableNormal"/>
    <w:semiHidden/>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StylePr>
  </w:style>
  <w:style w:type="table" w:styleId="TableColorful1">
    <w:name w:val="Table Colorful 1"/>
    <w:basedOn w:val="TableNormal"/>
    <w:semiHidden/>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TableColorful2">
    <w:name w:val="Table Colorful 2"/>
    <w:basedOn w:val="TableNormal"/>
    <w:semiHidden/>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TableColorful3">
    <w:name w:val="Table Colorful 3"/>
    <w:basedOn w:val="TableNormal"/>
    <w:semiHidden/>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lassic1">
    <w:name w:val="Table Classic 1"/>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Classic2">
    <w:name w:val="Table Classic 2"/>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TableClassic3">
    <w:name w:val="Table Classic 3"/>
    <w:basedOn w:val="TableNormal"/>
    <w:semiHidden/>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leClassic4">
    <w:name w:val="Table Classic 4"/>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paragraph" w:styleId="Revision">
    <w:name w:val="Revision"/>
    <w:hidden/>
    <w:uiPriority w:val="99"/>
    <w:semiHidden/>
    <w:pPr>
      <w:spacing w:after="0" w:line="240" w:lineRule="auto"/>
      <w:ind w:firstLine="284"/>
      <w:jc w:val="both"/>
    </w:pPr>
    <w:rPr>
      <w:rFonts w:ascii="Calibri" w:eastAsia="Calibri" w:hAnsi="Calibri" w:cs="Times New Roman"/>
    </w:rPr>
  </w:style>
  <w:style w:type="table" w:styleId="TableList1">
    <w:name w:val="Table List 1"/>
    <w:basedOn w:val="TableNormal"/>
    <w:semiHidden/>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TableList2">
    <w:name w:val="Table List 2"/>
    <w:basedOn w:val="TableNormal"/>
    <w:semiHidden/>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TableList3">
    <w:name w:val="Table List 3"/>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styleId="TableList4">
    <w:name w:val="Table List 4"/>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leList5">
    <w:name w:val="Table List 5"/>
    <w:basedOn w:val="TableNormal"/>
    <w:semiHidden/>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styleId="TableList6">
    <w:name w:val="Table List 6"/>
    <w:basedOn w:val="TableNormal"/>
    <w:semiHidden/>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semiHidden/>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semiHidden/>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table" w:styleId="TableProfessional">
    <w:name w:val="Table Professional"/>
    <w:basedOn w:val="TableNormal"/>
    <w:semiHidden/>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shd w:val="solid" w:color="000000" w:fill="FFFFFF"/>
      </w:tcPr>
    </w:tblStylePr>
  </w:style>
  <w:style w:type="table" w:styleId="TableGrid10">
    <w:name w:val="Table Grid 1"/>
    <w:basedOn w:val="TableNormal"/>
    <w:semiHidden/>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StylePr>
    <w:tblStylePr w:type="lastCol">
      <w:rPr>
        <w:i/>
        <w:iCs/>
      </w:rPr>
    </w:tblStylePr>
  </w:style>
  <w:style w:type="table" w:styleId="TableGrid2">
    <w:name w:val="Table Grid 2"/>
    <w:basedOn w:val="TableNormal"/>
    <w:semiHidden/>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TableGrid3">
    <w:name w:val="Table Grid 3"/>
    <w:basedOn w:val="TableNormal"/>
    <w:semiHidden/>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cBorders>
        <w:shd w:val="pct30" w:color="FFFF00" w:fill="FFFFFF"/>
      </w:tcPr>
    </w:tblStylePr>
    <w:tblStylePr w:type="lastRow">
      <w:rPr>
        <w:b/>
        <w:bCs/>
      </w:rPr>
    </w:tblStylePr>
    <w:tblStylePr w:type="lastCol">
      <w:rPr>
        <w:b/>
        <w:bCs/>
      </w:rPr>
    </w:tblStylePr>
  </w:style>
  <w:style w:type="table" w:styleId="TableGrid4">
    <w:name w:val="Table Grid 4"/>
    <w:basedOn w:val="TableNormal"/>
    <w:semiHidden/>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TableGrid5">
    <w:name w:val="Table Grid 5"/>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cBorders>
      </w:tcPr>
    </w:tblStylePr>
    <w:tblStylePr w:type="lastRow">
      <w:rPr>
        <w:b/>
        <w:bCs/>
      </w:rPr>
    </w:tblStylePr>
    <w:tblStylePr w:type="lastCol">
      <w:rPr>
        <w:b/>
        <w:bCs/>
      </w:rPr>
    </w:tblStylePr>
  </w:style>
  <w:style w:type="table" w:styleId="TableGrid6">
    <w:name w:val="Table Grid 6"/>
    <w:basedOn w:val="TableNormal"/>
    <w:semiHidden/>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style>
  <w:style w:type="table" w:styleId="TableGrid7">
    <w:name w:val="Table Grid 7"/>
    <w:basedOn w:val="TableNormal"/>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style>
  <w:style w:type="table" w:styleId="TableGrid8">
    <w:name w:val="Table Grid 8"/>
    <w:basedOn w:val="TableNormal"/>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shd w:val="solid" w:color="000080" w:fill="FFFFFF"/>
      </w:tcPr>
    </w:tblStylePr>
    <w:tblStylePr w:type="lastRow">
      <w:rPr>
        <w:b/>
        <w:bCs/>
        <w:color w:val="auto"/>
      </w:rPr>
    </w:tblStylePr>
    <w:tblStylePr w:type="lastCol">
      <w:rPr>
        <w:b/>
        <w:bCs/>
        <w:color w:val="auto"/>
      </w:rPr>
    </w:tblStylePr>
  </w:style>
  <w:style w:type="table" w:styleId="TableColumns1">
    <w:name w:val="Table Columns 1"/>
    <w:basedOn w:val="TableNormal"/>
    <w:semiHidden/>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single" w:sz="6" w:space="0" w:color="000000"/>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TableColumns2">
    <w:name w:val="Table Columns 2"/>
    <w:basedOn w:val="TableNormal"/>
    <w:semiHidden/>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TableColumns3">
    <w:name w:val="Table Columns 3"/>
    <w:basedOn w:val="TableNormal"/>
    <w:semiHidden/>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StylePr>
  </w:style>
  <w:style w:type="table" w:styleId="TableColumns4">
    <w:name w:val="Table Columns 4"/>
    <w:basedOn w:val="TableNormal"/>
    <w:semiHidden/>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shd w:val="solid" w:color="000000" w:fill="FFFFFF"/>
      </w:tcPr>
    </w:tblStylePr>
    <w:tblStylePr w:type="lastRow">
      <w:rPr>
        <w:b/>
        <w:bCs/>
      </w:rPr>
    </w:tblStylePr>
    <w:tblStylePr w:type="lastCol">
      <w:rPr>
        <w:b/>
        <w:bCs/>
      </w:r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TableSubtle2">
    <w:name w:val="Table Subtle 2"/>
    <w:basedOn w:val="TableNormal"/>
    <w:semiHidden/>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table" w:styleId="TableWeb1">
    <w:name w:val="Table Web 1"/>
    <w:basedOn w:val="TableNormal"/>
    <w:semiHidden/>
    <w:pPr>
      <w:spacing w:after="0" w:line="360" w:lineRule="auto"/>
    </w:pPr>
    <w:rPr>
      <w:rFonts w:ascii="Times New Roman" w:eastAsia="Times New Roman" w:hAnsi="Times New Roman" w:cs="Times New Roman"/>
      <w:sz w:val="20"/>
      <w:szCs w:val="20"/>
    </w:rPr>
    <w:tblPr>
      <w:tblCellSpacing w:w="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table" w:styleId="TableWeb2">
    <w:name w:val="Table Web 2"/>
    <w:basedOn w:val="TableNormal"/>
    <w:semiHidden/>
    <w:pPr>
      <w:spacing w:after="0" w:line="360" w:lineRule="auto"/>
    </w:pPr>
    <w:rPr>
      <w:rFonts w:ascii="Times New Roman" w:eastAsia="Times New Roman" w:hAnsi="Times New Roman" w:cs="Times New Roman"/>
      <w:sz w:val="20"/>
      <w:szCs w:val="20"/>
    </w:rPr>
    <w:tblPr>
      <w:tblCellSpacing w:w="2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table" w:styleId="TableWeb3">
    <w:name w:val="Table Web 3"/>
    <w:basedOn w:val="TableNormal"/>
    <w:semiHidden/>
    <w:pPr>
      <w:spacing w:after="0" w:line="360" w:lineRule="auto"/>
    </w:pPr>
    <w:rPr>
      <w:rFonts w:ascii="Times New Roman" w:eastAsia="Times New Roman" w:hAnsi="Times New Roman" w:cs="Times New Roman"/>
      <w:sz w:val="20"/>
      <w:szCs w:val="20"/>
    </w:rPr>
    <w:tblPr>
      <w:tblCellSpacing w:w="20" w:type="dxa"/>
      <w:tblInd w:w="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table" w:customStyle="1" w:styleId="TableGrid20">
    <w:name w:val="Table Grid2"/>
    <w:basedOn w:val="TableNormal"/>
    <w:next w:val="TableGrid"/>
    <w:pPr>
      <w:spacing w:after="0" w:line="360" w:lineRule="auto"/>
    </w:pPr>
    <w:rPr>
      <w:rFonts w:ascii="Tahoma" w:eastAsia="Times New Roman" w:hAnsi="Tahoma"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Theme">
    <w:name w:val="Table Theme"/>
    <w:basedOn w:val="TableNormal"/>
    <w:semiHidden/>
    <w:pPr>
      <w:spacing w:after="0" w:line="36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ignature">
    <w:name w:val="Signature"/>
    <w:basedOn w:val="Normal"/>
    <w:link w:val="SignatureChar"/>
    <w:semiHidden/>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Pr>
      <w:rFonts w:ascii="Tahoma" w:eastAsia="Times New Roman" w:hAnsi="Tahoma" w:cs="Times New Roman"/>
      <w:lang w:val="de-AT" w:eastAsia="de-DE"/>
    </w:rPr>
  </w:style>
  <w:style w:type="paragraph" w:styleId="E-mailSignature">
    <w:name w:val="E-mail Signature"/>
    <w:basedOn w:val="Normal"/>
    <w:link w:val="E-mailSignatureChar"/>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Pr>
      <w:rFonts w:ascii="Tahoma" w:eastAsia="Times New Roman" w:hAnsi="Tahoma" w:cs="Times New Roman"/>
      <w:lang w:val="de-AT" w:eastAsia="de-DE"/>
    </w:rPr>
  </w:style>
  <w:style w:type="paragraph" w:styleId="BodyText2">
    <w:name w:val="Body Text 2"/>
    <w:basedOn w:val="Normal"/>
    <w:link w:val="BodyText2Char"/>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Pr>
      <w:rFonts w:ascii="Tahoma" w:eastAsia="Times New Roman" w:hAnsi="Tahoma" w:cs="Times New Roman"/>
      <w:lang w:val="de-AT" w:eastAsia="de-DE"/>
    </w:rPr>
  </w:style>
  <w:style w:type="paragraph" w:styleId="BodyTextIndent2">
    <w:name w:val="Body Text Indent 2"/>
    <w:basedOn w:val="Normal"/>
    <w:link w:val="BodyTextIndent2Char"/>
    <w:uiPriority w:val="99"/>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rPr>
      <w:rFonts w:ascii="Tahoma" w:eastAsia="Times New Roman" w:hAnsi="Tahoma" w:cs="Times New Roman"/>
      <w:lang w:val="de-AT" w:eastAsia="de-DE"/>
    </w:rPr>
  </w:style>
  <w:style w:type="paragraph" w:styleId="BodyTextIndent3">
    <w:name w:val="Body Text Indent 3"/>
    <w:basedOn w:val="Normal"/>
    <w:link w:val="BodyTextIndent3Char"/>
    <w:uiPriority w:val="99"/>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Pr>
      <w:rFonts w:ascii="Tahoma" w:eastAsia="Times New Roman" w:hAnsi="Tahoma" w:cs="Times New Roman"/>
      <w:color w:val="000000"/>
      <w:sz w:val="24"/>
      <w:szCs w:val="24"/>
      <w:lang w:val="de-AT" w:eastAsia="de-DE"/>
    </w:rPr>
  </w:style>
  <w:style w:type="paragraph" w:customStyle="1" w:styleId="StandardWeb8">
    <w:name w:val="Standard (Web)8"/>
    <w:basedOn w:val="Normal"/>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Pr>
      <w:rFonts w:ascii="CG Times" w:eastAsia="Times New Roman" w:hAnsi="CG Times" w:cs="Times New Roman"/>
      <w:b/>
      <w:szCs w:val="24"/>
    </w:rPr>
  </w:style>
  <w:style w:type="character" w:customStyle="1" w:styleId="SubtitleChar1">
    <w:name w:val="Subtitle Char1"/>
    <w:rPr>
      <w:rFonts w:ascii="Cambria" w:hAnsi="Cambria"/>
      <w:sz w:val="24"/>
      <w:szCs w:val="24"/>
    </w:rPr>
  </w:style>
  <w:style w:type="paragraph" w:customStyle="1" w:styleId="Char1">
    <w:name w:val="Char1"/>
    <w:basedOn w:val="Normal"/>
    <w:pPr>
      <w:spacing w:after="160" w:line="240" w:lineRule="exact"/>
    </w:pPr>
    <w:rPr>
      <w:rFonts w:ascii="Arial" w:eastAsia="Times New Roman" w:hAnsi="Arial" w:cs="Arial"/>
      <w:sz w:val="20"/>
      <w:szCs w:val="20"/>
    </w:rPr>
  </w:style>
  <w:style w:type="character" w:customStyle="1" w:styleId="CharChar11">
    <w:name w:val="Char Char11"/>
    <w:semiHidden/>
    <w:rPr>
      <w:rFonts w:ascii="Tahoma" w:hAnsi="Tahoma" w:cs="Tahoma"/>
      <w:i/>
      <w:iCs/>
      <w:sz w:val="22"/>
      <w:szCs w:val="22"/>
      <w:lang w:val="de-AT" w:eastAsia="de-DE" w:bidi="ar-SA"/>
    </w:rPr>
  </w:style>
  <w:style w:type="character" w:customStyle="1" w:styleId="CharChar36">
    <w:name w:val="Char Char36"/>
    <w:rPr>
      <w:rFonts w:ascii="Arial" w:hAnsi="Arial" w:cs="Arial"/>
      <w:b/>
      <w:bCs/>
      <w:sz w:val="32"/>
      <w:szCs w:val="32"/>
      <w:lang w:val="sq-AL" w:eastAsia="en-US" w:bidi="ar-SA"/>
    </w:rPr>
  </w:style>
  <w:style w:type="character" w:customStyle="1" w:styleId="CharChar35">
    <w:name w:val="Char Char35"/>
    <w:rPr>
      <w:rFonts w:ascii="Arial" w:hAnsi="Arial" w:cs="Arial"/>
      <w:b/>
      <w:bCs/>
      <w:i/>
      <w:iCs/>
      <w:sz w:val="28"/>
      <w:szCs w:val="28"/>
      <w:lang w:val="sq-AL" w:eastAsia="en-US" w:bidi="ar-SA"/>
    </w:rPr>
  </w:style>
  <w:style w:type="character" w:customStyle="1" w:styleId="CharChar34">
    <w:name w:val="Char Char34"/>
    <w:rPr>
      <w:rFonts w:ascii="Tahoma" w:hAnsi="Tahoma"/>
      <w:b/>
      <w:sz w:val="24"/>
      <w:szCs w:val="28"/>
      <w:lang w:val="de-AT" w:eastAsia="de-DE" w:bidi="ar-SA"/>
    </w:rPr>
  </w:style>
  <w:style w:type="character" w:customStyle="1" w:styleId="CharChar33">
    <w:name w:val="Char Char33"/>
    <w:rPr>
      <w:rFonts w:ascii="Tahoma" w:hAnsi="Tahoma"/>
      <w:b/>
      <w:i/>
      <w:sz w:val="22"/>
      <w:szCs w:val="22"/>
      <w:lang w:val="de-AT" w:eastAsia="de-DE" w:bidi="ar-SA"/>
    </w:rPr>
  </w:style>
  <w:style w:type="character" w:customStyle="1" w:styleId="CharChar32">
    <w:name w:val="Char Char32"/>
    <w:rPr>
      <w:rFonts w:ascii="Tahoma" w:hAnsi="Tahoma"/>
      <w:b/>
      <w:i/>
      <w:sz w:val="22"/>
      <w:szCs w:val="22"/>
      <w:lang w:val="de-AT" w:eastAsia="de-DE" w:bidi="ar-SA"/>
    </w:rPr>
  </w:style>
  <w:style w:type="character" w:customStyle="1" w:styleId="CharChar31">
    <w:name w:val="Char Char31"/>
    <w:rPr>
      <w:rFonts w:ascii="Tahoma" w:hAnsi="Tahoma"/>
      <w:b/>
      <w:i/>
      <w:sz w:val="22"/>
      <w:szCs w:val="22"/>
      <w:lang w:val="de-AT" w:eastAsia="de-DE" w:bidi="ar-SA"/>
    </w:rPr>
  </w:style>
  <w:style w:type="character" w:customStyle="1" w:styleId="CharChar10">
    <w:name w:val="Char Char10"/>
    <w:semiHidden/>
    <w:rPr>
      <w:rFonts w:ascii="Courier New" w:hAnsi="Courier New" w:cs="Courier New"/>
      <w:szCs w:val="22"/>
      <w:lang w:val="de-AT" w:eastAsia="de-DE" w:bidi="ar-SA"/>
    </w:rPr>
  </w:style>
  <w:style w:type="character" w:customStyle="1" w:styleId="CharChar30">
    <w:name w:val="Char Char30"/>
    <w:rPr>
      <w:rFonts w:ascii="Tahoma" w:hAnsi="Tahoma"/>
      <w:b/>
      <w:i/>
      <w:sz w:val="22"/>
      <w:szCs w:val="22"/>
      <w:lang w:val="de-AT" w:eastAsia="de-DE" w:bidi="ar-SA"/>
    </w:rPr>
  </w:style>
  <w:style w:type="character" w:customStyle="1" w:styleId="CharChar29">
    <w:name w:val="Char Char29"/>
    <w:rPr>
      <w:rFonts w:ascii="Tahoma" w:hAnsi="Tahoma"/>
      <w:b/>
      <w:i/>
      <w:sz w:val="22"/>
      <w:szCs w:val="22"/>
      <w:lang w:val="de-AT" w:eastAsia="de-DE" w:bidi="ar-SA"/>
    </w:rPr>
  </w:style>
  <w:style w:type="character" w:customStyle="1" w:styleId="CharChar28">
    <w:name w:val="Char Char28"/>
    <w:rPr>
      <w:rFonts w:ascii="Tahoma" w:hAnsi="Tahoma"/>
      <w:b/>
      <w:i/>
      <w:sz w:val="22"/>
      <w:szCs w:val="22"/>
      <w:lang w:val="de-AT" w:eastAsia="de-DE" w:bidi="ar-SA"/>
    </w:rPr>
  </w:style>
  <w:style w:type="character" w:customStyle="1" w:styleId="CharChar27">
    <w:name w:val="Char Char27"/>
    <w:rPr>
      <w:rFonts w:ascii="Calibri" w:eastAsia="Calibri" w:hAnsi="Calibri"/>
      <w:lang w:val="sq-AL" w:eastAsia="en-US" w:bidi="ar-SA"/>
    </w:rPr>
  </w:style>
  <w:style w:type="character" w:customStyle="1" w:styleId="CharChar24">
    <w:name w:val="Char Char24"/>
    <w:rPr>
      <w:rFonts w:ascii="Tahoma" w:hAnsi="Tahoma" w:cs="Tahoma"/>
      <w:sz w:val="22"/>
      <w:szCs w:val="22"/>
      <w:lang w:val="de-AT" w:eastAsia="de-DE" w:bidi="ar-SA"/>
    </w:rPr>
  </w:style>
  <w:style w:type="character" w:customStyle="1" w:styleId="CharChar23">
    <w:name w:val="Char Char23"/>
    <w:rPr>
      <w:rFonts w:ascii="Tahoma" w:hAnsi="Tahoma" w:cs="Tahoma"/>
      <w:sz w:val="22"/>
      <w:szCs w:val="22"/>
      <w:lang w:val="de-AT" w:eastAsia="de-DE" w:bidi="ar-SA"/>
    </w:rPr>
  </w:style>
  <w:style w:type="character" w:customStyle="1" w:styleId="CharChar22">
    <w:name w:val="Char Char22"/>
    <w:semiHidden/>
    <w:rPr>
      <w:rFonts w:ascii="Courier New" w:hAnsi="Courier New" w:cs="Courier New"/>
      <w:sz w:val="22"/>
      <w:szCs w:val="22"/>
      <w:lang w:val="de-DE" w:eastAsia="de-DE" w:bidi="ar-SA"/>
    </w:rPr>
  </w:style>
  <w:style w:type="character" w:customStyle="1" w:styleId="CharChar21">
    <w:name w:val="Char Char21"/>
    <w:rPr>
      <w:rFonts w:ascii="Tahoma" w:hAnsi="Tahoma" w:cs="Tahoma"/>
      <w:b/>
      <w:sz w:val="36"/>
      <w:szCs w:val="36"/>
      <w:lang w:val="de-AT" w:eastAsia="de-DE" w:bidi="ar-SA"/>
    </w:rPr>
  </w:style>
  <w:style w:type="character" w:customStyle="1" w:styleId="CharChar12">
    <w:name w:val="Char Char12"/>
    <w:semiHidden/>
    <w:rPr>
      <w:rFonts w:ascii="Tahoma" w:hAnsi="Tahoma" w:cs="Tahoma"/>
      <w:sz w:val="22"/>
      <w:szCs w:val="22"/>
      <w:lang w:val="de-AT" w:eastAsia="de-DE" w:bidi="ar-SA"/>
    </w:rPr>
  </w:style>
  <w:style w:type="character" w:customStyle="1" w:styleId="CharChar9">
    <w:name w:val="Char Char9"/>
    <w:semiHidden/>
    <w:rPr>
      <w:rFonts w:ascii="Tahoma" w:hAnsi="Tahoma" w:cs="Tahoma"/>
      <w:sz w:val="22"/>
      <w:szCs w:val="22"/>
      <w:lang w:val="de-AT" w:eastAsia="de-DE" w:bidi="ar-SA"/>
    </w:rPr>
  </w:style>
  <w:style w:type="character" w:customStyle="1" w:styleId="CharChar25">
    <w:name w:val="Char Char25"/>
    <w:semiHidden/>
    <w:rPr>
      <w:rFonts w:ascii="Tahoma" w:hAnsi="Tahoma" w:cs="Tahoma"/>
      <w:sz w:val="22"/>
      <w:szCs w:val="22"/>
      <w:lang w:val="de-AT" w:eastAsia="de-DE" w:bidi="ar-SA"/>
    </w:rPr>
  </w:style>
  <w:style w:type="character" w:customStyle="1" w:styleId="CharChar15">
    <w:name w:val="Char Char15"/>
    <w:semiHidden/>
    <w:rPr>
      <w:rFonts w:ascii="Tahoma" w:hAnsi="Tahoma" w:cs="Tahoma"/>
      <w:sz w:val="22"/>
      <w:szCs w:val="22"/>
      <w:lang w:val="de-AT" w:eastAsia="de-DE" w:bidi="ar-SA"/>
    </w:rPr>
  </w:style>
  <w:style w:type="character" w:customStyle="1" w:styleId="CharChar16">
    <w:name w:val="Char Char16"/>
    <w:semiHidden/>
    <w:rPr>
      <w:rFonts w:ascii="Tahoma" w:hAnsi="Tahoma" w:cs="Arial"/>
      <w:sz w:val="24"/>
      <w:szCs w:val="24"/>
      <w:lang w:val="de-AT" w:eastAsia="de-DE" w:bidi="ar-SA"/>
    </w:rPr>
  </w:style>
  <w:style w:type="character" w:customStyle="1" w:styleId="CharChar20">
    <w:name w:val="Char Char20"/>
    <w:rPr>
      <w:rFonts w:ascii="Tahoma" w:hAnsi="Tahoma" w:cs="Tahoma"/>
      <w:b/>
      <w:sz w:val="32"/>
      <w:szCs w:val="36"/>
      <w:lang w:val="de-AT" w:eastAsia="de-DE" w:bidi="ar-SA"/>
    </w:rPr>
  </w:style>
  <w:style w:type="character" w:customStyle="1" w:styleId="CharChar13">
    <w:name w:val="Char Char13"/>
    <w:semiHidden/>
    <w:rPr>
      <w:rFonts w:ascii="Tahoma" w:hAnsi="Tahoma" w:cs="Tahoma"/>
      <w:sz w:val="22"/>
      <w:szCs w:val="22"/>
      <w:lang w:val="de-AT" w:eastAsia="de-DE" w:bidi="ar-SA"/>
    </w:rPr>
  </w:style>
  <w:style w:type="character" w:customStyle="1" w:styleId="CharChar19">
    <w:name w:val="Char Char19"/>
    <w:semiHidden/>
    <w:rPr>
      <w:rFonts w:ascii="Tahoma" w:hAnsi="Tahoma" w:cs="Tahoma"/>
      <w:sz w:val="22"/>
      <w:szCs w:val="22"/>
      <w:lang w:val="de-AT" w:eastAsia="de-DE" w:bidi="ar-SA"/>
    </w:rPr>
  </w:style>
  <w:style w:type="character" w:customStyle="1" w:styleId="CharChar3">
    <w:name w:val="Char Char3"/>
    <w:semiHidden/>
  </w:style>
  <w:style w:type="character" w:customStyle="1" w:styleId="CharChar14">
    <w:name w:val="Char Char14"/>
    <w:semiHidden/>
  </w:style>
  <w:style w:type="character" w:customStyle="1" w:styleId="CharChar17">
    <w:name w:val="Char Char17"/>
    <w:rPr>
      <w:rFonts w:ascii="Tahoma" w:hAnsi="Tahoma" w:cs="Tahoma"/>
      <w:sz w:val="22"/>
      <w:szCs w:val="22"/>
      <w:lang w:val="de-AT" w:eastAsia="de-DE" w:bidi="ar-SA"/>
    </w:rPr>
  </w:style>
  <w:style w:type="character" w:customStyle="1" w:styleId="CharChar7">
    <w:name w:val="Char Char7"/>
    <w:semiHidden/>
    <w:rPr>
      <w:rFonts w:ascii="Tahoma" w:hAnsi="Tahoma" w:cs="Tahoma"/>
      <w:sz w:val="22"/>
      <w:szCs w:val="22"/>
      <w:lang w:val="de-AT" w:eastAsia="de-DE" w:bidi="ar-SA"/>
    </w:rPr>
  </w:style>
  <w:style w:type="character" w:customStyle="1" w:styleId="CharChar6">
    <w:name w:val="Char Char6"/>
    <w:semiHidden/>
    <w:rPr>
      <w:rFonts w:ascii="Tahoma" w:hAnsi="Tahoma" w:cs="Tahoma"/>
      <w:sz w:val="16"/>
      <w:szCs w:val="16"/>
      <w:lang w:val="de-AT" w:eastAsia="de-DE" w:bidi="ar-SA"/>
    </w:rPr>
  </w:style>
  <w:style w:type="character" w:customStyle="1" w:styleId="CharChar5">
    <w:name w:val="Char Char5"/>
    <w:semiHidden/>
    <w:rPr>
      <w:rFonts w:ascii="Tahoma" w:hAnsi="Tahoma" w:cs="Tahoma"/>
      <w:sz w:val="22"/>
      <w:szCs w:val="22"/>
      <w:lang w:val="de-AT" w:eastAsia="de-DE" w:bidi="ar-SA"/>
    </w:rPr>
  </w:style>
  <w:style w:type="character" w:customStyle="1" w:styleId="CharChar4">
    <w:name w:val="Char Char4"/>
    <w:semiHidden/>
    <w:rPr>
      <w:rFonts w:ascii="Tahoma" w:hAnsi="Tahoma" w:cs="Tahoma"/>
      <w:sz w:val="16"/>
      <w:szCs w:val="16"/>
      <w:lang w:val="de-AT" w:eastAsia="de-DE" w:bidi="ar-SA"/>
    </w:rPr>
  </w:style>
  <w:style w:type="character" w:customStyle="1" w:styleId="CharChar18">
    <w:name w:val="Char Char18"/>
    <w:semiHidden/>
    <w:rPr>
      <w:rFonts w:ascii="Tahoma" w:hAnsi="Tahoma" w:cs="Tahoma"/>
      <w:sz w:val="22"/>
      <w:szCs w:val="22"/>
      <w:lang w:val="de-AT" w:eastAsia="de-DE" w:bidi="ar-SA"/>
    </w:rPr>
  </w:style>
  <w:style w:type="character" w:customStyle="1" w:styleId="CharChar8">
    <w:name w:val="Char Char8"/>
    <w:rPr>
      <w:rFonts w:ascii="Tahoma" w:hAnsi="Tahoma" w:cs="Tahoma"/>
      <w:sz w:val="22"/>
      <w:szCs w:val="22"/>
      <w:lang w:val="de-AT" w:eastAsia="de-DE" w:bidi="ar-SA"/>
    </w:rPr>
  </w:style>
  <w:style w:type="character" w:customStyle="1" w:styleId="CharChar2">
    <w:name w:val="Char Char2"/>
    <w:rPr>
      <w:rFonts w:ascii="Calibri" w:eastAsia="Calibri" w:hAnsi="Calibri" w:cs="Times New Roman"/>
      <w:b/>
      <w:bCs/>
      <w:sz w:val="20"/>
      <w:szCs w:val="20"/>
      <w:lang w:val="sq-AL" w:eastAsia="en-US" w:bidi="ar-SA"/>
    </w:rPr>
  </w:style>
  <w:style w:type="character" w:customStyle="1" w:styleId="CharChar26">
    <w:name w:val="Char Char26"/>
    <w:semiHidden/>
    <w:rPr>
      <w:rFonts w:ascii="Tahoma" w:hAnsi="Tahoma" w:cs="Tahoma"/>
      <w:sz w:val="16"/>
      <w:szCs w:val="16"/>
      <w:lang w:val="sq-AL" w:eastAsia="en-US" w:bidi="ar-SA"/>
    </w:rPr>
  </w:style>
  <w:style w:type="character" w:customStyle="1" w:styleId="CommentTextChar11">
    <w:name w:val="Comment Text Char11"/>
    <w:semiHidden/>
    <w:rPr>
      <w:rFonts w:ascii="Calibri" w:hAnsi="Calibri" w:hint="default"/>
      <w:lang w:val="sq-AL"/>
    </w:rPr>
  </w:style>
  <w:style w:type="character" w:customStyle="1" w:styleId="NormalIndentChar">
    <w:name w:val="Normal Indent Char"/>
    <w:link w:val="NormalIndent"/>
    <w:rPr>
      <w:rFonts w:ascii="Tahoma" w:eastAsia="Times New Roman" w:hAnsi="Tahoma" w:cs="Times New Roman"/>
      <w:lang w:val="de-AT" w:eastAsia="de-DE"/>
    </w:rPr>
  </w:style>
  <w:style w:type="paragraph" w:customStyle="1" w:styleId="AODefHead">
    <w:name w:val="AODefHead"/>
    <w:basedOn w:val="Normal"/>
    <w:next w:val="AODefPara"/>
    <w:link w:val="AODefHeadChar"/>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pPr>
      <w:tabs>
        <w:tab w:val="num" w:pos="360"/>
        <w:tab w:val="num" w:pos="1935"/>
        <w:tab w:val="num" w:pos="2563"/>
        <w:tab w:val="num" w:pos="3474"/>
      </w:tabs>
      <w:ind w:left="1935" w:hanging="360"/>
      <w:outlineLvl w:val="6"/>
    </w:pPr>
  </w:style>
  <w:style w:type="character" w:customStyle="1" w:styleId="AODefHeadChar">
    <w:name w:val="AODefHead Char"/>
    <w:link w:val="AODefHead"/>
    <w:rPr>
      <w:rFonts w:ascii="Times New Roman" w:eastAsia="Times New Roman" w:hAnsi="Times New Roman" w:cs="Times New Roman"/>
      <w:szCs w:val="20"/>
      <w:lang w:val="sq-AL" w:eastAsia="sq-AL" w:bidi="sq-AL"/>
    </w:rPr>
  </w:style>
  <w:style w:type="paragraph" w:customStyle="1" w:styleId="PARA">
    <w:name w:val="PARA"/>
    <w:basedOn w:val="Normal"/>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pPr>
      <w:keepLines/>
      <w:tabs>
        <w:tab w:val="left" w:pos="2268"/>
      </w:tabs>
      <w:spacing w:after="120" w:line="240" w:lineRule="auto"/>
      <w:ind w:left="1843" w:hanging="425"/>
      <w:jc w:val="both"/>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pPr>
      <w:keepLines/>
      <w:tabs>
        <w:tab w:val="left" w:pos="2268"/>
      </w:tabs>
      <w:spacing w:after="120" w:line="240" w:lineRule="auto"/>
      <w:ind w:left="1417" w:hanging="425"/>
      <w:jc w:val="both"/>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Pr>
      <w:rFonts w:ascii="Arial" w:eastAsia="Times New Roman" w:hAnsi="Arial" w:cs="Times New Roman"/>
      <w:sz w:val="20"/>
      <w:szCs w:val="20"/>
      <w:lang w:val="sq-AL" w:eastAsia="sq-AL" w:bidi="sq-AL"/>
    </w:rPr>
  </w:style>
  <w:style w:type="character" w:customStyle="1" w:styleId="DeltaViewInsertion">
    <w:name w:val="DeltaView Insertion"/>
    <w:uiPriority w:val="99"/>
    <w:rPr>
      <w:color w:val="0000FF"/>
      <w:spacing w:val="0"/>
      <w:u w:val="single"/>
    </w:rPr>
  </w:style>
  <w:style w:type="paragraph" w:customStyle="1" w:styleId="dia">
    <w:name w:val="di(a)"/>
    <w:basedOn w:val="Normal"/>
    <w:pPr>
      <w:keepLines/>
      <w:tabs>
        <w:tab w:val="num" w:pos="2552"/>
      </w:tabs>
      <w:spacing w:after="120" w:line="240" w:lineRule="auto"/>
      <w:ind w:left="2552" w:hanging="567"/>
      <w:jc w:val="both"/>
    </w:pPr>
    <w:rPr>
      <w:rFonts w:ascii="Arial" w:eastAsia="Times New Roman" w:hAnsi="Arial" w:cs="Times New Roman"/>
      <w:sz w:val="20"/>
      <w:szCs w:val="20"/>
      <w:lang w:val="sq-AL" w:eastAsia="sq-AL" w:bidi="sq-AL"/>
    </w:rPr>
  </w:style>
  <w:style w:type="paragraph" w:customStyle="1" w:styleId="PARA1">
    <w:name w:val="PARA1"/>
    <w:basedOn w:val="Normal"/>
    <w:pPr>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rPr>
      <w:rFonts w:ascii="Times New Roman" w:eastAsia="Times New Roman" w:hAnsi="Times New Roman" w:cs="Times New Roman"/>
      <w:sz w:val="24"/>
      <w:szCs w:val="20"/>
      <w:lang w:val="en-GB"/>
    </w:rPr>
  </w:style>
  <w:style w:type="paragraph" w:customStyle="1" w:styleId="Paragrapha">
    <w:name w:val="Paragraph (a)"/>
    <w:basedOn w:val="Normal"/>
    <w:link w:val="ParagraphaChar"/>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Pr>
      <w:rFonts w:cs="Times New Roman"/>
      <w:color w:val="808080"/>
    </w:rPr>
  </w:style>
  <w:style w:type="character" w:customStyle="1" w:styleId="az12">
    <w:name w:val="az12"/>
    <w:uiPriority w:val="9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Pr>
      <w:rFonts w:ascii="Calibri" w:eastAsia="Times New Roman" w:hAnsi="Calibri" w:cs="Times New Roman"/>
      <w:sz w:val="24"/>
      <w:szCs w:val="24"/>
      <w:lang w:val="en-GB" w:eastAsia="en-GB"/>
    </w:rPr>
  </w:style>
  <w:style w:type="paragraph" w:customStyle="1" w:styleId="Paragraf02">
    <w:name w:val="Paragraf 0.2"/>
    <w:basedOn w:val="Paragrafi"/>
    <w:qFormat/>
    <w:pPr>
      <w:tabs>
        <w:tab w:val="left" w:pos="6575"/>
      </w:tabs>
    </w:pPr>
    <w:rPr>
      <w:spacing w:val="-4"/>
    </w:rPr>
  </w:style>
  <w:style w:type="table" w:customStyle="1" w:styleId="TableGrid30">
    <w:name w:val="Table Grid3"/>
    <w:basedOn w:val="TableNormal"/>
    <w:next w:val="TableGrid"/>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5">
    <w:name w:val="No List5"/>
    <w:next w:val="NoList"/>
    <w:uiPriority w:val="99"/>
    <w:semiHidden/>
    <w:unhideWhenUsed/>
  </w:style>
  <w:style w:type="character" w:styleId="BookTitle">
    <w:name w:val="Book Title"/>
    <w:uiPriority w:val="33"/>
    <w:qFormat/>
    <w:rPr>
      <w:b/>
      <w:bCs/>
      <w:smallCaps/>
      <w:spacing w:val="5"/>
    </w:rPr>
  </w:style>
  <w:style w:type="paragraph" w:customStyle="1" w:styleId="Cover1">
    <w:name w:val="Cover1"/>
    <w:basedOn w:val="Normal"/>
    <w:next w:val="Normal"/>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pPr>
      <w:spacing w:after="240" w:line="240" w:lineRule="auto"/>
    </w:pPr>
    <w:rPr>
      <w:rFonts w:ascii="Arial" w:eastAsia="Times New Roman" w:hAnsi="Arial" w:cs="Times New Roman"/>
      <w:szCs w:val="20"/>
      <w:lang w:val="sq-AL" w:eastAsia="sq-AL" w:bidi="sq-AL"/>
    </w:rPr>
  </w:style>
  <w:style w:type="paragraph" w:customStyle="1" w:styleId="Stile">
    <w:name w:val="Stile"/>
    <w:pPr>
      <w:widowControl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Pr>
      <w:rFonts w:ascii="Times New Roman" w:eastAsia="Times New Roman" w:hAnsi="Times New Roman" w:cs="Times New Roman"/>
      <w:szCs w:val="20"/>
      <w:lang w:val="sq-AL"/>
    </w:rPr>
  </w:style>
  <w:style w:type="character" w:customStyle="1" w:styleId="Bodytext0">
    <w:name w:val="Body text_"/>
    <w:link w:val="BodyText1"/>
    <w:rPr>
      <w:rFonts w:ascii="Times New Roman" w:hAnsi="Times New Roman"/>
      <w:sz w:val="21"/>
      <w:szCs w:val="21"/>
      <w:shd w:val="clear" w:color="auto" w:fill="FFFFFF"/>
    </w:rPr>
  </w:style>
  <w:style w:type="paragraph" w:customStyle="1" w:styleId="BodyText1">
    <w:name w:val="Body Text1"/>
    <w:basedOn w:val="Normal"/>
    <w:link w:val="Bodytext0"/>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basedOn w:val="Normal"/>
    <w:pPr>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pPr>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pPr>
      <w:widowControl w:val="0"/>
      <w:spacing w:after="0" w:line="240" w:lineRule="auto"/>
    </w:pPr>
  </w:style>
  <w:style w:type="paragraph" w:customStyle="1" w:styleId="xl63">
    <w:name w:val="xl6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character" w:customStyle="1" w:styleId="FooterChar1">
    <w:name w:val="Footer Char1"/>
    <w:uiPriority w:val="99"/>
    <w:semiHidden/>
    <w:rPr>
      <w:rFonts w:ascii="Tahoma" w:eastAsia="Times New Roman" w:hAnsi="Tahoma" w:cs="Tahoma"/>
      <w:sz w:val="24"/>
      <w:szCs w:val="20"/>
    </w:rPr>
  </w:style>
  <w:style w:type="paragraph" w:customStyle="1" w:styleId="ListParagraph1">
    <w:name w:val="List Paragraph1"/>
    <w:basedOn w:val="Normal"/>
    <w:uiPriority w:val="34"/>
    <w:qFormat/>
    <w:pPr>
      <w:ind w:left="720"/>
      <w:contextualSpacing/>
      <w:jc w:val="both"/>
    </w:pPr>
    <w:rPr>
      <w:rFonts w:ascii="Calibri" w:eastAsia="Calibri" w:hAnsi="Calibri" w:cs="Times New Roman"/>
    </w:rPr>
  </w:style>
  <w:style w:type="paragraph" w:customStyle="1" w:styleId="ReturnAddress">
    <w:name w:val="Return Address"/>
    <w:basedOn w:val="Normal"/>
    <w:pPr>
      <w:keepLines/>
      <w:framePr w:w="2227" w:h="1539" w:hSpace="187" w:vSpace="187" w:wrap="notBeside" w:vAnchor="page" w:hAnchor="page" w:x="8252" w:y="966"/>
      <w:tabs>
        <w:tab w:val="left" w:pos="720"/>
        <w:tab w:val="left" w:pos="2160"/>
      </w:tabs>
      <w:spacing w:after="0" w:line="240" w:lineRule="auto"/>
    </w:pPr>
    <w:rPr>
      <w:rFonts w:ascii="Tahoma" w:eastAsia="Times New Roman" w:hAnsi="Tahoma" w:cs="Times New Roman"/>
      <w:b/>
      <w:color w:val="666699"/>
      <w:spacing w:val="-5"/>
      <w:sz w:val="18"/>
      <w:szCs w:val="18"/>
      <w:lang w:val="el-GR"/>
    </w:rPr>
  </w:style>
  <w:style w:type="paragraph" w:customStyle="1" w:styleId="Shorttitleleft">
    <w:name w:val="Short title left"/>
    <w:basedOn w:val="BodyText"/>
    <w:next w:val="Normal"/>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pPr>
      <w:spacing w:after="160" w:line="240" w:lineRule="exact"/>
    </w:pPr>
    <w:rPr>
      <w:rFonts w:ascii="Verdana" w:eastAsia="Times New Roman" w:hAnsi="Verdana" w:cs="Times New Roman"/>
      <w:sz w:val="20"/>
      <w:szCs w:val="20"/>
    </w:rPr>
  </w:style>
  <w:style w:type="paragraph" w:customStyle="1" w:styleId="InsideAddress">
    <w:name w:val="Inside Address"/>
    <w:basedOn w:val="Normal"/>
    <w:pPr>
      <w:spacing w:before="60" w:after="60" w:line="240" w:lineRule="auto"/>
    </w:pPr>
    <w:rPr>
      <w:rFonts w:ascii="Tahoma" w:eastAsia="Times New Roman" w:hAnsi="Tahoma" w:cs="Times New Roman"/>
      <w:b/>
      <w:spacing w:val="-5"/>
      <w:szCs w:val="24"/>
      <w:lang w:val="el-GR"/>
    </w:rPr>
  </w:style>
  <w:style w:type="paragraph" w:customStyle="1" w:styleId="1">
    <w:name w:val="Παράγραφος λίστας1"/>
    <w:basedOn w:val="Normal"/>
    <w:uiPriority w:val="34"/>
    <w:qFormat/>
    <w:pPr>
      <w:spacing w:after="0" w:line="240" w:lineRule="auto"/>
      <w:ind w:left="720"/>
    </w:pPr>
    <w:rPr>
      <w:rFonts w:ascii="Times New Roman" w:eastAsia="Times New Roman" w:hAnsi="Times New Roman" w:cs="Times New Roman"/>
      <w:sz w:val="24"/>
      <w:szCs w:val="24"/>
      <w:lang w:val="en-GB"/>
    </w:rPr>
  </w:style>
  <w:style w:type="paragraph" w:customStyle="1" w:styleId="BodyTextNumbers">
    <w:name w:val="Body Text Numbers"/>
    <w:basedOn w:val="1"/>
    <w:uiPriority w:val="99"/>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pPr>
      <w:spacing w:after="160" w:line="240" w:lineRule="exact"/>
    </w:pPr>
    <w:rPr>
      <w:rFonts w:ascii="Verdana" w:eastAsia="Times New Roman" w:hAnsi="Verdana" w:cs="Times New Roman"/>
      <w:sz w:val="20"/>
      <w:szCs w:val="20"/>
      <w:lang w:eastAsia="el-GR"/>
    </w:rPr>
  </w:style>
  <w:style w:type="paragraph" w:customStyle="1" w:styleId="BVIfnrCarCarCarCarChar">
    <w:name w:val="BVI fnr Car Car Car Car Char"/>
    <w:basedOn w:val="Normal"/>
    <w:link w:val="FootnoteReference"/>
    <w:uiPriority w:val="99"/>
    <w:pPr>
      <w:spacing w:after="160" w:line="240" w:lineRule="exact"/>
    </w:pPr>
    <w:rPr>
      <w:vertAlign w:val="superscript"/>
    </w:rPr>
  </w:style>
  <w:style w:type="character" w:customStyle="1" w:styleId="st">
    <w:name w:val="st"/>
    <w:basedOn w:val="DefaultParagraphFont"/>
  </w:style>
  <w:style w:type="numbering" w:customStyle="1" w:styleId="NoList6">
    <w:name w:val="No List6"/>
    <w:next w:val="NoList"/>
    <w:uiPriority w:val="99"/>
    <w:semiHidden/>
    <w:unhideWhenUsed/>
  </w:style>
  <w:style w:type="paragraph" w:customStyle="1" w:styleId="CharCharCharCharCharCharCharCharCharCharCharCharCharCharCharChar">
    <w:name w:val="Char Char Char Char Char Char Char Char Char Char Char Char Char Char Char Char"/>
    <w:basedOn w:val="Normal"/>
    <w:pPr>
      <w:spacing w:after="160" w:line="240" w:lineRule="exact"/>
    </w:pPr>
    <w:rPr>
      <w:rFonts w:ascii="Tahoma" w:eastAsia="MS Mincho" w:hAnsi="Tahoma" w:cs="Times New Roman"/>
      <w:sz w:val="20"/>
      <w:szCs w:val="20"/>
    </w:rPr>
  </w:style>
  <w:style w:type="character" w:customStyle="1" w:styleId="longtext1">
    <w:name w:val="long_text1"/>
    <w:rPr>
      <w:rFonts w:cs="Times New Roman"/>
      <w:sz w:val="18"/>
      <w:szCs w:val="18"/>
    </w:rPr>
  </w:style>
  <w:style w:type="character" w:customStyle="1" w:styleId="TitleChar2">
    <w:name w:val="Title Char2"/>
    <w:uiPriority w:val="99"/>
    <w:rPr>
      <w:rFonts w:ascii="Arrus BT" w:eastAsia="MS Mincho" w:hAnsi="Arrus BT" w:cs="Arrus BT"/>
      <w:b/>
      <w:bCs/>
      <w:sz w:val="32"/>
      <w:szCs w:val="32"/>
      <w:lang w:val="en-US" w:eastAsia="en-US"/>
    </w:rPr>
  </w:style>
  <w:style w:type="character" w:customStyle="1" w:styleId="TitleChar1">
    <w:name w:val="Title Char1"/>
    <w:rPr>
      <w:rFonts w:ascii="Arrus BT" w:eastAsia="MS Mincho" w:hAnsi="Arrus BT" w:cs="Arrus BT"/>
      <w:b/>
      <w:bCs/>
      <w:sz w:val="32"/>
      <w:szCs w:val="32"/>
      <w:lang w:val="en-US"/>
    </w:rPr>
  </w:style>
  <w:style w:type="paragraph" w:customStyle="1" w:styleId="Style5">
    <w:name w:val="Style5"/>
    <w:basedOn w:val="Normal"/>
    <w:pPr>
      <w:spacing w:after="0" w:line="240" w:lineRule="auto"/>
      <w:jc w:val="center"/>
    </w:pPr>
    <w:rPr>
      <w:rFonts w:ascii="Bookman Old Style" w:eastAsia="Times New Roman" w:hAnsi="Bookman Old Style" w:cs="Times New Roman"/>
      <w:b/>
      <w:bCs/>
      <w:sz w:val="24"/>
      <w:szCs w:val="20"/>
      <w:lang w:val="it-IT"/>
    </w:rPr>
  </w:style>
  <w:style w:type="paragraph" w:customStyle="1" w:styleId="DocumentLabel">
    <w:name w:val="Document Label"/>
    <w:basedOn w:val="Normal"/>
    <w:next w:val="Normal"/>
    <w:pPr>
      <w:keepNext/>
      <w:keepLines/>
      <w:spacing w:before="400" w:after="120" w:line="240" w:lineRule="atLeast"/>
      <w:ind w:left="-840"/>
    </w:pPr>
    <w:rPr>
      <w:rFonts w:ascii="Arial Black" w:eastAsia="MS Mincho" w:hAnsi="Arial Black" w:cs="Times New Roman"/>
      <w:spacing w:val="-5"/>
      <w:sz w:val="96"/>
      <w:szCs w:val="20"/>
      <w:lang w:val="sq-AL"/>
    </w:rPr>
  </w:style>
  <w:style w:type="paragraph" w:customStyle="1" w:styleId="MessageHeaderFirst">
    <w:name w:val="Message Header First"/>
    <w:basedOn w:val="MessageHeader"/>
    <w:next w:val="MessageHeader"/>
    <w:pPr>
      <w:keepLines/>
      <w:pBdr>
        <w:top w:val="none" w:sz="0" w:space="0" w:color="000000"/>
        <w:left w:val="none" w:sz="0" w:space="0" w:color="000000"/>
        <w:bottom w:val="none" w:sz="0" w:space="0" w:color="000000"/>
        <w:right w:val="none" w:sz="0" w:space="0" w:color="000000"/>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Pr>
      <w:rFonts w:ascii="Arial Black" w:hAnsi="Arial Black"/>
      <w:spacing w:val="-10"/>
      <w:sz w:val="18"/>
    </w:rPr>
  </w:style>
  <w:style w:type="paragraph" w:customStyle="1" w:styleId="MessageHeaderLast">
    <w:name w:val="Message Header Last"/>
    <w:basedOn w:val="MessageHeader"/>
    <w:next w:val="BodyText"/>
    <w:pPr>
      <w:keepLines/>
      <w:pBdr>
        <w:top w:val="none" w:sz="0" w:space="0" w:color="000000"/>
        <w:left w:val="none" w:sz="0" w:space="0" w:color="000000"/>
        <w:bottom w:val="single" w:sz="6" w:space="15" w:color="000000"/>
        <w:right w:val="none" w:sz="0" w:space="0" w:color="000000"/>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single" w:sz="6" w:space="0" w:color="C0504D"/>
          <w:left w:val="single" w:sz="8" w:space="0" w:color="C0504D"/>
          <w:bottom w:val="single" w:sz="8" w:space="0" w:color="C0504D"/>
          <w:right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tcBorders>
      </w:tcPr>
    </w:tblStylePr>
  </w:style>
  <w:style w:type="character" w:styleId="SubtleEmphasis">
    <w:name w:val="Subtle Emphasis"/>
    <w:uiPriority w:val="19"/>
    <w:qFormat/>
    <w:rPr>
      <w:i/>
      <w:iCs/>
      <w:color w:val="404040"/>
    </w:rPr>
  </w:style>
  <w:style w:type="paragraph" w:customStyle="1" w:styleId="ColorfulList-Accent11">
    <w:name w:val="Colorful List - Accent 11"/>
    <w:basedOn w:val="Normal"/>
    <w:qFormat/>
    <w:pPr>
      <w:ind w:left="720"/>
      <w:contextualSpacing/>
    </w:pPr>
    <w:rPr>
      <w:rFonts w:ascii="Calibri" w:eastAsia="MS Mincho" w:hAnsi="Calibri" w:cs="Times New Roman"/>
    </w:rPr>
  </w:style>
  <w:style w:type="paragraph" w:customStyle="1" w:styleId="Style54">
    <w:name w:val="Style54"/>
    <w:basedOn w:val="Normal"/>
    <w:uiPriority w:val="99"/>
    <w:pPr>
      <w:widowControl w:val="0"/>
      <w:spacing w:after="0" w:line="331" w:lineRule="exact"/>
    </w:pPr>
    <w:rPr>
      <w:rFonts w:ascii="Garamond" w:eastAsiaTheme="minorEastAsia" w:hAnsi="Garamond"/>
      <w:sz w:val="24"/>
      <w:szCs w:val="24"/>
      <w:lang w:val="sq-AL" w:eastAsia="sq-AL"/>
    </w:rPr>
  </w:style>
  <w:style w:type="paragraph" w:customStyle="1" w:styleId="Style65">
    <w:name w:val="Style65"/>
    <w:basedOn w:val="Normal"/>
    <w:uiPriority w:val="99"/>
    <w:pPr>
      <w:widowControl w:val="0"/>
      <w:spacing w:after="0" w:line="341" w:lineRule="exact"/>
      <w:ind w:hanging="374"/>
    </w:pPr>
    <w:rPr>
      <w:rFonts w:ascii="Garamond" w:eastAsiaTheme="minorEastAsia" w:hAnsi="Garamond"/>
      <w:sz w:val="24"/>
      <w:szCs w:val="24"/>
      <w:lang w:val="sq-AL" w:eastAsia="sq-AL"/>
    </w:rPr>
  </w:style>
  <w:style w:type="character" w:customStyle="1" w:styleId="FontStyle85">
    <w:name w:val="Font Style85"/>
    <w:basedOn w:val="DefaultParagraphFont"/>
    <w:uiPriority w:val="99"/>
    <w:rPr>
      <w:rFonts w:ascii="Garamond" w:hAnsi="Garamond" w:cs="Garamond"/>
      <w:sz w:val="22"/>
      <w:szCs w:val="22"/>
    </w:rPr>
  </w:style>
  <w:style w:type="numbering" w:customStyle="1" w:styleId="NoList111">
    <w:name w:val="No List111"/>
    <w:next w:val="NoList"/>
    <w:uiPriority w:val="99"/>
    <w:semiHidden/>
    <w:unhideWhenUsed/>
  </w:style>
  <w:style w:type="paragraph" w:customStyle="1" w:styleId="Char2">
    <w:name w:val="Char2"/>
    <w:basedOn w:val="Normal"/>
    <w:uiPriority w:val="99"/>
    <w:pPr>
      <w:spacing w:after="160" w:line="240" w:lineRule="exact"/>
    </w:pPr>
    <w:rPr>
      <w:vertAlign w:val="superscript"/>
    </w:rPr>
  </w:style>
  <w:style w:type="paragraph" w:customStyle="1" w:styleId="ecxmsonormal">
    <w:name w:val="ecxmsonormal"/>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uiPriority w:val="99"/>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rPr>
      <w:rFonts w:ascii="Garamond" w:eastAsia="MS Mincho" w:hAnsi="Garamond" w:cs="CG Times"/>
      <w:b/>
      <w:bCs/>
      <w:caps/>
      <w:color w:val="000000"/>
      <w:sz w:val="24"/>
      <w:lang w:val="en-GB"/>
    </w:rPr>
  </w:style>
  <w:style w:type="paragraph" w:customStyle="1" w:styleId="Style20">
    <w:name w:val="Style 2"/>
    <w:basedOn w:val="Normal"/>
    <w:uiPriority w:val="99"/>
    <w:qFormat/>
    <w:pPr>
      <w:spacing w:before="120"/>
      <w:jc w:val="both"/>
      <w:outlineLvl w:val="0"/>
    </w:pPr>
    <w:rPr>
      <w:rFonts w:ascii="Garamond" w:eastAsia="Calibri" w:hAnsi="Garamond" w:cs="Times New Roman"/>
      <w:b/>
      <w:color w:val="0070C0"/>
      <w:sz w:val="36"/>
      <w:szCs w:val="28"/>
      <w:lang w:val="sq-AL"/>
    </w:rPr>
  </w:style>
  <w:style w:type="paragraph" w:customStyle="1" w:styleId="Style3">
    <w:name w:val="Style 3"/>
    <w:basedOn w:val="Style20"/>
    <w:uiPriority w:val="99"/>
    <w:qFormat/>
    <w:rPr>
      <w:sz w:val="24"/>
    </w:rPr>
  </w:style>
  <w:style w:type="character" w:customStyle="1" w:styleId="Style2Char">
    <w:name w:val="Style2 Char"/>
    <w:rPr>
      <w:rFonts w:ascii="Times New Roman" w:eastAsia="Times New Roman" w:hAnsi="Times New Roman"/>
      <w:color w:val="0070C0"/>
      <w:sz w:val="28"/>
      <w:szCs w:val="24"/>
      <w:lang w:val="sq-AL"/>
    </w:rPr>
  </w:style>
  <w:style w:type="character" w:styleId="IntenseEmphasis">
    <w:name w:val="Intense Emphasis"/>
    <w:uiPriority w:val="21"/>
    <w:qFormat/>
    <w:rPr>
      <w:b/>
      <w:bCs/>
      <w:i/>
      <w:iCs/>
      <w:color w:val="4F81BD"/>
      <w:sz w:val="24"/>
    </w:rPr>
  </w:style>
  <w:style w:type="character" w:customStyle="1" w:styleId="BodyTextChar1">
    <w:name w:val="Body Text Char1"/>
    <w:uiPriority w:val="99"/>
    <w:semiHidden/>
    <w:rPr>
      <w:rFonts w:ascii="Times New Roman" w:eastAsia="Times New Roman" w:hAnsi="Times New Roman"/>
      <w:sz w:val="24"/>
      <w:szCs w:val="24"/>
    </w:rPr>
  </w:style>
  <w:style w:type="character" w:customStyle="1" w:styleId="BodyText3Char1">
    <w:name w:val="Body Text 3 Char1"/>
    <w:uiPriority w:val="99"/>
    <w:semiHidden/>
    <w:rPr>
      <w:rFonts w:ascii="Times New Roman" w:eastAsia="Times New Roman" w:hAnsi="Times New Roman"/>
      <w:sz w:val="16"/>
      <w:szCs w:val="16"/>
    </w:rPr>
  </w:style>
  <w:style w:type="character" w:customStyle="1" w:styleId="BodyTextIndent2Char1">
    <w:name w:val="Body Text Indent 2 Char1"/>
    <w:uiPriority w:val="99"/>
    <w:semiHidden/>
    <w:rPr>
      <w:rFonts w:ascii="Times New Roman" w:eastAsia="Times New Roman" w:hAnsi="Times New Roman"/>
      <w:sz w:val="24"/>
      <w:szCs w:val="24"/>
    </w:rPr>
  </w:style>
  <w:style w:type="paragraph" w:customStyle="1" w:styleId="xl160">
    <w:name w:val="xl160"/>
    <w:basedOn w:val="Normal"/>
    <w:pPr>
      <w:pBdr>
        <w:left w:val="single" w:sz="6"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1">
    <w:name w:val="xl161"/>
    <w:basedOn w:val="Normal"/>
    <w:pPr>
      <w:pBdr>
        <w:left w:val="single" w:sz="6" w:space="0" w:color="000000"/>
        <w:bottom w:val="single" w:sz="4"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2">
    <w:name w:val="xl162"/>
    <w:basedOn w:val="Normal"/>
    <w:pPr>
      <w:pBdr>
        <w:top w:val="single" w:sz="4" w:space="0" w:color="000000"/>
        <w:bottom w:val="single" w:sz="4" w:space="0" w:color="000000"/>
        <w:right w:val="single" w:sz="6" w:space="0" w:color="000000"/>
      </w:pBdr>
      <w:shd w:val="clear" w:color="DEEBF6"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63">
    <w:name w:val="xl163"/>
    <w:basedOn w:val="Normal"/>
    <w:pPr>
      <w:pBdr>
        <w:top w:val="single" w:sz="4" w:space="0" w:color="000000"/>
        <w:bottom w:val="single" w:sz="4" w:space="0" w:color="000000"/>
        <w:right w:val="single" w:sz="6" w:space="0" w:color="000000"/>
      </w:pBdr>
      <w:shd w:val="clear" w:color="DEEBF6"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4">
    <w:name w:val="xl164"/>
    <w:basedOn w:val="Normal"/>
    <w:pPr>
      <w:pBdr>
        <w:top w:val="single" w:sz="4" w:space="0" w:color="000000"/>
        <w:bottom w:val="single" w:sz="4"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5">
    <w:name w:val="xl165"/>
    <w:basedOn w:val="Normal"/>
    <w:pPr>
      <w:pBdr>
        <w:top w:val="single" w:sz="4" w:space="0" w:color="000000"/>
        <w:bottom w:val="single" w:sz="4" w:space="0" w:color="000000"/>
        <w:right w:val="single" w:sz="6" w:space="0" w:color="000000"/>
      </w:pBdr>
      <w:shd w:val="clear" w:color="BCD6EE"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66">
    <w:name w:val="xl166"/>
    <w:basedOn w:val="Normal"/>
    <w:pPr>
      <w:pBdr>
        <w:top w:val="single" w:sz="4" w:space="0" w:color="000000"/>
        <w:bottom w:val="single" w:sz="4" w:space="0" w:color="000000"/>
        <w:right w:val="single" w:sz="6" w:space="0" w:color="000000"/>
      </w:pBdr>
      <w:shd w:val="clear" w:color="DEEBF6"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67">
    <w:name w:val="xl167"/>
    <w:basedOn w:val="Normal"/>
    <w:pPr>
      <w:pBdr>
        <w:top w:val="single" w:sz="4" w:space="0" w:color="000000"/>
        <w:bottom w:val="single" w:sz="4" w:space="0" w:color="000000"/>
        <w:right w:val="single" w:sz="6" w:space="0" w:color="000000"/>
      </w:pBdr>
      <w:shd w:val="clear" w:color="DEEBF6"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8">
    <w:name w:val="xl168"/>
    <w:basedOn w:val="Normal"/>
    <w:pPr>
      <w:pBdr>
        <w:top w:val="single" w:sz="4" w:space="0" w:color="000000"/>
        <w:bottom w:val="single" w:sz="4" w:space="0" w:color="000000"/>
        <w:right w:val="single" w:sz="6" w:space="0" w:color="000000"/>
      </w:pBdr>
      <w:shd w:val="clear" w:color="BCD6EE"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9">
    <w:name w:val="xl169"/>
    <w:basedOn w:val="Normal"/>
    <w:pPr>
      <w:pBdr>
        <w:top w:val="single" w:sz="4" w:space="0" w:color="000000"/>
        <w:bottom w:val="single" w:sz="4" w:space="0" w:color="000000"/>
        <w:right w:val="single" w:sz="6" w:space="0" w:color="000000"/>
      </w:pBdr>
      <w:shd w:val="clear" w:color="BCD6EE"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0">
    <w:name w:val="xl170"/>
    <w:basedOn w:val="Normal"/>
    <w:pPr>
      <w:pBdr>
        <w:top w:val="single" w:sz="4" w:space="0" w:color="000000"/>
        <w:bottom w:val="single" w:sz="4" w:space="0" w:color="000000"/>
        <w:right w:val="single" w:sz="6" w:space="0" w:color="000000"/>
      </w:pBdr>
      <w:shd w:val="clear" w:color="DEEBF6"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71">
    <w:name w:val="xl171"/>
    <w:basedOn w:val="Normal"/>
    <w:pPr>
      <w:pBdr>
        <w:left w:val="single" w:sz="6" w:space="0" w:color="000000"/>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2">
    <w:name w:val="xl172"/>
    <w:basedOn w:val="Normal"/>
    <w:pPr>
      <w:pBdr>
        <w:top w:val="single" w:sz="4" w:space="0" w:color="000000"/>
        <w:right w:val="single" w:sz="6" w:space="0" w:color="000000"/>
      </w:pBdr>
      <w:shd w:val="clear" w:color="000000" w:fill="FFFFFF"/>
      <w:spacing w:before="100" w:beforeAutospacing="1" w:after="100" w:afterAutospacing="1" w:line="240" w:lineRule="auto"/>
    </w:pPr>
    <w:rPr>
      <w:rFonts w:ascii="Garamond" w:eastAsia="Times New Roman" w:hAnsi="Garamond" w:cs="Times New Roman"/>
      <w:sz w:val="14"/>
      <w:szCs w:val="14"/>
    </w:rPr>
  </w:style>
  <w:style w:type="paragraph" w:customStyle="1" w:styleId="xl173">
    <w:name w:val="xl173"/>
    <w:basedOn w:val="Normal"/>
    <w:pPr>
      <w:pBdr>
        <w:top w:val="single" w:sz="4" w:space="0" w:color="000000"/>
        <w:left w:val="single" w:sz="6"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4">
    <w:name w:val="xl174"/>
    <w:basedOn w:val="Normal"/>
    <w:pPr>
      <w:pBdr>
        <w:top w:val="single" w:sz="4" w:space="0" w:color="000000"/>
        <w:bottom w:val="single" w:sz="4"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75">
    <w:name w:val="xl175"/>
    <w:basedOn w:val="Normal"/>
    <w:pPr>
      <w:pBdr>
        <w:top w:val="single" w:sz="4" w:space="0" w:color="000000"/>
        <w:right w:val="single" w:sz="6" w:space="0" w:color="000000"/>
      </w:pBdr>
      <w:shd w:val="clear" w:color="DEEBF6"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6">
    <w:name w:val="xl176"/>
    <w:basedOn w:val="Normal"/>
    <w:pPr>
      <w:pBdr>
        <w:top w:val="single" w:sz="4" w:space="0" w:color="000000"/>
        <w:right w:val="single" w:sz="6" w:space="0" w:color="000000"/>
      </w:pBdr>
      <w:shd w:val="clear" w:color="DEEBF6"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7">
    <w:name w:val="xl177"/>
    <w:basedOn w:val="Normal"/>
    <w:pPr>
      <w:pBdr>
        <w:top w:val="single" w:sz="4" w:space="0" w:color="000000"/>
        <w:bottom w:val="single" w:sz="4" w:space="0" w:color="000000"/>
        <w:right w:val="single" w:sz="6" w:space="0" w:color="000000"/>
      </w:pBdr>
      <w:shd w:val="clear" w:color="DEEBF6"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78">
    <w:name w:val="xl178"/>
    <w:basedOn w:val="Normal"/>
    <w:pPr>
      <w:pBdr>
        <w:top w:val="single" w:sz="4" w:space="0" w:color="000000"/>
        <w:left w:val="single" w:sz="6" w:space="0" w:color="000000"/>
        <w:right w:val="single" w:sz="6" w:space="0" w:color="000000"/>
      </w:pBdr>
      <w:shd w:val="clear" w:color="DEEBF6"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9">
    <w:name w:val="xl179"/>
    <w:basedOn w:val="Normal"/>
    <w:pPr>
      <w:pBdr>
        <w:left w:val="single" w:sz="6" w:space="0" w:color="000000"/>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0">
    <w:name w:val="xl180"/>
    <w:basedOn w:val="Normal"/>
    <w:pPr>
      <w:pBdr>
        <w:left w:val="single" w:sz="6" w:space="0" w:color="000000"/>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1">
    <w:name w:val="xl181"/>
    <w:basedOn w:val="Normal"/>
    <w:pPr>
      <w:pBdr>
        <w:left w:val="single" w:sz="6" w:space="0" w:color="000000"/>
        <w:right w:val="single" w:sz="6" w:space="0" w:color="000000"/>
      </w:pBdr>
      <w:shd w:val="clear" w:color="DEEBF6"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2">
    <w:name w:val="xl182"/>
    <w:basedOn w:val="Normal"/>
    <w:pPr>
      <w:pBdr>
        <w:left w:val="single" w:sz="6" w:space="0" w:color="000000"/>
        <w:bottom w:val="single" w:sz="4" w:space="0" w:color="000000"/>
        <w:right w:val="single" w:sz="6" w:space="0" w:color="000000"/>
      </w:pBdr>
      <w:shd w:val="clear" w:color="DEEBF6"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3">
    <w:name w:val="xl183"/>
    <w:basedOn w:val="Normal"/>
    <w:pPr>
      <w:pBdr>
        <w:top w:val="single" w:sz="4" w:space="0" w:color="000000"/>
        <w:bottom w:val="single" w:sz="4" w:space="0" w:color="000000"/>
        <w:right w:val="single" w:sz="6" w:space="0" w:color="000000"/>
      </w:pBdr>
      <w:shd w:val="clear" w:color="DEEBF6"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4">
    <w:name w:val="xl184"/>
    <w:basedOn w:val="Normal"/>
    <w:pPr>
      <w:pBdr>
        <w:top w:val="single" w:sz="4" w:space="0" w:color="000000"/>
        <w:right w:val="single" w:sz="6" w:space="0" w:color="000000"/>
      </w:pBdr>
      <w:shd w:val="clear" w:color="000000" w:fill="FFFFFF"/>
      <w:spacing w:before="100" w:beforeAutospacing="1" w:after="100" w:afterAutospacing="1" w:line="240" w:lineRule="auto"/>
    </w:pPr>
    <w:rPr>
      <w:rFonts w:ascii="Garamond" w:eastAsia="Times New Roman" w:hAnsi="Garamond" w:cs="Times New Roman"/>
      <w:sz w:val="14"/>
      <w:szCs w:val="14"/>
    </w:rPr>
  </w:style>
  <w:style w:type="paragraph" w:customStyle="1" w:styleId="xl185">
    <w:name w:val="xl185"/>
    <w:basedOn w:val="Normal"/>
    <w:pPr>
      <w:pBdr>
        <w:top w:val="single" w:sz="4" w:space="0" w:color="000000"/>
        <w:bottom w:val="single" w:sz="4"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86">
    <w:name w:val="xl186"/>
    <w:basedOn w:val="Normal"/>
    <w:pPr>
      <w:pBdr>
        <w:top w:val="single" w:sz="4" w:space="0" w:color="000000"/>
        <w:bottom w:val="single" w:sz="4" w:space="0" w:color="000000"/>
        <w:right w:val="single" w:sz="6" w:space="0" w:color="000000"/>
      </w:pBdr>
      <w:shd w:val="clear" w:color="000000" w:fill="FFFFFF"/>
      <w:spacing w:before="100" w:beforeAutospacing="1" w:after="100" w:afterAutospacing="1" w:line="240" w:lineRule="auto"/>
    </w:pPr>
    <w:rPr>
      <w:rFonts w:ascii="Garamond" w:eastAsia="Times New Roman" w:hAnsi="Garamond" w:cs="Times New Roman"/>
      <w:sz w:val="14"/>
      <w:szCs w:val="14"/>
    </w:rPr>
  </w:style>
  <w:style w:type="paragraph" w:customStyle="1" w:styleId="xl187">
    <w:name w:val="xl187"/>
    <w:basedOn w:val="Normal"/>
    <w:pPr>
      <w:pBdr>
        <w:top w:val="single" w:sz="4" w:space="0" w:color="000000"/>
        <w:left w:val="single" w:sz="6" w:space="0" w:color="000000"/>
        <w:bottom w:val="single" w:sz="4"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88">
    <w:name w:val="xl188"/>
    <w:basedOn w:val="Normal"/>
    <w:pPr>
      <w:pBdr>
        <w:top w:val="single" w:sz="4"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89">
    <w:name w:val="xl189"/>
    <w:basedOn w:val="Normal"/>
    <w:pPr>
      <w:pBdr>
        <w:bottom w:val="single" w:sz="4"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0">
    <w:name w:val="xl190"/>
    <w:basedOn w:val="Normal"/>
    <w:pPr>
      <w:pBdr>
        <w:top w:val="single" w:sz="4" w:space="0" w:color="000000"/>
        <w:left w:val="single" w:sz="6" w:space="0" w:color="000000"/>
        <w:bottom w:val="single" w:sz="4"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1">
    <w:name w:val="xl191"/>
    <w:basedOn w:val="Normal"/>
    <w:pPr>
      <w:pBdr>
        <w:top w:val="single" w:sz="4" w:space="0" w:color="000000"/>
        <w:bottom w:val="single" w:sz="4"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2">
    <w:name w:val="xl192"/>
    <w:basedOn w:val="Normal"/>
    <w:pPr>
      <w:pBdr>
        <w:top w:val="single" w:sz="4" w:space="0" w:color="000000"/>
        <w:bottom w:val="single" w:sz="4"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3">
    <w:name w:val="xl193"/>
    <w:basedOn w:val="Normal"/>
    <w:pPr>
      <w:pBdr>
        <w:top w:val="single" w:sz="4" w:space="0" w:color="000000"/>
        <w:right w:val="single" w:sz="6" w:space="0" w:color="000000"/>
      </w:pBdr>
      <w:shd w:val="clear" w:color="DEEBF6"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94">
    <w:name w:val="xl194"/>
    <w:basedOn w:val="Normal"/>
    <w:pPr>
      <w:pBdr>
        <w:top w:val="single" w:sz="4" w:space="0" w:color="000000"/>
        <w:left w:val="single" w:sz="6" w:space="0" w:color="000000"/>
        <w:right w:val="single" w:sz="6" w:space="0" w:color="000000"/>
      </w:pBdr>
      <w:shd w:val="clear" w:color="DEEBF6"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95">
    <w:name w:val="xl195"/>
    <w:basedOn w:val="Normal"/>
    <w:pPr>
      <w:pBdr>
        <w:top w:val="single" w:sz="4" w:space="0" w:color="000000"/>
        <w:bottom w:val="single" w:sz="4" w:space="0" w:color="000000"/>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96">
    <w:name w:val="xl196"/>
    <w:basedOn w:val="Normal"/>
    <w:pPr>
      <w:pBdr>
        <w:top w:val="single" w:sz="4"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7">
    <w:name w:val="xl197"/>
    <w:basedOn w:val="Normal"/>
    <w:pPr>
      <w:pBdr>
        <w:bottom w:val="single" w:sz="4"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8">
    <w:name w:val="xl198"/>
    <w:basedOn w:val="Normal"/>
    <w:pPr>
      <w:pBdr>
        <w:top w:val="single" w:sz="4" w:space="0" w:color="000000"/>
        <w:bottom w:val="single" w:sz="4"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9">
    <w:name w:val="xl199"/>
    <w:basedOn w:val="Normal"/>
    <w:pPr>
      <w:pBdr>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0">
    <w:name w:val="xl200"/>
    <w:basedOn w:val="Normal"/>
    <w:pPr>
      <w:pBdr>
        <w:top w:val="single" w:sz="4" w:space="0" w:color="000000"/>
        <w:left w:val="single" w:sz="6" w:space="0" w:color="000000"/>
        <w:bottom w:val="single" w:sz="4"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01">
    <w:name w:val="xl201"/>
    <w:basedOn w:val="Normal"/>
    <w:pPr>
      <w:pBdr>
        <w:top w:val="single" w:sz="4" w:space="0" w:color="000000"/>
        <w:left w:val="single" w:sz="6" w:space="0" w:color="000000"/>
        <w:right w:val="single" w:sz="6" w:space="0" w:color="000000"/>
      </w:pBdr>
      <w:shd w:val="clear" w:color="000000"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02">
    <w:name w:val="xl202"/>
    <w:basedOn w:val="Normal"/>
    <w:pPr>
      <w:pBdr>
        <w:right w:val="single" w:sz="6" w:space="0" w:color="000000"/>
      </w:pBdr>
      <w:shd w:val="clear" w:color="000000"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03">
    <w:name w:val="xl203"/>
    <w:basedOn w:val="Normal"/>
    <w:pPr>
      <w:pBdr>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4">
    <w:name w:val="xl204"/>
    <w:basedOn w:val="Normal"/>
    <w:pPr>
      <w:pBdr>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05">
    <w:name w:val="xl205"/>
    <w:basedOn w:val="Normal"/>
    <w:pPr>
      <w:pBdr>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06">
    <w:name w:val="xl206"/>
    <w:basedOn w:val="Normal"/>
    <w:pPr>
      <w:pBdr>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7">
    <w:name w:val="xl207"/>
    <w:basedOn w:val="Normal"/>
    <w:pPr>
      <w:pBdr>
        <w:left w:val="single" w:sz="6" w:space="0" w:color="000000"/>
        <w:right w:val="single" w:sz="6" w:space="0" w:color="000000"/>
      </w:pBdr>
      <w:shd w:val="clear" w:color="000000"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08">
    <w:name w:val="xl208"/>
    <w:basedOn w:val="Normal"/>
    <w:pPr>
      <w:pBdr>
        <w:top w:val="single" w:sz="4" w:space="0" w:color="000000"/>
        <w:bottom w:val="single" w:sz="4"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9">
    <w:name w:val="xl209"/>
    <w:basedOn w:val="Normal"/>
    <w:pPr>
      <w:pBdr>
        <w:top w:val="single" w:sz="4" w:space="0" w:color="000000"/>
        <w:bottom w:val="single" w:sz="4"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0">
    <w:name w:val="xl210"/>
    <w:basedOn w:val="Normal"/>
    <w:pPr>
      <w:pBdr>
        <w:top w:val="single" w:sz="4" w:space="0" w:color="000000"/>
        <w:left w:val="single" w:sz="6" w:space="0" w:color="000000"/>
        <w:bottom w:val="single" w:sz="4" w:space="0" w:color="000000"/>
        <w:right w:val="single" w:sz="6" w:space="0" w:color="000000"/>
      </w:pBdr>
      <w:shd w:val="clear" w:color="DEEBF6"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1">
    <w:name w:val="xl211"/>
    <w:basedOn w:val="Normal"/>
    <w:pPr>
      <w:pBdr>
        <w:left w:val="single" w:sz="6" w:space="0" w:color="000000"/>
        <w:bottom w:val="single" w:sz="6" w:space="0" w:color="000000"/>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2">
    <w:name w:val="xl212"/>
    <w:basedOn w:val="Normal"/>
    <w:pPr>
      <w:pBdr>
        <w:left w:val="single" w:sz="6" w:space="0" w:color="000000"/>
        <w:bottom w:val="single" w:sz="6" w:space="0" w:color="000000"/>
        <w:right w:val="single" w:sz="6" w:space="0" w:color="000000"/>
      </w:pBdr>
      <w:shd w:val="clear" w:color="000000"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13">
    <w:name w:val="xl213"/>
    <w:basedOn w:val="Normal"/>
    <w:pPr>
      <w:pBdr>
        <w:top w:val="single" w:sz="4" w:space="0" w:color="000000"/>
        <w:left w:val="single" w:sz="6" w:space="0" w:color="000000"/>
        <w:bottom w:val="single" w:sz="6" w:space="0" w:color="000000"/>
        <w:right w:val="single" w:sz="6" w:space="0" w:color="000000"/>
      </w:pBdr>
      <w:shd w:val="clear" w:color="000000"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14">
    <w:name w:val="xl214"/>
    <w:basedOn w:val="Normal"/>
    <w:pPr>
      <w:pBdr>
        <w:top w:val="single" w:sz="4" w:space="0" w:color="000000"/>
        <w:left w:val="single" w:sz="6" w:space="0" w:color="000000"/>
        <w:bottom w:val="single" w:sz="6" w:space="0" w:color="000000"/>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5">
    <w:name w:val="xl215"/>
    <w:basedOn w:val="Normal"/>
    <w:pPr>
      <w:pBdr>
        <w:top w:val="single" w:sz="4" w:space="0" w:color="000000"/>
        <w:left w:val="single" w:sz="6" w:space="0" w:color="000000"/>
        <w:bottom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6">
    <w:name w:val="xl216"/>
    <w:basedOn w:val="Normal"/>
    <w:pPr>
      <w:pBdr>
        <w:top w:val="single" w:sz="4" w:space="0" w:color="000000"/>
        <w:bottom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7">
    <w:name w:val="xl217"/>
    <w:basedOn w:val="Normal"/>
    <w:pPr>
      <w:pBdr>
        <w:top w:val="single" w:sz="4" w:space="0" w:color="000000"/>
        <w:left w:val="single" w:sz="6" w:space="0" w:color="000000"/>
        <w:bottom w:val="single" w:sz="6"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8">
    <w:name w:val="xl218"/>
    <w:basedOn w:val="Normal"/>
    <w:pPr>
      <w:pBdr>
        <w:top w:val="single" w:sz="4" w:space="0" w:color="000000"/>
        <w:bottom w:val="single" w:sz="6"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9">
    <w:name w:val="xl219"/>
    <w:basedOn w:val="Normal"/>
    <w:pPr>
      <w:pBdr>
        <w:top w:val="single" w:sz="6" w:space="0" w:color="000000"/>
        <w:left w:val="single" w:sz="6" w:space="0" w:color="000000"/>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20">
    <w:name w:val="xl220"/>
    <w:basedOn w:val="Normal"/>
    <w:pPr>
      <w:pBdr>
        <w:top w:val="single" w:sz="6" w:space="0" w:color="000000"/>
        <w:left w:val="single" w:sz="6" w:space="0" w:color="000000"/>
      </w:pBdr>
      <w:shd w:val="clear" w:color="000000"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1">
    <w:name w:val="xl221"/>
    <w:basedOn w:val="Normal"/>
    <w:pPr>
      <w:pBdr>
        <w:top w:val="single" w:sz="6" w:space="0" w:color="000000"/>
      </w:pBdr>
      <w:shd w:val="clear" w:color="000000"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2">
    <w:name w:val="xl222"/>
    <w:basedOn w:val="Normal"/>
    <w:pPr>
      <w:pBdr>
        <w:top w:val="single" w:sz="6" w:space="0" w:color="000000"/>
        <w:right w:val="single" w:sz="6" w:space="0" w:color="000000"/>
      </w:pBdr>
      <w:shd w:val="clear" w:color="000000"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3">
    <w:name w:val="xl223"/>
    <w:basedOn w:val="Normal"/>
    <w:pPr>
      <w:pBdr>
        <w:top w:val="single" w:sz="6" w:space="0" w:color="000000"/>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24">
    <w:name w:val="xl224"/>
    <w:basedOn w:val="Normal"/>
    <w:pPr>
      <w:pBdr>
        <w:left w:val="single" w:sz="6" w:space="0" w:color="000000"/>
        <w:bottom w:val="single" w:sz="6" w:space="0" w:color="000000"/>
      </w:pBdr>
      <w:shd w:val="clear" w:color="000000"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5">
    <w:name w:val="xl225"/>
    <w:basedOn w:val="Normal"/>
    <w:pPr>
      <w:pBdr>
        <w:bottom w:val="single" w:sz="6" w:space="0" w:color="000000"/>
      </w:pBdr>
      <w:shd w:val="clear" w:color="000000"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6">
    <w:name w:val="xl226"/>
    <w:basedOn w:val="Normal"/>
    <w:pPr>
      <w:pBdr>
        <w:bottom w:val="single" w:sz="6" w:space="0" w:color="000000"/>
        <w:right w:val="single" w:sz="6" w:space="0" w:color="000000"/>
      </w:pBdr>
      <w:shd w:val="clear" w:color="000000"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7">
    <w:name w:val="xl227"/>
    <w:basedOn w:val="Normal"/>
    <w:pPr>
      <w:pBdr>
        <w:bottom w:val="single" w:sz="6"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28">
    <w:name w:val="xl228"/>
    <w:basedOn w:val="Normal"/>
    <w:pPr>
      <w:pBdr>
        <w:bottom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29">
    <w:name w:val="xl229"/>
    <w:basedOn w:val="Normal"/>
    <w:pPr>
      <w:pBdr>
        <w:bottom w:val="single" w:sz="6" w:space="0" w:color="000000"/>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0">
    <w:name w:val="xl230"/>
    <w:basedOn w:val="Normal"/>
    <w:pPr>
      <w:pBdr>
        <w:top w:val="single" w:sz="4" w:space="0" w:color="000000"/>
        <w:left w:val="single" w:sz="6" w:space="0" w:color="000000"/>
        <w:right w:val="single" w:sz="6" w:space="0" w:color="000000"/>
      </w:pBdr>
      <w:shd w:val="clear" w:color="000000"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31">
    <w:name w:val="xl231"/>
    <w:basedOn w:val="Normal"/>
    <w:pPr>
      <w:pBdr>
        <w:top w:val="single" w:sz="4" w:space="0" w:color="000000"/>
        <w:bottom w:val="single" w:sz="4" w:space="0" w:color="000000"/>
        <w:right w:val="single" w:sz="6" w:space="0" w:color="000000"/>
      </w:pBdr>
      <w:shd w:val="clear" w:color="DEEBF6"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2">
    <w:name w:val="xl232"/>
    <w:basedOn w:val="Normal"/>
    <w:pPr>
      <w:pBdr>
        <w:top w:val="single" w:sz="6" w:space="0" w:color="000000"/>
        <w:left w:val="single" w:sz="6" w:space="0" w:color="000000"/>
        <w:bottom w:val="single" w:sz="6" w:space="0" w:color="000000"/>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3">
    <w:name w:val="xl233"/>
    <w:basedOn w:val="Normal"/>
    <w:pPr>
      <w:pBdr>
        <w:top w:val="single" w:sz="6" w:space="0" w:color="000000"/>
        <w:left w:val="single" w:sz="6" w:space="0" w:color="000000"/>
        <w:bottom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b/>
      <w:bCs/>
      <w:sz w:val="14"/>
      <w:szCs w:val="14"/>
    </w:rPr>
  </w:style>
  <w:style w:type="paragraph" w:customStyle="1" w:styleId="xl234">
    <w:name w:val="xl234"/>
    <w:basedOn w:val="Normal"/>
    <w:pPr>
      <w:pBdr>
        <w:top w:val="single" w:sz="6" w:space="0" w:color="000000"/>
        <w:bottom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b/>
      <w:bCs/>
      <w:sz w:val="14"/>
      <w:szCs w:val="14"/>
    </w:rPr>
  </w:style>
  <w:style w:type="paragraph" w:customStyle="1" w:styleId="xl235">
    <w:name w:val="xl235"/>
    <w:basedOn w:val="Normal"/>
    <w:pPr>
      <w:pBdr>
        <w:top w:val="single" w:sz="6" w:space="0" w:color="000000"/>
        <w:bottom w:val="single" w:sz="6" w:space="0" w:color="000000"/>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6">
    <w:name w:val="xl236"/>
    <w:basedOn w:val="Normal"/>
    <w:pPr>
      <w:pBdr>
        <w:top w:val="single" w:sz="6" w:space="0" w:color="000000"/>
        <w:bottom w:val="single" w:sz="6" w:space="0" w:color="000000"/>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7">
    <w:name w:val="xl237"/>
    <w:basedOn w:val="Normal"/>
    <w:pPr>
      <w:pBdr>
        <w:top w:val="single" w:sz="6" w:space="0" w:color="000000"/>
        <w:bottom w:val="single" w:sz="6"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38">
    <w:name w:val="xl238"/>
    <w:basedOn w:val="Normal"/>
    <w:pPr>
      <w:pBdr>
        <w:top w:val="single" w:sz="6" w:space="0" w:color="000000"/>
        <w:bottom w:val="single" w:sz="6" w:space="0" w:color="000000"/>
        <w:right w:val="single" w:sz="6" w:space="0" w:color="000000"/>
      </w:pBdr>
      <w:shd w:val="clear" w:color="000000" w:fill="FFFFFF"/>
      <w:spacing w:before="100" w:beforeAutospacing="1" w:after="100" w:afterAutospacing="1" w:line="240" w:lineRule="auto"/>
      <w:jc w:val="right"/>
    </w:pPr>
    <w:rPr>
      <w:rFonts w:ascii="Garamond" w:eastAsia="Times New Roman" w:hAnsi="Garamond" w:cs="Times New Roman"/>
      <w:b/>
      <w:bCs/>
      <w:sz w:val="14"/>
      <w:szCs w:val="14"/>
    </w:rPr>
  </w:style>
  <w:style w:type="paragraph" w:customStyle="1" w:styleId="xl239">
    <w:name w:val="xl239"/>
    <w:basedOn w:val="Normal"/>
    <w:pPr>
      <w:pBdr>
        <w:top w:val="single" w:sz="6" w:space="0" w:color="000000"/>
        <w:bottom w:val="single" w:sz="6" w:space="0" w:color="000000"/>
        <w:right w:val="single" w:sz="6" w:space="0" w:color="000000"/>
      </w:pBdr>
      <w:shd w:val="clear" w:color="000000"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40">
    <w:name w:val="xl240"/>
    <w:basedOn w:val="Normal"/>
    <w:pPr>
      <w:pBdr>
        <w:left w:val="single" w:sz="4" w:space="0" w:color="000000"/>
        <w:bottom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41">
    <w:name w:val="xl241"/>
    <w:basedOn w:val="Normal"/>
    <w:pPr>
      <w:pBdr>
        <w:bottom w:val="single" w:sz="4" w:space="0" w:color="000000"/>
        <w:right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42">
    <w:name w:val="xl242"/>
    <w:basedOn w:val="Normal"/>
    <w:pPr>
      <w:pBdr>
        <w:left w:val="single" w:sz="4" w:space="5" w:color="000000"/>
        <w:bottom w:val="single" w:sz="4" w:space="0" w:color="000000"/>
        <w:right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43">
    <w:name w:val="xl243"/>
    <w:basedOn w:val="Normal"/>
    <w:pPr>
      <w:pBdr>
        <w:top w:val="single" w:sz="4" w:space="0" w:color="000000"/>
        <w:left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244">
    <w:name w:val="xl244"/>
    <w:basedOn w:val="Normal"/>
    <w:pPr>
      <w:pBdr>
        <w:top w:val="single" w:sz="4" w:space="0" w:color="000000"/>
        <w:left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245">
    <w:name w:val="xl245"/>
    <w:basedOn w:val="Normal"/>
    <w:pPr>
      <w:pBdr>
        <w:top w:val="single" w:sz="4" w:space="0" w:color="000000"/>
        <w:bottom w:val="single" w:sz="4" w:space="0" w:color="000000"/>
        <w:right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46">
    <w:name w:val="xl246"/>
    <w:basedOn w:val="Normal"/>
    <w:pPr>
      <w:pBdr>
        <w:left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247">
    <w:name w:val="xl247"/>
    <w:basedOn w:val="Normal"/>
    <w:pPr>
      <w:pBdr>
        <w:left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248">
    <w:name w:val="xl248"/>
    <w:basedOn w:val="Normal"/>
    <w:pPr>
      <w:pBdr>
        <w:left w:val="single" w:sz="4" w:space="0" w:color="000000"/>
        <w:bottom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249">
    <w:name w:val="xl249"/>
    <w:basedOn w:val="Normal"/>
    <w:pPr>
      <w:pBdr>
        <w:left w:val="single" w:sz="4" w:space="0" w:color="000000"/>
        <w:bottom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250">
    <w:name w:val="xl250"/>
    <w:basedOn w:val="Normal"/>
    <w:pPr>
      <w:pBdr>
        <w:left w:val="single" w:sz="4" w:space="5" w:color="000000"/>
        <w:bottom w:val="single" w:sz="4" w:space="0" w:color="000000"/>
        <w:right w:val="single" w:sz="4" w:space="0" w:color="000000"/>
      </w:pBdr>
      <w:shd w:val="clear" w:color="000000" w:fill="D8D8D8"/>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51">
    <w:name w:val="xl251"/>
    <w:basedOn w:val="Normal"/>
    <w:pPr>
      <w:pBdr>
        <w:left w:val="single" w:sz="4" w:space="0" w:color="000000"/>
        <w:bottom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2">
    <w:name w:val="xl252"/>
    <w:basedOn w:val="Normal"/>
    <w:pPr>
      <w:pBdr>
        <w:left w:val="single" w:sz="4" w:space="0" w:color="000000"/>
        <w:bottom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3">
    <w:name w:val="xl253"/>
    <w:basedOn w:val="Normal"/>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4">
    <w:name w:val="xl254"/>
    <w:basedOn w:val="Normal"/>
    <w:pPr>
      <w:pBdr>
        <w:top w:val="single" w:sz="4" w:space="0" w:color="000000"/>
        <w:left w:val="single" w:sz="4" w:space="5" w:color="000000"/>
        <w:bottom w:val="single" w:sz="4" w:space="0" w:color="000000"/>
        <w:right w:val="single" w:sz="4" w:space="0" w:color="000000"/>
      </w:pBdr>
      <w:shd w:val="clear" w:color="000000" w:fill="D8D8D8"/>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55">
    <w:name w:val="xl255"/>
    <w:basedOn w:val="Normal"/>
    <w:pPr>
      <w:pBdr>
        <w:top w:val="single" w:sz="4" w:space="0" w:color="000000"/>
        <w:left w:val="single" w:sz="4" w:space="5" w:color="000000"/>
        <w:bottom w:val="single" w:sz="4" w:space="0" w:color="000000"/>
        <w:right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56">
    <w:name w:val="xl25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7">
    <w:name w:val="xl257"/>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8">
    <w:name w:val="xl258"/>
    <w:basedOn w:val="Normal"/>
    <w:pPr>
      <w:pBdr>
        <w:top w:val="single" w:sz="4" w:space="0" w:color="000000"/>
        <w:left w:val="single" w:sz="4" w:space="0" w:color="000000"/>
        <w:bottom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259">
    <w:name w:val="xl259"/>
    <w:basedOn w:val="Normal"/>
    <w:pPr>
      <w:pBdr>
        <w:top w:val="single" w:sz="4" w:space="0" w:color="000000"/>
        <w:left w:val="single" w:sz="4" w:space="0" w:color="000000"/>
        <w:bottom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260">
    <w:name w:val="xl260"/>
    <w:basedOn w:val="Normal"/>
    <w:pPr>
      <w:pBdr>
        <w:top w:val="single" w:sz="4" w:space="0" w:color="000000"/>
        <w:left w:val="single" w:sz="4" w:space="5" w:color="000000"/>
        <w:bottom w:val="single" w:sz="4" w:space="0" w:color="000000"/>
        <w:right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61">
    <w:name w:val="xl261"/>
    <w:basedOn w:val="Normal"/>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2">
    <w:name w:val="xl262"/>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3">
    <w:name w:val="xl263"/>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4">
    <w:name w:val="xl264"/>
    <w:basedOn w:val="Normal"/>
    <w:pPr>
      <w:pBdr>
        <w:left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5">
    <w:name w:val="xl265"/>
    <w:basedOn w:val="Normal"/>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6">
    <w:name w:val="xl266"/>
    <w:basedOn w:val="Normal"/>
    <w:pPr>
      <w:pBdr>
        <w:top w:val="single" w:sz="4" w:space="0" w:color="000000"/>
        <w:left w:val="single" w:sz="4" w:space="5" w:color="000000"/>
        <w:right w:val="single" w:sz="4" w:space="0" w:color="000000"/>
      </w:pBdr>
      <w:shd w:val="clear" w:color="000000" w:fill="D8D8D8"/>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67">
    <w:name w:val="xl267"/>
    <w:basedOn w:val="Normal"/>
    <w:pPr>
      <w:pBdr>
        <w:top w:val="single" w:sz="4" w:space="0" w:color="000000"/>
        <w:left w:val="single" w:sz="4" w:space="5" w:color="000000"/>
        <w:right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68">
    <w:name w:val="xl26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9">
    <w:name w:val="xl269"/>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70">
    <w:name w:val="xl270"/>
    <w:basedOn w:val="Normal"/>
    <w:pPr>
      <w:pBdr>
        <w:top w:val="single" w:sz="4" w:space="0" w:color="000000"/>
        <w:left w:val="single" w:sz="4" w:space="5" w:color="000000"/>
        <w:bottom w:val="single" w:sz="4" w:space="0" w:color="000000"/>
        <w:right w:val="single" w:sz="4" w:space="0" w:color="000000"/>
      </w:pBdr>
      <w:shd w:val="clear" w:color="000000" w:fill="D8D8D8"/>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71">
    <w:name w:val="xl271"/>
    <w:basedOn w:val="Normal"/>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72">
    <w:name w:val="xl272"/>
    <w:basedOn w:val="Normal"/>
    <w:pPr>
      <w:pBdr>
        <w:top w:val="single" w:sz="4" w:space="0" w:color="000000"/>
        <w:left w:val="single" w:sz="4" w:space="0" w:color="000000"/>
        <w:bottom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273">
    <w:name w:val="xl273"/>
    <w:basedOn w:val="Normal"/>
    <w:pPr>
      <w:pBdr>
        <w:top w:val="single" w:sz="4" w:space="0" w:color="000000"/>
        <w:left w:val="single" w:sz="4" w:space="0" w:color="000000"/>
        <w:bottom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274">
    <w:name w:val="xl274"/>
    <w:basedOn w:val="Normal"/>
    <w:pPr>
      <w:pBdr>
        <w:top w:val="single" w:sz="4" w:space="0" w:color="000000"/>
        <w:left w:val="single" w:sz="4" w:space="5" w:color="000000"/>
        <w:bottom w:val="single" w:sz="4" w:space="0" w:color="000000"/>
        <w:right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75">
    <w:name w:val="xl275"/>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76">
    <w:name w:val="xl276"/>
    <w:basedOn w:val="Normal"/>
    <w:pPr>
      <w:pBdr>
        <w:top w:val="single" w:sz="4" w:space="0" w:color="000000"/>
        <w:left w:val="single" w:sz="4" w:space="0" w:color="000000"/>
        <w:bottom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277">
    <w:name w:val="xl277"/>
    <w:basedOn w:val="Normal"/>
    <w:pPr>
      <w:pBdr>
        <w:top w:val="single" w:sz="4" w:space="0" w:color="000000"/>
        <w:left w:val="single" w:sz="4" w:space="0" w:color="000000"/>
        <w:bottom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278">
    <w:name w:val="xl278"/>
    <w:basedOn w:val="Normal"/>
    <w:pPr>
      <w:pBdr>
        <w:top w:val="single" w:sz="4" w:space="0" w:color="000000"/>
        <w:left w:val="single" w:sz="4" w:space="5" w:color="000000"/>
        <w:right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79">
    <w:name w:val="xl279"/>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0">
    <w:name w:val="xl280"/>
    <w:basedOn w:val="Normal"/>
    <w:pPr>
      <w:pBdr>
        <w:top w:val="single" w:sz="4" w:space="0" w:color="000000"/>
        <w:left w:val="single" w:sz="4" w:space="0" w:color="000000"/>
        <w:bottom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1">
    <w:name w:val="xl281"/>
    <w:basedOn w:val="Normal"/>
    <w:pPr>
      <w:pBdr>
        <w:top w:val="single" w:sz="4" w:space="0" w:color="000000"/>
        <w:bottom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82">
    <w:name w:val="xl282"/>
    <w:basedOn w:val="Normal"/>
    <w:pPr>
      <w:pBdr>
        <w:top w:val="single" w:sz="4" w:space="0" w:color="000000"/>
        <w:bottom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3">
    <w:name w:val="xl283"/>
    <w:basedOn w:val="Normal"/>
    <w:pPr>
      <w:pBdr>
        <w:top w:val="single" w:sz="4" w:space="0" w:color="000000"/>
        <w:bottom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4">
    <w:name w:val="xl284"/>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5">
    <w:name w:val="xl285"/>
    <w:basedOn w:val="Normal"/>
    <w:pPr>
      <w:pBdr>
        <w:top w:val="single" w:sz="4" w:space="0" w:color="000000"/>
        <w:left w:val="single" w:sz="4" w:space="0" w:color="000000"/>
        <w:bottom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b/>
      <w:bCs/>
      <w:sz w:val="18"/>
      <w:szCs w:val="18"/>
    </w:rPr>
  </w:style>
  <w:style w:type="paragraph" w:customStyle="1" w:styleId="xl286">
    <w:name w:val="xl286"/>
    <w:basedOn w:val="Normal"/>
    <w:pPr>
      <w:pBdr>
        <w:top w:val="single" w:sz="4" w:space="0" w:color="000000"/>
        <w:left w:val="single" w:sz="4" w:space="0" w:color="000000"/>
        <w:bottom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b/>
      <w:bCs/>
      <w:sz w:val="18"/>
      <w:szCs w:val="18"/>
    </w:rPr>
  </w:style>
  <w:style w:type="paragraph" w:customStyle="1" w:styleId="xl287">
    <w:name w:val="xl287"/>
    <w:basedOn w:val="Normal"/>
    <w:pPr>
      <w:pBdr>
        <w:top w:val="single" w:sz="4" w:space="0" w:color="000000"/>
        <w:left w:val="single" w:sz="4" w:space="0" w:color="000000"/>
        <w:bottom w:val="single" w:sz="4" w:space="0" w:color="000000"/>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288">
    <w:name w:val="xl288"/>
    <w:basedOn w:val="Normal"/>
    <w:pPr>
      <w:pBdr>
        <w:top w:val="single" w:sz="4" w:space="0" w:color="000000"/>
        <w:bottom w:val="single" w:sz="4" w:space="0" w:color="000000"/>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289">
    <w:name w:val="xl289"/>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290">
    <w:name w:val="xl290"/>
    <w:basedOn w:val="Normal"/>
    <w:pPr>
      <w:pBdr>
        <w:left w:val="single" w:sz="4" w:space="5" w:color="000000"/>
        <w:bottom w:val="single" w:sz="4" w:space="0" w:color="000000"/>
        <w:right w:val="single" w:sz="4" w:space="0" w:color="000000"/>
      </w:pBdr>
      <w:shd w:val="clear" w:color="000000" w:fill="D8D8D8"/>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91">
    <w:name w:val="xl291"/>
    <w:basedOn w:val="Normal"/>
    <w:pPr>
      <w:pBdr>
        <w:left w:val="single" w:sz="4" w:space="5" w:color="000000"/>
        <w:bottom w:val="single" w:sz="4" w:space="0" w:color="000000"/>
        <w:right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292">
    <w:name w:val="xl292"/>
    <w:basedOn w:val="Normal"/>
    <w:pPr>
      <w:pBdr>
        <w:top w:val="single" w:sz="4" w:space="0" w:color="000000"/>
        <w:left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3">
    <w:name w:val="xl293"/>
    <w:basedOn w:val="Normal"/>
    <w:pPr>
      <w:pBdr>
        <w:left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4">
    <w:name w:val="xl294"/>
    <w:basedOn w:val="Normal"/>
    <w:pPr>
      <w:pBdr>
        <w:left w:val="single" w:sz="4" w:space="0" w:color="000000"/>
        <w:bottom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5">
    <w:name w:val="xl295"/>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6">
    <w:name w:val="xl296"/>
    <w:basedOn w:val="Normal"/>
    <w:pPr>
      <w:pBdr>
        <w:left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7">
    <w:name w:val="xl297"/>
    <w:basedOn w:val="Normal"/>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8">
    <w:name w:val="xl29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9">
    <w:name w:val="xl29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0">
    <w:name w:val="xl300"/>
    <w:basedOn w:val="Normal"/>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1">
    <w:name w:val="xl301"/>
    <w:basedOn w:val="Normal"/>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2">
    <w:name w:val="xl302"/>
    <w:basedOn w:val="Normal"/>
    <w:pPr>
      <w:pBdr>
        <w:top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03">
    <w:name w:val="xl303"/>
    <w:basedOn w:val="Normal"/>
    <w:pPr>
      <w:pBdr>
        <w:bottom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04">
    <w:name w:val="xl304"/>
    <w:basedOn w:val="Normal"/>
    <w:pPr>
      <w:pBdr>
        <w:top w:val="single" w:sz="4" w:space="0" w:color="000000"/>
        <w:left w:val="single" w:sz="8" w:space="0" w:color="000000"/>
        <w:bottom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05">
    <w:name w:val="xl305"/>
    <w:basedOn w:val="Normal"/>
    <w:pPr>
      <w:pBdr>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06">
    <w:name w:val="xl306"/>
    <w:basedOn w:val="Normal"/>
    <w:pPr>
      <w:pBdr>
        <w:left w:val="single" w:sz="4" w:space="0" w:color="000000"/>
        <w:bottom w:val="single" w:sz="4" w:space="0" w:color="000000"/>
        <w:right w:val="single" w:sz="6"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7">
    <w:name w:val="xl307"/>
    <w:basedOn w:val="Normal"/>
    <w:pPr>
      <w:pBdr>
        <w:left w:val="single" w:sz="4" w:space="0" w:color="000000"/>
        <w:bottom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8">
    <w:name w:val="xl308"/>
    <w:basedOn w:val="Normal"/>
    <w:pPr>
      <w:pBdr>
        <w:left w:val="single" w:sz="4" w:space="0" w:color="000000"/>
        <w:bottom w:val="single" w:sz="4" w:space="0" w:color="000000"/>
        <w:right w:val="single" w:sz="6"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9">
    <w:name w:val="xl309"/>
    <w:basedOn w:val="Normal"/>
    <w:pPr>
      <w:pBdr>
        <w:top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10">
    <w:name w:val="xl310"/>
    <w:basedOn w:val="Normal"/>
    <w:pPr>
      <w:pBdr>
        <w:bottom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11">
    <w:name w:val="xl311"/>
    <w:basedOn w:val="Normal"/>
    <w:pPr>
      <w:pBdr>
        <w:top w:val="single" w:sz="4" w:space="0" w:color="000000"/>
        <w:left w:val="single" w:sz="4" w:space="0" w:color="000000"/>
        <w:bottom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12">
    <w:name w:val="xl312"/>
    <w:basedOn w:val="Normal"/>
    <w:pPr>
      <w:pBdr>
        <w:top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13">
    <w:name w:val="xl313"/>
    <w:basedOn w:val="Normal"/>
    <w:pPr>
      <w:pBdr>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14">
    <w:name w:val="xl314"/>
    <w:basedOn w:val="Normal"/>
    <w:pPr>
      <w:pBdr>
        <w:bottom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15">
    <w:name w:val="xl315"/>
    <w:basedOn w:val="Normal"/>
    <w:pPr>
      <w:pBdr>
        <w:top w:val="single" w:sz="4" w:space="0" w:color="000000"/>
        <w:left w:val="single" w:sz="4" w:space="0" w:color="000000"/>
        <w:bottom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16">
    <w:name w:val="xl316"/>
    <w:basedOn w:val="Normal"/>
    <w:pPr>
      <w:pBdr>
        <w:top w:val="single" w:sz="4" w:space="0" w:color="000000"/>
        <w:bottom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17">
    <w:name w:val="xl317"/>
    <w:basedOn w:val="Normal"/>
    <w:pPr>
      <w:pBdr>
        <w:top w:val="single" w:sz="4" w:space="0" w:color="000000"/>
        <w:bottom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18">
    <w:name w:val="xl318"/>
    <w:basedOn w:val="Normal"/>
    <w:pPr>
      <w:pBdr>
        <w:top w:val="single" w:sz="4" w:space="0" w:color="000000"/>
        <w:left w:val="single" w:sz="4" w:space="5" w:color="000000"/>
        <w:bottom w:val="single" w:sz="4" w:space="0" w:color="000000"/>
        <w:right w:val="single" w:sz="4" w:space="0" w:color="000000"/>
      </w:pBdr>
      <w:shd w:val="clear" w:color="000000" w:fill="D8D8D8"/>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319">
    <w:name w:val="xl319"/>
    <w:basedOn w:val="Normal"/>
    <w:pPr>
      <w:pBdr>
        <w:left w:val="single" w:sz="4" w:space="5" w:color="000000"/>
        <w:right w:val="single" w:sz="4" w:space="0" w:color="000000"/>
      </w:pBdr>
      <w:shd w:val="clear" w:color="000000" w:fill="D8D8D8"/>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320">
    <w:name w:val="xl320"/>
    <w:basedOn w:val="Normal"/>
    <w:pPr>
      <w:pBdr>
        <w:left w:val="single" w:sz="4" w:space="5" w:color="000000"/>
        <w:right w:val="single" w:sz="4" w:space="0" w:color="000000"/>
      </w:pBdr>
      <w:shd w:val="clear" w:color="000000" w:fill="D8D8D8"/>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321">
    <w:name w:val="xl321"/>
    <w:basedOn w:val="Normal"/>
    <w:pPr>
      <w:pBdr>
        <w:top w:val="single" w:sz="4" w:space="0" w:color="000000"/>
        <w:bottom w:val="single" w:sz="4" w:space="0" w:color="000000"/>
      </w:pBdr>
      <w:spacing w:before="100" w:beforeAutospacing="1" w:after="100" w:afterAutospacing="1" w:line="240" w:lineRule="auto"/>
      <w:ind w:firstLine="300"/>
    </w:pPr>
    <w:rPr>
      <w:rFonts w:ascii="Garamond" w:eastAsia="Times New Roman" w:hAnsi="Garamond" w:cs="Times New Roman"/>
      <w:sz w:val="18"/>
      <w:szCs w:val="18"/>
    </w:rPr>
  </w:style>
  <w:style w:type="paragraph" w:customStyle="1" w:styleId="xl322">
    <w:name w:val="xl322"/>
    <w:basedOn w:val="Normal"/>
    <w:pPr>
      <w:pBdr>
        <w:top w:val="single" w:sz="4" w:space="0" w:color="000000"/>
        <w:bottom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23">
    <w:name w:val="xl323"/>
    <w:basedOn w:val="Normal"/>
    <w:pPr>
      <w:pBdr>
        <w:top w:val="single" w:sz="4" w:space="0" w:color="000000"/>
        <w:left w:val="single" w:sz="4" w:space="0" w:color="000000"/>
        <w:bottom w:val="single" w:sz="4" w:space="0" w:color="000000"/>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24">
    <w:name w:val="xl324"/>
    <w:basedOn w:val="Normal"/>
    <w:pPr>
      <w:pBdr>
        <w:top w:val="single" w:sz="4" w:space="0" w:color="000000"/>
        <w:bottom w:val="single" w:sz="4" w:space="0" w:color="000000"/>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25">
    <w:name w:val="xl325"/>
    <w:basedOn w:val="Normal"/>
    <w:pPr>
      <w:pBdr>
        <w:top w:val="single" w:sz="4" w:space="0" w:color="000000"/>
        <w:bottom w:val="single" w:sz="4" w:space="0" w:color="000000"/>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326">
    <w:name w:val="xl326"/>
    <w:basedOn w:val="Normal"/>
    <w:pPr>
      <w:pBdr>
        <w:top w:val="single" w:sz="4" w:space="0" w:color="000000"/>
        <w:bottom w:val="single" w:sz="4" w:space="0" w:color="000000"/>
        <w:right w:val="single" w:sz="4" w:space="0" w:color="000000"/>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27">
    <w:name w:val="xl327"/>
    <w:basedOn w:val="Normal"/>
    <w:pPr>
      <w:pBdr>
        <w:top w:val="single" w:sz="4" w:space="0" w:color="000000"/>
        <w:left w:val="single" w:sz="4" w:space="0" w:color="000000"/>
        <w:bottom w:val="single" w:sz="4" w:space="0" w:color="000000"/>
        <w:right w:val="single" w:sz="6"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28">
    <w:name w:val="xl328"/>
    <w:basedOn w:val="Normal"/>
    <w:pPr>
      <w:pBdr>
        <w:top w:val="single" w:sz="4" w:space="0" w:color="000000"/>
        <w:left w:val="single" w:sz="4" w:space="0" w:color="000000"/>
        <w:bottom w:val="single" w:sz="4" w:space="0" w:color="000000"/>
        <w:right w:val="single" w:sz="6"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29">
    <w:name w:val="xl329"/>
    <w:basedOn w:val="Normal"/>
    <w:pPr>
      <w:pBdr>
        <w:top w:val="single" w:sz="4" w:space="0" w:color="000000"/>
        <w:bottom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30">
    <w:name w:val="xl330"/>
    <w:basedOn w:val="Normal"/>
    <w:pPr>
      <w:pBdr>
        <w:top w:val="single" w:sz="4" w:space="0" w:color="000000"/>
        <w:left w:val="single" w:sz="4" w:space="5" w:color="000000"/>
        <w:right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331">
    <w:name w:val="xl331"/>
    <w:basedOn w:val="Normal"/>
    <w:pPr>
      <w:pBdr>
        <w:top w:val="single" w:sz="4" w:space="0" w:color="000000"/>
        <w:bottom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32">
    <w:name w:val="xl332"/>
    <w:basedOn w:val="Normal"/>
    <w:pPr>
      <w:pBdr>
        <w:top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333">
    <w:name w:val="xl333"/>
    <w:basedOn w:val="Normal"/>
    <w:pPr>
      <w:pBdr>
        <w:top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334">
    <w:name w:val="xl334"/>
    <w:basedOn w:val="Normal"/>
    <w:pPr>
      <w:pBdr>
        <w:top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35">
    <w:name w:val="xl335"/>
    <w:basedOn w:val="Normal"/>
    <w:pPr>
      <w:pBdr>
        <w:top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36">
    <w:name w:val="xl336"/>
    <w:basedOn w:val="Normal"/>
    <w:pPr>
      <w:pBdr>
        <w:top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37">
    <w:name w:val="xl337"/>
    <w:basedOn w:val="Normal"/>
    <w:pPr>
      <w:pBdr>
        <w:top w:val="single" w:sz="4" w:space="0" w:color="000000"/>
        <w:bottom w:val="single" w:sz="4" w:space="0" w:color="000000"/>
      </w:pBdr>
      <w:spacing w:before="100" w:beforeAutospacing="1" w:after="100" w:afterAutospacing="1" w:line="240" w:lineRule="auto"/>
      <w:ind w:firstLine="100"/>
    </w:pPr>
    <w:rPr>
      <w:rFonts w:ascii="Garamond" w:eastAsia="Times New Roman" w:hAnsi="Garamond" w:cs="Times New Roman"/>
      <w:b/>
      <w:bCs/>
      <w:sz w:val="18"/>
      <w:szCs w:val="18"/>
    </w:rPr>
  </w:style>
  <w:style w:type="paragraph" w:customStyle="1" w:styleId="xl338">
    <w:name w:val="xl338"/>
    <w:basedOn w:val="Normal"/>
    <w:pPr>
      <w:pBdr>
        <w:top w:val="single" w:sz="4" w:space="0" w:color="000000"/>
        <w:bottom w:val="single" w:sz="4" w:space="0" w:color="000000"/>
      </w:pBdr>
      <w:spacing w:before="100" w:beforeAutospacing="1" w:after="100" w:afterAutospacing="1" w:line="240" w:lineRule="auto"/>
      <w:ind w:firstLine="100"/>
      <w:jc w:val="right"/>
    </w:pPr>
    <w:rPr>
      <w:rFonts w:ascii="Garamond" w:eastAsia="Times New Roman" w:hAnsi="Garamond" w:cs="Times New Roman"/>
      <w:b/>
      <w:bCs/>
      <w:sz w:val="18"/>
      <w:szCs w:val="18"/>
    </w:rPr>
  </w:style>
  <w:style w:type="paragraph" w:customStyle="1" w:styleId="xl339">
    <w:name w:val="xl339"/>
    <w:basedOn w:val="Normal"/>
    <w:pPr>
      <w:pBdr>
        <w:top w:val="single" w:sz="4" w:space="0" w:color="000000"/>
        <w:bottom w:val="single" w:sz="4" w:space="0" w:color="000000"/>
      </w:pBdr>
      <w:spacing w:before="100" w:beforeAutospacing="1" w:after="100" w:afterAutospacing="1" w:line="240" w:lineRule="auto"/>
      <w:ind w:firstLine="100"/>
      <w:jc w:val="right"/>
    </w:pPr>
    <w:rPr>
      <w:rFonts w:ascii="Garamond" w:eastAsia="Times New Roman" w:hAnsi="Garamond" w:cs="Times New Roman"/>
      <w:b/>
      <w:bCs/>
      <w:sz w:val="18"/>
      <w:szCs w:val="18"/>
    </w:rPr>
  </w:style>
  <w:style w:type="paragraph" w:customStyle="1" w:styleId="xl340">
    <w:name w:val="xl340"/>
    <w:basedOn w:val="Normal"/>
    <w:pPr>
      <w:pBdr>
        <w:top w:val="single" w:sz="4" w:space="0" w:color="000000"/>
        <w:bottom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b/>
      <w:bCs/>
      <w:sz w:val="18"/>
      <w:szCs w:val="18"/>
    </w:rPr>
  </w:style>
  <w:style w:type="paragraph" w:customStyle="1" w:styleId="xl341">
    <w:name w:val="xl341"/>
    <w:basedOn w:val="Normal"/>
    <w:pPr>
      <w:pBdr>
        <w:left w:val="single" w:sz="4" w:space="0" w:color="000000"/>
        <w:bottom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2">
    <w:name w:val="xl342"/>
    <w:basedOn w:val="Normal"/>
    <w:pPr>
      <w:pBdr>
        <w:left w:val="single" w:sz="4" w:space="0" w:color="000000"/>
        <w:bottom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3">
    <w:name w:val="xl343"/>
    <w:basedOn w:val="Normal"/>
    <w:pPr>
      <w:pBdr>
        <w:left w:val="single" w:sz="4" w:space="0" w:color="000000"/>
        <w:bottom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44">
    <w:name w:val="xl344"/>
    <w:basedOn w:val="Normal"/>
    <w:pPr>
      <w:pBdr>
        <w:left w:val="single" w:sz="4" w:space="0" w:color="000000"/>
        <w:bottom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45">
    <w:name w:val="xl345"/>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6">
    <w:name w:val="xl34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7">
    <w:name w:val="xl347"/>
    <w:basedOn w:val="Normal"/>
    <w:pPr>
      <w:pBdr>
        <w:top w:val="single" w:sz="4" w:space="0" w:color="000000"/>
        <w:left w:val="single" w:sz="4" w:space="0" w:color="000000"/>
        <w:bottom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48">
    <w:name w:val="xl348"/>
    <w:basedOn w:val="Normal"/>
    <w:pPr>
      <w:pBdr>
        <w:top w:val="single" w:sz="4" w:space="0" w:color="000000"/>
        <w:left w:val="single" w:sz="4" w:space="0" w:color="000000"/>
        <w:bottom w:val="single" w:sz="4" w:space="0" w:color="000000"/>
        <w:right w:val="single" w:sz="4" w:space="5" w:color="000000"/>
      </w:pBdr>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49">
    <w:name w:val="xl349"/>
    <w:basedOn w:val="Normal"/>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0">
    <w:name w:val="xl350"/>
    <w:basedOn w:val="Normal"/>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1">
    <w:name w:val="xl351"/>
    <w:basedOn w:val="Normal"/>
    <w:pPr>
      <w:pBdr>
        <w:top w:val="single" w:sz="4" w:space="0" w:color="000000"/>
        <w:left w:val="single" w:sz="4" w:space="0" w:color="000000"/>
        <w:bottom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52">
    <w:name w:val="xl352"/>
    <w:basedOn w:val="Normal"/>
    <w:pPr>
      <w:pBdr>
        <w:top w:val="single" w:sz="4" w:space="0" w:color="000000"/>
        <w:left w:val="single" w:sz="4" w:space="0" w:color="000000"/>
        <w:bottom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53">
    <w:name w:val="xl353"/>
    <w:basedOn w:val="Normal"/>
    <w:pPr>
      <w:pBdr>
        <w:top w:val="single" w:sz="4" w:space="0" w:color="000000"/>
        <w:left w:val="single" w:sz="4" w:space="5" w:color="000000"/>
        <w:right w:val="single" w:sz="4" w:space="0" w:color="000000"/>
      </w:pBdr>
      <w:shd w:val="clear" w:color="000000" w:fill="D8D8D8"/>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354">
    <w:name w:val="xl354"/>
    <w:basedOn w:val="Normal"/>
    <w:pPr>
      <w:pBdr>
        <w:top w:val="single" w:sz="4" w:space="0" w:color="000000"/>
        <w:left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5">
    <w:name w:val="xl355"/>
    <w:basedOn w:val="Normal"/>
    <w:pPr>
      <w:pBdr>
        <w:top w:val="single" w:sz="4" w:space="0" w:color="000000"/>
        <w:left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6">
    <w:name w:val="xl356"/>
    <w:basedOn w:val="Normal"/>
    <w:pPr>
      <w:pBdr>
        <w:top w:val="single" w:sz="4" w:space="0" w:color="000000"/>
        <w:left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57">
    <w:name w:val="xl357"/>
    <w:basedOn w:val="Normal"/>
    <w:pPr>
      <w:pBdr>
        <w:top w:val="single" w:sz="4" w:space="0" w:color="000000"/>
        <w:left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sz w:val="18"/>
      <w:szCs w:val="18"/>
    </w:rPr>
  </w:style>
  <w:style w:type="paragraph" w:customStyle="1" w:styleId="xl358">
    <w:name w:val="xl358"/>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9">
    <w:name w:val="xl359"/>
    <w:basedOn w:val="Normal"/>
    <w:pPr>
      <w:pBdr>
        <w:top w:val="single" w:sz="4" w:space="0" w:color="000000"/>
        <w:left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0">
    <w:name w:val="xl360"/>
    <w:basedOn w:val="Normal"/>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1">
    <w:name w:val="xl361"/>
    <w:basedOn w:val="Normal"/>
    <w:pPr>
      <w:pBdr>
        <w:top w:val="single" w:sz="4" w:space="0" w:color="000000"/>
        <w:left w:val="single" w:sz="4" w:space="0" w:color="000000"/>
        <w:bottom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2">
    <w:name w:val="xl362"/>
    <w:basedOn w:val="Normal"/>
    <w:pPr>
      <w:pBdr>
        <w:top w:val="single" w:sz="4" w:space="0" w:color="000000"/>
        <w:bottom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363">
    <w:name w:val="xl363"/>
    <w:basedOn w:val="Normal"/>
    <w:pPr>
      <w:pBdr>
        <w:top w:val="single" w:sz="4" w:space="0" w:color="000000"/>
        <w:bottom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4">
    <w:name w:val="xl364"/>
    <w:basedOn w:val="Normal"/>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5">
    <w:name w:val="xl365"/>
    <w:basedOn w:val="Normal"/>
    <w:pPr>
      <w:pBdr>
        <w:top w:val="single" w:sz="4" w:space="0" w:color="000000"/>
        <w:left w:val="single" w:sz="4" w:space="0" w:color="000000"/>
        <w:bottom w:val="single" w:sz="4" w:space="0" w:color="000000"/>
        <w:right w:val="single" w:sz="4" w:space="5" w:color="000000"/>
      </w:pBdr>
      <w:shd w:val="clear" w:color="000000" w:fill="D8D8D8"/>
      <w:spacing w:before="100" w:beforeAutospacing="1" w:after="100" w:afterAutospacing="1" w:line="240" w:lineRule="auto"/>
      <w:ind w:firstLine="100"/>
      <w:jc w:val="right"/>
    </w:pPr>
    <w:rPr>
      <w:rFonts w:ascii="Garamond" w:eastAsia="Times New Roman" w:hAnsi="Garamond" w:cs="Times New Roman"/>
      <w:b/>
      <w:bCs/>
      <w:sz w:val="18"/>
      <w:szCs w:val="18"/>
    </w:rPr>
  </w:style>
  <w:style w:type="paragraph" w:customStyle="1" w:styleId="xl366">
    <w:name w:val="xl366"/>
    <w:basedOn w:val="Normal"/>
    <w:pPr>
      <w:pBdr>
        <w:left w:val="single" w:sz="4" w:space="10" w:color="000000"/>
        <w:bottom w:val="single" w:sz="4" w:space="0" w:color="000000"/>
        <w:right w:val="single" w:sz="4" w:space="0" w:color="000000"/>
      </w:pBdr>
      <w:shd w:val="clear" w:color="000000" w:fill="D8D8D8"/>
      <w:spacing w:before="100" w:beforeAutospacing="1" w:after="100" w:afterAutospacing="1" w:line="240" w:lineRule="auto"/>
      <w:ind w:firstLine="200"/>
    </w:pPr>
    <w:rPr>
      <w:rFonts w:ascii="Garamond" w:eastAsia="Times New Roman" w:hAnsi="Garamond" w:cs="Times New Roman"/>
      <w:sz w:val="18"/>
      <w:szCs w:val="18"/>
    </w:rPr>
  </w:style>
  <w:style w:type="paragraph" w:customStyle="1" w:styleId="xl367">
    <w:name w:val="xl367"/>
    <w:basedOn w:val="Normal"/>
    <w:pPr>
      <w:pBdr>
        <w:top w:val="single" w:sz="4" w:space="0" w:color="000000"/>
        <w:left w:val="single" w:sz="4" w:space="10" w:color="000000"/>
        <w:bottom w:val="single" w:sz="4" w:space="0" w:color="000000"/>
        <w:right w:val="single" w:sz="4" w:space="0" w:color="000000"/>
      </w:pBdr>
      <w:shd w:val="clear" w:color="000000" w:fill="D8D8D8"/>
      <w:spacing w:before="100" w:beforeAutospacing="1" w:after="100" w:afterAutospacing="1" w:line="240" w:lineRule="auto"/>
      <w:ind w:firstLine="200"/>
    </w:pPr>
    <w:rPr>
      <w:rFonts w:ascii="Garamond" w:eastAsia="Times New Roman" w:hAnsi="Garamond" w:cs="Times New Roman"/>
      <w:sz w:val="18"/>
      <w:szCs w:val="18"/>
    </w:rPr>
  </w:style>
  <w:style w:type="paragraph" w:customStyle="1" w:styleId="xl368">
    <w:name w:val="xl368"/>
    <w:basedOn w:val="Normal"/>
    <w:pPr>
      <w:pBdr>
        <w:top w:val="single" w:sz="4" w:space="0" w:color="000000"/>
        <w:left w:val="single" w:sz="4" w:space="10" w:color="000000"/>
        <w:bottom w:val="single" w:sz="4" w:space="0" w:color="000000"/>
        <w:right w:val="single" w:sz="4" w:space="0" w:color="000000"/>
      </w:pBdr>
      <w:shd w:val="clear" w:color="000000" w:fill="D8D8D8"/>
      <w:spacing w:before="100" w:beforeAutospacing="1" w:after="100" w:afterAutospacing="1" w:line="240" w:lineRule="auto"/>
      <w:ind w:firstLine="200"/>
    </w:pPr>
    <w:rPr>
      <w:rFonts w:ascii="Garamond" w:eastAsia="Times New Roman" w:hAnsi="Garamond" w:cs="Times New Roman"/>
      <w:sz w:val="18"/>
      <w:szCs w:val="18"/>
    </w:rPr>
  </w:style>
  <w:style w:type="paragraph" w:customStyle="1" w:styleId="xl369">
    <w:name w:val="xl369"/>
    <w:basedOn w:val="Normal"/>
    <w:pPr>
      <w:pBdr>
        <w:top w:val="single" w:sz="4" w:space="0" w:color="000000"/>
        <w:left w:val="single" w:sz="4" w:space="5" w:color="000000"/>
        <w:bottom w:val="single" w:sz="4" w:space="0" w:color="000000"/>
        <w:right w:val="single" w:sz="4" w:space="0" w:color="000000"/>
      </w:pBdr>
      <w:spacing w:before="100" w:beforeAutospacing="1" w:after="100" w:afterAutospacing="1" w:line="240" w:lineRule="auto"/>
      <w:ind w:firstLine="100"/>
    </w:pPr>
    <w:rPr>
      <w:rFonts w:ascii="Garamond" w:eastAsia="Times New Roman" w:hAnsi="Garamond" w:cs="Times New Roman"/>
      <w:sz w:val="18"/>
      <w:szCs w:val="18"/>
    </w:rPr>
  </w:style>
  <w:style w:type="paragraph" w:customStyle="1" w:styleId="xl370">
    <w:name w:val="xl370"/>
    <w:basedOn w:val="Normal"/>
    <w:pPr>
      <w:pBdr>
        <w:left w:val="single" w:sz="4" w:space="0" w:color="000000"/>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1">
    <w:name w:val="xl371"/>
    <w:basedOn w:val="Normal"/>
    <w:pPr>
      <w:pBdr>
        <w:top w:val="single" w:sz="4" w:space="0" w:color="000000"/>
        <w:left w:val="single" w:sz="4" w:space="0" w:color="000000"/>
        <w:bottom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2">
    <w:name w:val="xl372"/>
    <w:basedOn w:val="Normal"/>
    <w:pPr>
      <w:pBdr>
        <w:top w:val="single" w:sz="4" w:space="0" w:color="000000"/>
        <w:bottom w:val="single" w:sz="4" w:space="0" w:color="000000"/>
      </w:pBdr>
      <w:spacing w:before="100" w:beforeAutospacing="1" w:after="100" w:afterAutospacing="1" w:line="240" w:lineRule="auto"/>
      <w:ind w:firstLine="300"/>
    </w:pPr>
    <w:rPr>
      <w:rFonts w:ascii="Garamond" w:eastAsia="Times New Roman" w:hAnsi="Garamond" w:cs="Times New Roman"/>
      <w:sz w:val="18"/>
      <w:szCs w:val="18"/>
    </w:rPr>
  </w:style>
  <w:style w:type="paragraph" w:customStyle="1" w:styleId="xl373">
    <w:name w:val="xl373"/>
    <w:basedOn w:val="Normal"/>
    <w:pPr>
      <w:pBdr>
        <w:top w:val="single" w:sz="4" w:space="0" w:color="000000"/>
        <w:bottom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4">
    <w:name w:val="xl374"/>
    <w:basedOn w:val="Normal"/>
    <w:pPr>
      <w:pBdr>
        <w:top w:val="single" w:sz="4" w:space="0" w:color="000000"/>
        <w:left w:val="single" w:sz="4" w:space="0" w:color="000000"/>
        <w:bottom w:val="single" w:sz="4" w:space="0" w:color="000000"/>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75">
    <w:name w:val="xl375"/>
    <w:basedOn w:val="Normal"/>
    <w:pPr>
      <w:pBdr>
        <w:top w:val="single" w:sz="4" w:space="0" w:color="000000"/>
        <w:bottom w:val="single" w:sz="4" w:space="0" w:color="000000"/>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76">
    <w:name w:val="xl376"/>
    <w:basedOn w:val="Normal"/>
    <w:pPr>
      <w:pBdr>
        <w:top w:val="single" w:sz="4" w:space="0" w:color="000000"/>
        <w:bottom w:val="single" w:sz="4" w:space="0" w:color="000000"/>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377">
    <w:name w:val="xl377"/>
    <w:basedOn w:val="Normal"/>
    <w:pPr>
      <w:pBdr>
        <w:top w:val="single" w:sz="4" w:space="0" w:color="000000"/>
        <w:bottom w:val="single" w:sz="4" w:space="0" w:color="000000"/>
        <w:right w:val="single" w:sz="4" w:space="0" w:color="000000"/>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78">
    <w:name w:val="xl378"/>
    <w:basedOn w:val="Normal"/>
    <w:pPr>
      <w:pBdr>
        <w:top w:val="single" w:sz="4" w:space="0" w:color="000000"/>
        <w:left w:val="single" w:sz="4" w:space="0" w:color="000000"/>
        <w:bottom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9">
    <w:name w:val="xl379"/>
    <w:basedOn w:val="Normal"/>
    <w:pPr>
      <w:pBdr>
        <w:left w:val="single" w:sz="4" w:space="0" w:color="000000"/>
        <w:right w:val="single" w:sz="4" w:space="0" w:color="000000"/>
      </w:pBdr>
      <w:shd w:val="clear" w:color="000000"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0">
    <w:name w:val="xl380"/>
    <w:basedOn w:val="Normal"/>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1">
    <w:name w:val="xl381"/>
    <w:basedOn w:val="Normal"/>
    <w:pPr>
      <w:pBdr>
        <w:top w:val="single" w:sz="4" w:space="0" w:color="000000"/>
        <w:bottom w:val="single" w:sz="4" w:space="0" w:color="000000"/>
      </w:pBdr>
      <w:shd w:val="clear" w:color="000000" w:fill="FFFFFF"/>
      <w:spacing w:before="100" w:beforeAutospacing="1" w:after="100" w:afterAutospacing="1" w:line="240" w:lineRule="auto"/>
      <w:ind w:firstLine="300"/>
    </w:pPr>
    <w:rPr>
      <w:rFonts w:ascii="Garamond" w:eastAsia="Times New Roman" w:hAnsi="Garamond" w:cs="Times New Roman"/>
      <w:sz w:val="18"/>
      <w:szCs w:val="18"/>
    </w:rPr>
  </w:style>
  <w:style w:type="paragraph" w:customStyle="1" w:styleId="xl382">
    <w:name w:val="xl382"/>
    <w:basedOn w:val="Normal"/>
    <w:pPr>
      <w:pBdr>
        <w:top w:val="single" w:sz="4" w:space="0" w:color="000000"/>
        <w:bottom w:val="single" w:sz="4" w:space="0" w:color="000000"/>
      </w:pBdr>
      <w:shd w:val="clear" w:color="000000"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3">
    <w:name w:val="xl383"/>
    <w:basedOn w:val="Normal"/>
    <w:pPr>
      <w:pBdr>
        <w:top w:val="single" w:sz="4" w:space="0" w:color="000000"/>
        <w:bottom w:val="single" w:sz="4" w:space="0" w:color="000000"/>
      </w:pBdr>
      <w:shd w:val="clear" w:color="000000"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4">
    <w:name w:val="xl384"/>
    <w:basedOn w:val="Normal"/>
    <w:pPr>
      <w:pBdr>
        <w:top w:val="single" w:sz="4" w:space="0" w:color="000000"/>
        <w:bottom w:val="single" w:sz="4" w:space="0" w:color="000000"/>
      </w:pBdr>
      <w:shd w:val="clear" w:color="000000"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5">
    <w:name w:val="xl385"/>
    <w:basedOn w:val="Normal"/>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6">
    <w:name w:val="xl386"/>
    <w:basedOn w:val="Normal"/>
    <w:pPr>
      <w:shd w:val="clear" w:color="000000"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7">
    <w:name w:val="xl387"/>
    <w:basedOn w:val="Normal"/>
    <w:pPr>
      <w:shd w:val="clear" w:color="000000" w:fill="FFFFFF"/>
      <w:spacing w:before="100" w:beforeAutospacing="1" w:after="100" w:afterAutospacing="1" w:line="240" w:lineRule="auto"/>
      <w:ind w:firstLine="300"/>
    </w:pPr>
    <w:rPr>
      <w:rFonts w:ascii="Garamond" w:eastAsia="Times New Roman" w:hAnsi="Garamond" w:cs="Times New Roman"/>
      <w:sz w:val="18"/>
      <w:szCs w:val="18"/>
    </w:rPr>
  </w:style>
  <w:style w:type="paragraph" w:customStyle="1" w:styleId="xl388">
    <w:name w:val="xl388"/>
    <w:basedOn w:val="Normal"/>
    <w:pPr>
      <w:shd w:val="clear" w:color="000000"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9">
    <w:name w:val="xl389"/>
    <w:basedOn w:val="Normal"/>
    <w:pP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90">
    <w:name w:val="xl390"/>
    <w:basedOn w:val="Normal"/>
    <w:pPr>
      <w:pBdr>
        <w:right w:val="single" w:sz="4" w:space="0" w:color="000000"/>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91">
    <w:name w:val="xl391"/>
    <w:basedOn w:val="Normal"/>
    <w:pPr>
      <w:pBdr>
        <w:top w:val="single" w:sz="4" w:space="0" w:color="000000"/>
        <w:left w:val="single" w:sz="4" w:space="0" w:color="000000"/>
        <w:right w:val="single" w:sz="4" w:space="5" w:color="000000"/>
      </w:pBdr>
      <w:shd w:val="clear" w:color="000000" w:fill="FFFFFF"/>
      <w:spacing w:before="100" w:beforeAutospacing="1" w:after="100" w:afterAutospacing="1" w:line="240" w:lineRule="auto"/>
      <w:ind w:firstLine="100"/>
      <w:jc w:val="right"/>
    </w:pPr>
    <w:rPr>
      <w:rFonts w:ascii="Garamond" w:eastAsia="Times New Roman" w:hAnsi="Garamond" w:cs="Times New Roman"/>
      <w:b/>
      <w:bCs/>
      <w:sz w:val="18"/>
      <w:szCs w:val="18"/>
    </w:rPr>
  </w:style>
  <w:style w:type="paragraph" w:customStyle="1" w:styleId="xl392">
    <w:name w:val="xl392"/>
    <w:basedOn w:val="Normal"/>
    <w:pPr>
      <w:pBdr>
        <w:left w:val="single" w:sz="4" w:space="0" w:color="000000"/>
        <w:right w:val="single" w:sz="4" w:space="5" w:color="000000"/>
      </w:pBdr>
      <w:shd w:val="clear" w:color="000000" w:fill="FFFFFF"/>
      <w:spacing w:before="100" w:beforeAutospacing="1" w:after="100" w:afterAutospacing="1" w:line="240" w:lineRule="auto"/>
      <w:ind w:firstLine="100"/>
      <w:jc w:val="right"/>
    </w:pPr>
    <w:rPr>
      <w:rFonts w:ascii="Garamond" w:eastAsia="Times New Roman" w:hAnsi="Garamond" w:cs="Times New Roman"/>
      <w:b/>
      <w:bCs/>
      <w:sz w:val="18"/>
      <w:szCs w:val="18"/>
    </w:rPr>
  </w:style>
  <w:style w:type="paragraph" w:customStyle="1" w:styleId="xl393">
    <w:name w:val="xl393"/>
    <w:basedOn w:val="Normal"/>
    <w:pPr>
      <w:pBdr>
        <w:left w:val="single" w:sz="4" w:space="0" w:color="000000"/>
      </w:pBdr>
      <w:shd w:val="clear" w:color="000000" w:fill="FFFFFF"/>
      <w:spacing w:before="100" w:beforeAutospacing="1" w:after="100" w:afterAutospacing="1" w:line="240" w:lineRule="auto"/>
      <w:ind w:firstLine="100"/>
      <w:jc w:val="right"/>
    </w:pPr>
    <w:rPr>
      <w:rFonts w:ascii="Garamond" w:eastAsia="Times New Roman" w:hAnsi="Garamond" w:cs="Times New Roman"/>
      <w:b/>
      <w:bCs/>
      <w:sz w:val="18"/>
      <w:szCs w:val="18"/>
    </w:rPr>
  </w:style>
  <w:style w:type="paragraph" w:customStyle="1" w:styleId="font7">
    <w:name w:val="font7"/>
    <w:basedOn w:val="Normal"/>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Definition">
    <w:name w:val="Definition"/>
    <w:basedOn w:val="Normal"/>
    <w:link w:val="DefinitionChar"/>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lang w:val="en-GB" w:eastAsia="en-GB"/>
    </w:rPr>
  </w:style>
  <w:style w:type="paragraph" w:customStyle="1" w:styleId="Definition1b">
    <w:name w:val="Definition 1b"/>
    <w:basedOn w:val="Definition"/>
    <w:pPr>
      <w:spacing w:before="0"/>
    </w:pPr>
  </w:style>
  <w:style w:type="paragraph" w:customStyle="1" w:styleId="Definition1a">
    <w:name w:val="Definition 1a"/>
    <w:basedOn w:val="Definition"/>
    <w:next w:val="Definition1b"/>
    <w:pPr>
      <w:keepNext/>
    </w:pPr>
  </w:style>
  <w:style w:type="paragraph" w:customStyle="1" w:styleId="Paragraph1">
    <w:name w:val="Paragraph (1)"/>
    <w:basedOn w:val="Normal"/>
    <w:link w:val="Paragraph1Char"/>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Definition2">
    <w:name w:val="Definition 2"/>
    <w:basedOn w:val="Definition"/>
    <w:pPr>
      <w:tabs>
        <w:tab w:val="clear" w:pos="2835"/>
      </w:tabs>
      <w:ind w:firstLine="0"/>
    </w:pPr>
  </w:style>
  <w:style w:type="paragraph" w:customStyle="1" w:styleId="Definition3">
    <w:name w:val="Definition 3"/>
    <w:basedOn w:val="Definition2"/>
    <w:pPr>
      <w:tabs>
        <w:tab w:val="clear" w:pos="3402"/>
      </w:tabs>
      <w:ind w:left="3402"/>
    </w:pPr>
  </w:style>
  <w:style w:type="paragraph" w:customStyle="1" w:styleId="Definition4">
    <w:name w:val="Definition 4"/>
    <w:basedOn w:val="Definition3"/>
    <w:pPr>
      <w:tabs>
        <w:tab w:val="clear" w:pos="3969"/>
      </w:tabs>
      <w:ind w:left="3969"/>
    </w:pPr>
  </w:style>
  <w:style w:type="paragraph" w:customStyle="1" w:styleId="Paragraphi">
    <w:name w:val="Paragraph (i)"/>
    <w:basedOn w:val="Normal"/>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pPr>
      <w:keepNext/>
      <w:pBdr>
        <w:bottom w:val="none" w:sz="0" w:space="0" w:color="000000"/>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pPr>
      <w:keepNext/>
      <w:pBdr>
        <w:bottom w:val="none" w:sz="0" w:space="0" w:color="000000"/>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ModelNrmlDouble">
    <w:name w:val="ModelNrmlDouble"/>
    <w:basedOn w:val="Normal"/>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pPr>
      <w:ind w:firstLine="0"/>
    </w:pPr>
    <w:rPr>
      <w:u w:val="single"/>
    </w:rPr>
  </w:style>
  <w:style w:type="paragraph" w:customStyle="1" w:styleId="Section1">
    <w:name w:val="Section 1"/>
    <w:basedOn w:val="Normal"/>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character" w:customStyle="1" w:styleId="DefinitionChar">
    <w:name w:val="Definition Char"/>
    <w:link w:val="Definition"/>
    <w:rPr>
      <w:rFonts w:ascii="Times New Roman" w:eastAsia="Times New Roman" w:hAnsi="Times New Roman" w:cs="Times New Roman"/>
      <w:sz w:val="24"/>
      <w:szCs w:val="20"/>
      <w:lang w:val="en-GB" w:eastAsia="en-GB"/>
    </w:rPr>
  </w:style>
  <w:style w:type="character" w:customStyle="1" w:styleId="ParagraphaChar">
    <w:name w:val="Paragraph (a) Char"/>
    <w:link w:val="Paragrapha"/>
    <w:rPr>
      <w:rFonts w:ascii="Times New Roman" w:eastAsia="Times New Roman" w:hAnsi="Times New Roman" w:cs="Times New Roman"/>
      <w:sz w:val="24"/>
      <w:szCs w:val="24"/>
      <w:lang w:val="en-GB" w:eastAsia="en-GB"/>
    </w:rPr>
  </w:style>
  <w:style w:type="character" w:customStyle="1" w:styleId="Paragraph1Char">
    <w:name w:val="Paragraph (1) Char"/>
    <w:link w:val="Paragraph1"/>
    <w:rPr>
      <w:rFonts w:ascii="Times New Roman" w:eastAsia="Times New Roman" w:hAnsi="Times New Roman" w:cs="Times New Roman"/>
      <w:sz w:val="24"/>
      <w:szCs w:val="20"/>
      <w:lang w:val="en-GB" w:eastAsia="en-GB"/>
    </w:rPr>
  </w:style>
  <w:style w:type="paragraph" w:customStyle="1" w:styleId="Indenta">
    <w:name w:val="Indent (a)"/>
    <w:basedOn w:val="Normal"/>
    <w:pPr>
      <w:spacing w:before="240" w:after="0" w:line="240" w:lineRule="auto"/>
      <w:ind w:left="3969" w:hanging="567"/>
      <w:jc w:val="both"/>
    </w:pPr>
    <w:rPr>
      <w:rFonts w:ascii="Times New Roman" w:eastAsia="Calibri" w:hAnsi="Times New Roman" w:cs="Times New Roman"/>
      <w:sz w:val="24"/>
      <w:szCs w:val="24"/>
      <w:lang w:val="en-GB" w:eastAsia="en-GB"/>
    </w:rPr>
  </w:style>
  <w:style w:type="numbering" w:customStyle="1" w:styleId="aAhs">
    <w:name w:val="aAhs"/>
    <w:uiPriority w:val="99"/>
    <w:pPr>
      <w:numPr>
        <w:numId w:val="17"/>
      </w:numPr>
    </w:pPr>
  </w:style>
  <w:style w:type="paragraph" w:customStyle="1" w:styleId="CharCharChar">
    <w:name w:val="Char Char Char"/>
    <w:basedOn w:val="Normal"/>
    <w:pPr>
      <w:spacing w:after="160" w:line="240" w:lineRule="exact"/>
    </w:pPr>
    <w:rPr>
      <w:rFonts w:ascii="Tahoma" w:eastAsia="Times New Roman" w:hAnsi="Tahoma" w:cs="Times New Roman"/>
      <w:sz w:val="20"/>
      <w:szCs w:val="20"/>
      <w:lang w:val="sq-AL"/>
    </w:rPr>
  </w:style>
  <w:style w:type="character" w:customStyle="1" w:styleId="arial14">
    <w:name w:val="arial14"/>
  </w:style>
  <w:style w:type="character" w:customStyle="1" w:styleId="ju-005fpara--char">
    <w:name w:val="ju-005fpara--char"/>
    <w:basedOn w:val="DefaultParagraphFont"/>
  </w:style>
  <w:style w:type="paragraph" w:styleId="Quote">
    <w:name w:val="Quote"/>
    <w:basedOn w:val="Normal"/>
    <w:next w:val="Normal"/>
    <w:link w:val="QuoteChar"/>
    <w:uiPriority w:val="29"/>
    <w:qFormat/>
    <w:pPr>
      <w:spacing w:after="0"/>
      <w:jc w:val="both"/>
    </w:pPr>
    <w:rPr>
      <w:rFonts w:ascii="Minion Pro Med" w:eastAsia="MS Mincho" w:hAnsi="Minion Pro Med"/>
      <w:i/>
      <w:iCs/>
      <w:color w:val="000000" w:themeColor="text1"/>
    </w:rPr>
  </w:style>
  <w:style w:type="character" w:customStyle="1" w:styleId="QuoteChar">
    <w:name w:val="Quote Char"/>
    <w:basedOn w:val="DefaultParagraphFont"/>
    <w:link w:val="Quote"/>
    <w:uiPriority w:val="29"/>
    <w:rPr>
      <w:rFonts w:ascii="Minion Pro Med" w:eastAsia="MS Mincho" w:hAnsi="Minion Pro Med"/>
      <w:i/>
      <w:i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image" Target="media/image50.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0.jpg"/><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image" Target="media/image40.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5" Type="http://schemas.openxmlformats.org/officeDocument/2006/relationships/settings" Target="settings.xml"/><Relationship Id="rId15" Type="http://schemas.openxmlformats.org/officeDocument/2006/relationships/image" Target="media/image4.emf"/><Relationship Id="rId10" Type="http://schemas.openxmlformats.org/officeDocument/2006/relationships/image" Target="media/image10.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FF8F7C-4796-463F-B718-FF641384C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63</Pages>
  <Words>26589</Words>
  <Characters>151561</Characters>
  <Application>Microsoft Office Word</Application>
  <DocSecurity>0</DocSecurity>
  <Lines>1263</Lines>
  <Paragraphs>355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Marsela Xhepa</cp:lastModifiedBy>
  <cp:revision>63</cp:revision>
  <dcterms:created xsi:type="dcterms:W3CDTF">2024-12-03T12:19:00Z</dcterms:created>
  <dcterms:modified xsi:type="dcterms:W3CDTF">2024-12-04T13:10:00Z</dcterms:modified>
</cp:coreProperties>
</file>