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>Nr. 687, datë 22.11.2017</w:t>
      </w:r>
    </w:p>
    <w:p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623F82" w:rsidRPr="00623F82" w:rsidRDefault="00623F82" w:rsidP="00623F82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623F82">
        <w:rPr>
          <w:rFonts w:ascii="Garamond" w:eastAsia="MS Mincho" w:hAnsi="Garamond" w:cs="CG Times"/>
          <w:b/>
          <w:bCs/>
          <w:sz w:val="24"/>
          <w:lang w:val="sq-AL"/>
        </w:rPr>
        <w:t xml:space="preserve">PËR MIRATIMIN E METODOLOGJISË PËR PËRCAKTIMIN E ÇMIMIT VJETOR TË BLERJES SË ENERGJISË ELEKTRIKE, QË DO T’U PAGUHET PRODHUESVE EKZISTUES ME PËRPARËSI 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Në mbështetje të nenit 100 të Kushtetutës dhe të pikave 2 e 3, të nenit 22, të ligjit nr. 7/2017, “Për nxitjen e përdorimit të energjisë nga burimet e rinovueshme”, me propozimin e ministrit të Infrastrukturës dhe Energjisë, Këshilli i Ministrave 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623F82" w:rsidRPr="00623F82" w:rsidRDefault="00623F82" w:rsidP="00623F82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z w:val="24"/>
          <w:szCs w:val="20"/>
          <w:lang w:val="sq-AL"/>
        </w:rPr>
        <w:t>VENDOSI: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1. Metodologjia për llogaritjen e çmimit vjetor të blerjes së energjisë elektrike, që do t’u paguhet prodhuesve ekzistues me përparësi, përcaktohet në pikat 2 dhe 3 të këtij vendimi. Prodhuesit ekzistues me përparësi janë prodhuesit me përparësi, që, në bazë të pikës 1, të nenit 22, të ligjit nr. 7/2017, “Për nxitjen e përdorimit të energjisë nga burimet e rinovueshme”, janë pajisur me certifikatën e pranimit të veprës së centralit elektrik, brenda datës 31 dhjetor 2020.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2. Kriteret ku bazohet metodologjia për llogaritjen e çmimit, sipas pikës 3 të këtij vendimi, janë si më poshtë: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a) “Referenca në çmimin e tregut të vitit përkatës të bursës hungareze HUPX të energjisë elektrike”, që përfaqëson çmimin mesatar vjetor</w:t>
      </w:r>
      <w:r w:rsidRPr="00623F82" w:rsidDel="00BC3A33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të tregut të ditës në avancë (HUPX DAM) të energjisë elektrike në profilin bandë (</w:t>
      </w:r>
      <w:r w:rsidRPr="00623F82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baseload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) të bursës së Hungarisë HUPX, ashtu siç publikohet në raportin vjetor të kësaj burse për këtë produkt.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b) “Referenca në normën mesatare e shkëmbimit euro/lekë të vitit të fundit”, që përfaqëson kursin mesatar vjetor të këmbimit nga euro/lekë, i publikuar nga Banka e Shqipërisë për vitin përkatës.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    </w:t>
      </w:r>
      <w:bookmarkStart w:id="0" w:name="_GoBack"/>
      <w:bookmarkEnd w:id="0"/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c) “Bonusi për promovimin e burimeve të rinovueshme”, që merr në konsideratë: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i) normën mesatare të kthimit të arsyeshëm të vlerës së investimeve të burimeve të rinovueshme, reduktimin e humbjeve teknike në rrjetin e transmetimit dhe të shpërndarjes, si pasojë e furnizimit të energjisë elektrike në pikat e lidhjes së këtyre hidrocentraleve me rrjetin energjetik të tensionit të lartë dhe/ose të mesëm;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ii) kostot e shmangura të shërbimit të transmetimit;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iii) kostot e alokimit të kapaciteteve të interkoneksionit të energjisë nga importi.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ç) “Niveli minimal i çmimit të llogaritur të blerjes së energjisë elektrike”, në çdo rast, nuk do të jetë më i ulët se i çmimit të miratuar nga Enti Rregullator i Energjisë për vitin 2016 për këta prodhues.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d) “Niveli maksimal i çmimit të llogaritur të blerjes së energjisë elektrike”, në çdo rast, nuk do të jetë më i lartë se 15% e çmimit të miratuar nga ERE për vitin 2016 për këta prodhues.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3. Metodologjia për llogaritjen e çmimit të blerjes së energjisë elektrike është si më poshtë: 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Çmimi vjetor i blerjes (lekë/kwh) = Çmimi mesatar vjetor</w:t>
      </w:r>
      <w:r w:rsidRPr="00623F82" w:rsidDel="00BC3A33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 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i tregut të ditës në avancë (HUPX DAM), i energjisë elektrike në profilin bandë (</w:t>
      </w:r>
      <w:r w:rsidRPr="00623F82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baseload</w:t>
      </w: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) i vitit përkatës të bursës hungareze (HUPX) të energjisë elektrike në euro cent/kwh x bonusin për promovimin e burimeve të rinovueshme në masën 1.30 x normën mesatare të këmbimit në euro/lekë për vitin e fundit.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4. Ngarkohet ministria përgjegjëse për energjinë për zbatimin e këtij vendimi.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Ky vendim hyn në fuqi pas botimit në Fletoren Zyrtare.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KRYEMINISTRI</w:t>
      </w:r>
    </w:p>
    <w:p w:rsidR="00623F82" w:rsidRPr="00623F82" w:rsidRDefault="00623F82" w:rsidP="00623F82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pacing w:val="-4"/>
          <w:sz w:val="24"/>
          <w:szCs w:val="20"/>
          <w:lang w:val="sq-AL"/>
        </w:rPr>
      </w:pPr>
      <w:r w:rsidRPr="00623F82">
        <w:rPr>
          <w:rFonts w:ascii="Garamond" w:eastAsia="MS Mincho" w:hAnsi="Garamond" w:cs="Times New Roman"/>
          <w:b/>
          <w:spacing w:val="-4"/>
          <w:sz w:val="24"/>
          <w:szCs w:val="20"/>
          <w:lang w:val="sq-AL"/>
        </w:rPr>
        <w:t>Edi Rama</w:t>
      </w:r>
    </w:p>
    <w:p w:rsidR="008D3C5D" w:rsidRDefault="008D3C5D"/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F82"/>
    <w:rsid w:val="00623F82"/>
    <w:rsid w:val="008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23F8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23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23F8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623F8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23F8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623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23F8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623F8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2017-12-05T13:36:00Z</dcterms:created>
  <dcterms:modified xsi:type="dcterms:W3CDTF">2017-12-05T13:37:00Z</dcterms:modified>
</cp:coreProperties>
</file>