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87C31" w14:textId="77777777"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14:paraId="1FB87C32" w14:textId="77777777"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>Nr. 687, datë 22.11.2017</w:t>
      </w:r>
    </w:p>
    <w:p w14:paraId="1FB87C33" w14:textId="77777777"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14:paraId="1FB87C34" w14:textId="77777777" w:rsid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 xml:space="preserve">PËR MIRATIMIN E METODOLOGJISË PËR PËRCAKTIMIN E ÇMIMIT VJETOR TË BLERJES SË ENERGJISË ELEKTRIKE, QË DO T’U PAGUHET PRODHUESVE EKZISTUES ME PËRPARËSI </w:t>
      </w:r>
    </w:p>
    <w:p w14:paraId="60B436D3" w14:textId="77777777" w:rsidR="00287E3E" w:rsidRPr="00287E3E" w:rsidRDefault="00287E3E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 w:rsidRPr="00287E3E">
        <w:rPr>
          <w:rFonts w:ascii="Garamond" w:eastAsia="MS Mincho" w:hAnsi="Garamond" w:cs="CG Times"/>
          <w:bCs/>
          <w:i/>
          <w:sz w:val="24"/>
          <w:lang w:val="sq-AL"/>
        </w:rPr>
        <w:t>(ndryshuar me VKM nr. 396, datë 13.5.2020)</w:t>
      </w:r>
    </w:p>
    <w:p w14:paraId="1FB87C35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36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Në mbështetje të nenit 100 të Kushtetutës dhe të pikave 2 e 3, të nenit 22, të ligjit nr. 7/2017, “Për nxitjen e përdorimit të energjisë nga burimet e rinovueshme”, me propozimin e ministrit të Infrastrukturës dhe Energjisë, Këshilli i Ministrave </w:t>
      </w:r>
    </w:p>
    <w:p w14:paraId="1FB87C37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38" w14:textId="77777777" w:rsidR="00623F82" w:rsidRPr="00623F82" w:rsidRDefault="00623F82" w:rsidP="00623F82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z w:val="24"/>
          <w:szCs w:val="20"/>
          <w:lang w:val="sq-AL"/>
        </w:rPr>
        <w:t>VENDOSI:</w:t>
      </w:r>
    </w:p>
    <w:p w14:paraId="1FB87C39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3A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1. Metodologjia për llogaritjen e çmimit vjetor të blerjes së energjisë elektrike, që do t’u paguhet prodhuesve ekzistues me përparësi, përcaktohet në pikat 2 dhe 3 të këtij vendimi. Prodhuesit ekzistues me përparësi janë prodhuesit me përparësi, që, në bazë të pikës 1, të nenit 22, të ligjit nr. 7/2017, “Për nxitjen e përdorimit të energjisë nga burimet e rinovueshme”, janë pajisur me certifikatën e pranimit të veprës së centralit elektrik, brenda datës 31 dhjetor 2020.</w:t>
      </w:r>
    </w:p>
    <w:p w14:paraId="1FB87C3B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2. Kriteret ku bazohet metodologjia për llogaritjen e çmimit, sipas pikës 3 të këtij vendimi, janë si më poshtë:</w:t>
      </w:r>
    </w:p>
    <w:p w14:paraId="1FB87C3C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a) “Referenca në çmimin e tregut të vitit përkatës të bursës hungareze HUPX të energjisë elektrike”, që përfaqëson çmimin mesatar vjetor</w:t>
      </w:r>
      <w:r w:rsidRPr="00623F82" w:rsidDel="00BC3A33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të tregut të ditës në avancë (HUPX DAM) të energjisë elektrike në profilin bandë (</w:t>
      </w:r>
      <w:r w:rsidRPr="00623F82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baseload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) të bursës së Hungarisë HUPX, ashtu siç publikohet në raportin vjetor të kësaj burse për këtë produkt.</w:t>
      </w:r>
    </w:p>
    <w:p w14:paraId="1FB87C3D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b) “Referenca në normën mesatare e shkëmbimit euro/lekë të vitit të fundit”, që përfaqëson kursin mesatar vjetor të këmbimit nga euro/lekë, i publikuar nga Banka e Shqipërisë për vitin përkatës.</w:t>
      </w:r>
    </w:p>
    <w:p w14:paraId="1FB87C3E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   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c) “Bonusi për promovimin e burimeve të rinovueshme”, që merr në konsideratë:</w:t>
      </w:r>
    </w:p>
    <w:p w14:paraId="1FB87C3F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i) normën mesatare të kthimit të arsyeshëm të vlerës së investimeve të burimeve të rinovueshme, reduktimin e humbjeve teknike në rrjetin e transmetimit dhe të shpërndarjes, si pasojë e furnizimit të energjisë elektrike në pikat e lidhjes së këtyre hidrocentraleve me rrjetin energjetik të tensionit të lartë dhe/ose të mesëm;</w:t>
      </w:r>
    </w:p>
    <w:p w14:paraId="1FB87C40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ii) kostot e shmangura të shërbimit të transmetimit;</w:t>
      </w:r>
    </w:p>
    <w:p w14:paraId="1FB87C41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iii) kostot e alokimit të kapaciteteve të interkoneksionit të energjisë nga importi.</w:t>
      </w:r>
    </w:p>
    <w:p w14:paraId="1FB87C42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ç) “Niveli minimal i çmimit të llogaritur të blerjes së energjisë elektrike”, në çdo rast, nuk do të jetë më i ulët se i çmimit të miratuar nga Enti Rregullator i Energjisë për vitin 2016 për këta prodhues.</w:t>
      </w:r>
    </w:p>
    <w:p w14:paraId="1FB87C43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d) “Niveli maksimal i çmimit të llogaritur të blerjes së energjisë elektrike”, në çdo rast, nuk do të jetë më i lartë se 15% e çmimit të miratuar nga ERE për vitin 2016 për këta prodhues.</w:t>
      </w:r>
    </w:p>
    <w:p w14:paraId="1FB87C44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3. Metodologjia për llogaritjen e çmimit të blerjes së energjisë elektrike është si më poshtë: </w:t>
      </w:r>
    </w:p>
    <w:p w14:paraId="1FB87C45" w14:textId="57BF757F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Çmimi vjetor i blerjes (lekë/kwh) = Çmimi mesatar vjetor</w:t>
      </w:r>
      <w:r w:rsidRPr="00623F82" w:rsidDel="00BC3A33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 tregut të ditës në avancë (HUPX DAM), i energjisë elektrike në profilin bandë (</w:t>
      </w:r>
      <w:r w:rsidRPr="00623F82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baseload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) i vitit përkatës të bursës hungareze (HUPX) të energjisë elektrike në euro cent/kwh x bonusin për promovimin e burimeve të </w:t>
      </w:r>
      <w:proofErr w:type="spellStart"/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rinovueshme</w:t>
      </w:r>
      <w:proofErr w:type="spellEnd"/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="00287E3E" w:rsidRPr="00287E3E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në m</w:t>
      </w:r>
      <w:bookmarkStart w:id="0" w:name="_GoBack"/>
      <w:bookmarkEnd w:id="0"/>
      <w:r w:rsidR="00287E3E" w:rsidRPr="00287E3E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asën 1.20</w:t>
      </w:r>
      <w:r w:rsidR="00287E3E" w:rsidRPr="00287E3E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x normën mesatare të këmbimit në euro/lekë për vitin e fundit.</w:t>
      </w:r>
    </w:p>
    <w:p w14:paraId="1FB87C46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4. Ngarkohet ministria përgjegjëse për energjinë për zbatimin e këtij vendimi.</w:t>
      </w:r>
    </w:p>
    <w:p w14:paraId="1FB87C47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Ky vendim hyn në fuqi pas botimit në Fletoren Zyrtare.</w:t>
      </w:r>
    </w:p>
    <w:p w14:paraId="1FB87C48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49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KRYEMINISTRI</w:t>
      </w:r>
    </w:p>
    <w:p w14:paraId="1FB87C4A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b/>
          <w:spacing w:val="-4"/>
          <w:sz w:val="24"/>
          <w:szCs w:val="20"/>
          <w:lang w:val="sq-AL"/>
        </w:rPr>
        <w:t>Edi Rama</w:t>
      </w:r>
    </w:p>
    <w:p w14:paraId="1FB87C4B" w14:textId="77777777" w:rsidR="008D3C5D" w:rsidRDefault="008D3C5D"/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F82"/>
    <w:rsid w:val="00287E3E"/>
    <w:rsid w:val="00623F82"/>
    <w:rsid w:val="008D3C5D"/>
    <w:rsid w:val="00C0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7C31"/>
  <w15:docId w15:val="{D6313F41-95F4-40E9-A511-A8EF9995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23F82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623F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23F82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623F8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936E5E66CE4ABD9C3D671C360AFB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2020-05-20T08:11:46Z</Data_x0020_e_x0020_Krijimit>
    <Modifikuesi xmlns="0e656187-b300-4fb0-8bf4-3a50f872073c">Eliona.Lloja</Modifikuesi>
    <Data_x0020_e_x0020_Modifikimit xmlns="0e656187-b300-4fb0-8bf4-3a50f872073c">2020-05-20T08:11:46Z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936E5E66CE4ABD9C3D671C360AFB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8B18B-4F07-442A-AD11-D73345BA9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B5DE7F-ADB3-424F-805C-BAA9345C7D13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A5E003-E584-4879-BE0E-79FBB10C19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066BD2-EFCC-4BEC-A4DF-66BDAC27B7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CE0A92-64FF-4C5A-8685-0FE2819E9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EDF949-EB53-412D-98D6-C6584B355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2</cp:revision>
  <dcterms:created xsi:type="dcterms:W3CDTF">2017-12-05T13:36:00Z</dcterms:created>
  <dcterms:modified xsi:type="dcterms:W3CDTF">2020-05-22T10:15:00Z</dcterms:modified>
</cp:coreProperties>
</file>