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8C1" w:rsidRPr="00814FC9" w:rsidRDefault="004938C1" w:rsidP="004938C1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4938C1" w:rsidRPr="00814FC9" w:rsidRDefault="004938C1" w:rsidP="004938C1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695 , datë 22.11.2017</w:t>
      </w:r>
    </w:p>
    <w:p w:rsidR="004938C1" w:rsidRPr="00677BDA" w:rsidRDefault="004938C1" w:rsidP="004938C1">
      <w:pPr>
        <w:pStyle w:val="NeniTitull"/>
        <w:keepNext w:val="0"/>
        <w:rPr>
          <w:sz w:val="14"/>
          <w:lang w:val="sq-AL"/>
        </w:rPr>
      </w:pPr>
    </w:p>
    <w:p w:rsidR="004938C1" w:rsidRPr="00814FC9" w:rsidRDefault="004938C1" w:rsidP="004938C1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PËR SHPRONËSIMIN, PËR INTERES PUBLIK, TË PRONARËVE TË PASURIVE TË PALUAJTSHME, PRONË PRIVATE, QË PREKEN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NGA REALIZIMI I PROJEKTIT </w:t>
      </w:r>
      <w:r>
        <w:rPr>
          <w:lang w:val="sq-AL"/>
        </w:rPr>
        <w:t>“</w:t>
      </w:r>
      <w:r w:rsidRPr="00814FC9">
        <w:rPr>
          <w:lang w:val="sq-AL"/>
        </w:rPr>
        <w:t>MBROJTJA LUMORE E QYTETIT NGA PËRMBYTJA, EROZIONI I LUMIT OSUM DHE REHABILITIMI URBAN I KËSAJ ZONE</w:t>
      </w:r>
      <w:r>
        <w:rPr>
          <w:lang w:val="sq-AL"/>
        </w:rPr>
        <w:t>”</w:t>
      </w:r>
      <w:r w:rsidRPr="00814FC9">
        <w:rPr>
          <w:lang w:val="sq-AL"/>
        </w:rPr>
        <w:t>, URA VAJGURORE</w:t>
      </w:r>
    </w:p>
    <w:p w:rsidR="004938C1" w:rsidRPr="00677BDA" w:rsidRDefault="004938C1" w:rsidP="004938C1">
      <w:pPr>
        <w:pStyle w:val="Paragraf02"/>
        <w:rPr>
          <w:sz w:val="14"/>
          <w:lang w:val="sq-AL"/>
        </w:rPr>
      </w:pP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Në mbështetje të nenit 100 të Kushtetutës,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9936, datë 26.6.2008, </w:t>
      </w:r>
      <w:r>
        <w:rPr>
          <w:lang w:val="sq-AL"/>
        </w:rPr>
        <w:t>“</w:t>
      </w:r>
      <w:r w:rsidRPr="00814FC9">
        <w:rPr>
          <w:lang w:val="sq-AL"/>
        </w:rPr>
        <w:t>Për menaxhimin e sistemit buxhetor në Republikën e Shqipërisë</w:t>
      </w:r>
      <w:r>
        <w:rPr>
          <w:lang w:val="sq-AL"/>
        </w:rPr>
        <w:t>”</w:t>
      </w:r>
      <w:r w:rsidRPr="00814FC9">
        <w:rPr>
          <w:lang w:val="sq-AL"/>
        </w:rPr>
        <w:t xml:space="preserve">, ligjit nr. 130/2016, </w:t>
      </w:r>
      <w:r>
        <w:rPr>
          <w:lang w:val="sq-AL"/>
        </w:rPr>
        <w:t>“</w:t>
      </w:r>
      <w:r w:rsidRPr="00814FC9">
        <w:rPr>
          <w:lang w:val="sq-AL"/>
        </w:rPr>
        <w:t>Për buxhetin e vitit 2017</w:t>
      </w:r>
      <w:r>
        <w:rPr>
          <w:lang w:val="sq-AL"/>
        </w:rPr>
        <w:t>”</w:t>
      </w:r>
      <w:r w:rsidRPr="00814FC9">
        <w:rPr>
          <w:lang w:val="sq-AL"/>
        </w:rPr>
        <w:t>, dhe të neneve 5, pika 1, 20 dhe 21</w:t>
      </w:r>
      <w:r>
        <w:rPr>
          <w:lang w:val="sq-AL"/>
        </w:rPr>
        <w:t>,</w:t>
      </w:r>
      <w:r w:rsidRPr="00814FC9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814FC9">
        <w:rPr>
          <w:lang w:val="sq-AL"/>
        </w:rPr>
        <w:t>Për shpronësimet dhe marrjen në përdorim të përkohshëm të pasurisë pronë private për interes publik</w:t>
      </w:r>
      <w:r>
        <w:rPr>
          <w:lang w:val="sq-AL"/>
        </w:rPr>
        <w:t>”</w:t>
      </w:r>
      <w:r w:rsidRPr="00814FC9">
        <w:rPr>
          <w:lang w:val="sq-AL"/>
        </w:rPr>
        <w:t>, të ndryshuar, me propozimin e ministrit të Infrastrukturës dhe Energjisë, Këshilli i Ministrave</w:t>
      </w:r>
    </w:p>
    <w:p w:rsidR="004938C1" w:rsidRPr="00814FC9" w:rsidRDefault="004938C1" w:rsidP="004938C1">
      <w:pPr>
        <w:pStyle w:val="Paragraf02"/>
        <w:rPr>
          <w:lang w:val="sq-AL"/>
        </w:rPr>
      </w:pPr>
    </w:p>
    <w:p w:rsidR="004938C1" w:rsidRPr="00814FC9" w:rsidRDefault="004938C1" w:rsidP="004938C1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4938C1" w:rsidRPr="003D25B1" w:rsidRDefault="004938C1" w:rsidP="004938C1">
      <w:pPr>
        <w:pStyle w:val="Paragraf02"/>
        <w:rPr>
          <w:sz w:val="14"/>
          <w:lang w:val="sq-AL"/>
        </w:rPr>
      </w:pP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 xml:space="preserve">1. Shpronësimin, për interes publik, të pronarëve të pasurive të paluajtshme, pronë private, që preken nga realizimi i projektit </w:t>
      </w:r>
      <w:r>
        <w:rPr>
          <w:lang w:val="sq-AL"/>
        </w:rPr>
        <w:t>“</w:t>
      </w:r>
      <w:r w:rsidRPr="00814FC9">
        <w:rPr>
          <w:lang w:val="sq-AL"/>
        </w:rPr>
        <w:t>Mbrojtja lumore e qytetit nga përmbytja, erozioni i lumit Osum dhe rehabilitimi urban i kësaj zone</w:t>
      </w:r>
      <w:r>
        <w:rPr>
          <w:lang w:val="sq-AL"/>
        </w:rPr>
        <w:t>”</w:t>
      </w:r>
      <w:r w:rsidRPr="00814FC9">
        <w:rPr>
          <w:lang w:val="sq-AL"/>
        </w:rPr>
        <w:t>, Ura Vajgurore.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2. Shpronësimi të bëhet në favor të Bashkisë Ura Vajgurore.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sipërfaqe </w:t>
      </w:r>
      <w:r>
        <w:rPr>
          <w:lang w:val="sq-AL"/>
        </w:rPr>
        <w:t>“</w:t>
      </w:r>
      <w:r w:rsidRPr="00814FC9">
        <w:rPr>
          <w:lang w:val="sq-AL"/>
        </w:rPr>
        <w:t>tokë truall</w:t>
      </w:r>
      <w:r>
        <w:rPr>
          <w:lang w:val="sq-AL"/>
        </w:rPr>
        <w:t>”</w:t>
      </w:r>
      <w:r w:rsidRPr="00814FC9">
        <w:rPr>
          <w:lang w:val="sq-AL"/>
        </w:rPr>
        <w:t>, me një vlerë të përgjithshme prej 4 430 527 (katër milion</w:t>
      </w:r>
      <w:r>
        <w:rPr>
          <w:lang w:val="sq-AL"/>
        </w:rPr>
        <w:t>ë</w:t>
      </w:r>
      <w:r w:rsidRPr="00814FC9">
        <w:rPr>
          <w:lang w:val="sq-AL"/>
        </w:rPr>
        <w:t xml:space="preserve"> e katërqind e tridhjetë mijë e pesëqind e njëzet e shtatë) lekësh.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4. Vlera e përgjithshme e shpronësimit, prej 4 430 527 (katër milion</w:t>
      </w:r>
      <w:r>
        <w:rPr>
          <w:lang w:val="sq-AL"/>
        </w:rPr>
        <w:t>ë</w:t>
      </w:r>
      <w:r w:rsidRPr="00814FC9">
        <w:rPr>
          <w:lang w:val="sq-AL"/>
        </w:rPr>
        <w:t xml:space="preserve"> e katërqind e tridhjetë mijë e pesëqind e njëzet e shtatë) lekësh, do të përballohet nga llogaria </w:t>
      </w:r>
      <w:r>
        <w:rPr>
          <w:lang w:val="sq-AL"/>
        </w:rPr>
        <w:t>“</w:t>
      </w:r>
      <w:r w:rsidRPr="00814FC9">
        <w:rPr>
          <w:lang w:val="sq-AL"/>
        </w:rPr>
        <w:t>Fondi i shpronësimeve</w:t>
      </w:r>
      <w:r>
        <w:rPr>
          <w:lang w:val="sq-AL"/>
        </w:rPr>
        <w:t>”</w:t>
      </w:r>
      <w:r w:rsidRPr="00814FC9">
        <w:rPr>
          <w:lang w:val="sq-AL"/>
        </w:rPr>
        <w:t xml:space="preserve"> në Bankën e Shqipërisë. </w:t>
      </w:r>
    </w:p>
    <w:p w:rsidR="004938C1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 xml:space="preserve">5. Shpenzimet procedurale, në vlerën 50 000 (pesëdhjetë mijë) lekë, të përballohen nga buxheti i vitit 2017, miratuar për Ministrinë e Infrastrukturës dhe Energjisë. </w:t>
      </w:r>
    </w:p>
    <w:p w:rsidR="004938C1" w:rsidRPr="00814FC9" w:rsidRDefault="004938C1" w:rsidP="004938C1">
      <w:pPr>
        <w:pStyle w:val="Paragraf02"/>
        <w:rPr>
          <w:lang w:val="sq-AL"/>
        </w:rPr>
      </w:pP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6. Shpronësimi të fillojë menjëherë pas botimit të këtij vendimi në Fletoren Zyrtare.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 xml:space="preserve">7. Pronarët e listës, që i bashkëlidhet këtij vendimi, do të kompensohen për efekt shpronësimi, pasi të kenë paraqitur dokumentacionin e plotë të pronësisë pranë Bashkisë Ura Vajgurore. 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8. Zyra Vendore e Regjistrimit të Pasurive të Paluajtshme Berat, brenda 30 ditëve nga data e miratimit të këtij vendimi, në bashkëpunim me Bashkinë Ura Vajgurore, të fillojnë procedurat për hedhjen e gjurmës së projektit mbi hartën treguese të regjistrimit, sipas planimetrisë së shpronësimit të miratuar dhe të bëjnë kalimin e pronësisë për pasuritë e shpronësuara në favor të shtetit.</w:t>
      </w:r>
    </w:p>
    <w:p w:rsidR="004938C1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9. Zyra Vendore e Regjistrimit të Pasurive të Paluajtshme Berat të pezullojë të gjitha transaksionet me pasuritë e shpronësuara, deri në momentin që të realizohet procesi i hedhjes s</w:t>
      </w:r>
      <w:r>
        <w:rPr>
          <w:lang w:val="sq-AL"/>
        </w:rPr>
        <w:t xml:space="preserve">ë </w:t>
      </w:r>
      <w:r w:rsidRPr="00814FC9">
        <w:rPr>
          <w:lang w:val="sq-AL"/>
        </w:rPr>
        <w:t>gjurmës së projektit mbi hartën treguese të regjistrimit, si dhe kalimi i pronësisë për pasuritë e shpronësuara.</w:t>
      </w:r>
    </w:p>
    <w:p w:rsidR="004938C1" w:rsidRPr="00814FC9" w:rsidRDefault="004938C1" w:rsidP="004938C1">
      <w:pPr>
        <w:pStyle w:val="Paragraf02"/>
        <w:rPr>
          <w:lang w:val="sq-AL"/>
        </w:rPr>
      </w:pP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lastRenderedPageBreak/>
        <w:t>10. Projekti t’u nënshtrohet kërkesave ligjore në fuqi për vlerësimin e ndikimit në mjedis, përpara se të nisë faza e zbatimit të tij.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11. Ngarkohen Ministria e Infrastrukturës dhe Energjisë, Zyra Vendore e Regjistrimit të Pasurive të Paluajtshme Berat dhe Bashkia Ura Vajgurore për zbatimin e këtij vendimi.</w:t>
      </w:r>
    </w:p>
    <w:p w:rsidR="004938C1" w:rsidRPr="00814FC9" w:rsidRDefault="004938C1" w:rsidP="004938C1">
      <w:pPr>
        <w:pStyle w:val="Paragraf02"/>
        <w:rPr>
          <w:lang w:val="sq-AL"/>
        </w:rPr>
      </w:pPr>
      <w:r w:rsidRPr="00814FC9">
        <w:rPr>
          <w:lang w:val="sq-AL"/>
        </w:rPr>
        <w:t>Ky vendim hyn në fuqi menjëherë dhe botohet në Fletoren Zyrtare.</w:t>
      </w:r>
    </w:p>
    <w:p w:rsidR="004938C1" w:rsidRPr="000B6771" w:rsidRDefault="004938C1" w:rsidP="004938C1">
      <w:pPr>
        <w:pStyle w:val="Paragraf02"/>
        <w:rPr>
          <w:sz w:val="14"/>
          <w:lang w:val="sq-AL"/>
        </w:rPr>
      </w:pPr>
    </w:p>
    <w:p w:rsidR="004938C1" w:rsidRPr="00814FC9" w:rsidRDefault="004938C1" w:rsidP="004938C1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4938C1" w:rsidRDefault="004938C1" w:rsidP="004938C1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4938C1" w:rsidRDefault="004938C1" w:rsidP="004938C1">
      <w:pPr>
        <w:pStyle w:val="Paragraf02"/>
        <w:jc w:val="right"/>
        <w:rPr>
          <w:b/>
          <w:lang w:val="sq-AL"/>
        </w:rPr>
      </w:pPr>
    </w:p>
    <w:p w:rsidR="004938C1" w:rsidRDefault="004938C1" w:rsidP="004938C1">
      <w:pPr>
        <w:pStyle w:val="Paragraf02"/>
        <w:jc w:val="right"/>
        <w:rPr>
          <w:b/>
          <w:lang w:val="sq-AL"/>
        </w:rPr>
      </w:pPr>
    </w:p>
    <w:p w:rsidR="004938C1" w:rsidRDefault="004938C1" w:rsidP="004938C1">
      <w:pPr>
        <w:pStyle w:val="Paragraf02"/>
        <w:jc w:val="right"/>
        <w:rPr>
          <w:b/>
          <w:lang w:val="sq-AL"/>
        </w:rPr>
      </w:pPr>
    </w:p>
    <w:p w:rsidR="004938C1" w:rsidRDefault="004938C1" w:rsidP="004938C1">
      <w:pPr>
        <w:pStyle w:val="Paragraf02"/>
        <w:jc w:val="right"/>
        <w:rPr>
          <w:b/>
          <w:lang w:val="sq-AL"/>
        </w:rPr>
      </w:pPr>
      <w:bookmarkStart w:id="0" w:name="_GoBack"/>
      <w:bookmarkEnd w:id="0"/>
    </w:p>
    <w:tbl>
      <w:tblPr>
        <w:tblW w:w="15717" w:type="dxa"/>
        <w:tblInd w:w="-1373" w:type="dxa"/>
        <w:tblLook w:val="04A0" w:firstRow="1" w:lastRow="0" w:firstColumn="1" w:lastColumn="0" w:noHBand="0" w:noVBand="1"/>
      </w:tblPr>
      <w:tblGrid>
        <w:gridCol w:w="968"/>
        <w:gridCol w:w="729"/>
        <w:gridCol w:w="1738"/>
        <w:gridCol w:w="1305"/>
        <w:gridCol w:w="913"/>
        <w:gridCol w:w="683"/>
        <w:gridCol w:w="621"/>
        <w:gridCol w:w="722"/>
        <w:gridCol w:w="1345"/>
        <w:gridCol w:w="1058"/>
        <w:gridCol w:w="621"/>
        <w:gridCol w:w="1461"/>
        <w:gridCol w:w="657"/>
        <w:gridCol w:w="1014"/>
        <w:gridCol w:w="868"/>
        <w:gridCol w:w="1014"/>
      </w:tblGrid>
      <w:tr w:rsidR="004938C1" w:rsidRPr="004938C1" w:rsidTr="004938C1">
        <w:trPr>
          <w:trHeight w:val="210"/>
        </w:trPr>
        <w:tc>
          <w:tcPr>
            <w:tcW w:w="1571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20"/>
                <w:szCs w:val="20"/>
                <w:lang w:val="sq-AL"/>
              </w:rPr>
              <w:t>LISTA E PRONAVE QË SHPRONËSOHEN NGA NDËRTIMI I MBROJTJES LUMORE</w:t>
            </w:r>
          </w:p>
        </w:tc>
      </w:tr>
      <w:tr w:rsidR="004938C1" w:rsidRPr="004938C1" w:rsidTr="004938C1">
        <w:trPr>
          <w:trHeight w:val="60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</w:p>
        </w:tc>
      </w:tr>
      <w:tr w:rsidR="004938C1" w:rsidRPr="004938C1" w:rsidTr="004938C1">
        <w:trPr>
          <w:trHeight w:val="139"/>
        </w:trPr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Emri i pronarit</w:t>
            </w:r>
          </w:p>
        </w:tc>
        <w:tc>
          <w:tcPr>
            <w:tcW w:w="424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Sipërfaqja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Dokumenti i pronësisë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Vlera e pronës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Personi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Lloji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Ndërtesë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Arë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Pyll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që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objekt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T. bujq.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Pyll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okupues</w:t>
            </w:r>
          </w:p>
        </w:tc>
      </w:tr>
      <w:tr w:rsidR="004938C1" w:rsidRPr="004938C1" w:rsidTr="004938C1">
        <w:trPr>
          <w:trHeight w:val="15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3682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1896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i objektit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m</w:t>
            </w: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m</w:t>
            </w: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m</w:t>
            </w: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m</w:t>
            </w: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shpronësohet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Lloji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center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Viti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399/2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Agron Hasanbelliu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1687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642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2014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130,326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399/3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Andrea Tomani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5781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1244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2000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252,532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1/403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Xhimi Koraqe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750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750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2001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152,250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1/451-nd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Roland Këmbaci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Shërbim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8.1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8.1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Vërtetim hipoteke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2005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207,269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1/91-nd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Arshin dhe Drita Dyrmishi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Banesë 1-k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81.88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81.88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2016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3,029,560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1/404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Viktor Tafa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750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500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2002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101,500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1/402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Xhimi Koraqe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630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630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2001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127,890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1/96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Luftar Hajdari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1300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1300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2014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263,900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1/115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Bashkëpronarët (sipas dok.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26400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1653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Certifikatë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 xml:space="preserve"> 165,300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të pronësisë, 9 bashkëpronarë)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 xml:space="preserve">Shumat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 xml:space="preserve"> 3,236,829 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 xml:space="preserve"> 1,028,398 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 xml:space="preserve"> 165,300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</w:tr>
      <w:tr w:rsidR="004938C1" w:rsidRPr="004938C1" w:rsidTr="004938C1">
        <w:trPr>
          <w:trHeight w:val="139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TOTAL GJITHSEJ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both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8C1" w:rsidRPr="004938C1" w:rsidRDefault="004938C1" w:rsidP="004938C1">
            <w:pPr>
              <w:widowControl w:val="0"/>
              <w:tabs>
                <w:tab w:val="left" w:pos="6575"/>
              </w:tabs>
              <w:spacing w:after="0" w:line="240" w:lineRule="auto"/>
              <w:jc w:val="right"/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</w:pPr>
            <w:r w:rsidRPr="004938C1">
              <w:rPr>
                <w:rFonts w:ascii="Garamond" w:eastAsia="MS Mincho" w:hAnsi="Garamond" w:cs="CG Times"/>
                <w:b/>
                <w:spacing w:val="-4"/>
                <w:sz w:val="18"/>
                <w:szCs w:val="18"/>
                <w:lang w:val="sq-AL"/>
              </w:rPr>
              <w:t xml:space="preserve"> 4,430,527 </w:t>
            </w:r>
          </w:p>
        </w:tc>
      </w:tr>
    </w:tbl>
    <w:p w:rsidR="008D3C5D" w:rsidRDefault="008D3C5D"/>
    <w:sectPr w:rsidR="008D3C5D" w:rsidSect="004938C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8C1"/>
    <w:rsid w:val="004938C1"/>
    <w:rsid w:val="008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4938C1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4938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4938C1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4938C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4938C1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4938C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4938C1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4938C1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2017-12-05T13:45:00Z</dcterms:created>
  <dcterms:modified xsi:type="dcterms:W3CDTF">2017-12-05T13:46:00Z</dcterms:modified>
</cp:coreProperties>
</file>