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E84" w:rsidRPr="00636E84" w:rsidRDefault="00636E84" w:rsidP="00636E84">
      <w:pPr>
        <w:keepNext/>
        <w:widowControl w:val="0"/>
        <w:spacing w:after="0" w:line="240" w:lineRule="auto"/>
        <w:jc w:val="center"/>
        <w:outlineLvl w:val="2"/>
        <w:rPr>
          <w:rFonts w:ascii="Garamond" w:eastAsia="MS Mincho" w:hAnsi="Garamond" w:cs="CG Times"/>
          <w:b/>
          <w:bCs/>
          <w:spacing w:val="-4"/>
          <w:sz w:val="24"/>
          <w:lang w:val="sq-AL"/>
        </w:rPr>
      </w:pPr>
      <w:r w:rsidRPr="00636E84">
        <w:rPr>
          <w:rFonts w:ascii="Garamond" w:eastAsia="MS Mincho" w:hAnsi="Garamond" w:cs="CG Times"/>
          <w:b/>
          <w:bCs/>
          <w:spacing w:val="-4"/>
          <w:sz w:val="24"/>
          <w:lang w:val="sq-AL"/>
        </w:rPr>
        <w:t>VENDIM</w:t>
      </w:r>
    </w:p>
    <w:p w:rsidR="00636E84" w:rsidRPr="00636E84" w:rsidRDefault="00636E84" w:rsidP="00636E84">
      <w:pPr>
        <w:keepNext/>
        <w:widowControl w:val="0"/>
        <w:spacing w:after="0" w:line="240" w:lineRule="auto"/>
        <w:jc w:val="center"/>
        <w:outlineLvl w:val="2"/>
        <w:rPr>
          <w:rFonts w:ascii="Garamond" w:eastAsia="MS Mincho" w:hAnsi="Garamond" w:cs="CG Times"/>
          <w:b/>
          <w:bCs/>
          <w:spacing w:val="-4"/>
          <w:sz w:val="24"/>
          <w:lang w:val="sq-AL"/>
        </w:rPr>
      </w:pPr>
      <w:r w:rsidRPr="00636E84">
        <w:rPr>
          <w:rFonts w:ascii="Garamond" w:eastAsia="MS Mincho" w:hAnsi="Garamond" w:cs="CG Times"/>
          <w:b/>
          <w:bCs/>
          <w:spacing w:val="-4"/>
          <w:sz w:val="24"/>
          <w:lang w:val="sq-AL"/>
        </w:rPr>
        <w:t>Nr. 765, datë 20.12.2017</w:t>
      </w:r>
    </w:p>
    <w:p w:rsidR="00636E84" w:rsidRPr="00636E84" w:rsidRDefault="00636E84" w:rsidP="00636E84">
      <w:pPr>
        <w:keepNext/>
        <w:widowControl w:val="0"/>
        <w:spacing w:after="0" w:line="240" w:lineRule="auto"/>
        <w:jc w:val="center"/>
        <w:outlineLvl w:val="2"/>
        <w:rPr>
          <w:rFonts w:ascii="Garamond" w:eastAsia="MS Mincho" w:hAnsi="Garamond" w:cs="CG Times"/>
          <w:b/>
          <w:bCs/>
          <w:spacing w:val="-4"/>
          <w:sz w:val="14"/>
          <w:lang w:val="sq-AL"/>
        </w:rPr>
      </w:pPr>
    </w:p>
    <w:p w:rsidR="00636E84" w:rsidRPr="00636E84" w:rsidRDefault="00636E84" w:rsidP="00636E84">
      <w:pPr>
        <w:keepNext/>
        <w:widowControl w:val="0"/>
        <w:spacing w:after="0" w:line="240" w:lineRule="auto"/>
        <w:jc w:val="center"/>
        <w:outlineLvl w:val="2"/>
        <w:rPr>
          <w:rFonts w:ascii="Garamond" w:eastAsia="MS Mincho" w:hAnsi="Garamond" w:cs="CG Times"/>
          <w:b/>
          <w:bCs/>
          <w:spacing w:val="-4"/>
          <w:sz w:val="24"/>
          <w:lang w:val="sq-AL"/>
        </w:rPr>
      </w:pPr>
      <w:r w:rsidRPr="00636E84">
        <w:rPr>
          <w:rFonts w:ascii="Garamond" w:eastAsia="MS Mincho" w:hAnsi="Garamond" w:cs="CG Times"/>
          <w:b/>
          <w:bCs/>
          <w:spacing w:val="-4"/>
          <w:sz w:val="24"/>
          <w:lang w:val="sq-AL"/>
        </w:rPr>
        <w:t xml:space="preserve">PËR DISA NDRYSHIME DHE SHTESA NË VENDIMIN NR. 222, DATË 23.3.2016, TË KËSHILLIT TË MINISTRAVE, “PËR TRAJTIMIN E KËRKESAVE PËR NJOHJE TË PRONËS E TË KOMPENSIMIT </w:t>
      </w:r>
    </w:p>
    <w:p w:rsidR="00636E84" w:rsidRPr="00636E84" w:rsidRDefault="00636E84" w:rsidP="00636E84">
      <w:pPr>
        <w:keepNext/>
        <w:widowControl w:val="0"/>
        <w:spacing w:after="0" w:line="240" w:lineRule="auto"/>
        <w:jc w:val="center"/>
        <w:outlineLvl w:val="2"/>
        <w:rPr>
          <w:rFonts w:ascii="Garamond" w:eastAsia="MS Mincho" w:hAnsi="Garamond" w:cs="CG Times"/>
          <w:b/>
          <w:bCs/>
          <w:spacing w:val="-4"/>
          <w:sz w:val="24"/>
          <w:lang w:val="sq-AL"/>
        </w:rPr>
      </w:pPr>
      <w:r w:rsidRPr="00636E84">
        <w:rPr>
          <w:rFonts w:ascii="Garamond" w:eastAsia="MS Mincho" w:hAnsi="Garamond" w:cs="CG Times"/>
          <w:b/>
          <w:bCs/>
          <w:spacing w:val="-4"/>
          <w:sz w:val="24"/>
          <w:lang w:val="sq-AL"/>
        </w:rPr>
        <w:t>TË SAJ”</w:t>
      </w:r>
    </w:p>
    <w:p w:rsidR="00636E84" w:rsidRPr="00636E84" w:rsidRDefault="00636E84" w:rsidP="00636E84">
      <w:pPr>
        <w:widowControl w:val="0"/>
        <w:spacing w:after="0" w:line="240" w:lineRule="auto"/>
        <w:jc w:val="both"/>
        <w:rPr>
          <w:rFonts w:ascii="Garamond" w:eastAsia="MS Mincho" w:hAnsi="Garamond" w:cs="CG Times"/>
          <w:spacing w:val="-4"/>
          <w:sz w:val="12"/>
          <w:lang w:val="sq-AL"/>
        </w:rPr>
      </w:pP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Në mbështetje të nenit 100 të Kushtetutës dhe të nenit 37, të ligjit nr. 133/2015, “Për trajtimin e pronës dhe përfundimin e procesit të kompensimit të pronave”, me propozimin e ministrit të Drejtësisë, Këshilli i Ministrave</w:t>
      </w:r>
    </w:p>
    <w:p w:rsidR="00636E84" w:rsidRPr="00636E84" w:rsidRDefault="00636E84" w:rsidP="00636E84">
      <w:pPr>
        <w:widowControl w:val="0"/>
        <w:spacing w:after="0" w:line="240" w:lineRule="auto"/>
        <w:ind w:firstLine="284"/>
        <w:jc w:val="both"/>
        <w:rPr>
          <w:rFonts w:ascii="Garamond" w:eastAsia="MS Mincho" w:hAnsi="Garamond" w:cs="CG Times"/>
          <w:sz w:val="14"/>
          <w:lang w:val="sq-AL"/>
        </w:rPr>
      </w:pPr>
    </w:p>
    <w:p w:rsidR="00636E84" w:rsidRPr="00636E84" w:rsidRDefault="00636E84" w:rsidP="00636E84">
      <w:pPr>
        <w:keepNext/>
        <w:widowControl w:val="0"/>
        <w:spacing w:after="0" w:line="240" w:lineRule="auto"/>
        <w:jc w:val="center"/>
        <w:rPr>
          <w:rFonts w:ascii="Garamond" w:eastAsia="MS Mincho" w:hAnsi="Garamond" w:cs="CG Times"/>
          <w:sz w:val="24"/>
          <w:lang w:val="sq-AL"/>
        </w:rPr>
      </w:pPr>
      <w:r w:rsidRPr="00636E84">
        <w:rPr>
          <w:rFonts w:ascii="Garamond" w:eastAsia="MS Mincho" w:hAnsi="Garamond" w:cs="CG Times"/>
          <w:sz w:val="24"/>
          <w:lang w:val="sq-AL"/>
        </w:rPr>
        <w:t>VENDOSI:</w:t>
      </w:r>
    </w:p>
    <w:p w:rsidR="00636E84" w:rsidRPr="00636E84" w:rsidRDefault="00636E84" w:rsidP="00636E84">
      <w:pPr>
        <w:widowControl w:val="0"/>
        <w:spacing w:after="0" w:line="240" w:lineRule="auto"/>
        <w:ind w:firstLine="284"/>
        <w:jc w:val="both"/>
        <w:rPr>
          <w:rFonts w:ascii="Garamond" w:eastAsia="MS Mincho" w:hAnsi="Garamond" w:cs="CG Times"/>
          <w:sz w:val="14"/>
          <w:lang w:val="sq-AL"/>
        </w:rPr>
      </w:pP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Në vendimin e Këshillit të Ministrave nr. 222, datë 23.3.2016, “Për trajtimin e kërkesave për njohje të pronës e të kompensimit të saj”, bëhen këto ndryshime dhe shtesa:</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 Titulli i projektvendimit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“Për trajtimin e kërkesave për njohje të së drejtës së kompensimit të pronës”.</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2. Paragrafi i parë ndryshohet si më poshtë:</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 xml:space="preserve">“Ky vendim rregullon procedurat për mbledhjen, përpunimin, administrimin e akteve të subjekteve të shpronësuara dhe vendimmarrjen e ATP-së gjatë procesit të njohjes të së drejtës së kompensimit, në zbatim të ligjit nr. 133/2015, “Për trajtimin e pronës dhe përfundimin e procesit të kompensimit të pronave”. </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3. Shkronja “c” e pikës 3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“c) çdo dokumentacion tjetër mbështetës.”.</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4. Pika 5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“5. Dokumentacioni hartografik aktual përbëhet nga:</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a)</w:t>
      </w:r>
      <w:r w:rsidRPr="00636E84">
        <w:rPr>
          <w:rFonts w:ascii="Garamond" w:eastAsia="MS Mincho" w:hAnsi="Garamond" w:cs="CG Times"/>
          <w:sz w:val="24"/>
          <w:lang w:val="sq-AL"/>
        </w:rPr>
        <w:tab/>
        <w:t>Harta me të dhënat topografike dhe hartografike të pronës së pretenduar, të pasqyruar në hartën aktuale dhe të konfirmuar nga institucioni, ku, sipas rastit, mund të jetë Zyra e Regjistrimit të Pasurive të Paluajtshme ose Drejtoria e Shërbimit Pyjor, ku ndodhet prona e pretenduar apo çdo institucion tjetër shtetëror, si dhe pozicionimi i pronës së pretenduar me inxhinier/gjeodet të licencuar, me përjashtim të rasteve kur pozicionimi i pronës është kryer me vendim gjykate të formës së prerë.</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b)</w:t>
      </w:r>
      <w:r w:rsidRPr="00636E84">
        <w:rPr>
          <w:rFonts w:ascii="Garamond" w:eastAsia="MS Mincho" w:hAnsi="Garamond" w:cs="CG Times"/>
          <w:sz w:val="24"/>
          <w:lang w:val="sq-AL"/>
        </w:rPr>
        <w:tab/>
        <w:t>Harta aktuale mbi të cilën pozicionohet prona e pretenduar me inxhinier/gjeodet të licencuar, me përjashtim të rasteve kur pozicionimi i pronës është kryer me vendim gjykate të formës së prerë.”.</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5. Pas pikës 5, shtohen pikat 5/1 dhe 5/2, me përmbajtje, si më poshtë vijon:</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“5/1. Në rastet kur ka mospërputhje në përcaktimin e sipërfaqes midis dokumentacionit ligjor dhe atij hartografik, ATP-ja i jep përparësi dokumentacionit ligjor në përcaktimin e sipërfaqes mbi të cilën njeh pronësinë. ATP-ja pozicionon pronën në bazë të interesit më të lartë të subjektit.</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 xml:space="preserve">5/2. </w:t>
      </w:r>
      <w:r w:rsidRPr="00636E84">
        <w:rPr>
          <w:rFonts w:ascii="Garamond" w:eastAsia="MS Mincho" w:hAnsi="Garamond" w:cs="CG Times"/>
          <w:sz w:val="24"/>
          <w:lang w:val="sq-AL"/>
        </w:rPr>
        <w:tab/>
        <w:t>Dokumentacion tjetër mbështetës i kërkesës është dokumentacioni që kërkohet gjatë shqyrtimit administrativ të kërkesës dhe mund të përbëhet nga dokumente të tilla, si: vërtetim për përfitim apo jo nga dispozitat ligjore për ndarjen e tokës bujqësore, deklarata noteriale, nëse subjektet e shpronësuara kanë përfituar apo jo nga dispozitat ligjore për ndarjen e tokës bujqësore, vendime të mëparshme kthimi ose kompensimi, të cilat tregojnë përfitime të mëparshme të subjekteve, dokumente apo vërtetime të tjera që tregojnë përfitime të mëparshme të përcaktuara në nenin 6, pika 6, e ligjit nr. 133/2015, vërtetime apo certifikata nga zyrat e gjendjes civile apo çdo dokument tjetër që i shërben zgjidhjes sa më të drejtë të kërkesës që shqyrtohet.”.</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6. Pika 6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“6. Në rastet kur ATP-ja konstaton mangësi në dokumentacionin shoqërues të kërkesës, subjektit të shpronësuar i kërkohet që, brenda 30 (tridhjetë) ditëve nga çasti i marrjes së njoftimit, të bëjë plotësimin e dokumentacionit të kërkuar. Në këtë rast, afatet ligjore të shqyrtimit të kërkesës pezullohen deri në momentin e plotësimit të dokumentacionit. Kur kërkesës i mungon adresa e saktë postare, njoftimi bëhet përmes shpalljes publike në mjediset e ATP-së dhe në njësitë e qeverisjes vendore, ku ndodhet prona, objekt pretendimi, si dhe në vendbanimin e subjektit apo trashëgimtarëve të tij. Njoftimi konsiderohet i kryer kur institucioni i njësisë së qeverisjes vendore konfirmon se shpallja është bërë për 30 ditë. Ky konfirmim bëhet pjesë e dosjes.”.</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p>
    <w:p w:rsidR="00636E84" w:rsidRDefault="00636E84" w:rsidP="00636E84">
      <w:pPr>
        <w:widowControl w:val="0"/>
        <w:spacing w:after="0" w:line="240" w:lineRule="auto"/>
        <w:ind w:firstLine="284"/>
        <w:jc w:val="both"/>
        <w:rPr>
          <w:rFonts w:ascii="Garamond" w:eastAsia="MS Mincho" w:hAnsi="Garamond" w:cs="CG Times"/>
          <w:sz w:val="24"/>
          <w:lang w:val="sq-AL"/>
        </w:rPr>
        <w:sectPr w:rsidR="00636E84" w:rsidSect="00636E84">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11987"/>
          <w:cols w:space="454"/>
          <w:docGrid w:linePitch="360"/>
        </w:sectPr>
      </w:pP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bookmarkStart w:id="0" w:name="_GoBack"/>
      <w:r w:rsidRPr="00636E84">
        <w:rPr>
          <w:rFonts w:ascii="Garamond" w:eastAsia="MS Mincho" w:hAnsi="Garamond" w:cs="CG Times"/>
          <w:sz w:val="24"/>
          <w:lang w:val="sq-AL"/>
        </w:rPr>
        <w:lastRenderedPageBreak/>
        <w:t>7. Në fund të pikës 8 shtohet fjalia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“8. Njoftimi konsiderohet i kryer kur institucioni i njësisë së qeverisjes vendore konfirmon se shpallja është bërë për 30 ditë. Ky konfirmim bëhet pjesë e dosjes.”.</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8. Paragrafi i dytë i pikës 9, ndryshon si vijon:</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“Në rast të kundërt, kur kërkesa dhe dokumentacioni bashkëlidhur praktikës, pas shqyrtimit, nuk janë nga ana formale në përputhje me kriteret e përcaktuara në këtë vendim, edhe pas kalimit të afatit për plotësimin e mangësive të saj, ATP-ja vendos mbi themelin e kërkesës mbi bazë të dokumenteve dhe informacionit që disponon.”.</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9. Titulli i kreut III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“Përpunimi i akteve dhe vendimi i njohjes”.</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10. Pika 14 shfuqizohet.</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11. Pika 15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“ATP-ja kërkon nga autoritetet përkatëse, vendore dhe qendrore, informacion, nëse prona e pretenduar nga subjekti konsiderohet e zënë në kuptim të ligjit nr. 133/2015, nëse mbi të është miratuar leje ndërtimi, ose është dhënë ndonjë e drejtë tjetër në përputhje me legjislacionin në fuqi, apo nëse ka filluar procedura për dhënien e kësaj të drejte. Në çdo rast, ATP-ja kërkon informacion nga Agjencia Shqiptare e Zhvillimit të Investimeve dhe Agjencia e Trajtimit të Koncesioneve.”.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12. Paragrafi i parë i pikës 16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“Për kërkesat për njohje të drejte të paraqitur për trajtim para hyrjes në fuqi të ligjit nr. 133/2015, dhe për të cilat nuk ka një vendim, ATP-ja fillon menjëherë shqyrtimin e tyre, si më poshtë vijon:”.</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13. Pas pikës 17, shtohet pika 17/1,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“17/1. Për kërkesat e paraqitura para hyrjes në fuqi të ligjit, për të cilat ka një vendim njohjeje të së drejtës, këto vendime kalojnë për kompensim me kërkesat e tjera sipas rendit kronologjik.”.</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14. Pika 18 ndryshohet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“18. ATP-ja, pas kontrollit, vlerësimit dhe shqyrtimit të kërkesave të paraqitura për njohje të së drejtës së kompensimit, merr vendim për pranimin ose rrëzimin e kërkesës. Në rast pranimi, ATP-ja, me të njëjtin vendim, përcakton edhe masën dhe mënyrën e kompensimit të saj, sipas përcaktimeve të vendimit nr. 223, datë 23.3.2016, të Këshillit të Ministrave. Vendimi i ATP-së për njohjen e së drejtës për kompensim fizik, regjistrohet në Zyrën e Regjistrimit të Pasurive të Paluajtshme.”.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15. Pas pikës 20, shtohet pika 20/1, me këtë përmbajtje:</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 xml:space="preserve">“21/1 Në formularin tip që i bashkëlidhet këtij vendimi, titulli i formularit ndryshon si më poshtë vijon: </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“Aplikim për trajtimin e kërkesave për njohje të së drejtës së kompensimit”.”.</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16. Ngarkohet Agjencia e Trajtimit të Pronës për zbatimin e këtij vendimi.</w:t>
      </w:r>
    </w:p>
    <w:p w:rsidR="00636E84" w:rsidRPr="00636E84" w:rsidRDefault="00636E84" w:rsidP="00636E84">
      <w:pPr>
        <w:widowControl w:val="0"/>
        <w:spacing w:after="0" w:line="240" w:lineRule="auto"/>
        <w:ind w:firstLine="284"/>
        <w:jc w:val="both"/>
        <w:rPr>
          <w:rFonts w:ascii="Garamond" w:eastAsia="MS Mincho" w:hAnsi="Garamond" w:cs="CG Times"/>
          <w:sz w:val="24"/>
          <w:lang w:val="sq-AL"/>
        </w:rPr>
      </w:pPr>
      <w:r w:rsidRPr="00636E84">
        <w:rPr>
          <w:rFonts w:ascii="Garamond" w:eastAsia="MS Mincho" w:hAnsi="Garamond" w:cs="CG Times"/>
          <w:sz w:val="24"/>
          <w:lang w:val="sq-AL"/>
        </w:rPr>
        <w:t>Ky vendim hyn në fuqi pas botimit në Fletoren Zyrtare.</w:t>
      </w:r>
    </w:p>
    <w:p w:rsidR="00636E84" w:rsidRPr="00636E84" w:rsidRDefault="00636E84" w:rsidP="00636E84">
      <w:pPr>
        <w:widowControl w:val="0"/>
        <w:spacing w:after="0" w:line="240" w:lineRule="auto"/>
        <w:jc w:val="both"/>
        <w:rPr>
          <w:rFonts w:ascii="Garamond" w:eastAsia="MS Mincho" w:hAnsi="Garamond" w:cs="CG Times"/>
          <w:sz w:val="14"/>
          <w:lang w:val="sq-AL"/>
        </w:rPr>
      </w:pPr>
    </w:p>
    <w:p w:rsidR="00636E84" w:rsidRPr="00636E84" w:rsidRDefault="00636E84" w:rsidP="00636E84">
      <w:pPr>
        <w:widowControl w:val="0"/>
        <w:spacing w:after="0" w:line="240" w:lineRule="auto"/>
        <w:ind w:firstLine="284"/>
        <w:jc w:val="right"/>
        <w:rPr>
          <w:rFonts w:ascii="Garamond" w:eastAsia="MS Mincho" w:hAnsi="Garamond" w:cs="CG Times"/>
          <w:sz w:val="24"/>
          <w:lang w:val="sq-AL"/>
        </w:rPr>
      </w:pPr>
      <w:r w:rsidRPr="00636E84">
        <w:rPr>
          <w:rFonts w:ascii="Garamond" w:eastAsia="MS Mincho" w:hAnsi="Garamond" w:cs="CG Times"/>
          <w:sz w:val="24"/>
          <w:lang w:val="sq-AL"/>
        </w:rPr>
        <w:t>ZËVENDËSKRYEMINISTRI</w:t>
      </w:r>
    </w:p>
    <w:p w:rsidR="00636E84" w:rsidRPr="00636E84" w:rsidRDefault="00636E84" w:rsidP="00636E84">
      <w:pPr>
        <w:widowControl w:val="0"/>
        <w:spacing w:after="0" w:line="240" w:lineRule="auto"/>
        <w:ind w:firstLine="284"/>
        <w:jc w:val="right"/>
        <w:rPr>
          <w:rFonts w:ascii="Garamond" w:eastAsia="MS Mincho" w:hAnsi="Garamond" w:cs="CG Times"/>
          <w:b/>
          <w:sz w:val="24"/>
          <w:lang w:val="sq-AL"/>
        </w:rPr>
      </w:pPr>
      <w:r w:rsidRPr="00636E84">
        <w:rPr>
          <w:rFonts w:ascii="Garamond" w:eastAsia="MS Mincho" w:hAnsi="Garamond" w:cs="CG Times"/>
          <w:b/>
          <w:sz w:val="24"/>
          <w:lang w:val="sq-AL"/>
        </w:rPr>
        <w:t>Senida Mesi</w:t>
      </w:r>
    </w:p>
    <w:p w:rsidR="00636E84" w:rsidRPr="00636E84" w:rsidRDefault="00636E84" w:rsidP="00636E84">
      <w:pPr>
        <w:widowControl w:val="0"/>
        <w:spacing w:after="0" w:line="240" w:lineRule="auto"/>
        <w:ind w:firstLine="284"/>
        <w:jc w:val="right"/>
        <w:rPr>
          <w:rFonts w:ascii="Garamond" w:eastAsia="MS Mincho" w:hAnsi="Garamond" w:cs="CG Times"/>
          <w:b/>
          <w:sz w:val="24"/>
          <w:lang w:val="sq-AL"/>
        </w:rPr>
      </w:pPr>
    </w:p>
    <w:p w:rsidR="00636E84" w:rsidRPr="00636E84" w:rsidRDefault="00636E84" w:rsidP="00636E84">
      <w:pPr>
        <w:spacing w:after="0" w:line="240" w:lineRule="auto"/>
        <w:ind w:firstLine="284"/>
        <w:jc w:val="both"/>
        <w:rPr>
          <w:rFonts w:ascii="Times New Roman" w:eastAsia="Times New Roman" w:hAnsi="Times New Roman" w:cs="Times New Roman"/>
          <w:sz w:val="28"/>
          <w:szCs w:val="28"/>
          <w:lang w:val="sq-AL"/>
        </w:rPr>
        <w:sectPr w:rsidR="00636E84" w:rsidRPr="00636E84" w:rsidSect="00636E84">
          <w:type w:val="continuous"/>
          <w:pgSz w:w="11907" w:h="16840" w:code="9"/>
          <w:pgMar w:top="720" w:right="1134" w:bottom="720" w:left="1134" w:header="851" w:footer="851" w:gutter="0"/>
          <w:pgNumType w:start="11987"/>
          <w:cols w:space="454"/>
          <w:docGrid w:linePitch="360"/>
        </w:sectPr>
      </w:pPr>
    </w:p>
    <w:bookmarkEnd w:id="0"/>
    <w:p w:rsidR="00636E84" w:rsidRDefault="00636E84" w:rsidP="00636E84">
      <w:pPr>
        <w:spacing w:after="0" w:line="240" w:lineRule="auto"/>
        <w:rPr>
          <w:rFonts w:ascii="Times New Roman" w:eastAsia="Times New Roman" w:hAnsi="Times New Roman" w:cs="Times New Roman"/>
          <w:sz w:val="28"/>
          <w:szCs w:val="28"/>
          <w:lang w:val="sq-AL"/>
        </w:rPr>
        <w:sectPr w:rsidR="00636E84">
          <w:pgSz w:w="12240" w:h="15840"/>
          <w:pgMar w:top="1440" w:right="1440" w:bottom="1440" w:left="1440" w:header="720" w:footer="720" w:gutter="0"/>
          <w:cols w:space="720"/>
          <w:docGrid w:linePitch="360"/>
        </w:sectPr>
      </w:pPr>
    </w:p>
    <w:p w:rsidR="00636E84" w:rsidRPr="00636E84" w:rsidRDefault="00636E84" w:rsidP="00636E84">
      <w:pPr>
        <w:framePr w:h="12048" w:hSpace="10080" w:wrap="notBeside" w:vAnchor="text" w:hAnchor="page" w:x="1177" w:y="293"/>
        <w:spacing w:after="0" w:line="240" w:lineRule="auto"/>
        <w:rPr>
          <w:rFonts w:ascii="Times New Roman" w:eastAsia="Times New Roman" w:hAnsi="Times New Roman" w:cs="Times New Roman"/>
          <w:sz w:val="28"/>
          <w:szCs w:val="28"/>
          <w:lang w:val="sq-AL"/>
        </w:rPr>
      </w:pPr>
      <w:r w:rsidRPr="00636E84">
        <w:rPr>
          <w:rFonts w:ascii="Times New Roman" w:eastAsia="Times New Roman" w:hAnsi="Times New Roman" w:cs="Times New Roman"/>
          <w:noProof/>
          <w:sz w:val="28"/>
          <w:szCs w:val="28"/>
        </w:rPr>
        <w:drawing>
          <wp:inline distT="0" distB="0" distL="0" distR="0" wp14:anchorId="693F23E8" wp14:editId="36515D37">
            <wp:extent cx="5867518" cy="784793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1075" cy="7852695"/>
                    </a:xfrm>
                    <a:prstGeom prst="rect">
                      <a:avLst/>
                    </a:prstGeom>
                    <a:noFill/>
                    <a:ln>
                      <a:noFill/>
                    </a:ln>
                  </pic:spPr>
                </pic:pic>
              </a:graphicData>
            </a:graphic>
          </wp:inline>
        </w:drawing>
      </w:r>
    </w:p>
    <w:p w:rsidR="00636E84" w:rsidRPr="00636E84" w:rsidRDefault="00636E84" w:rsidP="00636E84">
      <w:pPr>
        <w:spacing w:after="0" w:line="240" w:lineRule="auto"/>
        <w:ind w:firstLine="284"/>
        <w:rPr>
          <w:rFonts w:ascii="Times New Roman" w:eastAsia="Times New Roman" w:hAnsi="Times New Roman" w:cs="Times New Roman"/>
          <w:b/>
          <w:sz w:val="28"/>
          <w:szCs w:val="28"/>
          <w:lang w:val="sq-AL"/>
        </w:rPr>
      </w:pPr>
    </w:p>
    <w:p w:rsidR="00636E84" w:rsidRPr="00636E84" w:rsidRDefault="00636E84" w:rsidP="00636E84">
      <w:pPr>
        <w:spacing w:after="0" w:line="240" w:lineRule="auto"/>
        <w:jc w:val="both"/>
        <w:rPr>
          <w:rFonts w:ascii="Times New Roman" w:eastAsia="Calibri" w:hAnsi="Times New Roman" w:cs="Times New Roman"/>
          <w:sz w:val="28"/>
          <w:szCs w:val="28"/>
          <w:lang w:val="sq-AL"/>
        </w:rPr>
      </w:pPr>
    </w:p>
    <w:p w:rsidR="00636E84" w:rsidRPr="00636E84" w:rsidRDefault="00636E84" w:rsidP="00636E84">
      <w:pPr>
        <w:framePr w:h="8141" w:hSpace="38" w:wrap="auto" w:vAnchor="text" w:hAnchor="margin" w:x="625" w:y="1"/>
        <w:spacing w:after="0" w:line="240" w:lineRule="auto"/>
        <w:rPr>
          <w:rFonts w:ascii="Times New Roman" w:eastAsia="Times New Roman" w:hAnsi="Times New Roman" w:cs="Times New Roman"/>
          <w:sz w:val="28"/>
          <w:szCs w:val="28"/>
          <w:lang w:val="sq-AL"/>
        </w:rPr>
      </w:pPr>
      <w:r w:rsidRPr="00636E84">
        <w:rPr>
          <w:rFonts w:ascii="Times New Roman" w:eastAsia="Times New Roman" w:hAnsi="Times New Roman" w:cs="Times New Roman"/>
          <w:noProof/>
          <w:sz w:val="28"/>
          <w:szCs w:val="28"/>
        </w:rPr>
        <w:drawing>
          <wp:inline distT="0" distB="0" distL="0" distR="0" wp14:anchorId="6A71C9F7" wp14:editId="2A5DF168">
            <wp:extent cx="5632060" cy="6520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60" r="-8213"/>
                    <a:stretch/>
                  </pic:blipFill>
                  <pic:spPr bwMode="auto">
                    <a:xfrm>
                      <a:off x="0" y="0"/>
                      <a:ext cx="5635669" cy="6524248"/>
                    </a:xfrm>
                    <a:prstGeom prst="rect">
                      <a:avLst/>
                    </a:prstGeom>
                    <a:noFill/>
                    <a:ln>
                      <a:noFill/>
                    </a:ln>
                    <a:extLst>
                      <a:ext uri="{53640926-AAD7-44D8-BBD7-CCE9431645EC}">
                        <a14:shadowObscured xmlns:a14="http://schemas.microsoft.com/office/drawing/2010/main"/>
                      </a:ext>
                    </a:extLst>
                  </pic:spPr>
                </pic:pic>
              </a:graphicData>
            </a:graphic>
          </wp:inline>
        </w:drawing>
      </w:r>
    </w:p>
    <w:p w:rsidR="00636E84" w:rsidRPr="00636E84" w:rsidRDefault="00636E84" w:rsidP="00636E84">
      <w:pPr>
        <w:spacing w:after="0" w:line="240" w:lineRule="auto"/>
        <w:ind w:firstLine="284"/>
        <w:jc w:val="both"/>
        <w:rPr>
          <w:rFonts w:ascii="Times New Roman" w:eastAsia="Calibri" w:hAnsi="Times New Roman" w:cs="Times New Roman"/>
          <w:sz w:val="28"/>
          <w:szCs w:val="28"/>
          <w:lang w:val="sq-AL"/>
        </w:rPr>
      </w:pPr>
    </w:p>
    <w:p w:rsidR="00636E84" w:rsidRPr="00636E84" w:rsidRDefault="00636E84" w:rsidP="00636E84">
      <w:pPr>
        <w:spacing w:after="0" w:line="240" w:lineRule="auto"/>
        <w:ind w:firstLine="284"/>
        <w:jc w:val="both"/>
        <w:rPr>
          <w:rFonts w:ascii="Times New Roman" w:eastAsia="Calibri" w:hAnsi="Times New Roman" w:cs="Times New Roman"/>
          <w:sz w:val="28"/>
          <w:szCs w:val="28"/>
          <w:lang w:val="sq-AL"/>
        </w:rPr>
      </w:pPr>
    </w:p>
    <w:p w:rsidR="00636E84" w:rsidRPr="00636E84" w:rsidRDefault="00636E84" w:rsidP="00636E84">
      <w:pPr>
        <w:spacing w:after="0" w:line="240" w:lineRule="auto"/>
        <w:ind w:firstLine="284"/>
        <w:jc w:val="both"/>
        <w:rPr>
          <w:rFonts w:ascii="Times New Roman" w:eastAsia="Calibri" w:hAnsi="Times New Roman" w:cs="Times New Roman"/>
          <w:sz w:val="28"/>
          <w:szCs w:val="28"/>
          <w:lang w:val="sq-AL"/>
        </w:rPr>
      </w:pPr>
    </w:p>
    <w:p w:rsidR="005138C4" w:rsidRDefault="005138C4"/>
    <w:sectPr w:rsidR="005138C4" w:rsidSect="00636E8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799278"/>
      <w:docPartObj>
        <w:docPartGallery w:val="Page Numbers (Bottom of Page)"/>
        <w:docPartUnique/>
      </w:docPartObj>
    </w:sdtPr>
    <w:sdtEndPr>
      <w:rPr>
        <w:rFonts w:ascii="Garamond" w:hAnsi="Garamond"/>
        <w:noProof/>
        <w:sz w:val="24"/>
        <w:szCs w:val="24"/>
      </w:rPr>
    </w:sdtEndPr>
    <w:sdtContent>
      <w:p w:rsidR="008A288C" w:rsidRPr="00B4283E" w:rsidRDefault="00636E8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11992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8C" w:rsidRPr="005B4361" w:rsidRDefault="00636E84"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98528999"/>
      <w:docPartObj>
        <w:docPartGallery w:val="Page Numbers (Bottom of Page)"/>
        <w:docPartUnique/>
      </w:docPartObj>
    </w:sdtPr>
    <w:sdtEndPr>
      <w:rPr>
        <w:noProof/>
        <w:sz w:val="24"/>
        <w:szCs w:val="24"/>
      </w:rPr>
    </w:sdtEndPr>
    <w:sdtContent>
      <w:p w:rsidR="008A288C" w:rsidRPr="00833610" w:rsidRDefault="00636E8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A288C" w:rsidRDefault="00636E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A288C" w:rsidRPr="00EB260B" w:rsidTr="00D34DBB">
      <w:trPr>
        <w:trHeight w:val="936"/>
        <w:jc w:val="center"/>
      </w:trPr>
      <w:tc>
        <w:tcPr>
          <w:tcW w:w="1392" w:type="pct"/>
          <w:shd w:val="pct5" w:color="auto" w:fill="F2F2F2"/>
          <w:vAlign w:val="center"/>
        </w:tcPr>
        <w:p w:rsidR="008A288C" w:rsidRPr="00EB260B" w:rsidRDefault="00636E84" w:rsidP="0024030F">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1957" w:type="pct"/>
          <w:shd w:val="pct5" w:color="auto" w:fill="F2F2F2"/>
          <w:vAlign w:val="center"/>
        </w:tcPr>
        <w:p w:rsidR="008A288C" w:rsidRPr="00EB260B" w:rsidRDefault="00636E84" w:rsidP="0024030F">
          <w:pPr>
            <w:pStyle w:val="NoSpacing"/>
            <w:spacing w:before="100" w:after="100"/>
            <w:jc w:val="center"/>
            <w:rPr>
              <w:rFonts w:ascii="Garamond" w:hAnsi="Garamond"/>
              <w:b/>
              <w:sz w:val="28"/>
              <w:szCs w:val="28"/>
            </w:rPr>
          </w:pPr>
          <w:r>
            <w:rPr>
              <w:noProof/>
            </w:rPr>
            <w:drawing>
              <wp:inline distT="0" distB="0" distL="0" distR="0" wp14:anchorId="72276519" wp14:editId="6C5E6E7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A288C" w:rsidRPr="00EB260B" w:rsidRDefault="00636E84" w:rsidP="00C2074B">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2017 – </w:t>
          </w:r>
          <w:proofErr w:type="spellStart"/>
          <w:r>
            <w:rPr>
              <w:rFonts w:ascii="Garamond" w:hAnsi="Garamond"/>
              <w:b/>
              <w:sz w:val="28"/>
              <w:szCs w:val="28"/>
            </w:rPr>
            <w:t>Numri</w:t>
          </w:r>
          <w:proofErr w:type="spellEnd"/>
          <w:r>
            <w:rPr>
              <w:rFonts w:ascii="Garamond" w:hAnsi="Garamond"/>
              <w:b/>
              <w:sz w:val="28"/>
              <w:szCs w:val="28"/>
            </w:rPr>
            <w:t xml:space="preserve"> 226 </w:t>
          </w:r>
        </w:p>
      </w:tc>
    </w:tr>
  </w:tbl>
  <w:p w:rsidR="008A288C" w:rsidRPr="00385E2C" w:rsidRDefault="00636E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8C" w:rsidRDefault="00636E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8C" w:rsidRDefault="00636E84"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84"/>
    <w:rsid w:val="005138C4"/>
    <w:rsid w:val="0063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E84"/>
    <w:pPr>
      <w:spacing w:after="0" w:line="240" w:lineRule="auto"/>
    </w:pPr>
  </w:style>
  <w:style w:type="paragraph" w:styleId="Header">
    <w:name w:val="header"/>
    <w:basedOn w:val="Normal"/>
    <w:link w:val="HeaderChar"/>
    <w:uiPriority w:val="99"/>
    <w:unhideWhenUsed/>
    <w:rsid w:val="00636E8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636E84"/>
    <w:rPr>
      <w:rFonts w:ascii="Calibri" w:eastAsia="Calibri" w:hAnsi="Calibri" w:cs="Times New Roman"/>
    </w:rPr>
  </w:style>
  <w:style w:type="paragraph" w:styleId="Footer">
    <w:name w:val="footer"/>
    <w:basedOn w:val="Normal"/>
    <w:link w:val="FooterChar"/>
    <w:uiPriority w:val="99"/>
    <w:unhideWhenUsed/>
    <w:rsid w:val="00636E8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636E84"/>
    <w:rPr>
      <w:rFonts w:ascii="Calibri" w:eastAsia="Calibri" w:hAnsi="Calibri" w:cs="Times New Roman"/>
    </w:rPr>
  </w:style>
  <w:style w:type="paragraph" w:styleId="BalloonText">
    <w:name w:val="Balloon Text"/>
    <w:basedOn w:val="Normal"/>
    <w:link w:val="BalloonTextChar"/>
    <w:uiPriority w:val="99"/>
    <w:semiHidden/>
    <w:unhideWhenUsed/>
    <w:rsid w:val="00636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E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E84"/>
    <w:pPr>
      <w:spacing w:after="0" w:line="240" w:lineRule="auto"/>
    </w:pPr>
  </w:style>
  <w:style w:type="paragraph" w:styleId="Header">
    <w:name w:val="header"/>
    <w:basedOn w:val="Normal"/>
    <w:link w:val="HeaderChar"/>
    <w:uiPriority w:val="99"/>
    <w:unhideWhenUsed/>
    <w:rsid w:val="00636E8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636E84"/>
    <w:rPr>
      <w:rFonts w:ascii="Calibri" w:eastAsia="Calibri" w:hAnsi="Calibri" w:cs="Times New Roman"/>
    </w:rPr>
  </w:style>
  <w:style w:type="paragraph" w:styleId="Footer">
    <w:name w:val="footer"/>
    <w:basedOn w:val="Normal"/>
    <w:link w:val="FooterChar"/>
    <w:uiPriority w:val="99"/>
    <w:unhideWhenUsed/>
    <w:rsid w:val="00636E8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636E84"/>
    <w:rPr>
      <w:rFonts w:ascii="Calibri" w:eastAsia="Calibri" w:hAnsi="Calibri" w:cs="Times New Roman"/>
    </w:rPr>
  </w:style>
  <w:style w:type="paragraph" w:styleId="BalloonText">
    <w:name w:val="Balloon Text"/>
    <w:basedOn w:val="Normal"/>
    <w:link w:val="BalloonTextChar"/>
    <w:uiPriority w:val="99"/>
    <w:semiHidden/>
    <w:unhideWhenUsed/>
    <w:rsid w:val="00636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image" Target="media/image2.jpe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5655</Characters>
  <Application>Microsoft Office Word</Application>
  <DocSecurity>0</DocSecurity>
  <Lines>47</Lines>
  <Paragraphs>13</Paragraphs>
  <ScaleCrop>false</ScaleCrop>
  <Company/>
  <LinksUpToDate>false</LinksUpToDate>
  <CharactersWithSpaces>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2017-12-22T12:09:00Z</dcterms:created>
  <dcterms:modified xsi:type="dcterms:W3CDTF">2017-12-22T12:10:00Z</dcterms:modified>
</cp:coreProperties>
</file>