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80" w:rsidRPr="006C2680" w:rsidRDefault="006C2680" w:rsidP="006C2680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0" w:name="_Toc503173413"/>
      <w:bookmarkStart w:id="1" w:name="_GoBack"/>
      <w:r w:rsidRPr="006C2680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  <w:bookmarkEnd w:id="0"/>
    </w:p>
    <w:p w:rsidR="006C2680" w:rsidRPr="006C2680" w:rsidRDefault="006C2680" w:rsidP="006C2680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2" w:name="_Toc503173414"/>
      <w:r w:rsidRPr="006C2680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Nr. 801, datë 29.12.2017</w:t>
      </w:r>
      <w:bookmarkEnd w:id="2"/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pacing w:val="-4"/>
          <w:sz w:val="14"/>
          <w:lang w:val="sq-AL"/>
        </w:rPr>
      </w:pPr>
    </w:p>
    <w:p w:rsidR="006C2680" w:rsidRPr="006C2680" w:rsidRDefault="006C2680" w:rsidP="006C2680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3" w:name="_Toc503173415"/>
      <w:r w:rsidRPr="006C2680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PËR SHPRONËSIMIN, PËR INTERES PUBLIK, TË PRONARËVE TË PASURIVE TË PALUAJTSHME, PRONË PRIVATE, QË PREKEN NGA PROJEKTI “NDËRTIMI I PIKËS SË KALIMIT KUFITAR TË PËRBASHKËT </w:t>
      </w:r>
    </w:p>
    <w:p w:rsidR="006C2680" w:rsidRPr="006C2680" w:rsidRDefault="006C2680" w:rsidP="006C2680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MORINË – VËRMICË, KUKËS”</w:t>
      </w:r>
      <w:bookmarkEnd w:id="3"/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lang w:val="sq-AL"/>
        </w:rPr>
      </w:pP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 xml:space="preserve">Në mbështetje të nenit 100 të Kushtetutës dhe të neneve 5, pika 1, 20 e 21, të ligjit nr. 8561, datë 22.12.1999, “Për shpronësimet dhe marrjen në përdorim të përkohshëm të pasurisë, pronë private, për interes publik”, të ndryshuar, me propozimin e ministrit të Financave dhe Ekonomisë, Këshilli i Ministrave 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2"/>
          <w:lang w:val="sq-AL"/>
        </w:rPr>
      </w:pPr>
    </w:p>
    <w:p w:rsidR="006C2680" w:rsidRPr="006C2680" w:rsidRDefault="006C2680" w:rsidP="006C2680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VENDOSI: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2"/>
          <w:lang w:val="sq-AL"/>
        </w:rPr>
      </w:pP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 xml:space="preserve">1. Shpronësimin, për interes publik, të pronarëve të pasurive të paluajtshme, pronë private, që preken nga projekti “Ndërtimi i pikës së kalimit kufitar të përbashkët Morinë – Vërmicë, Kukës”. 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 xml:space="preserve">2. Shpronësimi të bëhet në favor të Drejtorisë së Përgjithshme të Doganave. 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3. Pronarët e pasurive të paluajtshme, që shpronësohen, të kompensohen në vlerë të plotë, sipas masës përkatëse që paraqitet në tabelën bashkëlidhur këtij vendimi, për pasuritë e llojit “arë”, me vlerë të përgjithshme shpronësimi prej 41 976 (dyzet e një mijë e nëntëqind e shtatëdhjetë e gjashtë) lekësh, nga të cilat: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a) tokë “arë”, me sipërfaqe 157 (njëqind e pesëdhjetë e shtatë) m</w:t>
      </w:r>
      <w:r w:rsidRPr="006C2680">
        <w:rPr>
          <w:rFonts w:ascii="Garamond" w:eastAsia="MS Mincho" w:hAnsi="Garamond" w:cs="CG Times"/>
          <w:spacing w:val="-4"/>
          <w:sz w:val="24"/>
          <w:vertAlign w:val="superscript"/>
          <w:lang w:val="sq-AL"/>
        </w:rPr>
        <w:t>2</w:t>
      </w:r>
      <w:r w:rsidRPr="006C2680">
        <w:rPr>
          <w:rFonts w:ascii="Garamond" w:eastAsia="MS Mincho" w:hAnsi="Garamond" w:cs="CG Times"/>
          <w:spacing w:val="-4"/>
          <w:sz w:val="24"/>
          <w:lang w:val="sq-AL"/>
        </w:rPr>
        <w:t xml:space="preserve">, me vlerë shpronësimi 20 724 (njëzet mijë e shtatëqind e njëzet e katër) lekë; 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b) tokë “arë”, me sipërfaqe 161 (njëqind e gjashtëdhjetë e një) m</w:t>
      </w:r>
      <w:r w:rsidRPr="006C2680">
        <w:rPr>
          <w:rFonts w:ascii="Garamond" w:eastAsia="MS Mincho" w:hAnsi="Garamond" w:cs="CG Times"/>
          <w:spacing w:val="-4"/>
          <w:sz w:val="24"/>
          <w:vertAlign w:val="superscript"/>
          <w:lang w:val="sq-AL"/>
        </w:rPr>
        <w:t>2</w:t>
      </w:r>
      <w:r w:rsidRPr="006C2680">
        <w:rPr>
          <w:rFonts w:ascii="Garamond" w:eastAsia="MS Mincho" w:hAnsi="Garamond" w:cs="CG Times"/>
          <w:spacing w:val="-4"/>
          <w:sz w:val="24"/>
          <w:lang w:val="sq-AL"/>
        </w:rPr>
        <w:t>, me vlerë shpronësimi 21 252 (njëzet e një mijë e dyqind e pesëdhjetë e dy) lekë.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4. Vlera e përgjithshme e shpronësimit, prej 41 976 (dyzet e një mijë e nëntëqind e shtatëdhjetë e gjashtë) lekësh, të përballohet nga buxheti i Drejtorisë së Përgjithshme të Doganave, si subjekt kërkues i këtij shpronësimi.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 xml:space="preserve">5. Pronarët e pasurive, që shpronësohen sipas listës bashkëlidhur këtij vendimi, për të cilat është bërë shënimi “Konfirmuar nga ZVRPP-ja”, të kompensohen, për efekt shpronësimi, pasi të kenë dorëzuar pranë Drejtorisë së Përgjithshme të Doganave dokumentacionin e plotë të pronësisë, vërtetimin bankar lidhur me numrin e llogarisë dhe IBAN-in, si dhe kopjen e kartës së identitetit, të shoqëruar me një kërkesë. 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6. Zyra Qendrore e Regjistrimit të Pasurive të Paluajtshme dhe Zyra Vendore e Regjistrimit të Pasurive të Paluajtshme Kukës, në bashkëpunim me Drejtorinë e Përgjithshme të Doganave, brenda 30 (tridhjetë) ditëve nga data e miratimit të këtij vendimi, të fillojnë procedurat për hedhjen e gjurmës së projektit në hartën kadastrale, sipas planimetrisë së shpronësimit të miratuar, dhe të bëjnë kalimin e pronësisë për pasuritë e shpronësuara në favor të shtetit.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7. Shpronësimi të fillojë menjëherë pas botimit të këtij vendimi në Fletoren Zyrtare.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8. Zyra Qendrore e Regjistrimit të Pasurive të Paluajtshme dhe Zyra Vendore e Regjistrimit të Pasurive të Paluajtshme Kukës të pezullojnë të gjitha transaksionet me pasuritë e shpronësuara deri në momentin kur do të realizohen procesi i hedhjes së gjurmës së projektit në hartën kadastrale dhe kalimi i pronësisë për pasuritë e shpronësuara.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 xml:space="preserve">9. Ngarkohen Ministria e Financave dhe Ekonomisë, Drejtoria e Përgjithshme e Doganave, Zyra Qendrore e Regjistrimit të Pasurive të Paluajtshme dhe Zyra Vendore e Regjistrimit të Pasurive të Paluajtshme Kukës për zbatimin e këtij vendimi. 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Ky vendim hyn në fuqi menjëherë dhe botohet në Fletoren Zyrtare.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pacing w:val="-4"/>
          <w:sz w:val="12"/>
          <w:lang w:val="sq-AL"/>
        </w:rPr>
      </w:pPr>
    </w:p>
    <w:p w:rsidR="006C2680" w:rsidRPr="006C2680" w:rsidRDefault="006C2680" w:rsidP="006C2680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spacing w:val="-4"/>
          <w:sz w:val="24"/>
          <w:lang w:val="sq-AL"/>
        </w:rPr>
        <w:t>KRYEMINISTRI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6C2680">
        <w:rPr>
          <w:rFonts w:ascii="Garamond" w:eastAsia="MS Mincho" w:hAnsi="Garamond" w:cs="CG Times"/>
          <w:b/>
          <w:spacing w:val="-4"/>
          <w:sz w:val="24"/>
          <w:lang w:val="sq-AL"/>
        </w:rPr>
        <w:t>Edi Rama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  <w:lang w:val="sq-AL"/>
        </w:rPr>
        <w:sectPr w:rsidR="006C2680" w:rsidRPr="006C2680" w:rsidSect="006C2680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13257"/>
          <w:cols w:space="454"/>
          <w:docGrid w:linePitch="360"/>
        </w:sectPr>
      </w:pPr>
    </w:p>
    <w:bookmarkEnd w:id="1"/>
    <w:p w:rsid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  <w:lang w:val="sq-AL"/>
        </w:rPr>
        <w:sectPr w:rsidR="006C2680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  <w:lang w:val="sq-AL"/>
        </w:rPr>
      </w:pPr>
    </w:p>
    <w:p w:rsidR="006C2680" w:rsidRPr="006C2680" w:rsidRDefault="006C2680" w:rsidP="006C2680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21"/>
          <w:szCs w:val="21"/>
          <w:lang w:val="sq-AL"/>
        </w:rPr>
      </w:pPr>
    </w:p>
    <w:p w:rsidR="006C2680" w:rsidRPr="006C2680" w:rsidRDefault="006C2680" w:rsidP="006C2680">
      <w:pPr>
        <w:ind w:firstLine="284"/>
        <w:jc w:val="both"/>
        <w:rPr>
          <w:rFonts w:ascii="Garamond" w:eastAsia="Calibri" w:hAnsi="Garamond" w:cs="Times New Roman"/>
          <w:lang w:val="sq-AL"/>
        </w:rPr>
      </w:pPr>
    </w:p>
    <w:p w:rsidR="006C2680" w:rsidRPr="006C2680" w:rsidRDefault="006C2680" w:rsidP="006C2680">
      <w:pPr>
        <w:ind w:firstLine="284"/>
        <w:jc w:val="both"/>
        <w:rPr>
          <w:rFonts w:ascii="Garamond" w:eastAsia="Calibri" w:hAnsi="Garamond" w:cs="Times New Roman"/>
          <w:lang w:val="sq-AL"/>
        </w:rPr>
      </w:pPr>
    </w:p>
    <w:p w:rsidR="006C2680" w:rsidRPr="006C2680" w:rsidRDefault="006C2680" w:rsidP="006C2680">
      <w:pPr>
        <w:ind w:firstLine="284"/>
        <w:jc w:val="both"/>
        <w:rPr>
          <w:rFonts w:ascii="Garamond" w:eastAsia="Calibri" w:hAnsi="Garamond" w:cs="Times New Roman"/>
          <w:lang w:val="sq-AL"/>
        </w:rPr>
      </w:pPr>
    </w:p>
    <w:p w:rsidR="006C2680" w:rsidRPr="006C2680" w:rsidRDefault="006C2680" w:rsidP="006C2680">
      <w:pPr>
        <w:ind w:firstLine="284"/>
        <w:jc w:val="both"/>
        <w:rPr>
          <w:rFonts w:ascii="Garamond" w:eastAsia="Calibri" w:hAnsi="Garamond" w:cs="Times New Roman"/>
          <w:lang w:val="sq-AL"/>
        </w:rPr>
      </w:pPr>
    </w:p>
    <w:p w:rsidR="006C2680" w:rsidRDefault="006C2680" w:rsidP="006C2680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21"/>
          <w:szCs w:val="21"/>
          <w:lang w:val="sq-AL"/>
        </w:rPr>
      </w:pPr>
    </w:p>
    <w:p w:rsidR="006C2680" w:rsidRPr="006C2680" w:rsidRDefault="006C2680" w:rsidP="006C2680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z w:val="21"/>
          <w:szCs w:val="21"/>
          <w:lang w:val="sq-AL"/>
        </w:rPr>
      </w:pPr>
      <w:r w:rsidRPr="006C2680">
        <w:rPr>
          <w:rFonts w:ascii="Garamond" w:eastAsia="MS Mincho" w:hAnsi="Garamond" w:cs="CG Times"/>
          <w:sz w:val="21"/>
          <w:szCs w:val="21"/>
          <w:lang w:val="sq-AL"/>
        </w:rPr>
        <w:t>LISTA E PRONARËVE PRIVATË QË DO TË SHPRONËSOHEN PËR EFEKT TË NDËRTIMIT TË PIKËS SË KALIMIT TË PËRBASHKËT MORINË – VËRMICË, BASHKIA KUKËS</w:t>
      </w:r>
    </w:p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  <w:lang w:val="sq-AL"/>
        </w:rPr>
      </w:pPr>
    </w:p>
    <w:tbl>
      <w:tblPr>
        <w:tblW w:w="5120" w:type="pct"/>
        <w:jc w:val="center"/>
        <w:tblLook w:val="04A0" w:firstRow="1" w:lastRow="0" w:firstColumn="1" w:lastColumn="0" w:noHBand="0" w:noVBand="1"/>
      </w:tblPr>
      <w:tblGrid>
        <w:gridCol w:w="748"/>
        <w:gridCol w:w="506"/>
        <w:gridCol w:w="1061"/>
        <w:gridCol w:w="1152"/>
        <w:gridCol w:w="919"/>
        <w:gridCol w:w="919"/>
        <w:gridCol w:w="819"/>
        <w:gridCol w:w="904"/>
        <w:gridCol w:w="739"/>
        <w:gridCol w:w="2325"/>
      </w:tblGrid>
      <w:tr w:rsidR="006C2680" w:rsidRPr="006C2680" w:rsidTr="00710EC1">
        <w:trPr>
          <w:trHeight w:val="858"/>
          <w:jc w:val="center"/>
        </w:trPr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Fshati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Pronari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Zona kadastrale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Nr. i pasurisë 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Lloji i pasurisë 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Sip. m²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Çmimi lekë/m² 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Vlera totale, lekë </w:t>
            </w:r>
          </w:p>
        </w:tc>
        <w:tc>
          <w:tcPr>
            <w:tcW w:w="11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Lloji i vërtetimit</w:t>
            </w:r>
          </w:p>
        </w:tc>
      </w:tr>
      <w:tr w:rsidR="006C2680" w:rsidRPr="006C2680" w:rsidTr="00710EC1">
        <w:trPr>
          <w:trHeight w:val="221"/>
          <w:jc w:val="center"/>
        </w:trPr>
        <w:tc>
          <w:tcPr>
            <w:tcW w:w="371" w:type="pct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51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526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55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55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06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48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366" w:type="pct"/>
            <w:tcBorders>
              <w:top w:val="single" w:sz="4" w:space="0" w:color="3F3F3F"/>
              <w:left w:val="nil"/>
              <w:bottom w:val="single" w:sz="4" w:space="0" w:color="3F3F3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 </w:t>
            </w:r>
          </w:p>
        </w:tc>
      </w:tr>
      <w:tr w:rsidR="006C2680" w:rsidRPr="006C2680" w:rsidTr="00710EC1">
        <w:trPr>
          <w:cantSplit/>
          <w:trHeight w:val="718"/>
          <w:jc w:val="center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M</w:t>
            </w:r>
          </w:p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o</w:t>
            </w:r>
          </w:p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r</w:t>
            </w:r>
          </w:p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i</w:t>
            </w:r>
          </w:p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n</w:t>
            </w:r>
          </w:p>
          <w:p w:rsidR="006C2680" w:rsidRPr="006C2680" w:rsidRDefault="006C2680" w:rsidP="006C2680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    ë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Rive Iljaz Duraku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2724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91/16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Arë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157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132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20,724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Konfirmuar nga ZVRPP-ja</w:t>
            </w:r>
          </w:p>
        </w:tc>
      </w:tr>
      <w:tr w:rsidR="006C2680" w:rsidRPr="006C2680" w:rsidTr="00710EC1">
        <w:trPr>
          <w:cantSplit/>
          <w:trHeight w:val="827"/>
          <w:jc w:val="center"/>
        </w:trPr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Rive Iljaz Duraku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2724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83/17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Arë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161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132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21,252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Konfirmuar nga ZVRPP-ja</w:t>
            </w:r>
          </w:p>
        </w:tc>
      </w:tr>
      <w:tr w:rsidR="006C2680" w:rsidRPr="006C2680" w:rsidTr="00710EC1">
        <w:trPr>
          <w:trHeight w:val="412"/>
          <w:jc w:val="center"/>
        </w:trPr>
        <w:tc>
          <w:tcPr>
            <w:tcW w:w="371" w:type="pct"/>
            <w:tcBorders>
              <w:top w:val="single" w:sz="4" w:space="0" w:color="3F3F3F"/>
              <w:left w:val="single" w:sz="8" w:space="0" w:color="auto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251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526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SHUMA</w:t>
            </w:r>
          </w:p>
        </w:tc>
        <w:tc>
          <w:tcPr>
            <w:tcW w:w="571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55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55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06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318</w:t>
            </w:r>
          </w:p>
        </w:tc>
        <w:tc>
          <w:tcPr>
            <w:tcW w:w="448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132</w:t>
            </w:r>
          </w:p>
        </w:tc>
        <w:tc>
          <w:tcPr>
            <w:tcW w:w="366" w:type="pct"/>
            <w:tcBorders>
              <w:top w:val="single" w:sz="4" w:space="0" w:color="3F3F3F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41,976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C2680" w:rsidRPr="006C2680" w:rsidRDefault="006C2680" w:rsidP="006C268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6C2680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 </w:t>
            </w:r>
          </w:p>
        </w:tc>
      </w:tr>
    </w:tbl>
    <w:p w:rsidR="006C2680" w:rsidRPr="006C2680" w:rsidRDefault="006C2680" w:rsidP="006C2680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  <w:lang w:val="sq-AL"/>
        </w:rPr>
      </w:pPr>
    </w:p>
    <w:p w:rsidR="006C2680" w:rsidRPr="006C2680" w:rsidRDefault="006C2680" w:rsidP="006C2680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  <w:sectPr w:rsidR="006C2680" w:rsidRPr="006C2680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B054D" w:rsidRDefault="003B054D"/>
    <w:sectPr w:rsidR="003B0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E066A" w:rsidRPr="00B4283E" w:rsidRDefault="006C268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13260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66A" w:rsidRPr="005B4361" w:rsidRDefault="006C2680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E066A" w:rsidRPr="00833610" w:rsidRDefault="006C268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E066A" w:rsidRDefault="006C268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E066A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E066A" w:rsidRPr="00EB260B" w:rsidRDefault="006C2680" w:rsidP="000D106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5E066A" w:rsidRPr="00EB260B" w:rsidRDefault="006C2680" w:rsidP="000D106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897DDCE" wp14:editId="3524E7A3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E066A" w:rsidRPr="00EB260B" w:rsidRDefault="006C2680" w:rsidP="000D106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239</w:t>
          </w:r>
        </w:p>
      </w:tc>
    </w:tr>
  </w:tbl>
  <w:p w:rsidR="005E066A" w:rsidRPr="00385E2C" w:rsidRDefault="006C2680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66A" w:rsidRDefault="006C26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66A" w:rsidRDefault="006C2680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80"/>
    <w:rsid w:val="003B054D"/>
    <w:rsid w:val="006C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268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2680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C26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C2680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C268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268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2680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C26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C2680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C268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2018-01-08T12:56:00Z</dcterms:created>
  <dcterms:modified xsi:type="dcterms:W3CDTF">2018-01-08T12:57:00Z</dcterms:modified>
</cp:coreProperties>
</file>