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586" w:rsidRPr="0044551D" w:rsidRDefault="00B47586" w:rsidP="00B47586">
      <w:pPr>
        <w:pStyle w:val="NeniTitull"/>
        <w:rPr>
          <w:spacing w:val="-4"/>
          <w:lang w:val="sq-AL"/>
        </w:rPr>
      </w:pPr>
      <w:r w:rsidRPr="0044551D">
        <w:rPr>
          <w:spacing w:val="-4"/>
          <w:lang w:val="sq-AL"/>
        </w:rPr>
        <w:t>VENDIM</w:t>
      </w:r>
    </w:p>
    <w:p w:rsidR="00B47586" w:rsidRPr="0044551D" w:rsidRDefault="00B47586" w:rsidP="00B47586">
      <w:pPr>
        <w:pStyle w:val="NeniTitull"/>
        <w:rPr>
          <w:spacing w:val="-4"/>
          <w:lang w:val="sq-AL"/>
        </w:rPr>
      </w:pPr>
      <w:r w:rsidRPr="0044551D">
        <w:rPr>
          <w:spacing w:val="-4"/>
          <w:lang w:val="sq-AL"/>
        </w:rPr>
        <w:t>Nr. 22, datë 12.1.2018</w:t>
      </w:r>
    </w:p>
    <w:p w:rsidR="00B47586" w:rsidRPr="0044551D" w:rsidRDefault="00B47586" w:rsidP="00B47586">
      <w:pPr>
        <w:pStyle w:val="Paragrafi"/>
        <w:rPr>
          <w:b/>
          <w:spacing w:val="-4"/>
          <w:sz w:val="14"/>
          <w:lang w:val="sq-AL"/>
        </w:rPr>
      </w:pPr>
    </w:p>
    <w:p w:rsidR="00B47586" w:rsidRPr="0044551D" w:rsidRDefault="004F411D" w:rsidP="00B47586">
      <w:pPr>
        <w:pStyle w:val="NeniTitull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>PËR MIRATIMIN E KRITEREVE E TË PROCEDURAVE PËR CERTIFIKIMIN E VEPRIMTARISË SË AGROTURIZMIT DHE NDËRTIMIN E STRUKTURAVE/OBJEKTEVE NË FUNKSION TË TIJ</w:t>
      </w:r>
      <w:r w:rsidRPr="0044551D">
        <w:rPr>
          <w:rStyle w:val="FootnoteReference"/>
          <w:i/>
          <w:spacing w:val="-4"/>
          <w:vertAlign w:val="baseline"/>
          <w:lang w:val="sq-AL"/>
        </w:rPr>
        <w:t xml:space="preserve"> </w:t>
      </w:r>
      <w:r w:rsidRPr="0044551D">
        <w:rPr>
          <w:rStyle w:val="FootnoteReference"/>
          <w:i/>
          <w:spacing w:val="-4"/>
          <w:lang w:val="sq-AL"/>
        </w:rPr>
        <w:footnoteReference w:id="1"/>
      </w:r>
    </w:p>
    <w:p w:rsidR="004F411D" w:rsidRPr="0044551D" w:rsidRDefault="004F411D" w:rsidP="004F411D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4551D">
        <w:rPr>
          <w:rFonts w:ascii="Garamond" w:hAnsi="Garamond"/>
          <w:i/>
          <w:sz w:val="24"/>
          <w:szCs w:val="24"/>
          <w:lang w:val="sq-AL"/>
        </w:rPr>
        <w:t>(Ndryshuar me VKM nr.</w:t>
      </w:r>
      <w:r w:rsidR="0044551D" w:rsidRPr="0044551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44551D">
        <w:rPr>
          <w:rFonts w:ascii="Garamond" w:hAnsi="Garamond"/>
          <w:i/>
          <w:sz w:val="24"/>
          <w:szCs w:val="24"/>
          <w:lang w:val="sq-AL"/>
        </w:rPr>
        <w:t>583, datë 3.10.2018)</w:t>
      </w:r>
    </w:p>
    <w:p w:rsidR="004F411D" w:rsidRPr="0044551D" w:rsidRDefault="004F411D" w:rsidP="004F411D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4551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B47586" w:rsidRPr="0044551D" w:rsidRDefault="00B47586" w:rsidP="00B47586">
      <w:pPr>
        <w:pStyle w:val="Paragrafi"/>
        <w:rPr>
          <w:spacing w:val="-4"/>
          <w:sz w:val="14"/>
          <w:lang w:val="sq-AL"/>
        </w:rPr>
      </w:pP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Në mbështetje të nenit 100 të Kushtetutës dhe të pikës 2, të nenit 4, të ligjit nr. 93/2015, “Për turizmin”, me propozimin e ministrit të Turizmit dhe Mjedisit dhe ministrit të Bujqësisë dhe Zhvillimit Rural, Këshilli i Ministrave</w:t>
      </w:r>
    </w:p>
    <w:p w:rsidR="00B47586" w:rsidRPr="0044551D" w:rsidRDefault="00B47586" w:rsidP="00B47586">
      <w:pPr>
        <w:pStyle w:val="Paragrafi"/>
        <w:rPr>
          <w:spacing w:val="-4"/>
          <w:sz w:val="14"/>
          <w:lang w:val="sq-AL"/>
        </w:rPr>
      </w:pPr>
    </w:p>
    <w:p w:rsidR="00B47586" w:rsidRPr="0044551D" w:rsidRDefault="00B47586" w:rsidP="00B47586">
      <w:pPr>
        <w:pStyle w:val="NeniNr"/>
        <w:rPr>
          <w:spacing w:val="-4"/>
          <w:lang w:val="sq-AL"/>
        </w:rPr>
      </w:pPr>
      <w:r w:rsidRPr="0044551D">
        <w:rPr>
          <w:spacing w:val="-4"/>
          <w:lang w:val="sq-AL"/>
        </w:rPr>
        <w:t>VENDOSI:</w:t>
      </w:r>
    </w:p>
    <w:p w:rsidR="00B47586" w:rsidRPr="0044551D" w:rsidRDefault="00B47586" w:rsidP="00B47586">
      <w:pPr>
        <w:pStyle w:val="Paragrafi"/>
        <w:rPr>
          <w:spacing w:val="-4"/>
          <w:sz w:val="14"/>
          <w:lang w:val="sq-AL"/>
        </w:rPr>
      </w:pP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I. PARIME TË PËRGJITHSHME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1. Agroturizëm është veprimtaria pritëse, që zhvillohet në një fermë ose njësi tjetër agrikulturore, me qëllimin për të tërhequr vizitorë, shpeshherë duke u mundësuar atyre pjesëmarrjen në veprimtaritë bujqësore ose veprimtari të tjera ndihmëse, që zhvillohen në atë mjedis bujqësor.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2. Agroturizmi mbështet zhvillimin e turizmit të qëndrueshëm të zonave rurale nëpërmjet mbrojtjes së mjedisit, ruajtjes së traditave dhe promovimit të produkteve tipike të zonës.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3. Çdo subjekt që kërkon të ofrojë veprimtari pritëse të certifikuar, si “agroturizëm”, duhet të plotësojë kriteret e përcaktuara në këtë vendim. Vetëm subjektet e certifikuara sipas këtij vendimi kanë të drejtë të përdorin në emrin e tyre tregtar ose në ambientet e tyre emërtimin “agroturizëm”. </w:t>
      </w:r>
    </w:p>
    <w:p w:rsidR="004F411D" w:rsidRPr="0044551D" w:rsidRDefault="004F411D" w:rsidP="00B47586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 xml:space="preserve">II. KRITERET DHE PROCEDURAT PËR CERTIFIKIMIN E VEPRIMTARISË PRITËSE SI “AGROTURIZËM” DHE NDËRTIMIN E STRUKTURAVE/OBJEKTEVE NË FUNKSION TË AGROTURIZMIT 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4. Agroturizmi, si veprimtari, mund të zhvillohet në ferma që plotësojnë këto kritere: 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- Ferma bujqësore duhet të ketë, të paktën, 1 ha tokë të mbjellë me kultura bujqësore ose, minimalisht, 0,5 hektarë serra;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- Ferma blegtorale duhet të mbarështojë, minimalisht, 10 krerë gjedh ose 100 krerë dele/dhi apo 200 krerë shpendë. Te fermat blegtorale klasifikohen edhe stanet;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- Ferma peshkimi/akuakulture.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5. Agroturizmi mund të zhvillohet edhe në njësi agrikulturore, që kanë si aktivitet përpunimin e produkteve bujqësore, blegtorale, të peshkimit e akuakulturës (si, p.sh., pika përpunimi të vajit të ullirit, kantina të përpunimit të rrushit/frutave, pika përpunimi të bulmetit/baxho, peshkut, ferma akuakulture etj.), të cilat janë të përshtatshme për zhvillimin e veprimtarive të agroturizmit.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6. Subjektet, që zhvillojnë veprimtari pritëse të klasifikuar si “agroturizëm”, duhet të ofrojnë, minimalisht, njërin nga shërbimet e mëposhtme: 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a) Akomodim;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b) Ushqim dhe pije;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c) Veprimtari argëtuese/çlodhëse, të lidhura me fermën ose mjedisin përreth.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7. Subjektet agroturistike, që ofrojnë akomodim, duhet të kenë një kapacitet nga 6 deri 30, por jo më shumë, dhoma pritëse. 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8. Strukturat, në të cilat ofrohet shërbimi i akomodimit, sipas klasifikimit të ligjit për turizmin në fuqi, </w:t>
      </w:r>
      <w:r w:rsidRPr="0044551D">
        <w:rPr>
          <w:spacing w:val="-4"/>
          <w:lang w:val="sq-AL"/>
        </w:rPr>
        <w:lastRenderedPageBreak/>
        <w:t>duhet të respektojnë kriteret urbanistike dhe kriteret e tjera në fuqi për ndërtimin, të përcaktuara në planet e përgjithshme vendore. Atje ku është e mundur, godinat duhet të respektojnë traditat lokale të ndërtimit.</w:t>
      </w:r>
    </w:p>
    <w:p w:rsidR="004F411D" w:rsidRPr="0044551D" w:rsidRDefault="004455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 xml:space="preserve">8/1. </w:t>
      </w:r>
      <w:r w:rsidR="004F411D" w:rsidRPr="0044551D">
        <w:rPr>
          <w:i/>
          <w:spacing w:val="-4"/>
          <w:lang w:val="sq-AL"/>
        </w:rPr>
        <w:t xml:space="preserve">Kriteret e përcaktuara në këtë vendim shërbejnë dhe janë të detyrueshme për zbatim nga ana e autoriteteve përgjegjëse të planifikimit dhe zhvillimit të territorit për hartimin e dokumenteve të planifikimit në të gjitha nivelet. </w:t>
      </w:r>
    </w:p>
    <w:p w:rsidR="004F411D" w:rsidRPr="0044551D" w:rsidRDefault="004F41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>8/2. Leja e ndërtimit lëshohet nga njësia e vetëqeverisjes vendore, në përputhje me dokumentin e planifikimit vendor.</w:t>
      </w:r>
    </w:p>
    <w:p w:rsidR="004F411D" w:rsidRPr="0044551D" w:rsidRDefault="004F41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>8/3. Në kushtet e mungesës së planit të përgjithshëm vendor:</w:t>
      </w:r>
    </w:p>
    <w:p w:rsidR="004F411D" w:rsidRPr="0044551D" w:rsidRDefault="004F41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 xml:space="preserve">a) Kriteret e përcaktuara në këtë vendim janë kushtet minimale për pajisjen me leje; </w:t>
      </w:r>
    </w:p>
    <w:p w:rsidR="004F411D" w:rsidRPr="0044551D" w:rsidRDefault="004F41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 xml:space="preserve">b) Leja e ndërtimit lëshohet nga bashkia, pas kontrollit të përputhshmërisë të projektpropozimit nga Agjencia e Zhvillimit të Territorit (AZHT), e cila, në bashkërendim me ministrinë përgjegjëse për turizmin verifikon përputhshmërinë me dokumentet e planifikimit të territorit në fuqi; </w:t>
      </w:r>
    </w:p>
    <w:p w:rsidR="004F411D" w:rsidRPr="0044551D" w:rsidRDefault="004F41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 xml:space="preserve">c) AZHT-ja njofton bashkinë përkatëse dhe aplikantin për kontrollin e përputhshmërisë dhe vazhdimin e mëtejshëm të procedurave; </w:t>
      </w:r>
    </w:p>
    <w:p w:rsidR="004F411D" w:rsidRPr="0044551D" w:rsidRDefault="004F41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>ç)  Bashkia kryen verifikimin në terren, në bazë të dispozitave ligjore në fuqi për planifikimin e territorit, përfshirë edhe kriteret e përcaktuara në këtë vendim dhe njofton AZHT-në;</w:t>
      </w:r>
    </w:p>
    <w:p w:rsidR="004F411D" w:rsidRPr="0044551D" w:rsidRDefault="004455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 xml:space="preserve">d)  </w:t>
      </w:r>
      <w:r w:rsidR="004F411D" w:rsidRPr="0044551D">
        <w:rPr>
          <w:i/>
          <w:spacing w:val="-4"/>
          <w:lang w:val="sq-AL"/>
        </w:rPr>
        <w:t xml:space="preserve">Në rast se, si pasojë e verifikimeve në terren, rezulton se propozimi është në përputhje me kriteret e përcaktuara sipas këtij vendimi dhe dokumentet e planifikimit të territorit në fuqi, kryetari i bashkisë merr vendim për miratimin e lejes së ndërtimit. Në rastet kur është i nevojshëm ndryshimi i kategorisë së resursit të tokës ku ndërtohet struktura e agroturizmit, në kategorinë e resursit “truall”, bashkia i propozon ministrisë përgjegjëse të vijojë procedurat për ndryshimin e kategorisë së resursit të sipërfaqes së tokës, objekt i lejes së ndërtimit. Ministra përgjegjëse, më pas, harton projektvendimin, të cilin e paraqet për miratim në Këshillin e Ministrave; </w:t>
      </w:r>
    </w:p>
    <w:p w:rsidR="004F411D" w:rsidRPr="0044551D" w:rsidRDefault="004F411D" w:rsidP="004F411D">
      <w:pPr>
        <w:pStyle w:val="Paragrafi"/>
        <w:rPr>
          <w:i/>
          <w:spacing w:val="-4"/>
          <w:lang w:val="sq-AL"/>
        </w:rPr>
      </w:pPr>
      <w:r w:rsidRPr="0044551D">
        <w:rPr>
          <w:i/>
          <w:spacing w:val="-4"/>
          <w:lang w:val="sq-AL"/>
        </w:rPr>
        <w:t xml:space="preserve">dh) </w:t>
      </w:r>
      <w:r w:rsidRPr="0044551D">
        <w:rPr>
          <w:i/>
          <w:spacing w:val="-4"/>
          <w:lang w:val="sq-AL"/>
        </w:rPr>
        <w:tab/>
        <w:t>Pas miratimit të kalimit të tokës në sipërfaqe ndërtimore, bashkia i dorëzon aplikuesit dokumentin e lejes dhe e boton atë në regjistrin e integruar të planifikimit të territorit.</w:t>
      </w:r>
    </w:p>
    <w:p w:rsidR="00B47586" w:rsidRPr="0044551D" w:rsidRDefault="0044551D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9. </w:t>
      </w:r>
      <w:r w:rsidR="00B47586" w:rsidRPr="0044551D">
        <w:rPr>
          <w:spacing w:val="-4"/>
          <w:lang w:val="sq-AL"/>
        </w:rPr>
        <w:t xml:space="preserve">Akomodimi mund të ofrohet edhe në formën e fushimit, me ambiente për vendosjen e çadrave apo të makinave të fushimit. Në këto raste, subjekti agroturistik garanton kushtet minimale higjieno-sanitare (si, p.sh., tualet, ujë të pijshëm, pikë grumbullimi të mbeturinave, lidhje me energjinë elektrike) për një kapacitet maksimal prej 15 makinash fushimi. </w:t>
      </w:r>
    </w:p>
    <w:p w:rsidR="00B47586" w:rsidRPr="0044551D" w:rsidRDefault="0044551D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10. </w:t>
      </w:r>
      <w:r w:rsidR="00B47586" w:rsidRPr="0044551D">
        <w:rPr>
          <w:spacing w:val="-4"/>
          <w:lang w:val="sq-AL"/>
        </w:rPr>
        <w:t>Ofrimi i ushqimit dhe i pijeve bëhet në ambiente të përshtatshme dhe që plotësojnë normat në fuqi për ushqimin dhe kushtet higjieno-sanitare. Struktura pritëse, ku ofrohet ushqim dhe pije, duhet të ketë, minimalisht, 6 deri në 60, por jo më shumë, tavolina.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11. Ushqimi dhe pijet e ofruara në subjektet agroturistike duhet të jenë me origjinë nga ferma (të prodhuara ose të përpunuara në fermë/njësinë agrikulturore), minimalisht në 30% të sasisë së tyre. Nga 30% deri në 70% të produkteve ushqimore/pijeve lejohet të jenë me origjinë lokale, të prodhuara apo të përpunuara nga prodhues lokalë, që kryejnë aktivitet në bashkinë ku ka selinë agroturizmi.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12. Subjektet agroturistike ofrojnë/mundësojnë për vizitorët e turistët veprimtari argëtuese/çlodhëse, që lidhen me fermën (si, p.sh., por pa u kufizuar në mbjellje/vjelje të produkteve bujqësore, aktivitete të lidhura me kafshët, peshkim artizanal, degustim të produkteve etj.) ose jashtë fermës (si, p.sh., por pa u kufizuar në hipizëm, alpinizëm, ecje në natyrë etj.) </w:t>
      </w:r>
    </w:p>
    <w:p w:rsidR="00B47586" w:rsidRPr="0044551D" w:rsidRDefault="00B47586" w:rsidP="00A90587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III. ORGANET CERTIFIKUESE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13. </w:t>
      </w:r>
      <w:r w:rsidR="0044551D" w:rsidRPr="0044551D">
        <w:rPr>
          <w:spacing w:val="-4"/>
          <w:lang w:val="sq-AL"/>
        </w:rPr>
        <w:t xml:space="preserve"> </w:t>
      </w:r>
      <w:r w:rsidRPr="0044551D">
        <w:rPr>
          <w:spacing w:val="-4"/>
          <w:lang w:val="sq-AL"/>
        </w:rPr>
        <w:t>Për certifikimin e subjekteve dhe dhënien e certifikatës “Subjekt i certifikuar agroturizmi”, pranë ministrisë përgjegjëse për turizmin ngrihet një komision vlerësues, i përbërë nga 5 anëtarë, 3 prej të cilëve janë përfaqësues të caktuar nga ministri përgjegjës për turizmin dhe 2 nga ministri përgjegjës për bujqësinë dhe zhvillimin rural.</w:t>
      </w:r>
    </w:p>
    <w:p w:rsidR="00B47586" w:rsidRPr="0044551D" w:rsidRDefault="0044551D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14. </w:t>
      </w:r>
      <w:r w:rsidR="00B47586" w:rsidRPr="0044551D">
        <w:rPr>
          <w:spacing w:val="-4"/>
          <w:lang w:val="sq-AL"/>
        </w:rPr>
        <w:t>Brenda 3 (tre) muajve nga hyrja në fuqi e këtij vendimi, ministri përgjegjës për turizmin dhe ministri përgjegjës për bujqësinë dhe zhvillimin rural përcaktojnë, me urdhër të përbashkët, rregulloren e funksionimit të komisionit, si dhe procedurat e aplikimit e të vlerësimit.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15. Subjektet, që aplikojnë për marrjen e certifikatës “Subjekt i certifikuar agroturizmi”, paguajnë një tarifë prej 500 (pesëqind) lekësh në llogarinë e ministrisë përgjegjëse për turizmin.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lastRenderedPageBreak/>
        <w:t>16. Bazuar në vendimmarrjen e komisionit, ministri përgjegjës për turizmin lëshon certifikatën “Subjekt i certifikuar agroturizmi”. Certifikata lëshohet për një periudhë 5-vjeçare.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17.</w:t>
      </w:r>
      <w:r w:rsidR="0044551D" w:rsidRPr="0044551D">
        <w:rPr>
          <w:spacing w:val="-4"/>
          <w:lang w:val="sq-AL"/>
        </w:rPr>
        <w:t xml:space="preserve"> </w:t>
      </w:r>
      <w:r w:rsidRPr="0044551D">
        <w:rPr>
          <w:spacing w:val="-4"/>
          <w:lang w:val="sq-AL"/>
        </w:rPr>
        <w:t xml:space="preserve"> Modeli i certifikatës miratohet me urdhër të përbashkët të ministrit përgjegjës për turizmin dhe ministrit përgjegjës për bujqësinë dhe zhvillimin rural.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18.</w:t>
      </w:r>
      <w:r w:rsidR="0044551D" w:rsidRPr="0044551D">
        <w:rPr>
          <w:spacing w:val="-4"/>
          <w:lang w:val="sq-AL"/>
        </w:rPr>
        <w:t xml:space="preserve"> </w:t>
      </w:r>
      <w:r w:rsidRPr="0044551D">
        <w:rPr>
          <w:spacing w:val="-4"/>
          <w:lang w:val="sq-AL"/>
        </w:rPr>
        <w:t xml:space="preserve"> Në rast konstatimi të shkeljes së kritereve të këtij vendimi nga organet përkatëse të bashkive, inspektoratit të turizmit ose organeve kompetente të inspektimit të ushqimit dhe kushteve higjieno-sanitare, komisioni, bazuar në kërkesën e organeve konstatuese të shkeljes, mund të marrë vendim për pezullimin dhe/ose revokimin e certifikatës “Subjekt i certifikuar agroturizmi”.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19. Subjektit të cilit i pezullohet/revokohet certifikata, nuk mund ta përdorë atë në ambientet e tij ose në emërtimin tregtar. Subjekti mund të aplikojë sërish për marrjen e certifikatës në rast se plotëson kriteret e përcaktuara nga ky vendim.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IV. DISPOZITA PËRFUNDIMTARE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20. Ministria përgjegjëse për turizmin mban regjistrin e subjekteve të certifikuara si “Subjekt i certifikuar agroturizmi” dhe e përditëson atë në mënyrë periodike.</w:t>
      </w:r>
    </w:p>
    <w:p w:rsidR="00B47586" w:rsidRPr="0044551D" w:rsidRDefault="0044551D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 xml:space="preserve">21. </w:t>
      </w:r>
      <w:r w:rsidR="00B47586" w:rsidRPr="0044551D">
        <w:rPr>
          <w:spacing w:val="-4"/>
          <w:lang w:val="sq-AL"/>
        </w:rPr>
        <w:t>Subjektet që, aktualisht, përdorin në emërtimin tregtar dhe ambientet e tyre emërtimin “agroturizëm”, detyrohen që brenda 6 (gjashtë) muajve nga hyrja në fuqi e këtij vendimi, të aplikojnë për marrjen e certifikatës “Subjekt i certifikuar agroturizmi”.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22.</w:t>
      </w:r>
      <w:r w:rsidR="0044551D" w:rsidRPr="0044551D">
        <w:rPr>
          <w:spacing w:val="-4"/>
          <w:lang w:val="sq-AL"/>
        </w:rPr>
        <w:t xml:space="preserve"> </w:t>
      </w:r>
      <w:r w:rsidRPr="0044551D">
        <w:rPr>
          <w:spacing w:val="-4"/>
          <w:lang w:val="sq-AL"/>
        </w:rPr>
        <w:t xml:space="preserve"> Ngarkohen Ministria e Turizmit dhe Mjedisit dhe Ministria e Bujqësisë dhe Zhvillimit Rural për zbatimin e këtij vendimi.</w:t>
      </w:r>
    </w:p>
    <w:p w:rsidR="00B47586" w:rsidRPr="0044551D" w:rsidRDefault="00B47586" w:rsidP="00B47586">
      <w:pPr>
        <w:pStyle w:val="Paragrafi"/>
        <w:rPr>
          <w:spacing w:val="-4"/>
          <w:lang w:val="sq-AL"/>
        </w:rPr>
      </w:pPr>
      <w:r w:rsidRPr="0044551D">
        <w:rPr>
          <w:spacing w:val="-4"/>
          <w:lang w:val="sq-AL"/>
        </w:rPr>
        <w:t>Ky vendim hyn në fuqi pas botimin në Fletoren Zyrtare.</w:t>
      </w:r>
    </w:p>
    <w:p w:rsidR="00B47586" w:rsidRPr="0044551D" w:rsidRDefault="00B47586" w:rsidP="00B47586">
      <w:pPr>
        <w:pStyle w:val="Paragrafi"/>
        <w:rPr>
          <w:spacing w:val="-4"/>
          <w:sz w:val="14"/>
          <w:lang w:val="sq-AL"/>
        </w:rPr>
      </w:pPr>
    </w:p>
    <w:p w:rsidR="00B47586" w:rsidRPr="0044551D" w:rsidRDefault="00B47586" w:rsidP="00B47586">
      <w:pPr>
        <w:pStyle w:val="Paragrafi"/>
        <w:jc w:val="right"/>
        <w:rPr>
          <w:spacing w:val="-4"/>
          <w:lang w:val="sq-AL"/>
        </w:rPr>
      </w:pPr>
      <w:r w:rsidRPr="0044551D">
        <w:rPr>
          <w:spacing w:val="-4"/>
          <w:lang w:val="sq-AL"/>
        </w:rPr>
        <w:t>KRYEMINISTRI</w:t>
      </w:r>
    </w:p>
    <w:p w:rsidR="00B47586" w:rsidRPr="0044551D" w:rsidRDefault="00B47586" w:rsidP="00B47586">
      <w:pPr>
        <w:pStyle w:val="Paragrafi"/>
        <w:jc w:val="right"/>
        <w:rPr>
          <w:b/>
          <w:spacing w:val="-4"/>
          <w:lang w:val="sq-AL"/>
        </w:rPr>
      </w:pPr>
      <w:r w:rsidRPr="0044551D">
        <w:rPr>
          <w:b/>
          <w:spacing w:val="-4"/>
          <w:lang w:val="sq-AL"/>
        </w:rPr>
        <w:t>Edi Rama</w:t>
      </w:r>
    </w:p>
    <w:p w:rsidR="006D37A1" w:rsidRPr="0044551D" w:rsidRDefault="006D37A1"/>
    <w:sectPr w:rsidR="006D37A1" w:rsidRPr="00445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11D" w:rsidRDefault="004F411D" w:rsidP="004F411D">
      <w:pPr>
        <w:spacing w:after="0" w:line="240" w:lineRule="auto"/>
      </w:pPr>
      <w:r>
        <w:separator/>
      </w:r>
    </w:p>
  </w:endnote>
  <w:endnote w:type="continuationSeparator" w:id="0">
    <w:p w:rsidR="004F411D" w:rsidRDefault="004F411D" w:rsidP="004F4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11D" w:rsidRDefault="004F411D" w:rsidP="004F411D">
      <w:pPr>
        <w:spacing w:after="0" w:line="240" w:lineRule="auto"/>
      </w:pPr>
      <w:r>
        <w:separator/>
      </w:r>
    </w:p>
  </w:footnote>
  <w:footnote w:type="continuationSeparator" w:id="0">
    <w:p w:rsidR="004F411D" w:rsidRDefault="004F411D" w:rsidP="004F411D">
      <w:pPr>
        <w:spacing w:after="0" w:line="240" w:lineRule="auto"/>
      </w:pPr>
      <w:r>
        <w:continuationSeparator/>
      </w:r>
    </w:p>
  </w:footnote>
  <w:footnote w:id="1">
    <w:p w:rsidR="004F411D" w:rsidRDefault="004F411D">
      <w:pPr>
        <w:pStyle w:val="FootnoteText"/>
        <w:rPr>
          <w:rFonts w:ascii="Garamond" w:hAnsi="Garamond"/>
          <w:sz w:val="22"/>
          <w:szCs w:val="22"/>
        </w:rPr>
      </w:pPr>
      <w:r w:rsidRPr="004F411D">
        <w:rPr>
          <w:rStyle w:val="FootnoteReference"/>
          <w:rFonts w:ascii="Garamond" w:hAnsi="Garamond"/>
          <w:sz w:val="22"/>
          <w:szCs w:val="22"/>
        </w:rPr>
        <w:footnoteRef/>
      </w:r>
      <w:r w:rsidRPr="004F411D">
        <w:rPr>
          <w:rFonts w:ascii="Garamond" w:hAnsi="Garamond"/>
          <w:sz w:val="22"/>
          <w:szCs w:val="22"/>
        </w:rPr>
        <w:t xml:space="preserve"> </w:t>
      </w:r>
      <w:proofErr w:type="gramStart"/>
      <w:r w:rsidRPr="004F411D">
        <w:rPr>
          <w:rFonts w:ascii="Garamond" w:hAnsi="Garamond"/>
          <w:sz w:val="22"/>
          <w:szCs w:val="22"/>
        </w:rPr>
        <w:t>VKM nr.</w:t>
      </w:r>
      <w:proofErr w:type="gramEnd"/>
      <w:r w:rsidRPr="004F411D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 </w:t>
      </w:r>
      <w:proofErr w:type="gramStart"/>
      <w:r w:rsidRPr="004F411D">
        <w:rPr>
          <w:rFonts w:ascii="Garamond" w:hAnsi="Garamond"/>
          <w:sz w:val="22"/>
          <w:szCs w:val="22"/>
        </w:rPr>
        <w:t xml:space="preserve">22, </w:t>
      </w:r>
      <w:proofErr w:type="spellStart"/>
      <w:r w:rsidRPr="004F411D">
        <w:rPr>
          <w:rFonts w:ascii="Garamond" w:hAnsi="Garamond"/>
          <w:sz w:val="22"/>
          <w:szCs w:val="22"/>
        </w:rPr>
        <w:t>datë</w:t>
      </w:r>
      <w:proofErr w:type="spellEnd"/>
      <w:r w:rsidRPr="004F411D">
        <w:rPr>
          <w:rFonts w:ascii="Garamond" w:hAnsi="Garamond"/>
          <w:sz w:val="22"/>
          <w:szCs w:val="22"/>
        </w:rPr>
        <w:t xml:space="preserve"> 12.1.2018 </w:t>
      </w:r>
      <w:proofErr w:type="spellStart"/>
      <w:r>
        <w:rPr>
          <w:rFonts w:ascii="Garamond" w:hAnsi="Garamond"/>
          <w:sz w:val="22"/>
          <w:szCs w:val="22"/>
        </w:rPr>
        <w:t>ë</w:t>
      </w:r>
      <w:r w:rsidRPr="004F411D">
        <w:rPr>
          <w:rFonts w:ascii="Garamond" w:hAnsi="Garamond"/>
          <w:sz w:val="22"/>
          <w:szCs w:val="22"/>
        </w:rPr>
        <w:t>sht</w:t>
      </w:r>
      <w:r>
        <w:rPr>
          <w:rFonts w:ascii="Garamond" w:hAnsi="Garamond"/>
          <w:sz w:val="22"/>
          <w:szCs w:val="22"/>
        </w:rPr>
        <w:t>ë</w:t>
      </w:r>
      <w:proofErr w:type="spellEnd"/>
      <w:r w:rsidRPr="004F411D">
        <w:rPr>
          <w:rFonts w:ascii="Garamond" w:hAnsi="Garamond"/>
          <w:sz w:val="22"/>
          <w:szCs w:val="22"/>
        </w:rPr>
        <w:t xml:space="preserve"> </w:t>
      </w:r>
      <w:proofErr w:type="spellStart"/>
      <w:r w:rsidRPr="004F411D">
        <w:rPr>
          <w:rFonts w:ascii="Garamond" w:hAnsi="Garamond"/>
          <w:sz w:val="22"/>
          <w:szCs w:val="22"/>
        </w:rPr>
        <w:t>botuar</w:t>
      </w:r>
      <w:proofErr w:type="spellEnd"/>
      <w:r w:rsidRPr="004F411D">
        <w:rPr>
          <w:rFonts w:ascii="Garamond" w:hAnsi="Garamond"/>
          <w:sz w:val="22"/>
          <w:szCs w:val="22"/>
        </w:rPr>
        <w:t xml:space="preserve"> </w:t>
      </w:r>
      <w:proofErr w:type="spellStart"/>
      <w:r w:rsidRPr="004F411D">
        <w:rPr>
          <w:rFonts w:ascii="Garamond" w:hAnsi="Garamond"/>
          <w:sz w:val="22"/>
          <w:szCs w:val="22"/>
        </w:rPr>
        <w:t>n</w:t>
      </w:r>
      <w:r>
        <w:rPr>
          <w:rFonts w:ascii="Garamond" w:hAnsi="Garamond"/>
          <w:sz w:val="22"/>
          <w:szCs w:val="22"/>
        </w:rPr>
        <w:t>ë</w:t>
      </w:r>
      <w:proofErr w:type="spellEnd"/>
      <w:r w:rsidRPr="004F411D">
        <w:rPr>
          <w:rFonts w:ascii="Garamond" w:hAnsi="Garamond"/>
          <w:sz w:val="22"/>
          <w:szCs w:val="22"/>
        </w:rPr>
        <w:t xml:space="preserve"> </w:t>
      </w:r>
      <w:proofErr w:type="spellStart"/>
      <w:r w:rsidRPr="004F411D">
        <w:rPr>
          <w:rFonts w:ascii="Garamond" w:hAnsi="Garamond"/>
          <w:sz w:val="22"/>
          <w:szCs w:val="22"/>
        </w:rPr>
        <w:t>Fletoren</w:t>
      </w:r>
      <w:proofErr w:type="spellEnd"/>
      <w:r w:rsidRPr="004F411D">
        <w:rPr>
          <w:rFonts w:ascii="Garamond" w:hAnsi="Garamond"/>
          <w:sz w:val="22"/>
          <w:szCs w:val="22"/>
        </w:rPr>
        <w:t xml:space="preserve"> </w:t>
      </w:r>
      <w:proofErr w:type="spellStart"/>
      <w:r w:rsidRPr="004F411D">
        <w:rPr>
          <w:rFonts w:ascii="Garamond" w:hAnsi="Garamond"/>
          <w:sz w:val="22"/>
          <w:szCs w:val="22"/>
        </w:rPr>
        <w:t>Zyrtare</w:t>
      </w:r>
      <w:proofErr w:type="spellEnd"/>
      <w:r w:rsidRPr="004F411D">
        <w:rPr>
          <w:rFonts w:ascii="Garamond" w:hAnsi="Garamond"/>
          <w:sz w:val="22"/>
          <w:szCs w:val="22"/>
        </w:rPr>
        <w:t xml:space="preserve"> nr.</w:t>
      </w:r>
      <w:proofErr w:type="gramEnd"/>
      <w:r w:rsidR="0044551D">
        <w:rPr>
          <w:rFonts w:ascii="Garamond" w:hAnsi="Garamond"/>
          <w:sz w:val="22"/>
          <w:szCs w:val="22"/>
        </w:rPr>
        <w:t xml:space="preserve"> </w:t>
      </w:r>
      <w:proofErr w:type="gramStart"/>
      <w:r w:rsidRPr="004F411D">
        <w:rPr>
          <w:rFonts w:ascii="Garamond" w:hAnsi="Garamond"/>
          <w:sz w:val="22"/>
          <w:szCs w:val="22"/>
        </w:rPr>
        <w:t xml:space="preserve">3, </w:t>
      </w:r>
      <w:proofErr w:type="spellStart"/>
      <w:r w:rsidRPr="004F411D">
        <w:rPr>
          <w:rFonts w:ascii="Garamond" w:hAnsi="Garamond"/>
          <w:sz w:val="22"/>
          <w:szCs w:val="22"/>
        </w:rPr>
        <w:t>dat</w:t>
      </w:r>
      <w:r>
        <w:rPr>
          <w:rFonts w:ascii="Garamond" w:hAnsi="Garamond"/>
          <w:sz w:val="22"/>
          <w:szCs w:val="22"/>
        </w:rPr>
        <w:t>ë</w:t>
      </w:r>
      <w:proofErr w:type="spellEnd"/>
      <w:r w:rsidRPr="004F411D">
        <w:rPr>
          <w:rFonts w:ascii="Garamond" w:hAnsi="Garamond"/>
          <w:sz w:val="22"/>
          <w:szCs w:val="22"/>
        </w:rPr>
        <w:t xml:space="preserve"> 18 </w:t>
      </w:r>
      <w:proofErr w:type="spellStart"/>
      <w:r w:rsidRPr="004F411D">
        <w:rPr>
          <w:rFonts w:ascii="Garamond" w:hAnsi="Garamond"/>
          <w:sz w:val="22"/>
          <w:szCs w:val="22"/>
        </w:rPr>
        <w:t>janar</w:t>
      </w:r>
      <w:proofErr w:type="spellEnd"/>
      <w:r w:rsidRPr="004F411D">
        <w:rPr>
          <w:rFonts w:ascii="Garamond" w:hAnsi="Garamond"/>
          <w:sz w:val="22"/>
          <w:szCs w:val="22"/>
        </w:rPr>
        <w:t xml:space="preserve"> 2018.</w:t>
      </w:r>
      <w:proofErr w:type="gramEnd"/>
    </w:p>
    <w:p w:rsidR="004F411D" w:rsidRPr="004F411D" w:rsidRDefault="004F411D">
      <w:pPr>
        <w:pStyle w:val="FootnoteText"/>
        <w:rPr>
          <w:rFonts w:ascii="Garamond" w:hAnsi="Garamond"/>
          <w:sz w:val="22"/>
          <w:szCs w:val="22"/>
        </w:rPr>
      </w:pPr>
      <w:proofErr w:type="gramStart"/>
      <w:r>
        <w:rPr>
          <w:rFonts w:ascii="Garamond" w:hAnsi="Garamond"/>
          <w:sz w:val="22"/>
          <w:szCs w:val="22"/>
        </w:rPr>
        <w:t>VKM nr.</w:t>
      </w:r>
      <w:proofErr w:type="gramEnd"/>
      <w:r>
        <w:rPr>
          <w:rFonts w:ascii="Garamond" w:hAnsi="Garamond"/>
          <w:sz w:val="22"/>
          <w:szCs w:val="22"/>
        </w:rPr>
        <w:t xml:space="preserve"> </w:t>
      </w:r>
      <w:proofErr w:type="gramStart"/>
      <w:r>
        <w:rPr>
          <w:rFonts w:ascii="Garamond" w:hAnsi="Garamond"/>
          <w:sz w:val="22"/>
          <w:szCs w:val="22"/>
        </w:rPr>
        <w:t xml:space="preserve">583, </w:t>
      </w:r>
      <w:proofErr w:type="spellStart"/>
      <w:r>
        <w:rPr>
          <w:rFonts w:ascii="Garamond" w:hAnsi="Garamond"/>
          <w:sz w:val="22"/>
          <w:szCs w:val="22"/>
        </w:rPr>
        <w:t>datë</w:t>
      </w:r>
      <w:proofErr w:type="spellEnd"/>
      <w:r>
        <w:rPr>
          <w:rFonts w:ascii="Garamond" w:hAnsi="Garamond"/>
          <w:sz w:val="22"/>
          <w:szCs w:val="22"/>
        </w:rPr>
        <w:t xml:space="preserve"> 3.10.2018 </w:t>
      </w:r>
      <w:proofErr w:type="spellStart"/>
      <w:r>
        <w:rPr>
          <w:rFonts w:ascii="Garamond" w:hAnsi="Garamond"/>
          <w:sz w:val="22"/>
          <w:szCs w:val="22"/>
        </w:rPr>
        <w:t>ë</w:t>
      </w:r>
      <w:r w:rsidRPr="004F411D">
        <w:rPr>
          <w:rFonts w:ascii="Garamond" w:hAnsi="Garamond"/>
          <w:sz w:val="22"/>
          <w:szCs w:val="22"/>
        </w:rPr>
        <w:t>sht</w:t>
      </w:r>
      <w:r>
        <w:rPr>
          <w:rFonts w:ascii="Garamond" w:hAnsi="Garamond"/>
          <w:sz w:val="22"/>
          <w:szCs w:val="22"/>
        </w:rPr>
        <w:t>ë</w:t>
      </w:r>
      <w:proofErr w:type="spellEnd"/>
      <w:r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botuar</w:t>
      </w:r>
      <w:proofErr w:type="spellEnd"/>
      <w:r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në</w:t>
      </w:r>
      <w:proofErr w:type="spellEnd"/>
      <w:r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Fletoren</w:t>
      </w:r>
      <w:proofErr w:type="spellEnd"/>
      <w:r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Zyrtare</w:t>
      </w:r>
      <w:proofErr w:type="spellEnd"/>
      <w:r>
        <w:rPr>
          <w:rFonts w:ascii="Garamond" w:hAnsi="Garamond"/>
          <w:sz w:val="22"/>
          <w:szCs w:val="22"/>
        </w:rPr>
        <w:t xml:space="preserve"> nr.</w:t>
      </w:r>
      <w:proofErr w:type="gramEnd"/>
      <w:r w:rsidR="0044551D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142</w:t>
      </w:r>
      <w:r w:rsidRPr="004F411D">
        <w:rPr>
          <w:rFonts w:ascii="Garamond" w:hAnsi="Garamond"/>
          <w:sz w:val="22"/>
          <w:szCs w:val="22"/>
        </w:rPr>
        <w:t xml:space="preserve">, </w:t>
      </w:r>
      <w:proofErr w:type="spellStart"/>
      <w:r w:rsidRPr="004F411D">
        <w:rPr>
          <w:rFonts w:ascii="Garamond" w:hAnsi="Garamond"/>
          <w:sz w:val="22"/>
          <w:szCs w:val="22"/>
        </w:rPr>
        <w:t>dat</w:t>
      </w:r>
      <w:r>
        <w:rPr>
          <w:rFonts w:ascii="Garamond" w:hAnsi="Garamond"/>
          <w:sz w:val="22"/>
          <w:szCs w:val="22"/>
        </w:rPr>
        <w:t>ë</w:t>
      </w:r>
      <w:proofErr w:type="spellEnd"/>
      <w:r w:rsidRPr="004F411D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5 </w:t>
      </w:r>
      <w:proofErr w:type="spellStart"/>
      <w:r>
        <w:rPr>
          <w:rFonts w:ascii="Garamond" w:hAnsi="Garamond"/>
          <w:sz w:val="22"/>
          <w:szCs w:val="22"/>
        </w:rPr>
        <w:t>tetor</w:t>
      </w:r>
      <w:proofErr w:type="spellEnd"/>
      <w:r w:rsidRPr="004F411D">
        <w:rPr>
          <w:rFonts w:ascii="Garamond" w:hAnsi="Garamond"/>
          <w:sz w:val="22"/>
          <w:szCs w:val="22"/>
        </w:rPr>
        <w:t xml:space="preserve"> 2018</w:t>
      </w:r>
      <w:r w:rsidR="0044551D">
        <w:rPr>
          <w:rFonts w:ascii="Garamond" w:hAnsi="Garamond"/>
          <w:sz w:val="22"/>
          <w:szCs w:val="22"/>
        </w:rPr>
        <w:t>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86"/>
    <w:rsid w:val="0044551D"/>
    <w:rsid w:val="004F411D"/>
    <w:rsid w:val="006D37A1"/>
    <w:rsid w:val="00A90587"/>
    <w:rsid w:val="00B4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475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75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475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75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7586"/>
    <w:rPr>
      <w:rFonts w:ascii="Garamond" w:eastAsia="MS Mincho" w:hAnsi="Garamond" w:cs="CG Times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41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1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411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475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75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475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75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7586"/>
    <w:rPr>
      <w:rFonts w:ascii="Garamond" w:eastAsia="MS Mincho" w:hAnsi="Garamond" w:cs="CG Times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41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1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41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036AE-923B-43F5-8A30-A0C63CDD3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3</cp:revision>
  <cp:lastPrinted>2018-10-10T08:47:00Z</cp:lastPrinted>
  <dcterms:created xsi:type="dcterms:W3CDTF">2018-10-08T09:35:00Z</dcterms:created>
  <dcterms:modified xsi:type="dcterms:W3CDTF">2018-10-10T08:47:00Z</dcterms:modified>
</cp:coreProperties>
</file>