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0BB" w:rsidRPr="00B130BB" w:rsidRDefault="00B130BB" w:rsidP="00B130BB">
      <w:pPr>
        <w:keepNext/>
        <w:widowControl w:val="0"/>
        <w:spacing w:after="0" w:line="240" w:lineRule="auto"/>
        <w:jc w:val="center"/>
        <w:outlineLvl w:val="2"/>
        <w:rPr>
          <w:rFonts w:ascii="Garamond" w:eastAsia="MS Mincho" w:hAnsi="Garamond" w:cs="CG Times"/>
          <w:b/>
          <w:bCs/>
          <w:spacing w:val="-4"/>
          <w:sz w:val="24"/>
          <w:lang w:val="sq-AL"/>
        </w:rPr>
      </w:pPr>
      <w:r w:rsidRPr="00B130BB">
        <w:rPr>
          <w:rFonts w:ascii="Garamond" w:eastAsia="MS Mincho" w:hAnsi="Garamond" w:cs="CG Times"/>
          <w:b/>
          <w:bCs/>
          <w:spacing w:val="-4"/>
          <w:sz w:val="24"/>
          <w:lang w:val="sq-AL"/>
        </w:rPr>
        <w:t>VENDIM</w:t>
      </w:r>
    </w:p>
    <w:p w:rsidR="00B130BB" w:rsidRPr="00B130BB" w:rsidRDefault="00B130BB" w:rsidP="00B130BB">
      <w:pPr>
        <w:keepNext/>
        <w:widowControl w:val="0"/>
        <w:spacing w:after="0" w:line="240" w:lineRule="auto"/>
        <w:jc w:val="center"/>
        <w:outlineLvl w:val="2"/>
        <w:rPr>
          <w:rFonts w:ascii="Garamond" w:eastAsia="MS Mincho" w:hAnsi="Garamond" w:cs="CG Times"/>
          <w:b/>
          <w:bCs/>
          <w:spacing w:val="-4"/>
          <w:sz w:val="24"/>
          <w:lang w:val="sq-AL"/>
        </w:rPr>
      </w:pPr>
      <w:r w:rsidRPr="00B130BB">
        <w:rPr>
          <w:rFonts w:ascii="Garamond" w:eastAsia="MS Mincho" w:hAnsi="Garamond" w:cs="CG Times"/>
          <w:b/>
          <w:bCs/>
          <w:spacing w:val="-4"/>
          <w:sz w:val="24"/>
          <w:lang w:val="sq-AL"/>
        </w:rPr>
        <w:t>Nr. 37, datë 24.1.2018</w:t>
      </w:r>
    </w:p>
    <w:p w:rsidR="00B130BB" w:rsidRPr="00B130BB" w:rsidRDefault="00B130BB" w:rsidP="00B130BB">
      <w:pPr>
        <w:keepNext/>
        <w:widowControl w:val="0"/>
        <w:spacing w:after="0" w:line="240" w:lineRule="auto"/>
        <w:jc w:val="center"/>
        <w:outlineLvl w:val="2"/>
        <w:rPr>
          <w:rFonts w:ascii="Garamond" w:eastAsia="MS Mincho" w:hAnsi="Garamond" w:cs="CG Times"/>
          <w:b/>
          <w:bCs/>
          <w:spacing w:val="-4"/>
          <w:sz w:val="14"/>
          <w:lang w:val="sq-AL"/>
        </w:rPr>
      </w:pPr>
    </w:p>
    <w:p w:rsidR="00B130BB" w:rsidRPr="00B130BB" w:rsidRDefault="00B130BB" w:rsidP="00B130BB">
      <w:pPr>
        <w:keepNext/>
        <w:widowControl w:val="0"/>
        <w:spacing w:after="0" w:line="240" w:lineRule="auto"/>
        <w:jc w:val="center"/>
        <w:outlineLvl w:val="2"/>
        <w:rPr>
          <w:rFonts w:ascii="Garamond" w:eastAsia="MS Mincho" w:hAnsi="Garamond" w:cs="CG Times"/>
          <w:b/>
          <w:bCs/>
          <w:spacing w:val="-4"/>
          <w:sz w:val="24"/>
          <w:lang w:val="sq-AL"/>
        </w:rPr>
      </w:pPr>
      <w:r w:rsidRPr="00B130BB">
        <w:rPr>
          <w:rFonts w:ascii="Garamond" w:eastAsia="MS Mincho" w:hAnsi="Garamond" w:cs="CG Times"/>
          <w:b/>
          <w:bCs/>
          <w:spacing w:val="-4"/>
          <w:sz w:val="24"/>
          <w:lang w:val="sq-AL"/>
        </w:rPr>
        <w:t xml:space="preserve">PËR MIRATIMIN E PROGRAMIT </w:t>
      </w:r>
    </w:p>
    <w:p w:rsidR="00B130BB" w:rsidRPr="00B130BB" w:rsidRDefault="00B130BB" w:rsidP="00B130BB">
      <w:pPr>
        <w:keepNext/>
        <w:widowControl w:val="0"/>
        <w:spacing w:after="0" w:line="240" w:lineRule="auto"/>
        <w:jc w:val="center"/>
        <w:outlineLvl w:val="2"/>
        <w:rPr>
          <w:rFonts w:ascii="Garamond" w:eastAsia="MS Mincho" w:hAnsi="Garamond" w:cs="CG Times"/>
          <w:b/>
          <w:bCs/>
          <w:spacing w:val="-4"/>
          <w:sz w:val="24"/>
          <w:lang w:val="sq-AL"/>
        </w:rPr>
      </w:pPr>
      <w:r w:rsidRPr="00B130BB">
        <w:rPr>
          <w:rFonts w:ascii="Garamond" w:eastAsia="MS Mincho" w:hAnsi="Garamond" w:cs="CG Times"/>
          <w:b/>
          <w:bCs/>
          <w:spacing w:val="-4"/>
          <w:sz w:val="24"/>
          <w:lang w:val="sq-AL"/>
        </w:rPr>
        <w:t xml:space="preserve">TË PËRGJITHSHËM ANALITIK, </w:t>
      </w:r>
    </w:p>
    <w:p w:rsidR="00B130BB" w:rsidRPr="00B130BB" w:rsidRDefault="00B130BB" w:rsidP="00B130BB">
      <w:pPr>
        <w:keepNext/>
        <w:widowControl w:val="0"/>
        <w:spacing w:after="0" w:line="240" w:lineRule="auto"/>
        <w:jc w:val="center"/>
        <w:outlineLvl w:val="2"/>
        <w:rPr>
          <w:rFonts w:ascii="Garamond" w:eastAsia="MS Mincho" w:hAnsi="Garamond" w:cs="CG Times"/>
          <w:b/>
          <w:bCs/>
          <w:spacing w:val="-4"/>
          <w:sz w:val="24"/>
          <w:lang w:val="sq-AL"/>
        </w:rPr>
      </w:pPr>
      <w:r w:rsidRPr="00B130BB">
        <w:rPr>
          <w:rFonts w:ascii="Garamond" w:eastAsia="MS Mincho" w:hAnsi="Garamond" w:cs="CG Times"/>
          <w:b/>
          <w:bCs/>
          <w:spacing w:val="-4"/>
          <w:sz w:val="24"/>
          <w:lang w:val="sq-AL"/>
        </w:rPr>
        <w:t xml:space="preserve">TË PROJEKTAKTEVE QË DO TË PARAQITEN PËR SHQYRTIM NË KËSHILLIN E MINISTRAVE, </w:t>
      </w:r>
    </w:p>
    <w:p w:rsidR="00B130BB" w:rsidRPr="00B130BB" w:rsidRDefault="00B130BB" w:rsidP="00B130BB">
      <w:pPr>
        <w:keepNext/>
        <w:widowControl w:val="0"/>
        <w:spacing w:after="0" w:line="240" w:lineRule="auto"/>
        <w:jc w:val="center"/>
        <w:outlineLvl w:val="2"/>
        <w:rPr>
          <w:rFonts w:ascii="Garamond" w:eastAsia="MS Mincho" w:hAnsi="Garamond" w:cs="CG Times"/>
          <w:b/>
          <w:bCs/>
          <w:spacing w:val="-4"/>
          <w:sz w:val="24"/>
          <w:lang w:val="sq-AL"/>
        </w:rPr>
      </w:pPr>
      <w:r w:rsidRPr="00B130BB">
        <w:rPr>
          <w:rFonts w:ascii="Garamond" w:eastAsia="MS Mincho" w:hAnsi="Garamond" w:cs="CG Times"/>
          <w:b/>
          <w:bCs/>
          <w:spacing w:val="-4"/>
          <w:sz w:val="24"/>
          <w:lang w:val="sq-AL"/>
        </w:rPr>
        <w:t>GJATË VITIT 2018</w:t>
      </w:r>
    </w:p>
    <w:p w:rsidR="00B130BB" w:rsidRPr="00B130BB" w:rsidRDefault="00B130BB" w:rsidP="00B130BB">
      <w:pPr>
        <w:widowControl w:val="0"/>
        <w:spacing w:after="0" w:line="240" w:lineRule="auto"/>
        <w:ind w:firstLine="284"/>
        <w:jc w:val="both"/>
        <w:rPr>
          <w:rFonts w:ascii="Garamond" w:eastAsia="MS Mincho" w:hAnsi="Garamond" w:cs="CG Times"/>
          <w:spacing w:val="-4"/>
          <w:sz w:val="16"/>
          <w:lang w:val="sq-AL"/>
        </w:rPr>
      </w:pPr>
    </w:p>
    <w:p w:rsidR="00B130BB" w:rsidRPr="00B130BB" w:rsidRDefault="00B130BB" w:rsidP="00B130BB">
      <w:pPr>
        <w:widowControl w:val="0"/>
        <w:spacing w:after="0" w:line="240" w:lineRule="auto"/>
        <w:ind w:firstLine="284"/>
        <w:jc w:val="both"/>
        <w:rPr>
          <w:rFonts w:ascii="Garamond" w:eastAsia="MS Mincho" w:hAnsi="Garamond" w:cs="CG Times"/>
          <w:spacing w:val="-4"/>
          <w:sz w:val="24"/>
          <w:lang w:val="sq-AL"/>
        </w:rPr>
      </w:pPr>
      <w:r w:rsidRPr="00B130BB">
        <w:rPr>
          <w:rFonts w:ascii="Garamond" w:eastAsia="MS Mincho" w:hAnsi="Garamond" w:cs="CG Times"/>
          <w:spacing w:val="-4"/>
          <w:sz w:val="24"/>
          <w:lang w:val="sq-AL"/>
        </w:rPr>
        <w:t xml:space="preserve">Në mbështetje të nenit 100 të Kushtetutës dhe të nenit 27, të ligjit nr. 9000, datë 30.1.2003, “Për organizimin dhe funksionimin e Këshillit të Ministrave”, me propozimin e Kryeministrit, Këshilli i Ministrave </w:t>
      </w:r>
    </w:p>
    <w:p w:rsidR="00B130BB" w:rsidRPr="00B130BB" w:rsidRDefault="00B130BB" w:rsidP="00B130BB">
      <w:pPr>
        <w:keepNext/>
        <w:widowControl w:val="0"/>
        <w:spacing w:after="0" w:line="240" w:lineRule="auto"/>
        <w:jc w:val="center"/>
        <w:rPr>
          <w:rFonts w:ascii="Garamond" w:eastAsia="MS Mincho" w:hAnsi="Garamond" w:cs="CG Times"/>
          <w:spacing w:val="-4"/>
          <w:sz w:val="24"/>
          <w:lang w:val="sq-AL"/>
        </w:rPr>
      </w:pPr>
      <w:r w:rsidRPr="00B130BB">
        <w:rPr>
          <w:rFonts w:ascii="Garamond" w:eastAsia="MS Mincho" w:hAnsi="Garamond" w:cs="CG Times"/>
          <w:spacing w:val="-4"/>
          <w:sz w:val="24"/>
          <w:lang w:val="sq-AL"/>
        </w:rPr>
        <w:t>VENDOSI:</w:t>
      </w:r>
    </w:p>
    <w:p w:rsidR="00B130BB" w:rsidRPr="00B130BB" w:rsidRDefault="00B130BB" w:rsidP="00B130BB">
      <w:pPr>
        <w:widowControl w:val="0"/>
        <w:spacing w:after="0" w:line="240" w:lineRule="auto"/>
        <w:ind w:firstLine="284"/>
        <w:jc w:val="both"/>
        <w:rPr>
          <w:rFonts w:ascii="Garamond" w:eastAsia="MS Mincho" w:hAnsi="Garamond" w:cs="CG Times"/>
          <w:spacing w:val="-4"/>
          <w:sz w:val="12"/>
          <w:lang w:val="sq-AL"/>
        </w:rPr>
      </w:pPr>
    </w:p>
    <w:p w:rsidR="00B130BB" w:rsidRPr="00B130BB" w:rsidRDefault="00B130BB" w:rsidP="00B130BB">
      <w:pPr>
        <w:widowControl w:val="0"/>
        <w:spacing w:after="0" w:line="240" w:lineRule="auto"/>
        <w:ind w:firstLine="284"/>
        <w:jc w:val="both"/>
        <w:rPr>
          <w:rFonts w:ascii="Garamond" w:eastAsia="MS Mincho" w:hAnsi="Garamond" w:cs="CG Times"/>
          <w:spacing w:val="-4"/>
          <w:sz w:val="24"/>
          <w:lang w:val="sq-AL"/>
        </w:rPr>
      </w:pPr>
      <w:r w:rsidRPr="00B130BB">
        <w:rPr>
          <w:rFonts w:ascii="Garamond" w:eastAsia="MS Mincho" w:hAnsi="Garamond" w:cs="CG Times"/>
          <w:spacing w:val="-4"/>
          <w:sz w:val="24"/>
          <w:lang w:val="sq-AL"/>
        </w:rPr>
        <w:t>Miratimin e programit të përgjithshëm analitik, të projektakteve që do të paraqiten për shqyrtim në Këshillin e Ministrave, gjatë vitit 2018, sipas tabelave që i bashkëlidhen këtij vendimi.</w:t>
      </w:r>
    </w:p>
    <w:p w:rsidR="00B130BB" w:rsidRPr="00B130BB" w:rsidRDefault="00B130BB" w:rsidP="00B130BB">
      <w:pPr>
        <w:widowControl w:val="0"/>
        <w:spacing w:after="0" w:line="240" w:lineRule="auto"/>
        <w:ind w:firstLine="284"/>
        <w:jc w:val="both"/>
        <w:rPr>
          <w:rFonts w:ascii="Garamond" w:eastAsia="MS Mincho" w:hAnsi="Garamond" w:cs="CG Times"/>
          <w:spacing w:val="-4"/>
          <w:sz w:val="24"/>
          <w:lang w:val="sq-AL"/>
        </w:rPr>
      </w:pPr>
      <w:r w:rsidRPr="00B130BB">
        <w:rPr>
          <w:rFonts w:ascii="Garamond" w:eastAsia="MS Mincho" w:hAnsi="Garamond" w:cs="CG Times"/>
          <w:spacing w:val="-4"/>
          <w:sz w:val="24"/>
          <w:lang w:val="sq-AL"/>
        </w:rPr>
        <w:t>Ky vendim hyn në fuqi menjëherë.</w:t>
      </w:r>
    </w:p>
    <w:p w:rsidR="00B130BB" w:rsidRPr="00B130BB" w:rsidRDefault="00B130BB" w:rsidP="00B130BB">
      <w:pPr>
        <w:widowControl w:val="0"/>
        <w:spacing w:after="0" w:line="240" w:lineRule="auto"/>
        <w:ind w:firstLine="284"/>
        <w:jc w:val="both"/>
        <w:rPr>
          <w:rFonts w:ascii="Garamond" w:eastAsia="MS Mincho" w:hAnsi="Garamond" w:cs="CG Times"/>
          <w:sz w:val="16"/>
          <w:lang w:val="sq-AL"/>
        </w:rPr>
      </w:pPr>
    </w:p>
    <w:p w:rsidR="00B130BB" w:rsidRPr="00B130BB" w:rsidRDefault="00B130BB" w:rsidP="00B130BB">
      <w:pPr>
        <w:widowControl w:val="0"/>
        <w:spacing w:after="0" w:line="240" w:lineRule="auto"/>
        <w:ind w:firstLine="284"/>
        <w:jc w:val="right"/>
        <w:rPr>
          <w:rFonts w:ascii="Garamond" w:eastAsia="MS Mincho" w:hAnsi="Garamond" w:cs="CG Times"/>
          <w:sz w:val="24"/>
          <w:lang w:val="sq-AL"/>
        </w:rPr>
      </w:pPr>
      <w:r w:rsidRPr="00B130BB">
        <w:rPr>
          <w:rFonts w:ascii="Garamond" w:eastAsia="MS Mincho" w:hAnsi="Garamond" w:cs="CG Times"/>
          <w:sz w:val="24"/>
          <w:lang w:val="sq-AL"/>
        </w:rPr>
        <w:t>ZËVENDËSKRYEMINISTRI</w:t>
      </w:r>
    </w:p>
    <w:p w:rsidR="00B130BB" w:rsidRPr="00B130BB" w:rsidRDefault="00B130BB" w:rsidP="00B130BB">
      <w:pPr>
        <w:widowControl w:val="0"/>
        <w:spacing w:after="0" w:line="240" w:lineRule="auto"/>
        <w:ind w:firstLine="284"/>
        <w:jc w:val="right"/>
        <w:rPr>
          <w:rFonts w:ascii="Garamond" w:eastAsia="MS Mincho" w:hAnsi="Garamond" w:cs="CG Times"/>
          <w:b/>
          <w:sz w:val="24"/>
          <w:lang w:val="sq-AL"/>
        </w:rPr>
      </w:pPr>
      <w:r w:rsidRPr="00B130BB">
        <w:rPr>
          <w:rFonts w:ascii="Garamond" w:eastAsia="MS Mincho" w:hAnsi="Garamond" w:cs="CG Times"/>
          <w:b/>
          <w:sz w:val="24"/>
          <w:lang w:val="sq-AL"/>
        </w:rPr>
        <w:t>Edi Rama</w:t>
      </w:r>
    </w:p>
    <w:p w:rsidR="00B130BB" w:rsidRPr="00B130BB" w:rsidRDefault="00B130BB" w:rsidP="00B130BB">
      <w:pPr>
        <w:widowControl w:val="0"/>
        <w:spacing w:after="0" w:line="240" w:lineRule="auto"/>
        <w:ind w:firstLine="284"/>
        <w:jc w:val="right"/>
        <w:rPr>
          <w:rFonts w:ascii="Garamond" w:eastAsia="MS Mincho" w:hAnsi="Garamond" w:cs="CG Times"/>
          <w:b/>
          <w:sz w:val="24"/>
          <w:lang w:val="sq-AL"/>
        </w:rPr>
      </w:pPr>
    </w:p>
    <w:p w:rsidR="00B130BB" w:rsidRDefault="00B130BB" w:rsidP="00B130BB">
      <w:pPr>
        <w:widowControl w:val="0"/>
        <w:spacing w:after="0" w:line="240" w:lineRule="auto"/>
        <w:ind w:firstLine="284"/>
        <w:jc w:val="right"/>
        <w:rPr>
          <w:rFonts w:ascii="Garamond" w:eastAsia="MS Mincho" w:hAnsi="Garamond" w:cs="CG Times"/>
          <w:b/>
          <w:sz w:val="24"/>
          <w:lang w:val="sq-AL"/>
        </w:rPr>
        <w:sectPr w:rsidR="00B130BB" w:rsidSect="00B130BB">
          <w:headerReference w:type="even" r:id="rId6"/>
          <w:headerReference w:type="default" r:id="rId7"/>
          <w:footerReference w:type="even" r:id="rId8"/>
          <w:footerReference w:type="default" r:id="rId9"/>
          <w:headerReference w:type="first" r:id="rId10"/>
          <w:footerReference w:type="first" r:id="rId11"/>
          <w:pgSz w:w="11907" w:h="16840" w:code="9"/>
          <w:pgMar w:top="720" w:right="1134" w:bottom="720" w:left="1134" w:header="851" w:footer="851" w:gutter="0"/>
          <w:pgNumType w:start="213"/>
          <w:cols w:space="454"/>
          <w:docGrid w:linePitch="360"/>
        </w:sectPr>
      </w:pPr>
    </w:p>
    <w:p w:rsidR="00B130BB" w:rsidRPr="00B130BB" w:rsidRDefault="00B130BB" w:rsidP="00B130BB">
      <w:pPr>
        <w:widowControl w:val="0"/>
        <w:spacing w:after="0" w:line="240" w:lineRule="auto"/>
        <w:ind w:firstLine="284"/>
        <w:jc w:val="right"/>
        <w:rPr>
          <w:rFonts w:ascii="Garamond" w:eastAsia="MS Mincho" w:hAnsi="Garamond" w:cs="CG Times"/>
          <w:b/>
          <w:sz w:val="24"/>
          <w:lang w:val="sq-AL"/>
        </w:rPr>
      </w:pPr>
    </w:p>
    <w:p w:rsidR="00B130BB" w:rsidRPr="00B130BB" w:rsidRDefault="00B130BB" w:rsidP="00B130BB">
      <w:pPr>
        <w:widowControl w:val="0"/>
        <w:spacing w:after="0" w:line="240" w:lineRule="auto"/>
        <w:ind w:firstLine="284"/>
        <w:jc w:val="right"/>
        <w:rPr>
          <w:rFonts w:ascii="Garamond" w:eastAsia="MS Mincho" w:hAnsi="Garamond" w:cs="CG Times"/>
          <w:b/>
          <w:sz w:val="24"/>
          <w:lang w:val="sq-AL"/>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sectPr w:rsidR="00B130BB" w:rsidRPr="00B130BB" w:rsidSect="00B130BB">
          <w:type w:val="continuous"/>
          <w:pgSz w:w="11907" w:h="16840" w:code="9"/>
          <w:pgMar w:top="720" w:right="1134" w:bottom="720" w:left="1134" w:header="851" w:footer="851" w:gutter="0"/>
          <w:pgNumType w:start="213"/>
          <w:cols w:num="2" w:space="454"/>
          <w:docGrid w:linePitch="360"/>
        </w:sectPr>
      </w:pPr>
      <w:bookmarkStart w:id="0" w:name="_GoBack"/>
      <w:bookmarkEnd w:id="0"/>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sectPr w:rsidR="00B130BB" w:rsidRPr="00B130BB" w:rsidSect="00B130BB">
          <w:type w:val="continuous"/>
          <w:pgSz w:w="11907" w:h="16840" w:code="9"/>
          <w:pgMar w:top="720" w:right="1134" w:bottom="720" w:left="1134" w:header="851" w:footer="851" w:gutter="0"/>
          <w:cols w:space="454"/>
          <w:docGrid w:linePitch="360"/>
        </w:sectPr>
      </w:pPr>
    </w:p>
    <w:tbl>
      <w:tblPr>
        <w:tblW w:w="5000" w:type="pct"/>
        <w:tblLayout w:type="fixed"/>
        <w:tblLook w:val="04A0" w:firstRow="1" w:lastRow="0" w:firstColumn="1" w:lastColumn="0" w:noHBand="0" w:noVBand="1"/>
      </w:tblPr>
      <w:tblGrid>
        <w:gridCol w:w="292"/>
        <w:gridCol w:w="1561"/>
        <w:gridCol w:w="806"/>
        <w:gridCol w:w="837"/>
        <w:gridCol w:w="1065"/>
        <w:gridCol w:w="1113"/>
        <w:gridCol w:w="1153"/>
        <w:gridCol w:w="1069"/>
        <w:gridCol w:w="793"/>
        <w:gridCol w:w="887"/>
      </w:tblGrid>
      <w:tr w:rsidR="00B130BB" w:rsidRPr="00B130BB" w:rsidTr="00842C95">
        <w:trPr>
          <w:trHeight w:val="180"/>
        </w:trPr>
        <w:tc>
          <w:tcPr>
            <w:tcW w:w="5000" w:type="pct"/>
            <w:gridSpan w:val="10"/>
            <w:tcBorders>
              <w:top w:val="nil"/>
              <w:left w:val="nil"/>
              <w:bottom w:val="nil"/>
              <w:right w:val="nil"/>
            </w:tcBorders>
            <w:shd w:val="clear" w:color="auto" w:fill="auto"/>
            <w:vAlign w:val="bottom"/>
            <w:hideMark/>
          </w:tcPr>
          <w:p w:rsidR="00B130BB" w:rsidRPr="00B130BB" w:rsidRDefault="00B130BB" w:rsidP="00B130BB">
            <w:pPr>
              <w:spacing w:after="0" w:line="240" w:lineRule="auto"/>
              <w:jc w:val="center"/>
              <w:rPr>
                <w:rFonts w:ascii="Garamond" w:eastAsia="Times New Roman" w:hAnsi="Garamond" w:cs="Times New Roman"/>
                <w:b/>
                <w:bCs/>
                <w:color w:val="000000"/>
                <w:spacing w:val="-4"/>
                <w:sz w:val="18"/>
                <w:szCs w:val="18"/>
                <w:lang w:val="sq-AL"/>
              </w:rPr>
            </w:pPr>
            <w:bookmarkStart w:id="1" w:name="RANGE!A1:J118"/>
            <w:r w:rsidRPr="00B130BB">
              <w:rPr>
                <w:rFonts w:ascii="Garamond" w:eastAsia="Times New Roman" w:hAnsi="Garamond" w:cs="Times New Roman"/>
                <w:b/>
                <w:bCs/>
                <w:color w:val="000000"/>
                <w:spacing w:val="-4"/>
                <w:sz w:val="18"/>
                <w:szCs w:val="18"/>
                <w:lang w:val="sq-AL"/>
              </w:rPr>
              <w:lastRenderedPageBreak/>
              <w:t>PROJEKTPROGRAMI I PËRGJITHSHËM ANALITIK I PROJEKTAKTEVE PËR VITIN 2018</w:t>
            </w:r>
            <w:bookmarkEnd w:id="1"/>
          </w:p>
        </w:tc>
      </w:tr>
      <w:tr w:rsidR="00B130BB" w:rsidRPr="00B130BB" w:rsidTr="00842C95">
        <w:trPr>
          <w:trHeight w:val="180"/>
        </w:trPr>
        <w:tc>
          <w:tcPr>
            <w:tcW w:w="5000" w:type="pct"/>
            <w:gridSpan w:val="10"/>
            <w:tcBorders>
              <w:top w:val="nil"/>
              <w:left w:val="nil"/>
              <w:bottom w:val="nil"/>
              <w:right w:val="nil"/>
            </w:tcBorders>
            <w:shd w:val="clear" w:color="auto" w:fill="auto"/>
            <w:vAlign w:val="bottom"/>
            <w:hideMark/>
          </w:tcPr>
          <w:p w:rsidR="00B130BB" w:rsidRPr="00B130BB" w:rsidRDefault="00B130BB" w:rsidP="00B130BB">
            <w:pPr>
              <w:spacing w:after="0" w:line="240" w:lineRule="auto"/>
              <w:jc w:val="center"/>
              <w:rPr>
                <w:rFonts w:ascii="Garamond" w:eastAsia="Times New Roman" w:hAnsi="Garamond" w:cs="Times New Roman"/>
                <w:b/>
                <w:bCs/>
                <w:color w:val="000000"/>
                <w:spacing w:val="-4"/>
                <w:sz w:val="18"/>
                <w:szCs w:val="18"/>
                <w:lang w:val="sq-AL"/>
              </w:rPr>
            </w:pPr>
            <w:r w:rsidRPr="00B130BB">
              <w:rPr>
                <w:rFonts w:ascii="Garamond" w:eastAsia="Times New Roman" w:hAnsi="Garamond" w:cs="Times New Roman"/>
                <w:b/>
                <w:bCs/>
                <w:color w:val="000000"/>
                <w:spacing w:val="-4"/>
                <w:sz w:val="18"/>
                <w:szCs w:val="18"/>
                <w:lang w:val="sq-AL"/>
              </w:rPr>
              <w:t>MINISTRIA E FINANCAVE DHE EKONOMISË</w:t>
            </w:r>
          </w:p>
        </w:tc>
      </w:tr>
      <w:tr w:rsidR="00B130BB" w:rsidRPr="00B130BB" w:rsidTr="00842C95">
        <w:trPr>
          <w:trHeight w:val="180"/>
        </w:trPr>
        <w:tc>
          <w:tcPr>
            <w:tcW w:w="153" w:type="pct"/>
            <w:tcBorders>
              <w:top w:val="single" w:sz="4" w:space="0" w:color="FFFFFF"/>
              <w:left w:val="single" w:sz="4" w:space="0" w:color="FFFFFF"/>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Nr.</w:t>
            </w:r>
          </w:p>
        </w:tc>
        <w:tc>
          <w:tcPr>
            <w:tcW w:w="815"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Titulli i projektaktit</w:t>
            </w:r>
          </w:p>
        </w:tc>
        <w:tc>
          <w:tcPr>
            <w:tcW w:w="421"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 xml:space="preserve">Ministri propozues dhe bashkëpropozues </w:t>
            </w:r>
          </w:p>
        </w:tc>
        <w:tc>
          <w:tcPr>
            <w:tcW w:w="437"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Katërmujori</w:t>
            </w:r>
          </w:p>
        </w:tc>
        <w:tc>
          <w:tcPr>
            <w:tcW w:w="556"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Arsyeja e nxjerrjes së projektaktit</w:t>
            </w:r>
          </w:p>
        </w:tc>
        <w:tc>
          <w:tcPr>
            <w:tcW w:w="581"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Qëllimi i projektaktit</w:t>
            </w:r>
          </w:p>
        </w:tc>
        <w:tc>
          <w:tcPr>
            <w:tcW w:w="602"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Objektivat që kërkon të realizojë projektakti</w:t>
            </w:r>
          </w:p>
        </w:tc>
        <w:tc>
          <w:tcPr>
            <w:tcW w:w="558"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Çështjet që rregullon projektakti</w:t>
            </w:r>
          </w:p>
        </w:tc>
        <w:tc>
          <w:tcPr>
            <w:tcW w:w="414"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Lidhja me Planin Kombëtar për Integrimin Evropian</w:t>
            </w:r>
          </w:p>
        </w:tc>
        <w:tc>
          <w:tcPr>
            <w:tcW w:w="464"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Lidhja me Programin Qeverisës, 2017–2021</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“Për sipërmarrjet e investimeve kolektive”</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Ky projektligj propozohet duke pasur parasysh dinamikën e shpejtë të zhvillimit të tregut të fondeve të investimeve dhe nevojën për të përforcuar mbrojtjen e interesave të investitorit. Industria e fondeve të investimeve në Shqipëri filloi aktivitetin në fillim të vitit 2012 dhe në gati 5 vjet, ky sektor i tregut financiar u rrit ndjeshëm. Madhësia e tregut të fondeve të investimit në Shqipëri, tashmë, është e krahasueshme me vendet e rajonit. Kjo sjell nevojën e ndryshimeve ligjore, me qëllim konsolidimin e mëtejshëm të kuadrit ligjor në </w:t>
            </w:r>
            <w:r w:rsidRPr="00B130BB">
              <w:rPr>
                <w:rFonts w:ascii="Garamond" w:eastAsia="Times New Roman" w:hAnsi="Garamond" w:cs="Times New Roman"/>
                <w:spacing w:val="-4"/>
                <w:sz w:val="18"/>
                <w:szCs w:val="18"/>
                <w:lang w:val="sq-AL"/>
              </w:rPr>
              <w:lastRenderedPageBreak/>
              <w:t xml:space="preserve">tregun e fondeve të investimeve në Shqipëri. </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Qëllimi i projektligjit është forcimi dhe zhvillimi i mëtejshëm i tregut të sipërmarrjeve të investimeve kolektive (SIK) në vend.</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Hartimi i këtij projektligji të gjerë dhe të hollësishëm shërben për konsolidimin e mëtejshëm të kuadrit ligjor të fondeve të investimeve në Shqipëri, sigurimin e një mbrojtjeje më efektive të interesave të investitorëve dhe përafrimin e direktivave në BE.</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Ky projektligj synon t’i japë zgjidhje problemeve të hasura gjatë zbatimit të ligjit ekzistues dhe mundëson krijimin e kushteve të përshtatshme për implementimin e mbikëqyrjes më fokus riskun, objektivi i së cilës është që problemet financiare të parandalohen përpara se të ndodhin, në vend që të punohet për zgjidhjen e tyre, pasi ato të kenë ndodhur. Gjithashtu, ky projektligj mundohet të arrijë një përafrim më të konsiderueshëm me legjislacionin e BE-së, duke marrë parasysh edhe karakteristikat e tregut të letrave me vlerë në </w:t>
            </w:r>
            <w:r w:rsidRPr="00B130BB">
              <w:rPr>
                <w:rFonts w:ascii="Garamond" w:eastAsia="Times New Roman" w:hAnsi="Garamond" w:cs="Times New Roman"/>
                <w:spacing w:val="-4"/>
                <w:sz w:val="18"/>
                <w:szCs w:val="18"/>
                <w:lang w:val="sq-AL"/>
              </w:rPr>
              <w:lastRenderedPageBreak/>
              <w:t>Shqipëri.</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Po</w:t>
            </w:r>
            <w:r w:rsidRPr="00B130BB">
              <w:rPr>
                <w:rFonts w:ascii="Garamond" w:eastAsia="Times New Roman" w:hAnsi="Garamond" w:cs="Times New Roman"/>
                <w:spacing w:val="-4"/>
                <w:sz w:val="18"/>
                <w:szCs w:val="18"/>
                <w:lang w:val="sq-AL"/>
              </w:rPr>
              <w:br/>
              <w:t>Kapitulli 9</w:t>
            </w:r>
          </w:p>
        </w:tc>
        <w:tc>
          <w:tcPr>
            <w:tcW w:w="464"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Zhvillimi ekonomik</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w:t>
            </w:r>
          </w:p>
        </w:tc>
        <w:tc>
          <w:tcPr>
            <w:tcW w:w="815"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“Për disa ndryshime dhe shtesa në ligjin nr. 10 197, datë 10.12.2009, “Për fondet e pensionit vullnetar””</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Me anë të ndryshimeve të propozuara, Autoriteti i Mbikëqyrjes Financiare synon të rrisë sa më shumë shkallën e përafrimit të ligjit me direktivat e BE-së, në përputhje me detyrimet që rrjedhin për Republikën e Shqipërisë nga Marrëveshja e Stabilizim-Asociimit dhe Parlamenti Evropian. </w:t>
            </w:r>
            <w:r w:rsidRPr="00B130BB">
              <w:rPr>
                <w:rFonts w:ascii="Garamond" w:eastAsia="Times New Roman" w:hAnsi="Garamond" w:cs="Times New Roman"/>
                <w:spacing w:val="-4"/>
                <w:sz w:val="18"/>
                <w:szCs w:val="18"/>
                <w:lang w:val="sq-AL"/>
              </w:rPr>
              <w:br/>
              <w:t>Në këtë kuadër iniciativa e ndërmarrë nga Autoriteti do të përmirësojë dhe do të plotësojë kuadrin ligjor në tregun e pensioneve vullnetare, sipas modelit evropian dhe praktikave më të mira ndërkombëtare.</w:t>
            </w:r>
          </w:p>
        </w:tc>
        <w:tc>
          <w:tcPr>
            <w:tcW w:w="581"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Projektligji, “Për sigurimin e detyrueshëm në sektorin e transportit”, propozohet me synim përmirësimin dhe rregullimin e mëtejshëm të ligjit nr. 10 197, datë 10.12.2009, “Për fondet e pensionit vullnetar”, për ta përshtatur me zhvillimet e fundit në fushën e pensioneve vullnetare, me direktivat e BE-së.</w:t>
            </w:r>
          </w:p>
        </w:tc>
        <w:tc>
          <w:tcPr>
            <w:tcW w:w="602"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Ndryshimet e propozuara me anë të këtij projektligji synojnë të sjellin përparësi në tregun e pensioneve vullnetare, si dhe të zgjidhin disa problematika të hasura gjatë zbatimit të tij.</w:t>
            </w:r>
          </w:p>
        </w:tc>
        <w:tc>
          <w:tcPr>
            <w:tcW w:w="558"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Ky projektligj synon t’i japë zgjidhje problemeve të hasura gjatë zbatimit të ligjit ekzistues dhe mundëson krijimin e kushteve të përshtatshme për implementimin e mbikëqyrjes, me fokus riskun, objektivi i së cilës është që problemet financiare të parandalohen përpara se të ndodhin, në vend që të punohet për zgjidhjen e tyre, pasi ato të kenë ndodhur. Gjithashtu, projektligji nxit rritjen e transparencës dhe informimit të konsumatorit nga ana e shoqërive. </w:t>
            </w:r>
          </w:p>
        </w:tc>
        <w:tc>
          <w:tcPr>
            <w:tcW w:w="414"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w:t>
            </w:r>
            <w:r w:rsidRPr="00B130BB">
              <w:rPr>
                <w:rFonts w:ascii="Garamond" w:eastAsia="Times New Roman" w:hAnsi="Garamond" w:cs="Times New Roman"/>
                <w:spacing w:val="-4"/>
                <w:sz w:val="18"/>
                <w:szCs w:val="18"/>
                <w:lang w:val="sq-AL"/>
              </w:rPr>
              <w:br/>
              <w:t>Kapitulli 9</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w:t>
            </w:r>
          </w:p>
        </w:tc>
        <w:tc>
          <w:tcPr>
            <w:tcW w:w="815"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“Për sigurimin e detyrueshëm në sektorin e transportit”</w:t>
            </w:r>
          </w:p>
        </w:tc>
        <w:tc>
          <w:tcPr>
            <w:tcW w:w="421"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Hartimi i një kuadri rregullator dhe plotësues të përditësuar me saktësimet </w:t>
            </w:r>
            <w:r w:rsidRPr="00B130BB">
              <w:rPr>
                <w:rFonts w:ascii="Garamond" w:eastAsia="Times New Roman" w:hAnsi="Garamond" w:cs="Times New Roman"/>
                <w:spacing w:val="-4"/>
                <w:sz w:val="18"/>
                <w:szCs w:val="18"/>
                <w:lang w:val="sq-AL"/>
              </w:rPr>
              <w:lastRenderedPageBreak/>
              <w:t>dhe ndryshimet e një tregu shumë dinamik, siç është tregu i sigurimeve.</w:t>
            </w:r>
          </w:p>
        </w:tc>
        <w:tc>
          <w:tcPr>
            <w:tcW w:w="581"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Projektligji, “Për sigurimin e detyrueshëm në sektorin e transportit”, propozohet me synim </w:t>
            </w:r>
            <w:r w:rsidRPr="00B130BB">
              <w:rPr>
                <w:rFonts w:ascii="Garamond" w:eastAsia="Times New Roman" w:hAnsi="Garamond" w:cs="Times New Roman"/>
                <w:spacing w:val="-4"/>
                <w:sz w:val="18"/>
                <w:szCs w:val="18"/>
                <w:lang w:val="sq-AL"/>
              </w:rPr>
              <w:lastRenderedPageBreak/>
              <w:t>përmirësimin e kuadrit ligjor ekzistues, në fushë e sigurimit të detyrueshëm,</w:t>
            </w:r>
          </w:p>
        </w:tc>
        <w:tc>
          <w:tcPr>
            <w:tcW w:w="602"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24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Ky projektligj do të ndikojë në uljen e numrit të drejtuesve të mjeteve të transportit që qarkullojnë të </w:t>
            </w:r>
            <w:r w:rsidRPr="00B130BB">
              <w:rPr>
                <w:rFonts w:ascii="Garamond" w:eastAsia="Times New Roman" w:hAnsi="Garamond" w:cs="Times New Roman"/>
                <w:spacing w:val="-4"/>
                <w:sz w:val="18"/>
                <w:szCs w:val="18"/>
                <w:lang w:val="sq-AL"/>
              </w:rPr>
              <w:lastRenderedPageBreak/>
              <w:t>papajisur me kontratën e sigurimit të detyrueshëm sipas këtij ligji; do të përmirësojë implementimin e ligjit aktual të sigurimit të detyrueshëm nga ana e autoriteteve përgjegjëse; do të harmonizojë më tej legjislacionin me direktivat evropiane; do të përmirësojë procedurat dhe afatet e trajtimit të kërkesave për dëmshpërblim nga ana e shoqërive të sigurimit; do të ndikojë në edukimin, ndërgjegjësimin dhe disiplinimin e konsumatorit.</w:t>
            </w:r>
          </w:p>
        </w:tc>
        <w:tc>
          <w:tcPr>
            <w:tcW w:w="558"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Ky projektligj synon t’i japë zgjidhje problemeve të hasura gjatë zbatimit të </w:t>
            </w:r>
            <w:r w:rsidRPr="00B130BB">
              <w:rPr>
                <w:rFonts w:ascii="Garamond" w:eastAsia="Times New Roman" w:hAnsi="Garamond" w:cs="Times New Roman"/>
                <w:spacing w:val="-4"/>
                <w:sz w:val="18"/>
                <w:szCs w:val="18"/>
                <w:lang w:val="sq-AL"/>
              </w:rPr>
              <w:lastRenderedPageBreak/>
              <w:t xml:space="preserve">ligjit, “Për sigurimin e detyrueshëm në sektorin e transportit”, përafrimin e mëtejshëm me direktivat evropiane, përshtatjen me zhvillimet dhe kërkesat e tregut të sigurimeve, si dhe implementimin e sistemit </w:t>
            </w:r>
            <w:r w:rsidRPr="00B130BB">
              <w:rPr>
                <w:rFonts w:ascii="Garamond" w:eastAsia="Times New Roman" w:hAnsi="Garamond" w:cs="Times New Roman"/>
                <w:i/>
                <w:spacing w:val="-4"/>
                <w:sz w:val="18"/>
                <w:szCs w:val="18"/>
                <w:lang w:val="sq-AL"/>
              </w:rPr>
              <w:t>Bonus Malus</w:t>
            </w:r>
            <w:r w:rsidRPr="00B130BB">
              <w:rPr>
                <w:rFonts w:ascii="Garamond" w:eastAsia="Times New Roman" w:hAnsi="Garamond" w:cs="Times New Roman"/>
                <w:spacing w:val="-4"/>
                <w:sz w:val="18"/>
                <w:szCs w:val="18"/>
                <w:lang w:val="sq-AL"/>
              </w:rPr>
              <w:t>. Nevoja për ndryshime në këtë ligj erdhi edhe si angazhim i AMF-së për përmbushjen e rekomandimeve të Komisionit Evropian, të dhëna si nëpërmjet progresraporteve, ashtu edhe të takimeve vjetore të Nënkomitetit BE-Shqipëri, “Tregu i brendshëm dhe Konkurrenca”.</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Po</w:t>
            </w:r>
            <w:r w:rsidRPr="00B130BB">
              <w:rPr>
                <w:rFonts w:ascii="Garamond" w:eastAsia="Times New Roman" w:hAnsi="Garamond" w:cs="Times New Roman"/>
                <w:spacing w:val="-4"/>
                <w:sz w:val="18"/>
                <w:szCs w:val="18"/>
                <w:lang w:val="sq-AL"/>
              </w:rPr>
              <w:br/>
              <w:t>Kapitulli 9</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4</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“Për disa shtesa dhe ndryshime në VKM-në nr. 413, datë 25.6.2014, “Për përcaktimin e kritereve e të procedurave të shitjes së trojeve në përdorim, sipërfaqe të domosdoshme dhe trojeve shtesë funksionale të ndërmarrjeve shoqërive tregtare, </w:t>
            </w:r>
            <w:r w:rsidRPr="00B130BB">
              <w:rPr>
                <w:rFonts w:ascii="Garamond" w:eastAsia="Times New Roman" w:hAnsi="Garamond" w:cs="Times New Roman"/>
                <w:spacing w:val="-4"/>
                <w:sz w:val="18"/>
                <w:szCs w:val="18"/>
                <w:lang w:val="sq-AL"/>
              </w:rPr>
              <w:lastRenderedPageBreak/>
              <w:t>të objekteve shtetërore të veçuara, të privatizuara, të objekteve apo ndërtesave të shitura të ish- kooperativave bujqësore, si dhe të ndërtesave të ndërtuara në bazë të lejeve të ndërtimit”, të ndryshuar”.</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Projektakti synon të bëjë ndryshimet përkatëse në këtë vendim në kuadër të reformës së deregullimit. </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Qëllimi i këtij projektakti është lehtësimi i procedurave ligjore të privatizimit të truallit, sipërfaqe e domosdoshme dhe shtesë funksionale, të ndërmarrjeve</w:t>
            </w:r>
            <w:r w:rsidRPr="00B130BB">
              <w:rPr>
                <w:rFonts w:ascii="Garamond" w:eastAsia="Times New Roman" w:hAnsi="Garamond" w:cs="Times New Roman"/>
                <w:spacing w:val="-4"/>
                <w:sz w:val="18"/>
                <w:szCs w:val="18"/>
                <w:lang w:val="sq-AL"/>
              </w:rPr>
              <w:lastRenderedPageBreak/>
              <w:t xml:space="preserve">, shoqërive tregtare, objekteve shtetërore të veçuara, të privatizuara, të objekteve apo ndërtesave të shitura të ish-kooperativave bujqësore dhe të ndërtesave të ndërtuara në bazë të lejeve të ndërtimit, nëpërmjet thjeshtëzimit e formalizimit të dokumentacionin të kërkuar për kryerjen e këtyre procedurave. </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Lehtësimi i kërkesave për dokumentacionin që kërkohet për blerje trualli, që kërkohet nga persona fizikë dhe juridikë.</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Lehtësimin e procesit të shitjes së truallit në përdorim.</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Zhvillimi ekonomik</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5</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miratimin e strategjisë afatmesme të menaxhimit të borxhit, 2019–2021”</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Arsyeja e nxjerrjes së këtij projektakti vjen si nevojë e rritjes së eficiencës në menaxhimin e borxhit dhe rritjen e transparencës në fushën e huamarrjes shtetërore.</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Përcakton mënyrat e financimit të deficitit buxhetor në periudhën afatmesme, 2019–2021, si edhe objektivat që duhen realizuar në kuadër të uljes së rreziqeve dhe kostos që mbart borxhi, zhvillimit të tregut të titujve të shtetit dhe rritjes së qëndrueshmërisë së borxhit.</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i. Sigurimin e realizimit të nevojave të Qeverisë për financim, si edhe nevojave për të shërbyer borxhin aktual me kosto sa më të ulët dhe duke mbajtur nivele të pranueshme të ekspozimit ndaj rrezikut; ii. Zhvillimin e tregut primar dhe hedhjen e hapave për zhvillimin e tregut sekondar të titujve shtetërorë vendas. </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Menaxhimin e Borxhit Publik</w:t>
            </w:r>
            <w:r w:rsidRPr="00B130BB">
              <w:rPr>
                <w:rFonts w:ascii="Garamond" w:eastAsia="Times New Roman" w:hAnsi="Garamond" w:cs="Times New Roman"/>
                <w:spacing w:val="-4"/>
                <w:sz w:val="18"/>
                <w:szCs w:val="18"/>
                <w:lang w:val="sq-AL"/>
              </w:rPr>
              <w:br/>
              <w:t>Akti lidhet me Strategjinë për Menaxhimin e Financave Publike 2014–2020.</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Pika 2.1 Stabiliteti makroekonomik</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6</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krijimin dhe funksionimin e Qendrës së Trajnimit të Administratës Tatimore dhe </w:t>
            </w:r>
            <w:r w:rsidRPr="00B130BB">
              <w:rPr>
                <w:rFonts w:ascii="Garamond" w:eastAsia="Times New Roman" w:hAnsi="Garamond" w:cs="Times New Roman"/>
                <w:spacing w:val="-4"/>
                <w:sz w:val="18"/>
                <w:szCs w:val="18"/>
                <w:lang w:val="sq-AL"/>
              </w:rPr>
              <w:lastRenderedPageBreak/>
              <w:t>Doganore”, rishikim</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bookmarkStart w:id="2" w:name="RANGE!D9"/>
            <w:r w:rsidRPr="00B130BB">
              <w:rPr>
                <w:rFonts w:ascii="Garamond" w:eastAsia="Times New Roman" w:hAnsi="Garamond" w:cs="Times New Roman"/>
                <w:spacing w:val="-4"/>
                <w:sz w:val="18"/>
                <w:szCs w:val="18"/>
                <w:lang w:val="sq-AL"/>
              </w:rPr>
              <w:t>Katërmujori I</w:t>
            </w:r>
            <w:bookmarkEnd w:id="2"/>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Ky projektvendim i KM-së është draftuar për të shfuqizuar </w:t>
            </w:r>
            <w:r w:rsidRPr="00B130BB">
              <w:rPr>
                <w:rFonts w:ascii="Garamond" w:eastAsia="Times New Roman" w:hAnsi="Garamond" w:cs="Times New Roman"/>
                <w:spacing w:val="-4"/>
                <w:sz w:val="18"/>
                <w:szCs w:val="18"/>
                <w:lang w:val="sq-AL"/>
              </w:rPr>
              <w:lastRenderedPageBreak/>
              <w:t>VKM-në 1264, datë 16.12.2009, meqenëse DAB, në Ministrinë e Financave, ka konstatuar (dhe rekomanduar ndryshimet përkatëse), kontradikta me kuadrin ligjor ekzistues, konstatimet e vetë QTATD-së në veprimtarinë e përditshme si dhe të Drejtorisë Juridike në Min. e Financave (ligji nr. 90/2012, ligji 9000, datë 30.1.2003, ligji nr. 10296, datë 8.7.2010, ligji nr. 152/2013 dhe atë për arsimin e lartë) në RSH dhe ndryshimet që kërkohen për t’u përputhur me këto akte janë më shumë se 2/3.</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Ky projektvendim i KM-së është draftuar për të përputhur VKM-në </w:t>
            </w:r>
            <w:r w:rsidRPr="00B130BB">
              <w:rPr>
                <w:rFonts w:ascii="Garamond" w:eastAsia="Times New Roman" w:hAnsi="Garamond" w:cs="Times New Roman"/>
                <w:spacing w:val="-4"/>
                <w:sz w:val="18"/>
                <w:szCs w:val="18"/>
                <w:lang w:val="sq-AL"/>
              </w:rPr>
              <w:lastRenderedPageBreak/>
              <w:t>1264, datë 16.12.2009, ekzistuese me kuadrin ligjor ekzistues në RSH.</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QTATD-i, në bashkëpunim me institucionet e tatimeve dhe doganave, të ofrojë në </w:t>
            </w:r>
            <w:r w:rsidRPr="00B130BB">
              <w:rPr>
                <w:rFonts w:ascii="Garamond" w:eastAsia="Times New Roman" w:hAnsi="Garamond" w:cs="Times New Roman"/>
                <w:spacing w:val="-4"/>
                <w:sz w:val="18"/>
                <w:szCs w:val="18"/>
                <w:lang w:val="sq-AL"/>
              </w:rPr>
              <w:lastRenderedPageBreak/>
              <w:t>vazhdimësi një infrastrukturë trajnimi funksionale dhe procedura, standarde trajnimi, si dhe një sistem ligjor efikas të mësimdhënies profesionale, për të mundësuar procesin normal të trajnimit fillestar dhe të vazhdueshëm të personelit në fushën fiskale.</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Përputhshmërinë ligjore të VKM-së ekzistuese nr. 1264, datë 16.12.2009:</w:t>
            </w:r>
            <w:r w:rsidRPr="00B130BB">
              <w:rPr>
                <w:rFonts w:ascii="Garamond" w:eastAsia="Times New Roman" w:hAnsi="Garamond" w:cs="Times New Roman"/>
                <w:spacing w:val="-4"/>
                <w:sz w:val="18"/>
                <w:szCs w:val="18"/>
                <w:lang w:val="sq-AL"/>
              </w:rPr>
              <w:br/>
            </w:r>
            <w:r w:rsidRPr="00B130BB">
              <w:rPr>
                <w:rFonts w:ascii="Garamond" w:eastAsia="Times New Roman" w:hAnsi="Garamond" w:cs="Times New Roman"/>
                <w:spacing w:val="-4"/>
                <w:sz w:val="18"/>
                <w:szCs w:val="18"/>
                <w:lang w:val="sq-AL"/>
              </w:rPr>
              <w:lastRenderedPageBreak/>
              <w:t>- me ligjin nr. 90/2012, “Për organizimin dhe funksionimin e administratës publike”;</w:t>
            </w:r>
            <w:r w:rsidRPr="00B130BB">
              <w:rPr>
                <w:rFonts w:ascii="Garamond" w:eastAsia="Times New Roman" w:hAnsi="Garamond" w:cs="Times New Roman"/>
                <w:spacing w:val="-4"/>
                <w:sz w:val="18"/>
                <w:szCs w:val="18"/>
                <w:lang w:val="sq-AL"/>
              </w:rPr>
              <w:br/>
              <w:t>- me ligjin nr. 10296, datë 8.7.2010, “Për menaxhimin financiar dhe kontrollin”;</w:t>
            </w:r>
            <w:r w:rsidRPr="00B130BB">
              <w:rPr>
                <w:rFonts w:ascii="Garamond" w:eastAsia="Times New Roman" w:hAnsi="Garamond" w:cs="Times New Roman"/>
                <w:spacing w:val="-4"/>
                <w:sz w:val="18"/>
                <w:szCs w:val="18"/>
                <w:lang w:val="sq-AL"/>
              </w:rPr>
              <w:br/>
              <w:t>- me ligjin nr. 152/2013, “Për nëpunësin civil”.</w:t>
            </w:r>
            <w:r w:rsidRPr="00B130BB">
              <w:rPr>
                <w:rFonts w:ascii="Garamond" w:eastAsia="Times New Roman" w:hAnsi="Garamond" w:cs="Times New Roman"/>
                <w:spacing w:val="-4"/>
                <w:sz w:val="18"/>
                <w:szCs w:val="18"/>
                <w:lang w:val="sq-AL"/>
              </w:rPr>
              <w:br/>
              <w:t>Akti lidhet me Strategjinë për Menaxhimin e Financave Publike, 2014–2020.</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Po</w:t>
            </w:r>
            <w:r w:rsidRPr="00B130BB">
              <w:rPr>
                <w:rFonts w:ascii="Garamond" w:eastAsia="Times New Roman" w:hAnsi="Garamond" w:cs="Times New Roman"/>
                <w:spacing w:val="-4"/>
                <w:sz w:val="18"/>
                <w:szCs w:val="18"/>
                <w:lang w:val="sq-AL"/>
              </w:rPr>
              <w:br/>
              <w:t>Pjesa 2 – Kriteret politike dhe ekonom</w:t>
            </w:r>
            <w:r w:rsidRPr="00B130BB">
              <w:rPr>
                <w:rFonts w:ascii="Garamond" w:eastAsia="Times New Roman" w:hAnsi="Garamond" w:cs="Times New Roman"/>
                <w:spacing w:val="-4"/>
                <w:sz w:val="18"/>
                <w:szCs w:val="18"/>
                <w:lang w:val="sq-AL"/>
              </w:rPr>
              <w:lastRenderedPageBreak/>
              <w:t>ike</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Kapitulli II. Rritje e qëndrueshme gjithëpërfshirëse. 2.1 </w:t>
            </w:r>
            <w:r w:rsidRPr="00B130BB">
              <w:rPr>
                <w:rFonts w:ascii="Garamond" w:eastAsia="Times New Roman" w:hAnsi="Garamond" w:cs="Times New Roman"/>
                <w:spacing w:val="-4"/>
                <w:sz w:val="18"/>
                <w:szCs w:val="18"/>
                <w:lang w:val="sq-AL"/>
              </w:rPr>
              <w:lastRenderedPageBreak/>
              <w:t>Stabiliteti makroekonomik.</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7</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“Për disa ndryshime dhe shtesa në ligjin nr. 10247, datë 4.3.2010, “Për kornizën shqiptare të kualifikimeve””</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Arsimit, Sportit dhe Rinisë dhe 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Reflektimi i ndryshimeve të ndodhura në fushën e kualifikimeve, gjatë viteve të fundit.</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niveleve të kornizës shqiptare të kualifikimeve.</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Saktësimi i kualifikimeve që ofrohen nga sistemi arsimor në vendin tonë dhe referencimi i tyre me kornizën evropiane të kualifikimeve.</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Përshkrimi i detajuar i kualifikimeve që ofrohen nga çdo nivel dhe mekanizmat që monitorojnë dhe kontrollojnë cilësinë e </w:t>
            </w:r>
            <w:r w:rsidRPr="00B130BB">
              <w:rPr>
                <w:rFonts w:ascii="Garamond" w:eastAsia="Times New Roman" w:hAnsi="Garamond" w:cs="Times New Roman"/>
                <w:spacing w:val="-4"/>
                <w:sz w:val="18"/>
                <w:szCs w:val="18"/>
                <w:lang w:val="sq-AL"/>
              </w:rPr>
              <w:lastRenderedPageBreak/>
              <w:t>ofruar.</w:t>
            </w:r>
            <w:r w:rsidRPr="00B130BB">
              <w:rPr>
                <w:rFonts w:ascii="Garamond" w:eastAsia="Times New Roman" w:hAnsi="Garamond" w:cs="Times New Roman"/>
                <w:spacing w:val="-4"/>
                <w:sz w:val="18"/>
                <w:szCs w:val="18"/>
                <w:lang w:val="sq-AL"/>
              </w:rPr>
              <w:br/>
              <w:t>Akti lidhet me Strategjinë Kombëtare të Punësimit dhe Aftësive, 2014– 2020.</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Po. Kapitulli 19 - Politikat sociale dhe punësimi</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Pika 3.3 Shëndetësia dhe kujdesi social (faqe 21)</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8</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miratimin, hapjen dhe mbylljen e ofruesve publikë të AFP-së”</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Autorizohet nga ligji nr. 15/2017, datë 16.2.2017, “Për arsimin dhe formimin profesional në Republikën e Shqipërisë”.</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kritereve të miratimit, të hapjes dhe të mbylljes së ofruesve publikë të AFP-së.</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Saktësimi i procedurave që nevojiten për miratimin, hapjen dhe mbylljen e ofruesve publikë të AFP-së.</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Vendos procedura, rregulla dhe kritere për miratimin, hapjen dhe mbylljen e ofruesve publikë të AFP-së.</w:t>
            </w:r>
            <w:r w:rsidRPr="00B130BB">
              <w:rPr>
                <w:rFonts w:ascii="Garamond" w:eastAsia="Times New Roman" w:hAnsi="Garamond" w:cs="Times New Roman"/>
                <w:spacing w:val="-4"/>
                <w:sz w:val="18"/>
                <w:szCs w:val="18"/>
                <w:lang w:val="sq-AL"/>
              </w:rPr>
              <w:br/>
              <w:t>Akti lidhet me Strategjinë Kombëtare të Punësimit dhe Aftësive, 2014–2020.</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 Kapitulli 19 - Politikat sociale dhe punësimi</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Pika 3.3 Shëndetësia dhe kujdesi social (faqe 21)</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9</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organizimin, funksionimin dhe kompetencat e Agjencisë Kombëtare të Punësimit dhe Aftësive”</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Autorizohet nga ligji nr. 15/2017, datë 16.2.2017, “Për arsimin dhe formimin profesional në Republikën e Shqipërisë”.</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kompetencave të Agjencisë Kombëtare të Punësimit dhe Aftësive (AKPA), në fushën e menaxhimit të ofruesve publikë të AFP-së.</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Qartësimi i rolit dhe i detyrave të AKPA-së në menaxhimin dhe administrimin e ofruesve të AFP-së.</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Vendos procedurat, rregullat dhe raportet që do të rregullojnë aktivitetin e ofruesve publikë të AFP-së nën administrimin e AKPA-së.</w:t>
            </w:r>
            <w:r w:rsidRPr="00B130BB">
              <w:rPr>
                <w:rFonts w:ascii="Garamond" w:eastAsia="Times New Roman" w:hAnsi="Garamond" w:cs="Times New Roman"/>
                <w:spacing w:val="-4"/>
                <w:sz w:val="18"/>
                <w:szCs w:val="18"/>
                <w:lang w:val="sq-AL"/>
              </w:rPr>
              <w:br/>
              <w:t>Akti lidhet me Strategjinë Kombëtare të Punësimit dhe Aftësive, 2014–2020”.</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 Kapitulli 19 - Politikat Sociale dhe Punësimi</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Pika 3.3 Shëndetësia dhe kujdesi social (faqe 21)</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10</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organizimin dhe veprimtarinë e Agjencisë Kombëtare të Arsimit, Formimit Profesional dhe Kualifikimeve”</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Autorizohet nga ligji nr. 15/2017, datë 16.2.2017, “Për arsimin dhe formimin profesional në Republikën e Shqipërisë”.</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Përcaktimi i funksioneve dhe i kompetencave të Agjencisë Kombëtare të Arsimit, Formimit Profesional dhe Kualifikimeve (AKAFPK), në fushën e </w:t>
            </w:r>
            <w:r w:rsidRPr="00B130BB">
              <w:rPr>
                <w:rFonts w:ascii="Garamond" w:eastAsia="Times New Roman" w:hAnsi="Garamond" w:cs="Times New Roman"/>
                <w:spacing w:val="-4"/>
                <w:sz w:val="18"/>
                <w:szCs w:val="18"/>
                <w:lang w:val="sq-AL"/>
              </w:rPr>
              <w:lastRenderedPageBreak/>
              <w:t>AFP-së.</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Rritja e rolit dhe rëndësisë së AKAFPK-së në fushën e AFP-së dhe të kualifikimeve profesionale, duke synuar qasjen e tyre me ato të rajonit dhe të BE-së.</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Vendos procedurat, kriteret dhe rregullat që rregullojnë aktivitetin e AKAFPK-së.</w:t>
            </w:r>
            <w:r w:rsidRPr="00B130BB">
              <w:rPr>
                <w:rFonts w:ascii="Garamond" w:eastAsia="Times New Roman" w:hAnsi="Garamond" w:cs="Times New Roman"/>
                <w:spacing w:val="-4"/>
                <w:sz w:val="18"/>
                <w:szCs w:val="18"/>
                <w:lang w:val="sq-AL"/>
              </w:rPr>
              <w:br/>
              <w:t xml:space="preserve">Akti lidhet me Strategjinë Kombëtare të Punësimit dhe Aftësive, </w:t>
            </w:r>
            <w:r w:rsidRPr="00B130BB">
              <w:rPr>
                <w:rFonts w:ascii="Garamond" w:eastAsia="Times New Roman" w:hAnsi="Garamond" w:cs="Times New Roman"/>
                <w:spacing w:val="-4"/>
                <w:sz w:val="18"/>
                <w:szCs w:val="18"/>
                <w:lang w:val="sq-AL"/>
              </w:rPr>
              <w:lastRenderedPageBreak/>
              <w:t>2014–2020.</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Po. Kapitulli 19 - Politikat sociale dhe punësimi</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Pika 3.3 Shëndetësia dhe kujdesi social (faqe 21)</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11</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përbërjen dhe fushën e veprimtarisë së Këshillit Kombëtar të AFP-së”</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Autorizohet nga ligji nr. 15/2017, datë 16.2.2017, “Për arsimin dhe formimin profesional në Republikën e Shqipërisë”.</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përbërjes dhe fushës së veprimtarisë së Këshillit Kombëtar të AFP-së (KKAFP).</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Saktësimi i institucioneve që do të përfaqësohen në KKAFP dhe çfarë fushe do të mbulojë.</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Vendos se kush do të jetë anëtar dhe se çfarë do të bëjë KKAFP-ja.</w:t>
            </w:r>
            <w:r w:rsidRPr="00B130BB">
              <w:rPr>
                <w:rFonts w:ascii="Garamond" w:eastAsia="Times New Roman" w:hAnsi="Garamond" w:cs="Times New Roman"/>
                <w:spacing w:val="-4"/>
                <w:sz w:val="18"/>
                <w:szCs w:val="18"/>
                <w:lang w:val="sq-AL"/>
              </w:rPr>
              <w:br/>
              <w:t>Akti lidhet me Strategjinë Kombëtare të Punësimit dhe Aftësive, 2014–2020.</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 Kapitulli 19 - Politikat sociale dhe punësimi</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Pika 3.3 Shëndetësia dhe kujdesi social (faqe 21)</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12</w:t>
            </w:r>
          </w:p>
        </w:tc>
        <w:tc>
          <w:tcPr>
            <w:tcW w:w="815"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funksionet e anëtarësisë dhe modalitetet e punës së Këshillit Kombëtar të AFP-së”</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Autorizohet nga ligji nr. 15/2017, datë 16.2.2017, “Për arsimin dhe formimin profesional në Republikën e Shqipërisë”.</w:t>
            </w:r>
          </w:p>
        </w:tc>
        <w:tc>
          <w:tcPr>
            <w:tcW w:w="581"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Përcakton funksionet e anëtarësisë dhe modalitetet e punës së KKAFP-së.</w:t>
            </w:r>
          </w:p>
        </w:tc>
        <w:tc>
          <w:tcPr>
            <w:tcW w:w="602"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Saktësimi dhe konkretizimi i funksioneve dhe se kush do të jenë modalitetet dhe procedurat e punës dhe të aktivitetit të KKAFP-së.</w:t>
            </w:r>
          </w:p>
        </w:tc>
        <w:tc>
          <w:tcPr>
            <w:tcW w:w="558"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Fushën e aktivitetit të KKAFP-së.</w:t>
            </w:r>
            <w:r w:rsidRPr="00B130BB">
              <w:rPr>
                <w:rFonts w:ascii="Garamond" w:eastAsia="Times New Roman" w:hAnsi="Garamond" w:cs="Times New Roman"/>
                <w:spacing w:val="-4"/>
                <w:sz w:val="18"/>
                <w:szCs w:val="18"/>
                <w:lang w:val="sq-AL"/>
              </w:rPr>
              <w:br/>
              <w:t>Akti lidhet me Strategjinë Kombëtare të Punësimit dhe Aftësive, 2014–2020.</w:t>
            </w:r>
          </w:p>
        </w:tc>
        <w:tc>
          <w:tcPr>
            <w:tcW w:w="414"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 Kapitulli 19 - Politikat sociale dhe punësimi</w:t>
            </w:r>
          </w:p>
        </w:tc>
        <w:tc>
          <w:tcPr>
            <w:tcW w:w="464"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Pika 3.3 Shëndetësia dhe kujdesi social (faqe 21)</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13</w:t>
            </w:r>
          </w:p>
        </w:tc>
        <w:tc>
          <w:tcPr>
            <w:tcW w:w="815"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sistemin e njohjes së të nxënit të mëparshëm joformal dhe informal”</w:t>
            </w:r>
          </w:p>
        </w:tc>
        <w:tc>
          <w:tcPr>
            <w:tcW w:w="421"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Autorizohet nga ligji nr. 15/2017, datë 16.2.2017, “Për arsimin dhe formimin profesional në Republikën e Shqipërisë”.</w:t>
            </w:r>
          </w:p>
        </w:tc>
        <w:tc>
          <w:tcPr>
            <w:tcW w:w="581"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Përcakton procedurat dhe rregullat e njohjes së të nxënit të mëparshëm joformal dhe informal.</w:t>
            </w:r>
          </w:p>
        </w:tc>
        <w:tc>
          <w:tcPr>
            <w:tcW w:w="602"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Krijimi i kushteve për njohjen e të nxënit të mëparshëm joformal dhe informal.</w:t>
            </w:r>
          </w:p>
        </w:tc>
        <w:tc>
          <w:tcPr>
            <w:tcW w:w="558"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Vendos se si individët do të kenë mundësi të validojnë kualifikimet e fituara gjate jetës, në mënyrë joformale dhe informale.</w:t>
            </w:r>
            <w:r w:rsidRPr="00B130BB">
              <w:rPr>
                <w:rFonts w:ascii="Garamond" w:eastAsia="Times New Roman" w:hAnsi="Garamond" w:cs="Times New Roman"/>
                <w:spacing w:val="-4"/>
                <w:sz w:val="18"/>
                <w:szCs w:val="18"/>
                <w:lang w:val="sq-AL"/>
              </w:rPr>
              <w:br/>
              <w:t>Akti lidhet me Strategjinë Kombëtare të Punësimit dhe Aftësive, 2014–2020.</w:t>
            </w:r>
          </w:p>
        </w:tc>
        <w:tc>
          <w:tcPr>
            <w:tcW w:w="414"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 Kapitulli 19 - Politikat sociale dhe punësimi</w:t>
            </w:r>
          </w:p>
        </w:tc>
        <w:tc>
          <w:tcPr>
            <w:tcW w:w="464"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Pika 3.3 Shëndetësia dhe kujdesi social (faqe 21)</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14</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dokumentacionin, procedurat dhe kriteret për kryerjen e inspektimeve shtetërore të sistemit të AFP-së”</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Autorizohet nga ligji nr. 15/2017, datë 16.2.2017, “Për arsimin dhe formimin profesional në Republikën e Shqipërisë”.</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Përcakton dokumentacionin, procedurat dhe kriteret për kryerjen e inspektimeve shtetërore në sistemin e AFP-së.</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Krijimi i hapësirave dhe i kushteve për sistemin e inspektimeve shtetërore në sistemin e AFP-së.</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Vendos kush dhe se si do të realizohet inspektimi shtetëror në sistemin e AFP-së. </w:t>
            </w:r>
            <w:r w:rsidRPr="00B130BB">
              <w:rPr>
                <w:rFonts w:ascii="Garamond" w:eastAsia="Times New Roman" w:hAnsi="Garamond" w:cs="Times New Roman"/>
                <w:spacing w:val="-4"/>
                <w:sz w:val="18"/>
                <w:szCs w:val="18"/>
                <w:lang w:val="sq-AL"/>
              </w:rPr>
              <w:br/>
              <w:t xml:space="preserve">Akti lidhet me Strategjinë Kombëtare të Punësimit dhe Aftësive, </w:t>
            </w:r>
            <w:r w:rsidRPr="00B130BB">
              <w:rPr>
                <w:rFonts w:ascii="Garamond" w:eastAsia="Times New Roman" w:hAnsi="Garamond" w:cs="Times New Roman"/>
                <w:spacing w:val="-4"/>
                <w:sz w:val="18"/>
                <w:szCs w:val="18"/>
                <w:lang w:val="sq-AL"/>
              </w:rPr>
              <w:lastRenderedPageBreak/>
              <w:t>2014–2020.</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Po. Kapitulli 19 - Politikat sociale dhe punësimi</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Pika 3.3 Shëndetësia dhe kujdesi social (faqe 21)</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15</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masën, kriteret e përfitimit dhe procedurat e dhënies së bursave”</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 dhe ministri i Arsimit, Sportit dhe Rinise</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Autorizohet nga ligji nr. 15/2017, datë 16.2.2017, “Për arsimin dhe formimin profesional në Republikën e Shqipërisë”.</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Përcakton masën, kriteret e përfitimit dhe procedurat e dhënies së bursave.</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Stimulimi dhe nxitja e personave nga grupet në nevojë për t’u mbështetur për të ndjekur arsimin profesional.</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Vendos se kush dhe se si do të përfitojnë bursat në sistemin e arsimit profesional.</w:t>
            </w:r>
            <w:r w:rsidRPr="00B130BB">
              <w:rPr>
                <w:rFonts w:ascii="Garamond" w:eastAsia="Times New Roman" w:hAnsi="Garamond" w:cs="Times New Roman"/>
                <w:spacing w:val="-4"/>
                <w:sz w:val="18"/>
                <w:szCs w:val="18"/>
                <w:lang w:val="sq-AL"/>
              </w:rPr>
              <w:br/>
              <w:t>Akti lidhet me Strategjinë Kombëtare të Punësimit dhe Aftësive, 2014–2020.</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 Kapitulli 19 - Politikat sociale dhe punësimi</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Pika 3.3 Shëndetësia dhe kujdesi social (faqe 21)</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16</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“Për disa ndryshime në ligjin nr. 7703, datë 11.5.1993, “Për sigurimet shoqërore në Republikën e Shqipërisë”</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 zbatimin e ligjit 7703.</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Reflektimi i ndryshimeve të strukturës së qeverisë në Këshillin Administrativ të ISSH-së. Përmirësime në komisionet e invalidëve dhe pagesa e përfitimeve afatshkurtra dhe të pensionit të fshatit.</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Përmirësimi i komisionimit të invalidëve, pagesës së përfitimeve afatshkurtra dhe pensionit të fshatit.</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Komisionimi i invalidëve, pagesa e përfitimeve afatshkurtra dhe pensioni i fshatit.</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3.3 Shëndetësia dhe kujdesi social</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17</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në zbatim të ligjit nr. 8/2017, “Për statusin e punonjësve të industrisë së naftës dhe të gazit”</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 dhe ministri i Infrastrukturës dhe Energjisë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 zbatimin e ligjit nr. 8/2017 “Për statusin e punonjësve të industrisë së naftës dhe të gazit”.</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kritereve për përfitimin e pensionit të punonjësve të industrisë së naftës dhe të gazit për arsye të karakterit të veçantë të punës dhe ndikimin e saj në shëndet, si dhe garancitë ligjore për zbatimin e tyre.</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Rregullimi i përfitimit të pensionit nga punonjësit e industrisë së naftës dhe të gazit.</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Pensioni i punonjësve të industrisë së naftës dhe të gazit.</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3.3 Shëndetësia dhe kujdesi social</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18</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në zbatim të ligjit nr. 72/2017, “Për faljen e detyrimeve ndaj fondit të sigurimeve shoqërore të personave në pension invaliditeti”, sipas ligjit nr. 7703, datë </w:t>
            </w:r>
            <w:r w:rsidRPr="00B130BB">
              <w:rPr>
                <w:rFonts w:ascii="Garamond" w:eastAsia="Times New Roman" w:hAnsi="Garamond" w:cs="Times New Roman"/>
                <w:spacing w:val="-4"/>
                <w:sz w:val="18"/>
                <w:szCs w:val="18"/>
                <w:lang w:val="sq-AL"/>
              </w:rPr>
              <w:lastRenderedPageBreak/>
              <w:t>11.5.1993, “Për sigurimet shoqërore në Republikën e Shqipërisë”, të ndryshuar, dhe të personave në pension, sipas ligjit nr. 150/2014, “Për pensionet e punonjësve që kanë punuar në miniera, në nëntokë”, të krijuara për shkak të punësimit gjatë kohës së përfitimit të pensionit.</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 zbatimin e ligjit nr. 72/2017.</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Falja e detyrimeve ndaj fondit të sigurimeve shoqërore të personave në pension invaliditeti dhe të personave që </w:t>
            </w:r>
            <w:r w:rsidRPr="00B130BB">
              <w:rPr>
                <w:rFonts w:ascii="Garamond" w:eastAsia="Times New Roman" w:hAnsi="Garamond" w:cs="Times New Roman"/>
                <w:spacing w:val="-4"/>
                <w:sz w:val="18"/>
                <w:szCs w:val="18"/>
                <w:lang w:val="sq-AL"/>
              </w:rPr>
              <w:lastRenderedPageBreak/>
              <w:t>kanë marrë pension, pasi kanë punuar gjatë kohës që kanë përfituar pension.</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Falja e detyrimeve ndaj fondit të sigurimeve shoqërore të personave në pension invaliditeti dhe të personave që </w:t>
            </w:r>
            <w:r w:rsidRPr="00B130BB">
              <w:rPr>
                <w:rFonts w:ascii="Garamond" w:eastAsia="Times New Roman" w:hAnsi="Garamond" w:cs="Times New Roman"/>
                <w:spacing w:val="-4"/>
                <w:sz w:val="18"/>
                <w:szCs w:val="18"/>
                <w:lang w:val="sq-AL"/>
              </w:rPr>
              <w:lastRenderedPageBreak/>
              <w:t>kanë marrë pension, pasi kanë punuar në miniera, në nëntokë, të cilat kanë rezultuar si shkak i punësimit të tyre gjatë kohës që përfitonin pensionin.</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Falja e detyrimeve ndaj fondit të sigurimeve shoqërore.</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3.3 Shëndetësia dhe kujdesi social</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19</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disa ndryshime në VKM-në nr. 77, datë 28.1.2015, “Për kontributet e detyrueshme dhe përfitimet nga sistemi i sigurimeve shoqërore dhe shëndetësore”,  të ndryshuar</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 zbatimin e ligjit nr. 7703, të ligjit nr. 10383, të ligjit nr. 10142, të ligjit nr. 8097, të ligjit nr. 10139, të ligjit nr. 150/2014, dhe të ligjit nr. 9136.</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Zbatimi i dispozitave ligjore që përcaktojnë indeksimin e masës së pensioneve, efekton dhe bën të detyrueshme edhe disa shtesa e ndryshime në VKM-në nr. 77/2015, në lidhje me përcaktimin e pensionit social, sipas dispozitave ligjore në fuqi, shumën bazë të pensionit, si dhe përcaktimin e një tarife kontributive për sigurimin shoqëror të personave të vetëpunësuar në bujqësi.</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Reflektimi i indeksimit të masës së pensioneve në VKM-në nr. 77/2015, në lidhje me përcaktimin e pensionit social, shumën bazë të pensionit, si dhe përcaktimin e një tarife kontributive për sigurimin shoqëror të personave të vetëpunësuar në bujqësi.</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Ndikimin e indeksimit të masës së pensioneve të pensioni social, sipas dispozitave ligjore në fuqi, shumës bazë të pensionit, si dhe përcaktimin e një tarife kontributive për sigurimin shoqëror të personave të vetëpunësuar në bujqësi.</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3.3 Shëndetësia dhe kujdesi social</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20</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disa ndryshime në VKM-në nr. 77, datë 28.1.2015”, për kontributet e detyrueshme dhe përfitimet nga sistemi i sigurimeve shoqërore dhe shëndetit shëndetësor”, të ndryshuar</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 zbatimin e ligjit nr. 7703 dhe të ligjit nr. 9136.</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Reflektimi i rritjes së pagave në masën e kontributeve. Diferencimi i masës së kontributeve në zbatim të ndryshimeve të pritshme në legjislacionin e sigurimeve </w:t>
            </w:r>
            <w:r w:rsidRPr="00B130BB">
              <w:rPr>
                <w:rFonts w:ascii="Garamond" w:eastAsia="Times New Roman" w:hAnsi="Garamond" w:cs="Times New Roman"/>
                <w:spacing w:val="-4"/>
                <w:sz w:val="18"/>
                <w:szCs w:val="18"/>
                <w:lang w:val="sq-AL"/>
              </w:rPr>
              <w:lastRenderedPageBreak/>
              <w:t>shoqërore.</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Përcaktimi i masës së kontributeve dhe procedurat e mbledhjes së tyre.</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Mbledhjen e kontributeve</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3.3 Shëndetësia dhe kujdesi social</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21</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një shtesë në vendimin nr. 78, datë 28.1.2015, të Këshillit të Ministrave, “Për zbatimin e ligjit 150/2014, “Për punonjësit që kanë punuar në miniera në nëntokë””</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 zbatimin e ligjit 150/2014, “Për punonjësit që kanë punuar në miniera në nëntokë”.</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Shtimi i kategorive të profesioneve që përfitojnë nga VKM-ja nr. 78/2015.</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Përfshirja në punët e nëntokës për efekt pensioni edhe të atyre personave që kanë punuar në profesionet mekanik, elektricist dhe punonjës të tjerë të nëntokës, në miniera dhe gjeologji, kur kjo punë është kryer në nëntokë gjatë gjithë ditës.</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Pensionet e personave që kanë punuar në profesionet mekanik, elektricist dhe punonjës të tjerë të nëntokës në miniera dhe gjeologji, kur kjo punë është kryer në nëntokë. </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3.3 Shëndetësia dhe kujdesi social</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22</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indeksimin e pensioneve”</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 indeksimin e pensioneve</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Mbajtja në nivele optimale, vlerën reale të pensioneve dhe të përfitimeve të tjera sociale, duke rikuperuar dhe rimbursuar efektet e rritjes së indeksit të çmimeve.</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Rikuperimi dhe rimbursimi i efekteve të rritjes së indeksit të çmimeve.</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Mbajtja në nivele optimale, vlerën reale të pensioneve dhe përfitimeve të tjera sociale.</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3.3 Shëndetësia dhe kujdesi social</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23</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shpërblimin e pensionistëve për festat e fundvitit”, 2018</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Shpërblimi i pensionistëve për festat e fundvitit, 2018</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Shpërblimi i pensionistëve për festat e fundvitit, 2018</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Shpërblimi i pensionistëve </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Masa e shpërblimit të pensionistëve </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3.3 Shëndetësia dhe kujdesi social</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24</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disa ndryshime në VKM-në nr. 548/2016, “Për miratimin e kritereve, rregullave dhe të procedurave për përfitimin e pensioneve shtetërore suplementare të personave që kryejnë funksione kushtetuese dhe të punonjësve të shtetit”</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Zbatimi i ligjit 8097</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 reflektimin e ndryshimeve të legjislacionit në kuadër të reformës në drejtësi, duke përfshirë në këtë VKM institucionet e reja të krijuara.</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Përfshirja në skemën e sigurimeve shoqërore suplementare të punonjësve të institucioneve të krijuara në kuadër të reformës në drejtësi</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Pensionet suplementare të punonjëse të institucioneve të krijuara në kuadër të reformës në drejtësi</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3.3 Shëndetësia dhe kujdesi social</w:t>
            </w:r>
          </w:p>
        </w:tc>
      </w:tr>
      <w:tr w:rsidR="00B130BB" w:rsidRPr="00B130BB" w:rsidTr="00842C95">
        <w:trPr>
          <w:trHeight w:val="180"/>
        </w:trPr>
        <w:tc>
          <w:tcPr>
            <w:tcW w:w="153"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25</w:t>
            </w:r>
          </w:p>
        </w:tc>
        <w:tc>
          <w:tcPr>
            <w:tcW w:w="815"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“Për nxitjen e punësimit”</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w:t>
            </w:r>
            <w:r w:rsidRPr="00B130BB">
              <w:rPr>
                <w:rFonts w:ascii="Garamond" w:eastAsia="Times New Roman" w:hAnsi="Garamond" w:cs="Times New Roman"/>
                <w:spacing w:val="-4"/>
                <w:sz w:val="18"/>
                <w:szCs w:val="18"/>
                <w:lang w:val="sq-AL"/>
              </w:rPr>
              <w:lastRenderedPageBreak/>
              <w:t>misë</w:t>
            </w:r>
          </w:p>
        </w:tc>
        <w:tc>
          <w:tcPr>
            <w:tcW w:w="437"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Katërmujori III</w:t>
            </w:r>
          </w:p>
        </w:tc>
        <w:tc>
          <w:tcPr>
            <w:tcW w:w="556"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Disa aspekte të tregut të punës dhe ofertës së </w:t>
            </w:r>
            <w:r w:rsidRPr="00B130BB">
              <w:rPr>
                <w:rFonts w:ascii="Garamond" w:eastAsia="Times New Roman" w:hAnsi="Garamond" w:cs="Times New Roman"/>
                <w:spacing w:val="-4"/>
                <w:sz w:val="18"/>
                <w:szCs w:val="18"/>
                <w:lang w:val="sq-AL"/>
              </w:rPr>
              <w:lastRenderedPageBreak/>
              <w:t>aftësive kërkojnë ndryshime rrënjësore dhe në të njëjtën kohë sistemi duhet të vazhdojë të hartojë politika të cilat janë domethënëse për situatën aktuale</w:t>
            </w:r>
          </w:p>
        </w:tc>
        <w:tc>
          <w:tcPr>
            <w:tcW w:w="581"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Identifikimi dhe skicimi i politikave të duhura </w:t>
            </w:r>
            <w:r w:rsidRPr="00B130BB">
              <w:rPr>
                <w:rFonts w:ascii="Garamond" w:eastAsia="Times New Roman" w:hAnsi="Garamond" w:cs="Times New Roman"/>
                <w:spacing w:val="-4"/>
                <w:sz w:val="18"/>
                <w:szCs w:val="18"/>
                <w:lang w:val="sq-AL"/>
              </w:rPr>
              <w:lastRenderedPageBreak/>
              <w:t xml:space="preserve">nxitëse të punësimit në vend dhe të kualifikimit profesional të forcës së punës, me qëllim që të hapen vende pune cilësore dhe mundësi për aftësi gjatë të gjithë ciklit të jetës. </w:t>
            </w:r>
          </w:p>
        </w:tc>
        <w:tc>
          <w:tcPr>
            <w:tcW w:w="602"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Projektligji ka në qendër të tij rritjen e mundësive </w:t>
            </w:r>
            <w:r w:rsidRPr="00B130BB">
              <w:rPr>
                <w:rFonts w:ascii="Garamond" w:eastAsia="Times New Roman" w:hAnsi="Garamond" w:cs="Times New Roman"/>
                <w:spacing w:val="-4"/>
                <w:sz w:val="18"/>
                <w:szCs w:val="18"/>
                <w:lang w:val="sq-AL"/>
              </w:rPr>
              <w:lastRenderedPageBreak/>
              <w:t xml:space="preserve">për punë të denjë nëpërmjet politikave efikase të tregut të punës, nxitjen e përfshirjes dhe kohezionit social, si dhe fuqizimin e tregut të punës. </w:t>
            </w:r>
          </w:p>
        </w:tc>
        <w:tc>
          <w:tcPr>
            <w:tcW w:w="558"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Rregullon funksionet e sistemit publik të </w:t>
            </w:r>
            <w:r w:rsidRPr="00B130BB">
              <w:rPr>
                <w:rFonts w:ascii="Garamond" w:eastAsia="Times New Roman" w:hAnsi="Garamond" w:cs="Times New Roman"/>
                <w:spacing w:val="-4"/>
                <w:sz w:val="18"/>
                <w:szCs w:val="18"/>
                <w:lang w:val="sq-AL"/>
              </w:rPr>
              <w:lastRenderedPageBreak/>
              <w:t>shërbimeve të punësimit, programeve aktive dhe pasive të tregut të punës, formimit profesional, si dhe institucioneve përgjegjëse për menaxhimin e tyre.</w:t>
            </w:r>
            <w:r w:rsidRPr="00B130BB">
              <w:rPr>
                <w:rFonts w:ascii="Garamond" w:eastAsia="Times New Roman" w:hAnsi="Garamond" w:cs="Times New Roman"/>
                <w:spacing w:val="-4"/>
                <w:sz w:val="18"/>
                <w:szCs w:val="18"/>
                <w:lang w:val="sq-AL"/>
              </w:rPr>
              <w:br/>
              <w:t>Akti lidhet me Strategjinë Kombëtare të Punësimit dhe Aftësive, 2014–2020.</w:t>
            </w:r>
          </w:p>
        </w:tc>
        <w:tc>
          <w:tcPr>
            <w:tcW w:w="414"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Po</w:t>
            </w:r>
          </w:p>
        </w:tc>
        <w:tc>
          <w:tcPr>
            <w:tcW w:w="464"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Pika 1.2. Një votë për “Shqipëri</w:t>
            </w:r>
            <w:r w:rsidRPr="00B130BB">
              <w:rPr>
                <w:rFonts w:ascii="Garamond" w:eastAsia="Times New Roman" w:hAnsi="Garamond" w:cs="Times New Roman"/>
                <w:spacing w:val="-4"/>
                <w:sz w:val="18"/>
                <w:szCs w:val="18"/>
                <w:lang w:val="sq-AL"/>
              </w:rPr>
              <w:lastRenderedPageBreak/>
              <w:t>në që duam, shtet, punë-mirëqenie” (faqja 7 në program).</w:t>
            </w:r>
          </w:p>
        </w:tc>
      </w:tr>
      <w:tr w:rsidR="00B130BB" w:rsidRPr="00B130BB" w:rsidTr="00842C95">
        <w:trPr>
          <w:trHeight w:val="180"/>
        </w:trPr>
        <w:tc>
          <w:tcPr>
            <w:tcW w:w="153"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26</w:t>
            </w:r>
          </w:p>
        </w:tc>
        <w:tc>
          <w:tcPr>
            <w:tcW w:w="815"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masën dhe kriteret e përfitimit nga programi i nxitjes së punësimit të punëkërkuesve të papunë, nga grupet e veçanta”</w:t>
            </w:r>
          </w:p>
        </w:tc>
        <w:tc>
          <w:tcPr>
            <w:tcW w:w="421"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6"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 që del në zbatim të ligjit të ri “Për nxitjen e punësimit”.</w:t>
            </w:r>
          </w:p>
        </w:tc>
        <w:tc>
          <w:tcPr>
            <w:tcW w:w="581"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Punësimi i punëkërkuesve të papunë nga grupet e veçanta, nëpërmjet përfshirjes në këtë program të nxitjes së punësimit, për t’iu përgjigjur më mirë nevojave të veçanta brenda këtij grupi.</w:t>
            </w:r>
          </w:p>
        </w:tc>
        <w:tc>
          <w:tcPr>
            <w:tcW w:w="602"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Integrimi në tregun e punës të punëkërkuesve të papunë nga grupet e veçanta, të cilët do të punësohen, duke u përfshirë në këtë program.</w:t>
            </w:r>
          </w:p>
        </w:tc>
        <w:tc>
          <w:tcPr>
            <w:tcW w:w="558"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Mbështetja e punëkërkuesve të papune nga grupet e veçanta, duke ofruar një program, që i përputhet më mirë nevojave për punësim të këtij grupi vulnerabël.</w:t>
            </w:r>
            <w:r w:rsidRPr="00B130BB">
              <w:rPr>
                <w:rFonts w:ascii="Garamond" w:eastAsia="Times New Roman" w:hAnsi="Garamond" w:cs="Times New Roman"/>
                <w:spacing w:val="-4"/>
                <w:sz w:val="18"/>
                <w:szCs w:val="18"/>
                <w:lang w:val="sq-AL"/>
              </w:rPr>
              <w:br/>
              <w:t>Akti lidhet me Strategjinë Kombëtare të Punësimit dhe Aftësive, 2014–2020.</w:t>
            </w:r>
          </w:p>
        </w:tc>
        <w:tc>
          <w:tcPr>
            <w:tcW w:w="414"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Pika 1.2. Një votë për “Shqipërinë që duam, shtet, punë-mirëqenie” (faqja 7 në program).</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27</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programin e nxitjes së punësimit, nëpërmjet formimit në punë”</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 që del në zbatim të ligjit të ri “Për nxitjen e punësimit”</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Qëllimi i zbatimit të programit të nxitjes së punësimit, nëpërmjet formimit në punë është formimi profesional i punëkërkuesve të papunë të pakualifikuar dhe më pas punësimi i tyre.</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Kualifikimi i punëkërkuesve të papunë në ambientet e bizneseve, të cilët do të aplikojnë për t’u përfshirë në këtë program, me kusht punësimin e tyre.</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Mbështetjen e punëkërkuesve të papunë të pakualifikuar, duke ofruar një program, që kombinon formimin nëpërmjet punës me punësimin.</w:t>
            </w:r>
            <w:r w:rsidRPr="00B130BB">
              <w:rPr>
                <w:rFonts w:ascii="Garamond" w:eastAsia="Times New Roman" w:hAnsi="Garamond" w:cs="Times New Roman"/>
                <w:spacing w:val="-4"/>
                <w:sz w:val="18"/>
                <w:szCs w:val="18"/>
                <w:lang w:val="sq-AL"/>
              </w:rPr>
              <w:br/>
              <w:t xml:space="preserve">Akti lidhet me Strategjinë Kombëtare </w:t>
            </w:r>
            <w:r w:rsidRPr="00B130BB">
              <w:rPr>
                <w:rFonts w:ascii="Garamond" w:eastAsia="Times New Roman" w:hAnsi="Garamond" w:cs="Times New Roman"/>
                <w:spacing w:val="-4"/>
                <w:sz w:val="18"/>
                <w:szCs w:val="18"/>
                <w:lang w:val="sq-AL"/>
              </w:rPr>
              <w:lastRenderedPageBreak/>
              <w:t>të Punësimit dhe Aftësive, 2014–2020.</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Pika 1.2. Një votë për “Shqipërinë që duam, shtet, punë-mirëqenie” (faqja 7 në program).</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28</w:t>
            </w:r>
          </w:p>
        </w:tc>
        <w:tc>
          <w:tcPr>
            <w:tcW w:w="815"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masën e financimit, kriteret dhe procedurat e zbatimit të programit të nxitjes së punësimit të punёkёrkuesve të papunë të rinj”.</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6"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 që del në zbatim të ligjit të ri “Për nxitjen e punësimit”.</w:t>
            </w:r>
          </w:p>
        </w:tc>
        <w:tc>
          <w:tcPr>
            <w:tcW w:w="581"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Punësimi i punëkërkuesve të papunë të rinj, nëpërmjet përfshirjes në këtë program të nxitjes së punësimit, për t’iu përgjigjur më mirë nevojave brenda këtij grupi.</w:t>
            </w:r>
          </w:p>
        </w:tc>
        <w:tc>
          <w:tcPr>
            <w:tcW w:w="602"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Projektvendimi synon integrimin në tregun e punës së të rinjve me arsim të lartë, në fushat ku ata kanë ndërmarrë studimet.</w:t>
            </w:r>
          </w:p>
        </w:tc>
        <w:tc>
          <w:tcPr>
            <w:tcW w:w="558"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Mbështetjen e punëkërkuesve të papunë të të rinjve me arsim të lartë, në fushat ku ata kanë ndërmarrë studimet, duke ofruar një program të kombinuar punësimi dhe formimi.</w:t>
            </w:r>
            <w:r w:rsidRPr="00B130BB">
              <w:rPr>
                <w:rFonts w:ascii="Garamond" w:eastAsia="Times New Roman" w:hAnsi="Garamond" w:cs="Times New Roman"/>
                <w:spacing w:val="-4"/>
                <w:sz w:val="18"/>
                <w:szCs w:val="18"/>
                <w:lang w:val="sq-AL"/>
              </w:rPr>
              <w:br/>
              <w:t>Akti lidhet me Strategjinë Kombëtare të Punësimit dhe Aftësive, 2014–2020.</w:t>
            </w:r>
          </w:p>
        </w:tc>
        <w:tc>
          <w:tcPr>
            <w:tcW w:w="414"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Pika 1.2. Një votë për “Shqipërinë që duam, shtet, punë-mirëqenie” (faqja 7 në program).</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29</w:t>
            </w:r>
          </w:p>
        </w:tc>
        <w:tc>
          <w:tcPr>
            <w:tcW w:w="815"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programin e nxitjes së punësimit të personave me aftësi të kufizuara”</w:t>
            </w:r>
          </w:p>
        </w:tc>
        <w:tc>
          <w:tcPr>
            <w:tcW w:w="421"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6"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 që del në zbatim të ligjit të ri “Për nxitjen e punësimit”</w:t>
            </w:r>
          </w:p>
        </w:tc>
        <w:tc>
          <w:tcPr>
            <w:tcW w:w="581"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Qëllimi i këtij programi është, që në zbatim të ligjit të nxitjes së punësimit, të bëjë të mundur lehtësimin e punësimit të personave me aftësi të kufizuara, pranë punëdhënësve, duke i nxitur ata me forma të ndryshme mbështetjeje.</w:t>
            </w:r>
          </w:p>
        </w:tc>
        <w:tc>
          <w:tcPr>
            <w:tcW w:w="602"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Rritja e punësimit të punëkërkuesve të papunë, persona me aftësi të kufizuara (PAK) për t’iu përgjigjur më mirë nevojave brenda këtij grupi, nëpërmjet subvencionimit të pagës dhe sigurimeve shoqërore dhe shëndetësore. Formimi nëpërmjet punës do t’i ndihmojë PAK-të, që të mund të mësojnë një profesion të përshtatshëm dhe më pas të punësohen në atë profesion.</w:t>
            </w:r>
          </w:p>
        </w:tc>
        <w:tc>
          <w:tcPr>
            <w:tcW w:w="558"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program specifik i kombinuar, punësim dhe formim nëpërmjet punës, do të ndikojë në lehtësimin e integrimit të kësaj kategorie në tregun e punës, jetën shoqërore dhe ekonomike të vendit.</w:t>
            </w:r>
            <w:r w:rsidRPr="00B130BB">
              <w:rPr>
                <w:rFonts w:ascii="Garamond" w:eastAsia="Times New Roman" w:hAnsi="Garamond" w:cs="Times New Roman"/>
                <w:spacing w:val="-4"/>
                <w:sz w:val="18"/>
                <w:szCs w:val="18"/>
                <w:lang w:val="sq-AL"/>
              </w:rPr>
              <w:br/>
              <w:t>Akti lidhet me Strategjinë Kombëtare të Punësimit dhe Aftësive, 2014–2020.</w:t>
            </w:r>
          </w:p>
        </w:tc>
        <w:tc>
          <w:tcPr>
            <w:tcW w:w="414"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Pika 1.2. Një Votë për “Shqipërinë Që Duam, Shtet, Punë-Mirëqenie” (Faqe 7 në program)</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30</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programin e nxitjes së punësimit të grave dhe vajzave nga grupet e veçanta”</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 që del në zbatim të ligjit të ri “Për nxitjen e punësimit”.</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Punësimit i punëkërkueseve të papunë nga kategoria femrat kryefamiljare dhe vajzat nëna, nëpërmjet përfshirjes në këtë program.</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Rritja e punësimit të punëkërkueseve të papuna femra, kryefamiljare dhe vajzat nëna, për t’iu përgjigjur më mirë nevojave brenda këtij grupi, nëpërmjet subvencionimit të pagës dhe sigurimeve shoqërore dhe shëndetësore.</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Mbështetjen e punëkërkueseve të papuna femra, kryefamiljare dhe vajzat nëna, duke ofruar një program, që i përputhet më mirë nevojave për punësim të këtij grupi vulnerabël.</w:t>
            </w:r>
            <w:r w:rsidRPr="00B130BB">
              <w:rPr>
                <w:rFonts w:ascii="Garamond" w:eastAsia="Times New Roman" w:hAnsi="Garamond" w:cs="Times New Roman"/>
                <w:spacing w:val="-4"/>
                <w:sz w:val="18"/>
                <w:szCs w:val="18"/>
                <w:lang w:val="sq-AL"/>
              </w:rPr>
              <w:br/>
              <w:t>Akti lidhet me strategjinë. Kombëtare të Punësimit dhe Aftësive, 2014–2020.</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Pika 1.2. Një votë për “Shqipërinë që duam, shtet, punë-mirëqenie” (faqja 7 në program).</w:t>
            </w:r>
          </w:p>
        </w:tc>
      </w:tr>
      <w:tr w:rsidR="00B130BB" w:rsidRPr="00B130BB" w:rsidTr="00842C95">
        <w:trPr>
          <w:trHeight w:val="180"/>
        </w:trPr>
        <w:tc>
          <w:tcPr>
            <w:tcW w:w="153"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31</w:t>
            </w:r>
          </w:p>
        </w:tc>
        <w:tc>
          <w:tcPr>
            <w:tcW w:w="815"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programin e nxitjes së punësimit të të rinjve që kanë fituar statusin e jetimit”</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6"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Agjencisë Kombëtare të Punësimit dhe Aftësive</w:t>
            </w:r>
          </w:p>
        </w:tc>
        <w:tc>
          <w:tcPr>
            <w:tcW w:w="581"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Programi ka për qëllim të mbështesë kategorinë e të rinjve nën moshën 30 vjeç, të cilët kanë fituar statusin e jetimit dhe janë të regjistruar si punëkërkues të papunë.</w:t>
            </w:r>
          </w:p>
        </w:tc>
        <w:tc>
          <w:tcPr>
            <w:tcW w:w="602"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Rritja e punësimit të të rinjve nën moshën 30 vjeç, të cilët kanë fituar statusin e jetimit dhe janë të regjistruar si punëkërkues të papunë, për t’ju përgjigjur më mirë nevojave brenda këtij grupi për kualifikim dhe punësim.</w:t>
            </w:r>
          </w:p>
        </w:tc>
        <w:tc>
          <w:tcPr>
            <w:tcW w:w="558"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Mbështetja e këtij grupi punëkërkuesish, duke ofruar një program, që kombinon formimin nëpërmjet punës me subvencionimin e pagës dhe sigurimeve shoqërore dhe shëndetësore.</w:t>
            </w:r>
            <w:r w:rsidRPr="00B130BB">
              <w:rPr>
                <w:rFonts w:ascii="Garamond" w:eastAsia="Times New Roman" w:hAnsi="Garamond" w:cs="Times New Roman"/>
                <w:spacing w:val="-4"/>
                <w:sz w:val="18"/>
                <w:szCs w:val="18"/>
                <w:lang w:val="sq-AL"/>
              </w:rPr>
              <w:br/>
              <w:t>Akti lidhet me Strategjinë Kombëtare të Punësimit dhe Aftësive, 2014–2020.</w:t>
            </w:r>
          </w:p>
        </w:tc>
        <w:tc>
          <w:tcPr>
            <w:tcW w:w="414"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Pika 1.2. Një votë për “Shqipërinë që duam, shtet, punë-mirëqenie” (faqja 7 në program).</w:t>
            </w:r>
          </w:p>
        </w:tc>
      </w:tr>
      <w:tr w:rsidR="00B130BB" w:rsidRPr="00B130BB" w:rsidTr="00842C95">
        <w:trPr>
          <w:trHeight w:val="180"/>
        </w:trPr>
        <w:tc>
          <w:tcPr>
            <w:tcW w:w="153"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32</w:t>
            </w:r>
          </w:p>
        </w:tc>
        <w:tc>
          <w:tcPr>
            <w:tcW w:w="815"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“Për masën e financimit, kriteret dhe procedurat e zbatimit të programeve të praktikave profesionale për punëkërkuesit e papunë që kanë mbaruar arsimin e lartë, brenda apo </w:t>
            </w:r>
            <w:r w:rsidRPr="00B130BB">
              <w:rPr>
                <w:rFonts w:ascii="Garamond" w:eastAsia="Times New Roman" w:hAnsi="Garamond" w:cs="Times New Roman"/>
                <w:spacing w:val="-4"/>
                <w:sz w:val="18"/>
                <w:szCs w:val="18"/>
                <w:lang w:val="sq-AL"/>
              </w:rPr>
              <w:lastRenderedPageBreak/>
              <w:t>jashtë vendit”</w:t>
            </w:r>
          </w:p>
        </w:tc>
        <w:tc>
          <w:tcPr>
            <w:tcW w:w="421"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Financave dhe Ekonomisë</w:t>
            </w:r>
          </w:p>
        </w:tc>
        <w:tc>
          <w:tcPr>
            <w:tcW w:w="437"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6"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 që del në zbatim të ligjit të ri “Për nxitjen e punësimit”</w:t>
            </w:r>
          </w:p>
        </w:tc>
        <w:tc>
          <w:tcPr>
            <w:tcW w:w="581"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Praktikë profesionale për punëkërkuesit e papunë nga grupi i studentëve të sapodiplomuar, për të pasur një kalim nga shkolla në </w:t>
            </w:r>
            <w:r w:rsidRPr="00B130BB">
              <w:rPr>
                <w:rFonts w:ascii="Garamond" w:eastAsia="Times New Roman" w:hAnsi="Garamond" w:cs="Times New Roman"/>
                <w:spacing w:val="-4"/>
                <w:sz w:val="18"/>
                <w:szCs w:val="18"/>
                <w:lang w:val="sq-AL"/>
              </w:rPr>
              <w:lastRenderedPageBreak/>
              <w:t>tregun e punës, nëpërmjet përfshirjes në këtë program.</w:t>
            </w:r>
          </w:p>
        </w:tc>
        <w:tc>
          <w:tcPr>
            <w:tcW w:w="602"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Kryerja e një përvoje pune të punëkërkuesve të papunë nga grupi i studentëve të sapodiplomuar, për t’iu përgjigjur më mirë nevojave brenda këtij </w:t>
            </w:r>
            <w:r w:rsidRPr="00B130BB">
              <w:rPr>
                <w:rFonts w:ascii="Garamond" w:eastAsia="Times New Roman" w:hAnsi="Garamond" w:cs="Times New Roman"/>
                <w:spacing w:val="-4"/>
                <w:sz w:val="18"/>
                <w:szCs w:val="18"/>
                <w:lang w:val="sq-AL"/>
              </w:rPr>
              <w:lastRenderedPageBreak/>
              <w:t>grupi për praktikë profesionale pranë një biznesi apo ndërmarrjeje, nëpërmjet subvencionimit të një financimi për çdo muaj praktik</w:t>
            </w:r>
            <w:r w:rsidRPr="00B130BB">
              <w:rPr>
                <w:rFonts w:ascii="Garamond" w:eastAsia="Times New Roman" w:hAnsi="Garamond" w:cs="Garamond"/>
                <w:spacing w:val="-4"/>
                <w:sz w:val="18"/>
                <w:szCs w:val="18"/>
                <w:lang w:val="sq-AL"/>
              </w:rPr>
              <w:t>e</w:t>
            </w:r>
            <w:r w:rsidRPr="00B130BB">
              <w:rPr>
                <w:rFonts w:ascii="Garamond" w:eastAsia="Times New Roman" w:hAnsi="Garamond" w:cs="Times New Roman"/>
                <w:spacing w:val="-4"/>
                <w:sz w:val="18"/>
                <w:szCs w:val="18"/>
                <w:lang w:val="sq-AL"/>
              </w:rPr>
              <w:t>, n</w:t>
            </w:r>
            <w:r w:rsidRPr="00B130BB">
              <w:rPr>
                <w:rFonts w:ascii="Garamond" w:eastAsia="Times New Roman" w:hAnsi="Garamond" w:cs="Garamond"/>
                <w:spacing w:val="-4"/>
                <w:sz w:val="18"/>
                <w:szCs w:val="18"/>
                <w:lang w:val="sq-AL"/>
              </w:rPr>
              <w:t>ë</w:t>
            </w:r>
            <w:r w:rsidRPr="00B130BB">
              <w:rPr>
                <w:rFonts w:ascii="Garamond" w:eastAsia="Times New Roman" w:hAnsi="Garamond" w:cs="Times New Roman"/>
                <w:spacing w:val="-4"/>
                <w:sz w:val="18"/>
                <w:szCs w:val="18"/>
                <w:lang w:val="sq-AL"/>
              </w:rPr>
              <w:t xml:space="preserve"> mas</w:t>
            </w:r>
            <w:r w:rsidRPr="00B130BB">
              <w:rPr>
                <w:rFonts w:ascii="Garamond" w:eastAsia="Times New Roman" w:hAnsi="Garamond" w:cs="Garamond"/>
                <w:spacing w:val="-4"/>
                <w:sz w:val="18"/>
                <w:szCs w:val="18"/>
                <w:lang w:val="sq-AL"/>
              </w:rPr>
              <w:t>ë</w:t>
            </w:r>
            <w:r w:rsidRPr="00B130BB">
              <w:rPr>
                <w:rFonts w:ascii="Garamond" w:eastAsia="Times New Roman" w:hAnsi="Garamond" w:cs="Times New Roman"/>
                <w:spacing w:val="-4"/>
                <w:sz w:val="18"/>
                <w:szCs w:val="18"/>
                <w:lang w:val="sq-AL"/>
              </w:rPr>
              <w:t>n 100% t</w:t>
            </w:r>
            <w:r w:rsidRPr="00B130BB">
              <w:rPr>
                <w:rFonts w:ascii="Garamond" w:eastAsia="Times New Roman" w:hAnsi="Garamond" w:cs="Garamond"/>
                <w:spacing w:val="-4"/>
                <w:sz w:val="18"/>
                <w:szCs w:val="18"/>
                <w:lang w:val="sq-AL"/>
              </w:rPr>
              <w:t>ë</w:t>
            </w:r>
            <w:r w:rsidRPr="00B130BB">
              <w:rPr>
                <w:rFonts w:ascii="Garamond" w:eastAsia="Times New Roman" w:hAnsi="Garamond" w:cs="Times New Roman"/>
                <w:spacing w:val="-4"/>
                <w:sz w:val="18"/>
                <w:szCs w:val="18"/>
                <w:lang w:val="sq-AL"/>
              </w:rPr>
              <w:t xml:space="preserve"> nivelit baz</w:t>
            </w:r>
            <w:r w:rsidRPr="00B130BB">
              <w:rPr>
                <w:rFonts w:ascii="Garamond" w:eastAsia="Times New Roman" w:hAnsi="Garamond" w:cs="Garamond"/>
                <w:spacing w:val="-4"/>
                <w:sz w:val="18"/>
                <w:szCs w:val="18"/>
                <w:lang w:val="sq-AL"/>
              </w:rPr>
              <w:t>ë</w:t>
            </w:r>
            <w:r w:rsidRPr="00B130BB">
              <w:rPr>
                <w:rFonts w:ascii="Garamond" w:eastAsia="Times New Roman" w:hAnsi="Garamond" w:cs="Times New Roman"/>
                <w:spacing w:val="-4"/>
                <w:sz w:val="18"/>
                <w:szCs w:val="18"/>
                <w:lang w:val="sq-AL"/>
              </w:rPr>
              <w:t xml:space="preserve"> t</w:t>
            </w:r>
            <w:r w:rsidRPr="00B130BB">
              <w:rPr>
                <w:rFonts w:ascii="Garamond" w:eastAsia="Times New Roman" w:hAnsi="Garamond" w:cs="Garamond"/>
                <w:spacing w:val="-4"/>
                <w:sz w:val="18"/>
                <w:szCs w:val="18"/>
                <w:lang w:val="sq-AL"/>
              </w:rPr>
              <w:t>ë</w:t>
            </w:r>
            <w:r w:rsidRPr="00B130BB">
              <w:rPr>
                <w:rFonts w:ascii="Garamond" w:eastAsia="Times New Roman" w:hAnsi="Garamond" w:cs="Times New Roman"/>
                <w:spacing w:val="-4"/>
                <w:sz w:val="18"/>
                <w:szCs w:val="18"/>
                <w:lang w:val="sq-AL"/>
              </w:rPr>
              <w:t xml:space="preserve"> pages</w:t>
            </w:r>
            <w:r w:rsidRPr="00B130BB">
              <w:rPr>
                <w:rFonts w:ascii="Garamond" w:eastAsia="Times New Roman" w:hAnsi="Garamond" w:cs="Garamond"/>
                <w:spacing w:val="-4"/>
                <w:sz w:val="18"/>
                <w:szCs w:val="18"/>
                <w:lang w:val="sq-AL"/>
              </w:rPr>
              <w:t>ë</w:t>
            </w:r>
            <w:r w:rsidRPr="00B130BB">
              <w:rPr>
                <w:rFonts w:ascii="Garamond" w:eastAsia="Times New Roman" w:hAnsi="Garamond" w:cs="Times New Roman"/>
                <w:spacing w:val="-4"/>
                <w:sz w:val="18"/>
                <w:szCs w:val="18"/>
                <w:lang w:val="sq-AL"/>
              </w:rPr>
              <w:t>s s</w:t>
            </w:r>
            <w:r w:rsidRPr="00B130BB">
              <w:rPr>
                <w:rFonts w:ascii="Garamond" w:eastAsia="Times New Roman" w:hAnsi="Garamond" w:cs="Garamond"/>
                <w:spacing w:val="-4"/>
                <w:sz w:val="18"/>
                <w:szCs w:val="18"/>
                <w:lang w:val="sq-AL"/>
              </w:rPr>
              <w:t>ë</w:t>
            </w:r>
            <w:r w:rsidRPr="00B130BB">
              <w:rPr>
                <w:rFonts w:ascii="Garamond" w:eastAsia="Times New Roman" w:hAnsi="Garamond" w:cs="Times New Roman"/>
                <w:spacing w:val="-4"/>
                <w:sz w:val="18"/>
                <w:szCs w:val="18"/>
                <w:lang w:val="sq-AL"/>
              </w:rPr>
              <w:t xml:space="preserve"> papun</w:t>
            </w:r>
            <w:r w:rsidRPr="00B130BB">
              <w:rPr>
                <w:rFonts w:ascii="Garamond" w:eastAsia="Times New Roman" w:hAnsi="Garamond" w:cs="Garamond"/>
                <w:spacing w:val="-4"/>
                <w:sz w:val="18"/>
                <w:szCs w:val="18"/>
                <w:lang w:val="sq-AL"/>
              </w:rPr>
              <w:t>ë</w:t>
            </w:r>
            <w:r w:rsidRPr="00B130BB">
              <w:rPr>
                <w:rFonts w:ascii="Garamond" w:eastAsia="Times New Roman" w:hAnsi="Garamond" w:cs="Times New Roman"/>
                <w:spacing w:val="-4"/>
                <w:sz w:val="18"/>
                <w:szCs w:val="18"/>
                <w:lang w:val="sq-AL"/>
              </w:rPr>
              <w:t>sis</w:t>
            </w:r>
            <w:r w:rsidRPr="00B130BB">
              <w:rPr>
                <w:rFonts w:ascii="Garamond" w:eastAsia="Times New Roman" w:hAnsi="Garamond" w:cs="Garamond"/>
                <w:spacing w:val="-4"/>
                <w:sz w:val="18"/>
                <w:szCs w:val="18"/>
                <w:lang w:val="sq-AL"/>
              </w:rPr>
              <w:t>ë</w:t>
            </w:r>
            <w:r w:rsidRPr="00B130BB">
              <w:rPr>
                <w:rFonts w:ascii="Garamond" w:eastAsia="Times New Roman" w:hAnsi="Garamond" w:cs="Times New Roman"/>
                <w:spacing w:val="-4"/>
                <w:sz w:val="18"/>
                <w:szCs w:val="18"/>
                <w:lang w:val="sq-AL"/>
              </w:rPr>
              <w:t xml:space="preserve">. </w:t>
            </w:r>
          </w:p>
        </w:tc>
        <w:tc>
          <w:tcPr>
            <w:tcW w:w="558"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Mbështetjen e punëkërkuesve të papunë nga grupi i studentëve të sapodiplomuar, duke ofruar një program, që i përfshin ata </w:t>
            </w:r>
            <w:r w:rsidRPr="00B130BB">
              <w:rPr>
                <w:rFonts w:ascii="Garamond" w:eastAsia="Times New Roman" w:hAnsi="Garamond" w:cs="Times New Roman"/>
                <w:spacing w:val="-4"/>
                <w:sz w:val="18"/>
                <w:szCs w:val="18"/>
                <w:lang w:val="sq-AL"/>
              </w:rPr>
              <w:lastRenderedPageBreak/>
              <w:t>në një eksperiencë të parë pune për t’u integruar në tregun e punës.</w:t>
            </w:r>
            <w:r w:rsidRPr="00B130BB">
              <w:rPr>
                <w:rFonts w:ascii="Garamond" w:eastAsia="Times New Roman" w:hAnsi="Garamond" w:cs="Times New Roman"/>
                <w:spacing w:val="-4"/>
                <w:sz w:val="18"/>
                <w:szCs w:val="18"/>
                <w:lang w:val="sq-AL"/>
              </w:rPr>
              <w:br/>
              <w:t>Akti lidhet me Strategjinë Kombëtare të Punësimit dhe Aftësive, 2014–2020.</w:t>
            </w:r>
          </w:p>
        </w:tc>
        <w:tc>
          <w:tcPr>
            <w:tcW w:w="414"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64"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Pika 1.2. Një votë për “Shqipërinë që duam, shtet, punë-mirëqenie” (faqja 7 në program).</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33</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mënyrën e organizimit dhe të funksionimit të agjencive private të punësimit”</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Në ndryshimet e fundit që u bënë në ligjin nr. 7961, datë 12.7.1995, “Kodi i Republikës së Shqipërisë”, u shtuan disa nene për mënyrën e funksionimit të agjencive private të punësimit. Projektvendimi synon të rregullojë pikërisht zbatimin e këtyre neneve të Kodit.</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Në ndryshimet e fundit që u bënë në ligjin nr. 7961, datë 12.7.1995, “Kodi i Republikës së Shqipërisë”, u shtua dhe neni 19, për krijimin dhe funksionimin e agjencive private të punësimit, qëllimi i së cilës është veprimtaria e ndërmjetësimit në punë, si dhe shërbimet që ajo ofron.</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PVKM-ja do të arrijë një mënyrë organizimi dhe funksionimi të agjencive private të punësimit, sipas disa rregullave të përcaktuara.</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Rregullimin e marrëdhënieve të punës së punëmarrësve, që punësohen nga agjencia private e punësimit, e cila ushtron veprimtarinë e saj në cilësinë e punëdhënësit.</w:t>
            </w:r>
            <w:r w:rsidRPr="00B130BB">
              <w:rPr>
                <w:rFonts w:ascii="Garamond" w:eastAsia="Times New Roman" w:hAnsi="Garamond" w:cs="Times New Roman"/>
                <w:spacing w:val="-4"/>
                <w:sz w:val="18"/>
                <w:szCs w:val="18"/>
                <w:lang w:val="sq-AL"/>
              </w:rPr>
              <w:br/>
              <w:t>Akti lidhet me Strategjinë Kombëtare të Punësimit dhe Aftësive, 2014–2020.</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Pika 1.2. Një votë për “Shqipërinë që duam, shtet, punë-mirëqenie” (faqja 7 në program).</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34</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përcaktimin e modelit dhe të përmbajtjes së kontratës mes ndihmësit dhe pronarit të subjektit zejtar”</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Aktin e autorizon ligji nr. 70/2016, “Për zejtarinë në Republikën e Shqipërisë”.</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Përcaktimi i formës së kontratës mes ndihmësit dhe subjektit zejtar. </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Miratimin e kontratës mes ndihmësit dhe subjektit zejtar, e cila duhet, kryesisht, të përmbajë: kohëzgjatjen e kualifikimit; objektin e kualifikimit (zeja që do të mësohet); pagesën për punën që do të kryejë si ndihmës etj.</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Marrëdhëniet e punës ndërmjet ndihmësit dhe pronarit të subjektit zejtar, si dhe njohjen e statusit të ndihmësit, si nxënës dhe garantimin e një kualifikimi me cilësi.</w:t>
            </w:r>
            <w:r w:rsidRPr="00B130BB">
              <w:rPr>
                <w:rFonts w:ascii="Garamond" w:eastAsia="Times New Roman" w:hAnsi="Garamond" w:cs="Times New Roman"/>
                <w:spacing w:val="-4"/>
                <w:sz w:val="18"/>
                <w:szCs w:val="18"/>
                <w:lang w:val="sq-AL"/>
              </w:rPr>
              <w:br/>
              <w:t xml:space="preserve">Akti lidhet me Strategjinë Kombëtare të Punësimit </w:t>
            </w:r>
            <w:r w:rsidRPr="00B130BB">
              <w:rPr>
                <w:rFonts w:ascii="Garamond" w:eastAsia="Times New Roman" w:hAnsi="Garamond" w:cs="Times New Roman"/>
                <w:spacing w:val="-4"/>
                <w:sz w:val="18"/>
                <w:szCs w:val="18"/>
                <w:lang w:val="sq-AL"/>
              </w:rPr>
              <w:lastRenderedPageBreak/>
              <w:t>dhe Aftësive, 2014–2020.</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Pika 1.2. Një votë për “Shqipërinë që duam, shtet, punë-mirëqenie” (faqja 7 në program).</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35</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përcaktimin e kohës që kalon ndihmësi për kualifikimin për njohuritë praktike pranë një mjeshtri dhe koha që kalon ai për njohuritë teorike në një institucion arsimor”</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Aktin e autorizon ligji nr. 70/2016, “Për zejtarinë në Republikën e Shqipërisë”.</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Ndarja e kohës që kalon ndihmësi për kualifikimin për njohuritë praktike pranë një mjeshtri zejesh dhe kohës që kalon ai për njohuritë teorike në një institucion arsimor për të realizuar kualifikimin e tij për zejet, gjë të cilën mund ta ushtrojë vetëm në subjektet zejtare. Të drejtën për të realizuar kualifikimin e kanë vetëm subjektet zejtare të licencuara për këtë qëllim, të cilat vënë në dispozicion një vend të përshtatshëm, si për llojin ashtu edhe për bazën materiale të zejes. </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Përcaktimi i kohës që kalon ndihmësi për kualifikimin për njohuritë praktike pranë një mjeshtri zejesh dhe kohën që kalon ai për njohuritë teorike në një institucion arsimor për të realizuar kualifikimin e ndihmësve. </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Realizimin e kualifikimit të ndihmësve nga subjektet zejtare të licencuara, duke rregulluar raportin e kohës teori/praktikë.</w:t>
            </w:r>
            <w:r w:rsidRPr="00B130BB">
              <w:rPr>
                <w:rFonts w:ascii="Garamond" w:eastAsia="Times New Roman" w:hAnsi="Garamond" w:cs="Times New Roman"/>
                <w:spacing w:val="-4"/>
                <w:sz w:val="18"/>
                <w:szCs w:val="18"/>
                <w:lang w:val="sq-AL"/>
              </w:rPr>
              <w:br/>
              <w:t>Akti lidhet me Strategjinë Kombëtare të Punësimit dhe Aftësive, 2014–2020.</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Pika 1.2. Një votë për “Shqipërinë që duam, shtet, punë-mirëqenie” (faqja 7 në program).</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36</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miratimin e Statutit të Agjencisë Kombëtare të Punësimit dhe Aftësive”</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Agjencisë Kombëtare të Punësimit dhe Aftësive.</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Rregullimi dhe strukturimi më i mirë i organeve përgjegjëse publike të sistemit të shërbimeve të punësimit, të programeve aktive e pasive të tregut të punës.</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Mirëfunksionimin e Agjencisë Kombëtare të Punësimit dhe Aftësive, si i vetmi institucion publik i sistemit publik të shërbimeve të punësimit, të programeve aktive e pasive të tregut të </w:t>
            </w:r>
            <w:r w:rsidRPr="00B130BB">
              <w:rPr>
                <w:rFonts w:ascii="Garamond" w:eastAsia="Times New Roman" w:hAnsi="Garamond" w:cs="Times New Roman"/>
                <w:spacing w:val="-4"/>
                <w:sz w:val="18"/>
                <w:szCs w:val="18"/>
                <w:lang w:val="sq-AL"/>
              </w:rPr>
              <w:lastRenderedPageBreak/>
              <w:t>punës.</w:t>
            </w:r>
            <w:r w:rsidRPr="00B130BB">
              <w:rPr>
                <w:rFonts w:ascii="Garamond" w:eastAsia="Times New Roman" w:hAnsi="Garamond" w:cs="Times New Roman"/>
                <w:color w:val="000000"/>
                <w:spacing w:val="-4"/>
                <w:sz w:val="18"/>
                <w:szCs w:val="18"/>
                <w:lang w:val="sq-AL"/>
              </w:rPr>
              <w:t xml:space="preserve"> </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Projektakti rregullon përbërjen e Këshillit Administrativ Trepalësh, organi drejtues i Agjencisë Kombëtare të Punësimit dhe Aftësive dhe emërtimet sipas VKM-së nr. 503,</w:t>
            </w:r>
            <w:r w:rsidRPr="00B130BB">
              <w:rPr>
                <w:rFonts w:ascii="Garamond" w:eastAsia="Times New Roman" w:hAnsi="Garamond" w:cs="Times New Roman"/>
                <w:color w:val="000000"/>
                <w:spacing w:val="-4"/>
                <w:sz w:val="18"/>
                <w:szCs w:val="18"/>
                <w:lang w:val="sq-AL"/>
              </w:rPr>
              <w:t xml:space="preserve"> datë </w:t>
            </w:r>
            <w:r w:rsidRPr="00B130BB">
              <w:rPr>
                <w:rFonts w:ascii="Garamond" w:eastAsia="Times New Roman" w:hAnsi="Garamond" w:cs="Times New Roman"/>
                <w:color w:val="000000"/>
                <w:spacing w:val="-4"/>
                <w:sz w:val="18"/>
                <w:szCs w:val="18"/>
                <w:lang w:val="sq-AL"/>
              </w:rPr>
              <w:lastRenderedPageBreak/>
              <w:t>13.9.2017, “Për përcaktimin e fushës së përgjegjësisë shtetërore që mbulon Ministria e Financave dhe Ekonomisë”.</w:t>
            </w:r>
            <w:r w:rsidRPr="00B130BB">
              <w:rPr>
                <w:rFonts w:ascii="Garamond" w:eastAsia="Times New Roman" w:hAnsi="Garamond" w:cs="Times New Roman"/>
                <w:color w:val="000000"/>
                <w:spacing w:val="-4"/>
                <w:sz w:val="18"/>
                <w:szCs w:val="18"/>
                <w:lang w:val="sq-AL"/>
              </w:rPr>
              <w:br/>
              <w:t>Akti lidhet me Strategjinë Kombëtare të Punësimit dhe Aftësive, 2014–2020.</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Pika 1.2. Një votë për “Shqipërinë që duam, shtet, punë-mirëqenie” (faqja 7 në program).</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37</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“Ndryshim i VKM-së nr. 393, datë 18.6.2017, “Për një ndryshim në vendimin nr. 1497, datë 19.11.2008, “Për shtypjen e letrave me vlerë”” </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Ministri i Financave dhe Ekonomisë dhe ministri i Drejtësisë </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Monitorimi dhe kontrolli i prodhimit të letrave me vlerë </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Rritja e kontrollit dhe sigurisë </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Mundëson që kontrolli të jetë shumë herë më i lartë, për faktin se Shoqëria Shtypshkronja e Letrave me Vlerë është një institucion që prodhon të gjithë dokumentacionin me vlerë për institucionet shtetërore që janë të përcaktuara në VKM-në nr. 393, datë 18.6.2017.</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Shmangien e procedurave publike, vonesat dhe kjo veprimtari realizohet me nënshkrimin e një kontrate ndërmjet dy institucioneve. </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Rritja e punësimit dhe ulja e informalitetit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38</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miratimin e kuadrit makroekonomik e fiskal për periudhën 2019–2021</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 miratimin e kuadrit makroekonomik e fiskal, për periudhën 2019–2021, në mbështetje të nenit 100 të Kushtetutës dhe të neneve 23 e 27, të ligjit nr. 9936, datë 26.6.2008, </w:t>
            </w:r>
            <w:r w:rsidRPr="00B130BB">
              <w:rPr>
                <w:rFonts w:ascii="Garamond" w:eastAsia="Times New Roman" w:hAnsi="Garamond" w:cs="Times New Roman"/>
                <w:spacing w:val="-4"/>
                <w:sz w:val="18"/>
                <w:szCs w:val="18"/>
                <w:lang w:val="sq-AL"/>
              </w:rPr>
              <w:lastRenderedPageBreak/>
              <w:t>“Për menaxhimin e sistemit buxhetor në Republikën e Shqipërisë”.</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KMF-ja ka për qëllim përcaktimin e përparësive strategjike të qeverisë. Ai projekton pritshmërinë makroekonomike në horizontin kohor afatmesëm, si dhe parashikon nivelin e zërave të agreguar të të ardhurave </w:t>
            </w:r>
            <w:r w:rsidRPr="00B130BB">
              <w:rPr>
                <w:rFonts w:ascii="Garamond" w:eastAsia="Times New Roman" w:hAnsi="Garamond" w:cs="Times New Roman"/>
                <w:spacing w:val="-4"/>
                <w:sz w:val="18"/>
                <w:szCs w:val="18"/>
                <w:lang w:val="sq-AL"/>
              </w:rPr>
              <w:lastRenderedPageBreak/>
              <w:t xml:space="preserve">dhe shpenzimeve të buxhetit të shtetit. </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KMF-ja përcakton synimet dhe objektivat e qeverisë në lidhje me treguesit kryesorë të politikës fiskale, si balancën e përgjithshme fiskale (deficitin), huamarrjen, borxhin publik, balancën fiskale </w:t>
            </w:r>
            <w:r w:rsidRPr="00B130BB">
              <w:rPr>
                <w:rFonts w:ascii="Garamond" w:eastAsia="Times New Roman" w:hAnsi="Garamond" w:cs="Times New Roman"/>
                <w:spacing w:val="-4"/>
                <w:sz w:val="18"/>
                <w:szCs w:val="18"/>
                <w:lang w:val="sq-AL"/>
              </w:rPr>
              <w:lastRenderedPageBreak/>
              <w:t xml:space="preserve">primare dhe atë korrente. </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KMF-ja shërben si bazë për përcaktimin e tavaneve në fazën e parë të procesit të përgatitjes së programit buxhetor afatmesëm (PBA), 2018–2020, në nivel ministrie. </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Pika 2.1. Stabiliteti makroekonomik</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39</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miratimin e kalendarit të menaxhimit të shpenzimeve publike 2018</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Projektakt i përvitshëm, sipas përcaktimeve të ligjit nr. 9936, datë 26.6.2008, “Për menaxhimin e sistemit buxhetor në Republikën e Shqipërisë”.</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Paraqet një kalendar me aktivitetet dhe datat përkatëse për një mirëmenaxhim të financave publike</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N/A</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N/A</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N/A</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N/A</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40</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punonjësit me kontratë të përkohshme për vitin 2018, në njësitë e qeverisjes qendrore</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Projektakt i përvitshëm, sipas përcaktimeve të Kodit të Punës dhe të ligjit vjetor të buxhetit</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Shpërndarja e numrit të punonjësve me kontratë të përkohshme, në njësitë e qeverisjes qendrore, për vitin 2018</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N/A</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N/A</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N/A</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N/A</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41</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miratimin e tavaneve përgatitore të shpenzimeve të programit buxhetor afatmesëm, 2019–2021</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Projektakt i përvitshëm, sipas përcaktimeve të ligjit nr. 9936, datë 26.6.2008, “Për menaxhimin e sistemit buxhetor në Republikën e Shqipërisë”.</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tavaneve paraprake të shpenzimeve për periudhën afatmesme për çdo institucion buxhetor.</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N/A</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N/A</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N/A</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N/A</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42</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miratimin e dokumentit të programit buxhetor afatmesëm, 2019–2021</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Projektakt i përvitshëm, sipas përcaktimeve të ligjit nr. 9936, datë 26.6.2008, “Për menaxhimin e sistemit buxhetor në Republikën e Shqipërisë”.</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Dokument informues</w:t>
            </w:r>
            <w:r w:rsidRPr="00B130BB">
              <w:rPr>
                <w:rFonts w:ascii="Garamond" w:eastAsia="Times New Roman" w:hAnsi="Garamond" w:cs="Times New Roman"/>
                <w:spacing w:val="-4"/>
                <w:sz w:val="18"/>
                <w:szCs w:val="18"/>
                <w:lang w:val="sq-AL"/>
              </w:rPr>
              <w:br/>
              <w:t>Projektakt i përvitshëm, sipas përcaktimeve të ligjit nr. 9936, datë 26.6.2008, “Për menaxhimin e sistemit buxhetor në Republikën e Shqipërisë”.</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N/A</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N/A</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N/A</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N/A</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43</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miratimin e tavaneve </w:t>
            </w:r>
            <w:r w:rsidRPr="00B130BB">
              <w:rPr>
                <w:rFonts w:ascii="Garamond" w:eastAsia="Times New Roman" w:hAnsi="Garamond" w:cs="Times New Roman"/>
                <w:spacing w:val="-4"/>
                <w:sz w:val="18"/>
                <w:szCs w:val="18"/>
                <w:lang w:val="sq-AL"/>
              </w:rPr>
              <w:lastRenderedPageBreak/>
              <w:t>përfundimtare të shpenzimeve të programit buxhetor afatmesëm, 2019–2021</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Ministri i Financave dhe </w:t>
            </w:r>
            <w:r w:rsidRPr="00B130BB">
              <w:rPr>
                <w:rFonts w:ascii="Garamond" w:eastAsia="Times New Roman" w:hAnsi="Garamond" w:cs="Times New Roman"/>
                <w:spacing w:val="-4"/>
                <w:sz w:val="18"/>
                <w:szCs w:val="18"/>
                <w:lang w:val="sq-AL"/>
              </w:rPr>
              <w:lastRenderedPageBreak/>
              <w:t>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Katërmujori 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Projektakt i përvitshëm, sipas </w:t>
            </w:r>
            <w:r w:rsidRPr="00B130BB">
              <w:rPr>
                <w:rFonts w:ascii="Garamond" w:eastAsia="Times New Roman" w:hAnsi="Garamond" w:cs="Times New Roman"/>
                <w:spacing w:val="-4"/>
                <w:sz w:val="18"/>
                <w:szCs w:val="18"/>
                <w:lang w:val="sq-AL"/>
              </w:rPr>
              <w:lastRenderedPageBreak/>
              <w:t>përcaktimeve të ligjit nr. 9936, datë 26.06.2008 “Për menaxhimin e sistemit buxhetor në Republikën e Shqipërisë”</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Përcaktimi i tavaneve përfundimtar</w:t>
            </w:r>
            <w:r w:rsidRPr="00B130BB">
              <w:rPr>
                <w:rFonts w:ascii="Garamond" w:eastAsia="Times New Roman" w:hAnsi="Garamond" w:cs="Times New Roman"/>
                <w:spacing w:val="-4"/>
                <w:sz w:val="18"/>
                <w:szCs w:val="18"/>
                <w:lang w:val="sq-AL"/>
              </w:rPr>
              <w:lastRenderedPageBreak/>
              <w:t>e të shpenzimeve për periudhën afatmesme për çdo institucion buxhetor.</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N/A</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N/A</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N/A</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N/A</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44</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miratimin e dokumentit të programit buxhetor afatmesëm, 2019–2021, të rishikuar</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Projektakt i përvitshëm, sipas përcaktimeve të ligjit nr. 9936 datë 26.6.2008, “Për menaxhimin e sistemit buxhetor në Republikën e Shqipërisë”.</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Dokument informues</w:t>
            </w:r>
            <w:r w:rsidRPr="00B130BB">
              <w:rPr>
                <w:rFonts w:ascii="Garamond" w:eastAsia="Times New Roman" w:hAnsi="Garamond" w:cs="Times New Roman"/>
                <w:spacing w:val="-4"/>
                <w:sz w:val="18"/>
                <w:szCs w:val="18"/>
                <w:lang w:val="sq-AL"/>
              </w:rPr>
              <w:br/>
              <w:t>Projektakt i përvitshëm, sipas përcaktimeve të ligjit nr. 9936, datë 26.6.2008, “Për menaxhimin e sistemit buxhetor në Republikën e Shqipërisë”.</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N/A</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N/A</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N/A</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N/A</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45</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 Për buxhetin e vitit 2019</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Projektakt i përvitshëm, sipas përcaktimeve të ligjit nr. 9936, datë 26.6.2008, “Për menaxhimin e sistemit buxhetor në Republikën e Shqipërisë”.</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të ardhurave dhe shpenzimeve të buxhetit të shtetit, duke synuar në rritjen progresive të të ardhurave, në mënyrë që të tentohet rritja e shpenzimeve në sektorët prioritarë dhe jo vetëm, dhe nga ana tjetër të synohet ulja e deficitit buxhetor dhe e borxhit publik.</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N/A</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N/A</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N/A</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N/A</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46</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 Për disa ndryshime në ligjin 155/2015, “Për lojërat e fatit në Republikën e Shqipërisë”, të ndryshuar</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Implementim i reformës së deregulimit/ Reformimi i sektorit të lojërave të fatit</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 lehtësimin e kërkesave dokumentere të shërbimeve të ofruara ndaj biznesit dhe publikut nga Ministria e Financave dhe Ekonomisë/ përcaktimi i </w:t>
            </w:r>
            <w:r w:rsidRPr="00B130BB">
              <w:rPr>
                <w:rFonts w:ascii="Garamond" w:eastAsia="Times New Roman" w:hAnsi="Garamond" w:cs="Times New Roman"/>
                <w:spacing w:val="-4"/>
                <w:sz w:val="18"/>
                <w:szCs w:val="18"/>
                <w:lang w:val="sq-AL"/>
              </w:rPr>
              <w:lastRenderedPageBreak/>
              <w:t>procedurave të shkatërrimit të pajisjeve të konfiskuara.</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Reduktim dokumentecioni/ plotësim të vakumit ligjor </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Parashikim i procedurës për shkatërrimin e pajisjeve të konfiskuara </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Projektligji i propozuar përputhet me programin politik të Këshillit të Ministrave për reformën </w:t>
            </w:r>
            <w:r w:rsidRPr="00B130BB">
              <w:rPr>
                <w:rFonts w:ascii="Garamond" w:eastAsia="Times New Roman" w:hAnsi="Garamond" w:cs="Times New Roman"/>
                <w:spacing w:val="-4"/>
                <w:sz w:val="18"/>
                <w:szCs w:val="18"/>
                <w:lang w:val="sq-AL"/>
              </w:rPr>
              <w:lastRenderedPageBreak/>
              <w:t>e deregulimit.</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47</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përcaktimin e rregullave, procedurave, afateve dhe specifikimeve teknike të mekanizmave të fiskalizimit e të monitorimit të lojërave të fatit</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Reformim i sektorit të lojërave të fatit</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rregullave, procedurave, afateve dhe specifikimeve teknike të mekanizmave të fiskalizimit e të monitorimit në kohë reale të xhiros së subjekteve që ushtrojnë aktivitet, lojëra fati.</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Formalizimi i tregut në fushën e lojërave të fatit.</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Luftën e vazhdueshme kundër informalitetit dhe evazionit fiskal në fushën e lojërave. </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48</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përcaktimin e autoritetit të autorizuar për zhvillimin e garës për Lotarinë Kombëtare</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Reformim i sektorit të lojërave të fatit</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autoritetit të autorizuar për zhvillimin e garës për Lotarinë Kombëtare</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Qartësim kompetencash dhe identifikim të autoritetit të autorizuar</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Formalizimi i tregut në fushën e lojërave të fatit</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49</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minimumin e specifikimeve teknike dhe dokumentacioni shoqërues që duhet të kenë pajisjet e lotarisë, bingo televizive dhe pajisjet e lojërave </w:t>
            </w:r>
            <w:r w:rsidRPr="00B130BB">
              <w:rPr>
                <w:rFonts w:ascii="Garamond" w:eastAsia="Times New Roman" w:hAnsi="Garamond" w:cs="Times New Roman"/>
                <w:i/>
                <w:spacing w:val="-4"/>
                <w:sz w:val="18"/>
                <w:szCs w:val="18"/>
                <w:lang w:val="sq-AL"/>
              </w:rPr>
              <w:t>live</w:t>
            </w:r>
            <w:r w:rsidRPr="00B130BB">
              <w:rPr>
                <w:rFonts w:ascii="Garamond" w:eastAsia="Times New Roman" w:hAnsi="Garamond" w:cs="Times New Roman"/>
                <w:spacing w:val="-4"/>
                <w:sz w:val="18"/>
                <w:szCs w:val="18"/>
                <w:lang w:val="sq-AL"/>
              </w:rPr>
              <w:t xml:space="preserve"> kazino</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Reformim i sektorit të lojërave të fatit</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Vendosja e specifikimeve teknike për pajisjet e lotarisë, bingove televizive dhe kazinove </w:t>
            </w:r>
            <w:r w:rsidRPr="00B130BB">
              <w:rPr>
                <w:rFonts w:ascii="Garamond" w:eastAsia="Times New Roman" w:hAnsi="Garamond" w:cs="Times New Roman"/>
                <w:i/>
                <w:spacing w:val="-4"/>
                <w:sz w:val="18"/>
                <w:szCs w:val="18"/>
                <w:lang w:val="sq-AL"/>
              </w:rPr>
              <w:t>live</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Siguri e lartë teknike për pajisjet e lojërave të fatit</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Specifikime teknike dhe dokumentacion shoqërues</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50</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miratimin e kritereve të vlerësimit të garës, të dokumenteve standarde dhe strukturës së komisionit të vlerësimit të aplikimeve, për dhënien e licencës për Lotarinë Kombëtare</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Reformim i sektorit të lojërave të fatit</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kritereve dhe dokumenteve standarde për aplikantët që do të marrin pjesë në garën për licencën e Lotarisë Kombëtare</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Formalizimi i tregut në fushën e lojërave të fatit</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Procedurën dhe dokumentacionin e aplikimit. Formimin dhe përbërjen e komisionit të vlerësimit</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51</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përcaktimin e zonave me rëndësi kombëtare ku do të vendosen kazinotë dhe resort-kazinotë</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Reformim i sektorit të lojërave të fatit</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Përcaktimi i zonave me rëndësi kombëtare dhe me përparësi në turizëm për vendosjen e kazinove dhe </w:t>
            </w:r>
            <w:r w:rsidRPr="00B130BB">
              <w:rPr>
                <w:rFonts w:ascii="Garamond" w:eastAsia="Times New Roman" w:hAnsi="Garamond" w:cs="Times New Roman"/>
                <w:spacing w:val="-4"/>
                <w:sz w:val="18"/>
                <w:szCs w:val="18"/>
                <w:lang w:val="sq-AL"/>
              </w:rPr>
              <w:lastRenderedPageBreak/>
              <w:t>resort-kazinove</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Zhvillimi i turizmit </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Zonat më rëndësi kombëtare me destinacion turistik ku do lejohet vendosja e kazinove </w:t>
            </w:r>
            <w:r w:rsidRPr="00B130BB">
              <w:rPr>
                <w:rFonts w:ascii="Garamond" w:eastAsia="Times New Roman" w:hAnsi="Garamond" w:cs="Times New Roman"/>
                <w:spacing w:val="-4"/>
                <w:sz w:val="18"/>
                <w:szCs w:val="18"/>
                <w:lang w:val="sq-AL"/>
              </w:rPr>
              <w:lastRenderedPageBreak/>
              <w:t xml:space="preserve">dhe resort-kazinove </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52</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përcaktimin e distancave nga territori administrativ i njësisë vendore për vendosjen e kazinove</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Reformim i sektorit të lojërave të fatit</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distancave nga territori administrativ i njësisë vendore për vendosjen e kazinove</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Largimi i kazinove nga zonat e banuara</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Përqendrimi i kazinove jashtë qendrave të banuara</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53</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përcaktimin e procedurës së zhvillimit të garës, kriteret shtesë për aplikantët që konkurrojnë për t’u pajisur me licencë për kategorinë “kazino” e procedura e shpalljes së fituesit, si dhe rastet e revokimit apo të pezullimit të kësaj licence</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Reformim i sektorit të lojërave të fatit</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procedurës për zhvillimin e garës si dhe kriteret shtesë që duhet të ketë aplikanti i cili do të marrë pjesë në garën për t’u pajisur me licencë “kazino”</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Standardizim në praktikat e aplikimit, shqyrtimit, pajisjes dhe revokimit të licencës për subjektet “kazino”</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procedurës për zhvillimin e garës, kriteret dhe procedurën e shpalljes së fituesit për kategorinë “kazino”</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54</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përcaktimin e procedurave të zhvillimit të garës, procedurat e licencimit, kushtet, kriteret dhe vendndodhja e kategorisë “resort-kazino”, kriteret shtesë për aplikantët që konkurrojnë për t’u pajisur</w:t>
            </w:r>
            <w:r w:rsidRPr="00B130BB">
              <w:rPr>
                <w:rFonts w:ascii="Garamond" w:eastAsia="Times New Roman" w:hAnsi="Garamond" w:cs="Times New Roman"/>
                <w:spacing w:val="-4"/>
                <w:sz w:val="18"/>
                <w:szCs w:val="18"/>
                <w:lang w:val="sq-AL"/>
              </w:rPr>
              <w:br/>
              <w:t>me licencë për “resort-kazino”, procedura e</w:t>
            </w:r>
            <w:r w:rsidRPr="00B130BB">
              <w:rPr>
                <w:rFonts w:ascii="Garamond" w:eastAsia="Times New Roman" w:hAnsi="Garamond" w:cs="Times New Roman"/>
                <w:spacing w:val="-4"/>
                <w:sz w:val="18"/>
                <w:szCs w:val="18"/>
                <w:lang w:val="sq-AL"/>
              </w:rPr>
              <w:br/>
              <w:t>shpalljes së fituesit, si dhe rastet e revokimit apo të pezullimit të kësaj licence</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Reformim i sektorit të lojërave të fatit</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kushteve dhe kritereve që duhet të ketë aplikanti i cili do të marrë pjesë në garën e licencimit për kategorinë “resort-kazino”.</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Formalizimi i tregut në fushën e lojërave të fatit</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Procedurat e pajisjes me licencë, kushtet dhe kriteret për kategorinë “resort-kazino”, kriteret shtesë për aplikantët, shpalljen e fituesit dhe revokimin/pezullimin e licencës.</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55</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miratimin në parim të ndryshimit të marrëveshjes së huas dhe programit, ndërmjet KfW Frankfurt am Main, Republikës së Shqipërisë përfaqësuar nga Ministria e Financave dhe Fondit Shqiptar të Zhvillimit, për financimin e programit “Fondi i </w:t>
            </w:r>
            <w:r w:rsidRPr="00B130BB">
              <w:rPr>
                <w:rFonts w:ascii="Garamond" w:eastAsia="Times New Roman" w:hAnsi="Garamond" w:cs="Times New Roman"/>
                <w:spacing w:val="-4"/>
                <w:sz w:val="18"/>
                <w:szCs w:val="18"/>
                <w:lang w:val="sq-AL"/>
              </w:rPr>
              <w:lastRenderedPageBreak/>
              <w:t>Investimeve Sociale IV”</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Nevojë për financim projekti</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Miratimi dhe bërja efektive e marrëveshjes së financimit me KfW-në për financimin e “Programit të rehabilitimit të konvikteve të Universitetit të Tiranës”, sipas parimit </w:t>
            </w:r>
            <w:r w:rsidRPr="00B130BB">
              <w:rPr>
                <w:rFonts w:ascii="Garamond" w:eastAsia="Times New Roman" w:hAnsi="Garamond" w:cs="Times New Roman"/>
                <w:spacing w:val="-4"/>
                <w:sz w:val="18"/>
                <w:szCs w:val="18"/>
                <w:lang w:val="sq-AL"/>
              </w:rPr>
              <w:lastRenderedPageBreak/>
              <w:t>të eficienc</w:t>
            </w:r>
            <w:r w:rsidRPr="00B130BB">
              <w:rPr>
                <w:rFonts w:ascii="Garamond" w:eastAsia="Times New Roman" w:hAnsi="Garamond" w:cs="Garamond"/>
                <w:spacing w:val="-4"/>
                <w:sz w:val="18"/>
                <w:szCs w:val="18"/>
                <w:lang w:val="sq-AL"/>
              </w:rPr>
              <w:t>ë</w:t>
            </w:r>
            <w:r w:rsidRPr="00B130BB">
              <w:rPr>
                <w:rFonts w:ascii="Garamond" w:eastAsia="Times New Roman" w:hAnsi="Garamond" w:cs="Times New Roman"/>
                <w:spacing w:val="-4"/>
                <w:sz w:val="18"/>
                <w:szCs w:val="18"/>
                <w:lang w:val="sq-AL"/>
              </w:rPr>
              <w:t>s s</w:t>
            </w:r>
            <w:r w:rsidRPr="00B130BB">
              <w:rPr>
                <w:rFonts w:ascii="Garamond" w:eastAsia="Times New Roman" w:hAnsi="Garamond" w:cs="Garamond"/>
                <w:spacing w:val="-4"/>
                <w:sz w:val="18"/>
                <w:szCs w:val="18"/>
                <w:lang w:val="sq-AL"/>
              </w:rPr>
              <w:t>ë</w:t>
            </w:r>
            <w:r w:rsidRPr="00B130BB">
              <w:rPr>
                <w:rFonts w:ascii="Garamond" w:eastAsia="Times New Roman" w:hAnsi="Garamond" w:cs="Times New Roman"/>
                <w:spacing w:val="-4"/>
                <w:sz w:val="18"/>
                <w:szCs w:val="18"/>
                <w:lang w:val="sq-AL"/>
              </w:rPr>
              <w:t xml:space="preserve"> energjis</w:t>
            </w:r>
            <w:r w:rsidRPr="00B130BB">
              <w:rPr>
                <w:rFonts w:ascii="Garamond" w:eastAsia="Times New Roman" w:hAnsi="Garamond" w:cs="Garamond"/>
                <w:spacing w:val="-4"/>
                <w:sz w:val="18"/>
                <w:szCs w:val="18"/>
                <w:lang w:val="sq-AL"/>
              </w:rPr>
              <w:t>ë.</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Sigurimi i financimit në formën e grantit, në vlerën prej 4,500,000 eurosh për “Programin e rehabilitimit të konvikteve të Universitetit të Tiranës”, sipas parimit të efi</w:t>
            </w:r>
            <w:r w:rsidRPr="00B130BB">
              <w:rPr>
                <w:rFonts w:ascii="Garamond" w:eastAsia="Times New Roman" w:hAnsi="Garamond" w:cs="Cambria"/>
                <w:spacing w:val="-4"/>
                <w:sz w:val="18"/>
                <w:szCs w:val="18"/>
                <w:lang w:val="sq-AL"/>
              </w:rPr>
              <w:t>ci</w:t>
            </w:r>
            <w:r w:rsidRPr="00B130BB">
              <w:rPr>
                <w:rFonts w:ascii="Garamond" w:eastAsia="Times New Roman" w:hAnsi="Garamond" w:cs="Times New Roman"/>
                <w:spacing w:val="-4"/>
                <w:sz w:val="18"/>
                <w:szCs w:val="18"/>
                <w:lang w:val="sq-AL"/>
              </w:rPr>
              <w:t>enc</w:t>
            </w:r>
            <w:r w:rsidRPr="00B130BB">
              <w:rPr>
                <w:rFonts w:ascii="Garamond" w:eastAsia="Times New Roman" w:hAnsi="Garamond" w:cs="Garamond"/>
                <w:spacing w:val="-4"/>
                <w:sz w:val="18"/>
                <w:szCs w:val="18"/>
                <w:lang w:val="sq-AL"/>
              </w:rPr>
              <w:t>ë</w:t>
            </w:r>
            <w:r w:rsidRPr="00B130BB">
              <w:rPr>
                <w:rFonts w:ascii="Garamond" w:eastAsia="Times New Roman" w:hAnsi="Garamond" w:cs="Times New Roman"/>
                <w:spacing w:val="-4"/>
                <w:sz w:val="18"/>
                <w:szCs w:val="18"/>
                <w:lang w:val="sq-AL"/>
              </w:rPr>
              <w:t>s s</w:t>
            </w:r>
            <w:r w:rsidRPr="00B130BB">
              <w:rPr>
                <w:rFonts w:ascii="Garamond" w:eastAsia="Times New Roman" w:hAnsi="Garamond" w:cs="Garamond"/>
                <w:spacing w:val="-4"/>
                <w:sz w:val="18"/>
                <w:szCs w:val="18"/>
                <w:lang w:val="sq-AL"/>
              </w:rPr>
              <w:t>ë</w:t>
            </w:r>
            <w:r w:rsidRPr="00B130BB">
              <w:rPr>
                <w:rFonts w:ascii="Garamond" w:eastAsia="Times New Roman" w:hAnsi="Garamond" w:cs="Times New Roman"/>
                <w:spacing w:val="-4"/>
                <w:sz w:val="18"/>
                <w:szCs w:val="18"/>
                <w:lang w:val="sq-AL"/>
              </w:rPr>
              <w:t xml:space="preserve"> energjis</w:t>
            </w:r>
            <w:r w:rsidRPr="00B130BB">
              <w:rPr>
                <w:rFonts w:ascii="Garamond" w:eastAsia="Times New Roman" w:hAnsi="Garamond" w:cs="Garamond"/>
                <w:spacing w:val="-4"/>
                <w:sz w:val="18"/>
                <w:szCs w:val="18"/>
                <w:lang w:val="sq-AL"/>
              </w:rPr>
              <w:t>ë</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Mundëson sigurimin e financimit në formën e grantit, në vlerën prej 4,500,000 eurosh.</w:t>
            </w:r>
            <w:r w:rsidRPr="00B130BB">
              <w:rPr>
                <w:rFonts w:ascii="Garamond" w:eastAsia="Times New Roman" w:hAnsi="Garamond" w:cs="Times New Roman"/>
                <w:spacing w:val="-4"/>
                <w:sz w:val="18"/>
                <w:szCs w:val="18"/>
                <w:lang w:val="sq-AL"/>
              </w:rPr>
              <w:br/>
              <w:t>Akti lidhet me Planin Kombëtar të Veprimit për Eficiencën e Energjisë, 2017 – 2020.</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Kapitulli II. Rritje e qëndrueshme gjithëpërfshirëse/ 2.2 Energjia dhe burimet natyrore/Në sektorin e eficiencës së energjisë, </w:t>
            </w:r>
            <w:r w:rsidRPr="00B130BB">
              <w:rPr>
                <w:rFonts w:ascii="Garamond" w:eastAsia="Times New Roman" w:hAnsi="Garamond" w:cs="Times New Roman"/>
                <w:spacing w:val="-4"/>
                <w:sz w:val="18"/>
                <w:szCs w:val="18"/>
                <w:lang w:val="sq-AL"/>
              </w:rPr>
              <w:lastRenderedPageBreak/>
              <w:t>f. 10.</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56</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 Për propozimin e projektligjit për ratifikimin e marrëveshjes së huas dhe programit, ndërmjet KfW Frankfurt am Main, Republikës së Shqipërisë, përfaqësuar nga Ministria e Financave dhe Fondit Shqiptar të Zhvillimit, për financimin e programit “Fondi i investimeve sociale IV”</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Nevojë për financim projekti</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dhe bërja efektive e marrëveshjes së financimit (faza e dytë) me KfW-në për financimin e “Programit të rehabilitimit të konvikteve të Universitetit të Tiranës”, sipas parimit të efi</w:t>
            </w:r>
            <w:r w:rsidRPr="00B130BB">
              <w:rPr>
                <w:rFonts w:ascii="Garamond" w:eastAsia="Times New Roman" w:hAnsi="Garamond" w:cs="Cambria"/>
                <w:spacing w:val="-4"/>
                <w:sz w:val="18"/>
                <w:szCs w:val="18"/>
                <w:lang w:val="sq-AL"/>
              </w:rPr>
              <w:t>cie</w:t>
            </w:r>
            <w:r w:rsidRPr="00B130BB">
              <w:rPr>
                <w:rFonts w:ascii="Garamond" w:eastAsia="Times New Roman" w:hAnsi="Garamond" w:cs="Times New Roman"/>
                <w:spacing w:val="-4"/>
                <w:sz w:val="18"/>
                <w:szCs w:val="18"/>
                <w:lang w:val="sq-AL"/>
              </w:rPr>
              <w:t>nc</w:t>
            </w:r>
            <w:r w:rsidRPr="00B130BB">
              <w:rPr>
                <w:rFonts w:ascii="Garamond" w:eastAsia="Times New Roman" w:hAnsi="Garamond" w:cs="Garamond"/>
                <w:spacing w:val="-4"/>
                <w:sz w:val="18"/>
                <w:szCs w:val="18"/>
                <w:lang w:val="sq-AL"/>
              </w:rPr>
              <w:t>ë</w:t>
            </w:r>
            <w:r w:rsidRPr="00B130BB">
              <w:rPr>
                <w:rFonts w:ascii="Garamond" w:eastAsia="Times New Roman" w:hAnsi="Garamond" w:cs="Times New Roman"/>
                <w:spacing w:val="-4"/>
                <w:sz w:val="18"/>
                <w:szCs w:val="18"/>
                <w:lang w:val="sq-AL"/>
              </w:rPr>
              <w:t>s s</w:t>
            </w:r>
            <w:r w:rsidRPr="00B130BB">
              <w:rPr>
                <w:rFonts w:ascii="Garamond" w:eastAsia="Times New Roman" w:hAnsi="Garamond" w:cs="Garamond"/>
                <w:spacing w:val="-4"/>
                <w:sz w:val="18"/>
                <w:szCs w:val="18"/>
                <w:lang w:val="sq-AL"/>
              </w:rPr>
              <w:t>ë</w:t>
            </w:r>
            <w:r w:rsidRPr="00B130BB">
              <w:rPr>
                <w:rFonts w:ascii="Garamond" w:eastAsia="Times New Roman" w:hAnsi="Garamond" w:cs="Times New Roman"/>
                <w:spacing w:val="-4"/>
                <w:sz w:val="18"/>
                <w:szCs w:val="18"/>
                <w:lang w:val="sq-AL"/>
              </w:rPr>
              <w:t xml:space="preserve"> energjis</w:t>
            </w:r>
            <w:r w:rsidRPr="00B130BB">
              <w:rPr>
                <w:rFonts w:ascii="Garamond" w:eastAsia="Times New Roman" w:hAnsi="Garamond" w:cs="Garamond"/>
                <w:spacing w:val="-4"/>
                <w:sz w:val="18"/>
                <w:szCs w:val="18"/>
                <w:lang w:val="sq-AL"/>
              </w:rPr>
              <w:t>ë.</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Sigurimi i financimit në formën e grantit, në vlerën prej 2,032,179.23 eurosh, për “Programin e rehabilitimit të konvikteve të Universitetit të Tiranës”, sipas parimit të efi</w:t>
            </w:r>
            <w:r w:rsidRPr="00B130BB">
              <w:rPr>
                <w:rFonts w:ascii="Garamond" w:eastAsia="Times New Roman" w:hAnsi="Garamond" w:cs="Cambria"/>
                <w:spacing w:val="-4"/>
                <w:sz w:val="18"/>
                <w:szCs w:val="18"/>
                <w:lang w:val="sq-AL"/>
              </w:rPr>
              <w:t>cie</w:t>
            </w:r>
            <w:r w:rsidRPr="00B130BB">
              <w:rPr>
                <w:rFonts w:ascii="Garamond" w:eastAsia="Times New Roman" w:hAnsi="Garamond" w:cs="Times New Roman"/>
                <w:spacing w:val="-4"/>
                <w:sz w:val="18"/>
                <w:szCs w:val="18"/>
                <w:lang w:val="sq-AL"/>
              </w:rPr>
              <w:t>nc</w:t>
            </w:r>
            <w:r w:rsidRPr="00B130BB">
              <w:rPr>
                <w:rFonts w:ascii="Garamond" w:eastAsia="Times New Roman" w:hAnsi="Garamond" w:cs="Garamond"/>
                <w:spacing w:val="-4"/>
                <w:sz w:val="18"/>
                <w:szCs w:val="18"/>
                <w:lang w:val="sq-AL"/>
              </w:rPr>
              <w:t>ë</w:t>
            </w:r>
            <w:r w:rsidRPr="00B130BB">
              <w:rPr>
                <w:rFonts w:ascii="Garamond" w:eastAsia="Times New Roman" w:hAnsi="Garamond" w:cs="Times New Roman"/>
                <w:spacing w:val="-4"/>
                <w:sz w:val="18"/>
                <w:szCs w:val="18"/>
                <w:lang w:val="sq-AL"/>
              </w:rPr>
              <w:t>s s</w:t>
            </w:r>
            <w:r w:rsidRPr="00B130BB">
              <w:rPr>
                <w:rFonts w:ascii="Garamond" w:eastAsia="Times New Roman" w:hAnsi="Garamond" w:cs="Garamond"/>
                <w:spacing w:val="-4"/>
                <w:sz w:val="18"/>
                <w:szCs w:val="18"/>
                <w:lang w:val="sq-AL"/>
              </w:rPr>
              <w:t>ë</w:t>
            </w:r>
            <w:r w:rsidRPr="00B130BB">
              <w:rPr>
                <w:rFonts w:ascii="Garamond" w:eastAsia="Times New Roman" w:hAnsi="Garamond" w:cs="Times New Roman"/>
                <w:spacing w:val="-4"/>
                <w:sz w:val="18"/>
                <w:szCs w:val="18"/>
                <w:lang w:val="sq-AL"/>
              </w:rPr>
              <w:t xml:space="preserve"> energjis</w:t>
            </w:r>
            <w:r w:rsidRPr="00B130BB">
              <w:rPr>
                <w:rFonts w:ascii="Garamond" w:eastAsia="Times New Roman" w:hAnsi="Garamond" w:cs="Garamond"/>
                <w:spacing w:val="-4"/>
                <w:sz w:val="18"/>
                <w:szCs w:val="18"/>
                <w:lang w:val="sq-AL"/>
              </w:rPr>
              <w:t>ë.</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Mundëson sigurimin e financimit në formën e grantit, në vlerën prej 2,032,179.23 eurosh.</w:t>
            </w:r>
            <w:r w:rsidRPr="00B130BB">
              <w:rPr>
                <w:rFonts w:ascii="Garamond" w:eastAsia="Times New Roman" w:hAnsi="Garamond" w:cs="Times New Roman"/>
                <w:spacing w:val="-4"/>
                <w:sz w:val="18"/>
                <w:szCs w:val="18"/>
                <w:lang w:val="sq-AL"/>
              </w:rPr>
              <w:br/>
              <w:t>Akti lidhet me Planin Kombëtar të Veprimit për Eficiencën e Energjisë, 2017–2021.</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II. Rritje e qëndrueshme gjithëpërfshirëse/ 2.2 Energjia dhe burimet natyrore/në sektorin e eficiencës së energjisë, f. 10.</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57</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 Për propozimin e projektligjit për ratifikimin e Marrëveshjes së Huas dhe Projektit, ndërmjet KfW Frankfurt am Main, Republikës së Shqipërisë përfaqësuar nga Ministria e Financave, dhe Operatorit të Sistemit të Transmetimit si agjenci e zbatimit të projektit, për financimin e Projektit “Linja e transmetimit 400 kilovolt Shqipëri-Kosovë (Tiranë-Prishtinë)”</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Nevojë për financim projekti</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dhe bërja efektive e marrëveshjes se financimit me KfW për financimin e Shërbimeve të Ekspertit ndaj marrësit në kuadër të Programit të Rehabilitimit të Konvikteve të Universitetit të Tiranës sipas Parimit të Efi</w:t>
            </w:r>
            <w:r w:rsidRPr="00B130BB">
              <w:rPr>
                <w:rFonts w:ascii="Garamond" w:eastAsia="Times New Roman" w:hAnsi="Garamond" w:cs="Cambria"/>
                <w:spacing w:val="-4"/>
                <w:sz w:val="18"/>
                <w:szCs w:val="18"/>
                <w:lang w:val="sq-AL"/>
              </w:rPr>
              <w:t>ci</w:t>
            </w:r>
            <w:r w:rsidRPr="00B130BB">
              <w:rPr>
                <w:rFonts w:ascii="Garamond" w:eastAsia="Times New Roman" w:hAnsi="Garamond" w:cs="Times New Roman"/>
                <w:spacing w:val="-4"/>
                <w:sz w:val="18"/>
                <w:szCs w:val="18"/>
                <w:lang w:val="sq-AL"/>
              </w:rPr>
              <w:t>enc</w:t>
            </w:r>
            <w:r w:rsidRPr="00B130BB">
              <w:rPr>
                <w:rFonts w:ascii="Garamond" w:eastAsia="Times New Roman" w:hAnsi="Garamond" w:cs="Garamond"/>
                <w:spacing w:val="-4"/>
                <w:sz w:val="18"/>
                <w:szCs w:val="18"/>
                <w:lang w:val="sq-AL"/>
              </w:rPr>
              <w:t>ë</w:t>
            </w:r>
            <w:r w:rsidRPr="00B130BB">
              <w:rPr>
                <w:rFonts w:ascii="Garamond" w:eastAsia="Times New Roman" w:hAnsi="Garamond" w:cs="Times New Roman"/>
                <w:spacing w:val="-4"/>
                <w:sz w:val="18"/>
                <w:szCs w:val="18"/>
                <w:lang w:val="sq-AL"/>
              </w:rPr>
              <w:t>s s</w:t>
            </w:r>
            <w:r w:rsidRPr="00B130BB">
              <w:rPr>
                <w:rFonts w:ascii="Garamond" w:eastAsia="Times New Roman" w:hAnsi="Garamond" w:cs="Garamond"/>
                <w:spacing w:val="-4"/>
                <w:sz w:val="18"/>
                <w:szCs w:val="18"/>
                <w:lang w:val="sq-AL"/>
              </w:rPr>
              <w:t>ë</w:t>
            </w:r>
            <w:r w:rsidRPr="00B130BB">
              <w:rPr>
                <w:rFonts w:ascii="Garamond" w:eastAsia="Times New Roman" w:hAnsi="Garamond" w:cs="Times New Roman"/>
                <w:spacing w:val="-4"/>
                <w:sz w:val="18"/>
                <w:szCs w:val="18"/>
                <w:lang w:val="sq-AL"/>
              </w:rPr>
              <w:t xml:space="preserve"> Energjis</w:t>
            </w:r>
            <w:r w:rsidRPr="00B130BB">
              <w:rPr>
                <w:rFonts w:ascii="Garamond" w:eastAsia="Times New Roman" w:hAnsi="Garamond" w:cs="Garamond"/>
                <w:spacing w:val="-4"/>
                <w:sz w:val="18"/>
                <w:szCs w:val="18"/>
                <w:lang w:val="sq-AL"/>
              </w:rPr>
              <w:t>ë</w:t>
            </w:r>
            <w:r w:rsidRPr="00B130BB">
              <w:rPr>
                <w:rFonts w:ascii="Garamond" w:eastAsia="Times New Roman" w:hAnsi="Garamond" w:cs="Times New Roman"/>
                <w:spacing w:val="-4"/>
                <w:sz w:val="18"/>
                <w:szCs w:val="18"/>
                <w:lang w:val="sq-AL"/>
              </w:rPr>
              <w:t>, financuar nga nj</w:t>
            </w:r>
            <w:r w:rsidRPr="00B130BB">
              <w:rPr>
                <w:rFonts w:ascii="Garamond" w:eastAsia="Times New Roman" w:hAnsi="Garamond" w:cs="Garamond"/>
                <w:spacing w:val="-4"/>
                <w:sz w:val="18"/>
                <w:szCs w:val="18"/>
                <w:lang w:val="sq-AL"/>
              </w:rPr>
              <w:t>ë</w:t>
            </w:r>
            <w:r w:rsidRPr="00B130BB">
              <w:rPr>
                <w:rFonts w:ascii="Garamond" w:eastAsia="Times New Roman" w:hAnsi="Garamond" w:cs="Times New Roman"/>
                <w:spacing w:val="-4"/>
                <w:sz w:val="18"/>
                <w:szCs w:val="18"/>
                <w:lang w:val="sq-AL"/>
              </w:rPr>
              <w:t xml:space="preserve"> fond i ve</w:t>
            </w:r>
            <w:r w:rsidRPr="00B130BB">
              <w:rPr>
                <w:rFonts w:ascii="Garamond" w:eastAsia="Times New Roman" w:hAnsi="Garamond" w:cs="Garamond"/>
                <w:spacing w:val="-4"/>
                <w:sz w:val="18"/>
                <w:szCs w:val="18"/>
                <w:lang w:val="sq-AL"/>
              </w:rPr>
              <w:t>ç</w:t>
            </w:r>
            <w:r w:rsidRPr="00B130BB">
              <w:rPr>
                <w:rFonts w:ascii="Garamond" w:eastAsia="Times New Roman" w:hAnsi="Garamond" w:cs="Times New Roman"/>
                <w:spacing w:val="-4"/>
                <w:sz w:val="18"/>
                <w:szCs w:val="18"/>
                <w:lang w:val="sq-AL"/>
              </w:rPr>
              <w:t>ant</w:t>
            </w:r>
            <w:r w:rsidRPr="00B130BB">
              <w:rPr>
                <w:rFonts w:ascii="Garamond" w:eastAsia="Times New Roman" w:hAnsi="Garamond" w:cs="Garamond"/>
                <w:spacing w:val="-4"/>
                <w:sz w:val="18"/>
                <w:szCs w:val="18"/>
                <w:lang w:val="sq-AL"/>
              </w:rPr>
              <w:t>ë</w:t>
            </w:r>
            <w:r w:rsidRPr="00B130BB">
              <w:rPr>
                <w:rFonts w:ascii="Garamond" w:eastAsia="Times New Roman" w:hAnsi="Garamond" w:cs="Times New Roman"/>
                <w:spacing w:val="-4"/>
                <w:sz w:val="18"/>
                <w:szCs w:val="18"/>
                <w:lang w:val="sq-AL"/>
              </w:rPr>
              <w:t xml:space="preserve"> dh</w:t>
            </w:r>
            <w:r w:rsidRPr="00B130BB">
              <w:rPr>
                <w:rFonts w:ascii="Garamond" w:eastAsia="Times New Roman" w:hAnsi="Garamond" w:cs="Garamond"/>
                <w:spacing w:val="-4"/>
                <w:sz w:val="18"/>
                <w:szCs w:val="18"/>
                <w:lang w:val="sq-AL"/>
              </w:rPr>
              <w:t>ë</w:t>
            </w:r>
            <w:r w:rsidRPr="00B130BB">
              <w:rPr>
                <w:rFonts w:ascii="Garamond" w:eastAsia="Times New Roman" w:hAnsi="Garamond" w:cs="Times New Roman"/>
                <w:spacing w:val="-4"/>
                <w:sz w:val="18"/>
                <w:szCs w:val="18"/>
                <w:lang w:val="sq-AL"/>
              </w:rPr>
              <w:t>n</w:t>
            </w:r>
            <w:r w:rsidRPr="00B130BB">
              <w:rPr>
                <w:rFonts w:ascii="Garamond" w:eastAsia="Times New Roman" w:hAnsi="Garamond" w:cs="Garamond"/>
                <w:spacing w:val="-4"/>
                <w:sz w:val="18"/>
                <w:szCs w:val="18"/>
                <w:lang w:val="sq-AL"/>
              </w:rPr>
              <w:t>ë</w:t>
            </w:r>
            <w:r w:rsidRPr="00B130BB">
              <w:rPr>
                <w:rFonts w:ascii="Garamond" w:eastAsia="Times New Roman" w:hAnsi="Garamond" w:cs="Times New Roman"/>
                <w:spacing w:val="-4"/>
                <w:sz w:val="18"/>
                <w:szCs w:val="18"/>
                <w:lang w:val="sq-AL"/>
              </w:rPr>
              <w:t xml:space="preserve"> nga Qeveria Gjermane</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Sigurimi i financimit në formën e grantit në vlerën 155,000 eurosh për realizimin e shërbimeve të ekspertit ndaj Marrësit në kuadër të programit të Efi</w:t>
            </w:r>
            <w:r w:rsidRPr="00B130BB">
              <w:rPr>
                <w:rFonts w:ascii="Garamond" w:eastAsia="Times New Roman" w:hAnsi="Garamond" w:cs="Cambria"/>
                <w:spacing w:val="-4"/>
                <w:sz w:val="18"/>
                <w:szCs w:val="18"/>
                <w:lang w:val="sq-AL"/>
              </w:rPr>
              <w:t>ci</w:t>
            </w:r>
            <w:r w:rsidRPr="00B130BB">
              <w:rPr>
                <w:rFonts w:ascii="Garamond" w:eastAsia="Times New Roman" w:hAnsi="Garamond" w:cs="Times New Roman"/>
                <w:spacing w:val="-4"/>
                <w:sz w:val="18"/>
                <w:szCs w:val="18"/>
                <w:lang w:val="sq-AL"/>
              </w:rPr>
              <w:t>enc</w:t>
            </w:r>
            <w:r w:rsidRPr="00B130BB">
              <w:rPr>
                <w:rFonts w:ascii="Garamond" w:eastAsia="Times New Roman" w:hAnsi="Garamond" w:cs="Garamond"/>
                <w:spacing w:val="-4"/>
                <w:sz w:val="18"/>
                <w:szCs w:val="18"/>
                <w:lang w:val="sq-AL"/>
              </w:rPr>
              <w:t>ë</w:t>
            </w:r>
            <w:r w:rsidRPr="00B130BB">
              <w:rPr>
                <w:rFonts w:ascii="Garamond" w:eastAsia="Times New Roman" w:hAnsi="Garamond" w:cs="Times New Roman"/>
                <w:spacing w:val="-4"/>
                <w:sz w:val="18"/>
                <w:szCs w:val="18"/>
                <w:lang w:val="sq-AL"/>
              </w:rPr>
              <w:t>s s</w:t>
            </w:r>
            <w:r w:rsidRPr="00B130BB">
              <w:rPr>
                <w:rFonts w:ascii="Garamond" w:eastAsia="Times New Roman" w:hAnsi="Garamond" w:cs="Garamond"/>
                <w:spacing w:val="-4"/>
                <w:sz w:val="18"/>
                <w:szCs w:val="18"/>
                <w:lang w:val="sq-AL"/>
              </w:rPr>
              <w:t>ë</w:t>
            </w:r>
            <w:r w:rsidRPr="00B130BB">
              <w:rPr>
                <w:rFonts w:ascii="Garamond" w:eastAsia="Times New Roman" w:hAnsi="Garamond" w:cs="Times New Roman"/>
                <w:spacing w:val="-4"/>
                <w:sz w:val="18"/>
                <w:szCs w:val="18"/>
                <w:lang w:val="sq-AL"/>
              </w:rPr>
              <w:t xml:space="preserve"> Energjisë</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Mundëson sigurimin e financimit në formën e grantit në vlerën prej 155,000 eurosh</w:t>
            </w:r>
            <w:r w:rsidRPr="00B130BB">
              <w:rPr>
                <w:rFonts w:ascii="Garamond" w:eastAsia="Times New Roman" w:hAnsi="Garamond" w:cs="Times New Roman"/>
                <w:spacing w:val="-4"/>
                <w:sz w:val="18"/>
                <w:szCs w:val="18"/>
                <w:lang w:val="sq-AL"/>
              </w:rPr>
              <w:br/>
              <w:t>Akti lidhet me Planin Kombëtar të Veprimit për Eficiencën e Energjisë 2017–2022</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II Rritje e qëndrueshme Gjithëpërfshirëse / 2.2 Energjia dhe Burimet natyrore / Në sektorin e eficiencës së energjisë, f. 10.</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58</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miratimin në parim të ndryshimit të marrëveshjes së grantit nr. TF013972, ndërmjet Shqipërisë dhe Bankës Ndërkombëtare për Rindërtim dhe Zhvillim/Shoqatës Ndërkombëtare për Zhvillim, që vepron si administratore e fondeve grant të </w:t>
            </w:r>
            <w:r w:rsidRPr="00B130BB">
              <w:rPr>
                <w:rFonts w:ascii="Garamond" w:eastAsia="Times New Roman" w:hAnsi="Garamond" w:cs="Times New Roman"/>
                <w:spacing w:val="-4"/>
                <w:sz w:val="18"/>
                <w:szCs w:val="18"/>
                <w:lang w:val="sq-AL"/>
              </w:rPr>
              <w:lastRenderedPageBreak/>
              <w:t>siguruara nga dhurues të ndryshëm, nën fondin e dytë të mirëbesimit shumëpalësh, për projektin “Mbështetje për ngritjen e kapaciteteve për zbatimin e sistemit të planifikimit të integruar (IPS 2)</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Nevojë për financim projekti</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Miratimi dhe bërja efektive e Marrëveshjes së Financimit ndërmjet KfW, Frankfurt am Main (KfW) dhe Republikës së Shqipërisë (Marrësi), përfaqësuar nga Ministria </w:t>
            </w:r>
            <w:r w:rsidRPr="00B130BB">
              <w:rPr>
                <w:rFonts w:ascii="Garamond" w:eastAsia="Times New Roman" w:hAnsi="Garamond" w:cs="Times New Roman"/>
                <w:spacing w:val="-4"/>
                <w:sz w:val="18"/>
                <w:szCs w:val="18"/>
                <w:lang w:val="sq-AL"/>
              </w:rPr>
              <w:lastRenderedPageBreak/>
              <w:t>e Financave dhe Ekonomisë për Masat Shoqëruese në kuadër të Programit “Linja Unazore 110 kV në Shqipërinë e Jugut”</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Sigurimi i financimit në formën e grantit në vlerën 2,000,000 euro për Masat Shoqëruese në kuadër të Programit “Linja Unazore 110 kV në Shqipërinë e </w:t>
            </w:r>
            <w:r w:rsidRPr="00B130BB">
              <w:rPr>
                <w:rFonts w:ascii="Garamond" w:eastAsia="Times New Roman" w:hAnsi="Garamond" w:cs="Times New Roman"/>
                <w:spacing w:val="-4"/>
                <w:sz w:val="18"/>
                <w:szCs w:val="18"/>
                <w:lang w:val="sq-AL"/>
              </w:rPr>
              <w:lastRenderedPageBreak/>
              <w:t>Jugut”</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Mundëson sigurimin e financimit në formën e grantit në vlerën prej 2,000,000 eurosh</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59</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miratimin e ndryshimit të marrëveshjes së grantit nr. TF013972, ndërmjet Shqipërisë dhe Bankës Ndërkombëtare për Rindërtim dhe Zhvillim/Shoqatës Ndërkombëtare për Zhvillim, që vepron si administratore e fondeve grant të siguruara nga dhurues të ndryshëm, nën fondin e dytë të mirëbesimit shumëpalësh, për projektin “Mbështetje për ngritjen e kapaciteteve për zbatimin e sistemit të planifikimit të integruar (IPS 2)</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Nevojë për financim projekti</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dhe bërja efektive e Marrëveshjes së Financimit ndërmjet KfW, Frankfurt am Main (KfW) dhe Republikës së Shqipërisë (Marrësi), përfaqësuar nga Ministria e Financave dhe Ekonomisë, dhe Kompanisë Rajonale për Menaxhimin e Mbetjeve në Korçë, për financimin e Masave Shoqëruese, faza II, në kuadër të Programit të Menaxhimit të Mbetjeve të Ngurta në Shqipërinë Juglindore</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Sigurimi i financimit në formën e grantit në vlerën 1,200,000 euro për Masat Shoqëruese, faza II, në kuadër të Programit të Menaxhimit të Mbetjeve të Ngurta në Shqipërinë Juglindore</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Mundëson sigurimin e financimit në formën e grantit në vlerën prej 1,200,000 eurosh</w:t>
            </w:r>
            <w:r w:rsidRPr="00B130BB">
              <w:rPr>
                <w:rFonts w:ascii="Garamond" w:eastAsia="Times New Roman" w:hAnsi="Garamond" w:cs="Times New Roman"/>
                <w:spacing w:val="-4"/>
                <w:sz w:val="18"/>
                <w:szCs w:val="18"/>
                <w:lang w:val="sq-AL"/>
              </w:rPr>
              <w:br/>
              <w:t>Akti lidhet me Strategjinë dhe Planin Kombëtar të Menaxhimit të Mbetjeve</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Pika 2.4 Mjedisi</w:t>
            </w:r>
            <w:r w:rsidRPr="00B130BB">
              <w:rPr>
                <w:rFonts w:ascii="Garamond" w:eastAsia="Times New Roman" w:hAnsi="Garamond" w:cs="Times New Roman"/>
                <w:spacing w:val="-4"/>
                <w:sz w:val="18"/>
                <w:szCs w:val="18"/>
                <w:lang w:val="sq-AL"/>
              </w:rPr>
              <w:br/>
              <w:t>Trajtimi i mbetjeve si lëndë të para do të bëhet në përputhje me konceptin e sistemeve të ekonomive qarkulluese, në shërbim të përdorimit me kriter dhe ruajtjes së burimeve të lëndëve të para.</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60</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miratimin në parim të letër marrëveshjes ndërmjet Republikës së Shqipërisë dhe Bankës Ndërkombëtare për Rindërtim dhe Zhvillim që vepron si administratore e fondeve grant të siguruara nga Sekretariati i Shtetit </w:t>
            </w:r>
            <w:r w:rsidRPr="00B130BB">
              <w:rPr>
                <w:rFonts w:ascii="Garamond" w:eastAsia="Times New Roman" w:hAnsi="Garamond" w:cs="Times New Roman"/>
                <w:spacing w:val="-4"/>
                <w:sz w:val="18"/>
                <w:szCs w:val="18"/>
                <w:lang w:val="sq-AL"/>
              </w:rPr>
              <w:lastRenderedPageBreak/>
              <w:t>për Çështjet Ekonomike (SECO) të Qeverisë Zvicerane, nën Fondin e Besimit të Shumë Donatorëve për fuqizimin e kontabilitetit dhe mjedisit të mirëbesimit në Evropën Jugore dhe Azinë Qendrore për projektin e zhvillimit të kontabilitetit në sektorin publik.</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Nevoje për financim projekti</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Miratimi dhe bërja efektive e Marrëveshjes së Financimit ndërmjet KfW, Frankfurt am Main (KfW) dhe Republikës së Shqipërisë (Marrësi), përfaqësuar </w:t>
            </w:r>
            <w:r w:rsidRPr="00B130BB">
              <w:rPr>
                <w:rFonts w:ascii="Garamond" w:eastAsia="Times New Roman" w:hAnsi="Garamond" w:cs="Times New Roman"/>
                <w:spacing w:val="-4"/>
                <w:sz w:val="18"/>
                <w:szCs w:val="18"/>
                <w:lang w:val="sq-AL"/>
              </w:rPr>
              <w:lastRenderedPageBreak/>
              <w:t>nga Ministria e Financave dhe Ekonomisë, për financimin e Shërbimeve të Ekspertit ndaj marrësit në kuadër të studimeve të fizibilitetit për Programin e Infrastrukturës Bashkiake V/ Programi i Performancës dhe Investimeve në Sektorin e Ujit, që financohet nga një fond i veçantë i siguruar nga Qeveria Gjermane</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Sigurimi i financimit në formën e grantit në vlerën 1,950,000 euro për realizimin e Shërbimeve të Ekspertit ndaj marrësit në kuadër të studimeve të fizibilitetit për </w:t>
            </w:r>
            <w:r w:rsidRPr="00B130BB">
              <w:rPr>
                <w:rFonts w:ascii="Garamond" w:eastAsia="Times New Roman" w:hAnsi="Garamond" w:cs="Times New Roman"/>
                <w:spacing w:val="-4"/>
                <w:sz w:val="18"/>
                <w:szCs w:val="18"/>
                <w:lang w:val="sq-AL"/>
              </w:rPr>
              <w:lastRenderedPageBreak/>
              <w:t>Programin e Infrastrukturës Bashkiake V / Programi i Performancës dhe Investimeve në Sektorin e Ujit, që financohet nga një fond i veçantë i siguruar nga Qeveria Gjermane</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Mundëson sigurimin e financimit në formën e grantit në vlerën prej 1,950,000 eurosh.</w:t>
            </w:r>
            <w:r w:rsidRPr="00B130BB">
              <w:rPr>
                <w:rFonts w:ascii="Garamond" w:eastAsia="Times New Roman" w:hAnsi="Garamond" w:cs="Times New Roman"/>
                <w:spacing w:val="-4"/>
                <w:sz w:val="18"/>
                <w:szCs w:val="18"/>
                <w:lang w:val="sq-AL"/>
              </w:rPr>
              <w:br/>
              <w:t>Akti lidhet me Strategjinë Kombëtare të sektorit të Ujësjellës-</w:t>
            </w:r>
            <w:r w:rsidRPr="00B130BB">
              <w:rPr>
                <w:rFonts w:ascii="Garamond" w:eastAsia="Times New Roman" w:hAnsi="Garamond" w:cs="Times New Roman"/>
                <w:spacing w:val="-4"/>
                <w:sz w:val="18"/>
                <w:szCs w:val="18"/>
                <w:lang w:val="sq-AL"/>
              </w:rPr>
              <w:lastRenderedPageBreak/>
              <w:t>Kanalizimeve 2011-2017</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Po. </w:t>
            </w:r>
          </w:p>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27</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2.5 Infrastruktura ujore</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61</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miratimin e letër marrëveshjes ndërmjet Republikës së Shqipërisë dhe Bankës Ndërkombëtare për Rindërtim dhe Zhvillim që vepron si administratore e fondeve grant të siguruara nga Sekretariati i Shtetit për Çështjet Ekonomike (SECO) të Qeverisë Zvicerane, nën Fondin e Besimit të Shumë Donatorëve për fuqizimin e kontabilitetit dhe mjedisit të mirëbesimit në Evropën Jugore dhe Azinë Qendrore për projektin e zhvillimit të kontabilitetit në sektorin publik.</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Nevoje për financim projekti</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në parim dhe lidhja e marrëveshjes se financimit me KfW për financimin e për financimin e Shërbimeve të Ekspertit ndaj marrësit në kuadër të Programit të furnizimit me ujë të zonave rurale IV, që financohet nga një fond i veçantë i siguruar nga Qeveria Gjermane</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Sigurimi i fondeve grant të akorduara nga Qeveria Gjermane për përgatitjen e studimit të fizibilitetit, që është kusht paraprak për fillimin e përgatitjes se projektit teknik dhe zbatimit të programit të Furnizimit me Ujë të Zonave Rurale IV, që financohet nga një fond i veçantë i siguruar nga Qeveria Gjermane</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në parim i marrëveshjes i hap rruge nënshkrimit të saj ndërmjet palëve</w:t>
            </w:r>
            <w:r w:rsidRPr="00B130BB">
              <w:rPr>
                <w:rFonts w:ascii="Garamond" w:eastAsia="Times New Roman" w:hAnsi="Garamond" w:cs="Times New Roman"/>
                <w:spacing w:val="-4"/>
                <w:sz w:val="18"/>
                <w:szCs w:val="18"/>
                <w:lang w:val="sq-AL"/>
              </w:rPr>
              <w:br/>
              <w:t>Akti lidhet me</w:t>
            </w:r>
            <w:r w:rsidRPr="00B130BB">
              <w:rPr>
                <w:rFonts w:ascii="Garamond" w:eastAsia="Times New Roman" w:hAnsi="Garamond" w:cs="Times New Roman"/>
                <w:spacing w:val="-4"/>
                <w:sz w:val="18"/>
                <w:szCs w:val="18"/>
                <w:lang w:val="sq-AL"/>
              </w:rPr>
              <w:br/>
              <w:t xml:space="preserve">- Planin Kombëtar të Territorit 2015 – 2030 </w:t>
            </w:r>
            <w:r w:rsidRPr="00B130BB">
              <w:rPr>
                <w:rFonts w:ascii="Garamond" w:eastAsia="Times New Roman" w:hAnsi="Garamond" w:cs="Times New Roman"/>
                <w:spacing w:val="-4"/>
                <w:sz w:val="18"/>
                <w:szCs w:val="18"/>
                <w:lang w:val="sq-AL"/>
              </w:rPr>
              <w:br/>
              <w:t>- Planin ndërsektorial të Bregdetit 2030</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2.5 Infrastruktura &amp; 2.6 Turizmi dhe Kultura</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62</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Miratimi në parim i ndryshimit të Marrëveshjes </w:t>
            </w:r>
            <w:r w:rsidRPr="00B130BB">
              <w:rPr>
                <w:rFonts w:ascii="Garamond" w:eastAsia="Times New Roman" w:hAnsi="Garamond" w:cs="Times New Roman"/>
                <w:spacing w:val="-4"/>
                <w:sz w:val="18"/>
                <w:szCs w:val="18"/>
                <w:lang w:val="sq-AL"/>
              </w:rPr>
              <w:lastRenderedPageBreak/>
              <w:t>Financiare ndërmjet Këshillit të Ministrave të Republikës së Shqipërisë, të përfaqësuar nga Ministria e Financave dhe Artigiancassa S.P.A. për “Programin e zhvillimit të sektorit privat, nëpërmjet mbështetjes së ndërmarrjeve të vogla dhe të mesme dhe sigurimit të asistencës teknike përkatëse”</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Financave dhe Ekono</w:t>
            </w:r>
            <w:r w:rsidRPr="00B130BB">
              <w:rPr>
                <w:rFonts w:ascii="Garamond" w:eastAsia="Times New Roman" w:hAnsi="Garamond" w:cs="Times New Roman"/>
                <w:spacing w:val="-4"/>
                <w:sz w:val="18"/>
                <w:szCs w:val="18"/>
                <w:lang w:val="sq-AL"/>
              </w:rPr>
              <w:lastRenderedPageBreak/>
              <w:t>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Katërmujori 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Nevoje për financim projekti</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Miratimi dhe bërja efektive e marrëveshjes </w:t>
            </w:r>
            <w:r w:rsidRPr="00B130BB">
              <w:rPr>
                <w:rFonts w:ascii="Garamond" w:eastAsia="Times New Roman" w:hAnsi="Garamond" w:cs="Times New Roman"/>
                <w:spacing w:val="-4"/>
                <w:sz w:val="18"/>
                <w:szCs w:val="18"/>
                <w:lang w:val="sq-AL"/>
              </w:rPr>
              <w:lastRenderedPageBreak/>
              <w:t>se financimit me KfW për financimin e për financimin e Shërbimeve të Ekspertit ndaj marrësit në kuadër të Programit të Furnizimit me Ujë të Zonave Rurale IV, që financohet nga një fond i veçantë i siguruar nga Qeveria Gjermane</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Sigurimi i fondeve grant të akorduara nga Qeveria </w:t>
            </w:r>
            <w:r w:rsidRPr="00B130BB">
              <w:rPr>
                <w:rFonts w:ascii="Garamond" w:eastAsia="Times New Roman" w:hAnsi="Garamond" w:cs="Times New Roman"/>
                <w:spacing w:val="-4"/>
                <w:sz w:val="18"/>
                <w:szCs w:val="18"/>
                <w:lang w:val="sq-AL"/>
              </w:rPr>
              <w:lastRenderedPageBreak/>
              <w:t>Gjermane për përgatitjen e studimit të fizibilitetit, që është kusht paraprak për fillimin e përgatitjes se projektit teknik dhe zbatimit të programit të Furnizimit me Ujë të Zonave Rurale IV, që financohet nga një fond i veçantë i siguruar nga Qeveria Gjermane</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Mundëson sigurimin e financimit në formën e </w:t>
            </w:r>
            <w:r w:rsidRPr="00B130BB">
              <w:rPr>
                <w:rFonts w:ascii="Garamond" w:eastAsia="Times New Roman" w:hAnsi="Garamond" w:cs="Times New Roman"/>
                <w:spacing w:val="-4"/>
                <w:sz w:val="18"/>
                <w:szCs w:val="18"/>
                <w:lang w:val="sq-AL"/>
              </w:rPr>
              <w:lastRenderedPageBreak/>
              <w:t>grantit në vlerën prej 750,000 eurosh</w:t>
            </w:r>
            <w:r w:rsidRPr="00B130BB">
              <w:rPr>
                <w:rFonts w:ascii="Garamond" w:eastAsia="Times New Roman" w:hAnsi="Garamond" w:cs="Times New Roman"/>
                <w:spacing w:val="-4"/>
                <w:sz w:val="18"/>
                <w:szCs w:val="18"/>
                <w:lang w:val="sq-AL"/>
              </w:rPr>
              <w:br/>
              <w:t xml:space="preserve">Akti lidhet me </w:t>
            </w:r>
            <w:r w:rsidRPr="00B130BB">
              <w:rPr>
                <w:rFonts w:ascii="Garamond" w:eastAsia="Times New Roman" w:hAnsi="Garamond" w:cs="Times New Roman"/>
                <w:spacing w:val="-4"/>
                <w:sz w:val="18"/>
                <w:szCs w:val="18"/>
                <w:lang w:val="sq-AL"/>
              </w:rPr>
              <w:br/>
              <w:t xml:space="preserve">- Planin Kombetar të Territorit 2015–2030 </w:t>
            </w:r>
            <w:r w:rsidRPr="00B130BB">
              <w:rPr>
                <w:rFonts w:ascii="Garamond" w:eastAsia="Times New Roman" w:hAnsi="Garamond" w:cs="Times New Roman"/>
                <w:spacing w:val="-4"/>
                <w:sz w:val="18"/>
                <w:szCs w:val="18"/>
                <w:lang w:val="sq-AL"/>
              </w:rPr>
              <w:br/>
              <w:t>- Planin ndersektorial të Bregdetit 2030</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2.5 Infrastruktura &amp; 2.6 Turizmi </w:t>
            </w:r>
            <w:r w:rsidRPr="00B130BB">
              <w:rPr>
                <w:rFonts w:ascii="Garamond" w:eastAsia="Times New Roman" w:hAnsi="Garamond" w:cs="Times New Roman"/>
                <w:spacing w:val="-4"/>
                <w:sz w:val="18"/>
                <w:szCs w:val="18"/>
                <w:lang w:val="sq-AL"/>
              </w:rPr>
              <w:lastRenderedPageBreak/>
              <w:t>dhe Kultura</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63</w:t>
            </w:r>
          </w:p>
        </w:tc>
        <w:tc>
          <w:tcPr>
            <w:tcW w:w="815"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miratimin në parim të Marrëveshjes së Grantit ndërmjet Këshillit të Ministrave të Republikës së Shqipërisë dhe Fondit të Kuvajtit për Zhvillimin Ekonomik Arab për asistencë teknike për përgatitjen e studimit të fizibilitetit për projekte të infrastrukturës së transportit në zonat bregdetare jugore të Shqipërisë</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Nevoje për financim projekti</w:t>
            </w:r>
          </w:p>
        </w:tc>
        <w:tc>
          <w:tcPr>
            <w:tcW w:w="581"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në parim dhe lidhja e Marrëveshjes së Grantit ndërmjet Këshillit të Ministrave të Republikës së Shqipërisë dhe Fondit të Kuvajtit për Zhvillimin Ekonomik Arab për asistencë teknike për përgatitjen e studimit të fizibilitetit për projekte të infrastrukturës së transportit në zonat bregdetare jugore të Shqipërisë</w:t>
            </w:r>
          </w:p>
        </w:tc>
        <w:tc>
          <w:tcPr>
            <w:tcW w:w="602"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Sigurimi i fondeve grant të akorduara nga Fondi i Kuvajtit për Zhvillimin Ekonomik Arab për përgatitjen e studimit të fizibilitetit për ndërhyrjet që parashikohen të kryhen në kuadër të programit si dhe përgatitja e projekteve teknike për projektet me prioritare</w:t>
            </w:r>
          </w:p>
        </w:tc>
        <w:tc>
          <w:tcPr>
            <w:tcW w:w="558"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në parim i marrëveshjes i hap rruge nënshkrimit të saj ndërmjet palëve</w:t>
            </w:r>
            <w:r w:rsidRPr="00B130BB">
              <w:rPr>
                <w:rFonts w:ascii="Garamond" w:eastAsia="Times New Roman" w:hAnsi="Garamond" w:cs="Times New Roman"/>
                <w:spacing w:val="-4"/>
                <w:sz w:val="18"/>
                <w:szCs w:val="18"/>
                <w:lang w:val="sq-AL"/>
              </w:rPr>
              <w:br/>
              <w:t>Akti lidhet me</w:t>
            </w:r>
            <w:r w:rsidRPr="00B130BB">
              <w:rPr>
                <w:rFonts w:ascii="Garamond" w:eastAsia="Times New Roman" w:hAnsi="Garamond" w:cs="Times New Roman"/>
                <w:spacing w:val="-4"/>
                <w:sz w:val="18"/>
                <w:szCs w:val="18"/>
                <w:lang w:val="sq-AL"/>
              </w:rPr>
              <w:br/>
              <w:t xml:space="preserve">- Planin Kombëtar të Territorit 2015 – 2030 </w:t>
            </w:r>
            <w:r w:rsidRPr="00B130BB">
              <w:rPr>
                <w:rFonts w:ascii="Garamond" w:eastAsia="Times New Roman" w:hAnsi="Garamond" w:cs="Times New Roman"/>
                <w:spacing w:val="-4"/>
                <w:sz w:val="18"/>
                <w:szCs w:val="18"/>
                <w:lang w:val="sq-AL"/>
              </w:rPr>
              <w:br/>
              <w:t>- Planin ndersektorial të bregdetit 2030</w:t>
            </w:r>
          </w:p>
        </w:tc>
        <w:tc>
          <w:tcPr>
            <w:tcW w:w="414"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2.5 Infrastruktura &amp; 2.6 Turizmi dhe Kultura</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64</w:t>
            </w:r>
          </w:p>
        </w:tc>
        <w:tc>
          <w:tcPr>
            <w:tcW w:w="815"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për miratimin e Marrëveshjes së Grantit ndërmjet Këshillit të Ministrave të Republikës së Shqipërisë dhe Fondit të Kuvajtit për Zhvillimin Ekonomik Arab për asistencë teknike </w:t>
            </w:r>
            <w:r w:rsidRPr="00B130BB">
              <w:rPr>
                <w:rFonts w:ascii="Garamond" w:eastAsia="Times New Roman" w:hAnsi="Garamond" w:cs="Times New Roman"/>
                <w:spacing w:val="-4"/>
                <w:sz w:val="18"/>
                <w:szCs w:val="18"/>
                <w:lang w:val="sq-AL"/>
              </w:rPr>
              <w:lastRenderedPageBreak/>
              <w:t>për përgatitjen e studimit të fizibilitetit për projekte të infrastrukturës së transportit në zonat bregdetare jugore të Shqipërisë</w:t>
            </w:r>
          </w:p>
        </w:tc>
        <w:tc>
          <w:tcPr>
            <w:tcW w:w="421"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Financave dhe Ekonomisë</w:t>
            </w:r>
          </w:p>
        </w:tc>
        <w:tc>
          <w:tcPr>
            <w:tcW w:w="437"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56"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Nevoje për financim projekti</w:t>
            </w:r>
          </w:p>
        </w:tc>
        <w:tc>
          <w:tcPr>
            <w:tcW w:w="581"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Miratimi dhe bërja efektive e Marrëveshjes së Grantit ndërmjet Këshillit të Ministrave të Republikës së Shqipërisë dhe Fondit të Kuvajtit për </w:t>
            </w:r>
            <w:r w:rsidRPr="00B130BB">
              <w:rPr>
                <w:rFonts w:ascii="Garamond" w:eastAsia="Times New Roman" w:hAnsi="Garamond" w:cs="Times New Roman"/>
                <w:spacing w:val="-4"/>
                <w:sz w:val="18"/>
                <w:szCs w:val="18"/>
                <w:lang w:val="sq-AL"/>
              </w:rPr>
              <w:lastRenderedPageBreak/>
              <w:t>Zhvillimin Ekonomik Arab për asistencë teknike për përgatitjen e studimit të fizibilitetit për projekte të infrastrukturës së transportit në zonat bregdetare jugore të Shqipërisë</w:t>
            </w:r>
          </w:p>
        </w:tc>
        <w:tc>
          <w:tcPr>
            <w:tcW w:w="602"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Sigurimi i fondeve grant të akorduara nga Fondi i Kuvajtit për Zhvillimin Ekonomik Arab për përgatitjen e studimit të fizibilitetit për ndërhyrjet që </w:t>
            </w:r>
            <w:r w:rsidRPr="00B130BB">
              <w:rPr>
                <w:rFonts w:ascii="Garamond" w:eastAsia="Times New Roman" w:hAnsi="Garamond" w:cs="Times New Roman"/>
                <w:spacing w:val="-4"/>
                <w:sz w:val="18"/>
                <w:szCs w:val="18"/>
                <w:lang w:val="sq-AL"/>
              </w:rPr>
              <w:lastRenderedPageBreak/>
              <w:t>parashikohen të kryhen në kuadër të programit si dhe përgatitja e projekteve teknike për projektet me prioritare</w:t>
            </w:r>
          </w:p>
        </w:tc>
        <w:tc>
          <w:tcPr>
            <w:tcW w:w="558"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Mundëson sigurimin e financimit në formën e grantit në vlerën prej 200,000 KD</w:t>
            </w:r>
            <w:r w:rsidRPr="00B130BB">
              <w:rPr>
                <w:rFonts w:ascii="Garamond" w:eastAsia="Times New Roman" w:hAnsi="Garamond" w:cs="Times New Roman"/>
                <w:spacing w:val="-4"/>
                <w:sz w:val="18"/>
                <w:szCs w:val="18"/>
                <w:lang w:val="sq-AL"/>
              </w:rPr>
              <w:br/>
              <w:t xml:space="preserve">Akti lidhet me </w:t>
            </w:r>
            <w:r w:rsidRPr="00B130BB">
              <w:rPr>
                <w:rFonts w:ascii="Garamond" w:eastAsia="Times New Roman" w:hAnsi="Garamond" w:cs="Times New Roman"/>
                <w:spacing w:val="-4"/>
                <w:sz w:val="18"/>
                <w:szCs w:val="18"/>
                <w:lang w:val="sq-AL"/>
              </w:rPr>
              <w:br/>
              <w:t xml:space="preserve">- Planin Kombëtar të Territorit </w:t>
            </w:r>
            <w:r w:rsidRPr="00B130BB">
              <w:rPr>
                <w:rFonts w:ascii="Garamond" w:eastAsia="Times New Roman" w:hAnsi="Garamond" w:cs="Times New Roman"/>
                <w:spacing w:val="-4"/>
                <w:sz w:val="18"/>
                <w:szCs w:val="18"/>
                <w:lang w:val="sq-AL"/>
              </w:rPr>
              <w:lastRenderedPageBreak/>
              <w:t xml:space="preserve">2015 – 2030 </w:t>
            </w:r>
            <w:r w:rsidRPr="00B130BB">
              <w:rPr>
                <w:rFonts w:ascii="Garamond" w:eastAsia="Times New Roman" w:hAnsi="Garamond" w:cs="Times New Roman"/>
                <w:spacing w:val="-4"/>
                <w:sz w:val="18"/>
                <w:szCs w:val="18"/>
                <w:lang w:val="sq-AL"/>
              </w:rPr>
              <w:br/>
              <w:t>- Planin Ndërsektorial të Bregdetit 2030</w:t>
            </w:r>
          </w:p>
        </w:tc>
        <w:tc>
          <w:tcPr>
            <w:tcW w:w="414"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64"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2.5 Infrastruktura &amp; 2.6 Turizmi dhe Kultura</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65</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për miratimin në parim të Marrëveshjes së Financimit ndërmjet KfW, Frankfurt am Main (KfW) dhe Republikës së Shqipërisë (Marrësi), përfaqësuar nga Ministria e Financave dhe Ekonomisë, për Projektin e Arsimit dhe Trajnimit Profesional dhe Punësimit, Qendra Shumëfunksionale në Kamëz </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Nevoje për financim projekti</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Miratimi në parim dhe lidhja e Marrëveshjes së Financimit ndërmjet KfW, Frankfurt am Main (KfW) dhe Republikës së Shqipërisë (Marrësi), përfaqësuar nga Ministria e Financave dhe Ekonomisë, për Projektin e Arsimit dhe Trajnimit Profesional dhe Punësimit, Qendra Shumëfunksionale në Kamëz </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Sigurimi i fondeve grant të akorduara nga KfW për Projektin e Arsimit dhe Trajnimit Profesional dhe Punësimit, Qendra Shumëfunksionale në Kamëz </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Mundëson sigurimin e financimit në formën e grantit në vlerën prej 4,500,000 eurosh</w:t>
            </w:r>
            <w:r w:rsidRPr="00B130BB">
              <w:rPr>
                <w:rFonts w:ascii="Garamond" w:eastAsia="Times New Roman" w:hAnsi="Garamond" w:cs="Times New Roman"/>
                <w:spacing w:val="-4"/>
                <w:sz w:val="18"/>
                <w:szCs w:val="18"/>
                <w:lang w:val="sq-AL"/>
              </w:rPr>
              <w:br/>
              <w:t>Akti lidhet me Strategjinë Kombëtare të Punësimit dhe Aftësive, 2014–2020”</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3.3 Kujdesi social</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66</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për miratimin e Marrëveshjes së Financimit ndërmjet KfW, Frankfurt am Main (KfW) dhe Republikës së Shqipërisë (Marrësi), përfaqësuar nga Ministria e Financave dhe Ekonomisë, për Projektin e Arsimit dhe Trajnimit Profesional dhe Punësimit, Qendra Shumëfunksionale </w:t>
            </w:r>
            <w:r w:rsidRPr="00B130BB">
              <w:rPr>
                <w:rFonts w:ascii="Garamond" w:eastAsia="Times New Roman" w:hAnsi="Garamond" w:cs="Times New Roman"/>
                <w:spacing w:val="-4"/>
                <w:sz w:val="18"/>
                <w:szCs w:val="18"/>
                <w:lang w:val="sq-AL"/>
              </w:rPr>
              <w:lastRenderedPageBreak/>
              <w:t xml:space="preserve">në Kamëz </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Nevoje për financim projekti</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Miratimi dhe bërja efektive e Marrëveshjes së Financimit ndërmjet KfW, Frankfurt am Main (KfW) dhe Republikës së Shqipërisë (Marrësi), përfaqësuar nga Ministria e Financave dhe Ekonomisë, </w:t>
            </w:r>
            <w:r w:rsidRPr="00B130BB">
              <w:rPr>
                <w:rFonts w:ascii="Garamond" w:eastAsia="Times New Roman" w:hAnsi="Garamond" w:cs="Times New Roman"/>
                <w:spacing w:val="-4"/>
                <w:sz w:val="18"/>
                <w:szCs w:val="18"/>
                <w:lang w:val="sq-AL"/>
              </w:rPr>
              <w:lastRenderedPageBreak/>
              <w:t xml:space="preserve">për Projektin e Arsimit dhe Trajnimit Profesional dhe Punësimit, Qendra Shumëfunksionale në Kamëz </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Sigurimi i fondeve grant të akorduara nga KfW për Projektin e Arsimit dhe Trajnimit Profesional dhe Punësimit, Qendra Shumëfunksionale në Kamëz </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Mundëson sigurimin e financimit në formën e grantit në vlerën prej 4,500,000 eurosh.</w:t>
            </w:r>
            <w:r w:rsidRPr="00B130BB">
              <w:rPr>
                <w:rFonts w:ascii="Garamond" w:eastAsia="Times New Roman" w:hAnsi="Garamond" w:cs="Times New Roman"/>
                <w:spacing w:val="-4"/>
                <w:sz w:val="18"/>
                <w:szCs w:val="18"/>
                <w:lang w:val="sq-AL"/>
              </w:rPr>
              <w:br/>
              <w:t>Akti lidhet me Strategjinë Kombëtare të Punësimit dhe Aftësive, 2014–2020”</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3.3 Kujdesi social</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67</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për propozimin e projektligjit për ratifikimin e Marrëveshjes së Grantit ndërmjet Republikës së Shqipërisë dhe Bankës Evropiane për Rindërtim dhe Zhvillim, për financimin e Projektit Hekurudhat Shqiptare - Rehabilitimi i linjës hekurudhore Tiranë – Durrës dhe ndërtimi i linjës hekurudhore për në Aeroportin Ndërkombëtar të Tiranës </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Nevoje për financim projekti</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Ratifikimi dhe bërja efektive e Marrëveshjes së Grantit ndërmjet Republikës së Shqipërisë dhe Bankës Evropiane për Rindërtim dhe Zhvillim, për financimin e Projektit Hekurudhat Shqiptare - Rehabilitimi i linjës hekurudhore Tiranë – Durrës dhe ndërtimi i linjës hekurudhore për në Aeroportin Ndërkombëtar të Tiranës </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Sigurimi i fondeve grant që akordohen nga WBIF nëpërmjet BERZH për bashkëfinancimin e projektit </w:t>
            </w:r>
            <w:r w:rsidRPr="00B130BB">
              <w:rPr>
                <w:rFonts w:ascii="Garamond" w:eastAsia="Times New Roman" w:hAnsi="Garamond" w:cs="Times New Roman"/>
                <w:spacing w:val="-4"/>
                <w:sz w:val="18"/>
                <w:szCs w:val="18"/>
                <w:lang w:val="sq-AL"/>
              </w:rPr>
              <w:br/>
              <w:t xml:space="preserve">Hekurudhat Shqiptare - Rehabilitimi i linjës hekurudhore Tiranë – Durrës dhe ndërtimi i linjës hekurudhore për në Aeroportin Ndërkombëtar të Tiranës </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Mundëson sigurimin e financimit në formën e grantit në vlerën prej 35,435,000 eurosh.</w:t>
            </w:r>
            <w:r w:rsidRPr="00B130BB">
              <w:rPr>
                <w:rFonts w:ascii="Garamond" w:eastAsia="Times New Roman" w:hAnsi="Garamond" w:cs="Times New Roman"/>
                <w:spacing w:val="-4"/>
                <w:sz w:val="18"/>
                <w:szCs w:val="18"/>
                <w:lang w:val="sq-AL"/>
              </w:rPr>
              <w:br/>
              <w:t>Akti lidhet me Strategjinë Sektoriale të Transportit dhe Planin e Veprimit 2016–2020</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Pika 2.5 Infrastruktura, Transporti Hekurudhor Objektivi i pare.</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68</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miratimin në parim të ndryshimit të Marrëveshjes së Huas dhe Programit, ndërmjet KfW Frankfurt am Main, Republikës së Shqipërisë përfaqësuar nga Ministria e Financave, dhe Fondit Shqiptar të Zhvillimit, për financimin e Programit “Fondi i Investimeve Sociale IV”</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Përfundimi i afatit të disbursimit të huas para përfundimit të projektit</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në parim dhe nënshkrimi i dokumentit ndryshues të marrëveshjes së huas me KfW për Programin “Fondi i Investimeve Sociale IV</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Sigurimi i afatit të nevojshëm për përfundimin e projektit dhe disbursimin e fondeve të mbetura të kredisë</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Mundëson afatin shtese të nevojshëm për përfundimin e gjithë aktiviteteve të projektit</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69</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Projektligj - Për propozimin e projektligjit për ratifikimin e Marrëveshjes së </w:t>
            </w:r>
            <w:r w:rsidRPr="00B130BB">
              <w:rPr>
                <w:rFonts w:ascii="Garamond" w:eastAsia="Times New Roman" w:hAnsi="Garamond" w:cs="Times New Roman"/>
                <w:spacing w:val="-4"/>
                <w:sz w:val="18"/>
                <w:szCs w:val="18"/>
                <w:lang w:val="sq-AL"/>
              </w:rPr>
              <w:lastRenderedPageBreak/>
              <w:t>Huas dhe Programit, ndërmjet KfW Frankfurt am Main, Republikës së Shqipërisë përfaqësuar nga Ministria e Financave, dhe Fondit Shqiptar të Zhvillimit, për financimin e Programit “Fondi i Investimeve Sociale IV”</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Përfundimi i afatit të disbursimit të huas para përfundimit </w:t>
            </w:r>
            <w:r w:rsidRPr="00B130BB">
              <w:rPr>
                <w:rFonts w:ascii="Garamond" w:eastAsia="Times New Roman" w:hAnsi="Garamond" w:cs="Times New Roman"/>
                <w:spacing w:val="-4"/>
                <w:sz w:val="18"/>
                <w:szCs w:val="18"/>
                <w:lang w:val="sq-AL"/>
              </w:rPr>
              <w:lastRenderedPageBreak/>
              <w:t>të projektit</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Ratifikimi dhe bërja efektiv e dokumentit ndryshues të </w:t>
            </w:r>
            <w:r w:rsidRPr="00B130BB">
              <w:rPr>
                <w:rFonts w:ascii="Garamond" w:eastAsia="Times New Roman" w:hAnsi="Garamond" w:cs="Times New Roman"/>
                <w:spacing w:val="-4"/>
                <w:sz w:val="18"/>
                <w:szCs w:val="18"/>
                <w:lang w:val="sq-AL"/>
              </w:rPr>
              <w:lastRenderedPageBreak/>
              <w:t>marrëveshjes së huas me KfW për Programin “Fondi i Investimeve Sociale IV</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Sigurimi i afatit të nevojshëm për përfundimin e </w:t>
            </w:r>
            <w:r w:rsidRPr="00B130BB">
              <w:rPr>
                <w:rFonts w:ascii="Garamond" w:eastAsia="Times New Roman" w:hAnsi="Garamond" w:cs="Times New Roman"/>
                <w:spacing w:val="-4"/>
                <w:sz w:val="18"/>
                <w:szCs w:val="18"/>
                <w:lang w:val="sq-AL"/>
              </w:rPr>
              <w:lastRenderedPageBreak/>
              <w:t>projektit dhe disbursimin e fondeve të mbetura të kredisë</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Mundëson afatin shtese të nevojshëm për </w:t>
            </w:r>
            <w:r w:rsidRPr="00B130BB">
              <w:rPr>
                <w:rFonts w:ascii="Garamond" w:eastAsia="Times New Roman" w:hAnsi="Garamond" w:cs="Times New Roman"/>
                <w:spacing w:val="-4"/>
                <w:sz w:val="18"/>
                <w:szCs w:val="18"/>
                <w:lang w:val="sq-AL"/>
              </w:rPr>
              <w:lastRenderedPageBreak/>
              <w:t>përfundimin e gjithë aktiviteteve të projektit</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70</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 Për propozimin e projektligjit për ratifikimin e Marrëveshjes së Huas dhe Projektit, ndërmjet KfW Frankfurt am Main, Republikës së Shqipërisë përfaqësuar nga Ministria e Financave, dhe Operatorit të Sistemit të Transmetimit si agjenci e zbatimit të projektit, për financimin e Projektit “Linja e transmetimit 400 kilovolt Shqipëri-Kosovë (Tiranë-Prishtinë)”</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Përfundimi i afatit të disbursimit të huas para përfundimit të gjithë aktiviteteve të parashikuara në projekt</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Ratifikimi dhe bërja efektiv e dokumentit ndryshues të marrëveshjes së huas me KfW për projektin “Linja e transmetimit 400 kilovolt Shqipëri-Kosovë (Tiranë-Prishtinë)”</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Sigurimi i afatit të nevojshëm për përfundimin e projektit dhe disbursimin e fondeve të mbetura të kredisë</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Mundëson afatin shtese të nevojshëm për përfundimin e gjithë aktiviteteve të projektit</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71</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miratimin në parim të ndryshimit të marrëveshjes së grantit nr. TF013972, ndërmjet Shqipërisë dhe Bankës Ndërkombëtare për Rindërtim dhe Zhvillim/Shoqatës Ndërkombëtare për Zhvillim, që vepron si administratore e fondeve grant të siguruara nga dhurues të ndryshëm, nën fondin e dytë të mirëbesimit shumëpalësh, për projektin “Mbështetje për ngritjen e kapaciteteve për </w:t>
            </w:r>
            <w:r w:rsidRPr="00B130BB">
              <w:rPr>
                <w:rFonts w:ascii="Garamond" w:eastAsia="Times New Roman" w:hAnsi="Garamond" w:cs="Times New Roman"/>
                <w:spacing w:val="-4"/>
                <w:sz w:val="18"/>
                <w:szCs w:val="18"/>
                <w:lang w:val="sq-AL"/>
              </w:rPr>
              <w:lastRenderedPageBreak/>
              <w:t>zbatimin e sistemit të planifikimit të integruar (IPS 2)</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Përfundimi i afatit të përdorimit të grantit përpara se të përfundojë projekti dhe nevoje për financim shtese </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në parim dhe nënshkrimi i dokumentit ndryshues të marrëveshjes së grantit me IBRD/IDA për Projektin e ngritjes së kapaciteteve për zbatimin e sistemit të planifikimit të integruar (IPS 2).</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Ndryshimi i marrëveshjes së grantit synon: i) zgjatjen e afatit të përdorimit të grantit nga 30 qershor 2018 deri më 30 janar 2019; dhe ii) akordimin e një fondi shtese për këtë projekt</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Mundëson shtyrjen e afatit të përdorimit të grantit me qëllim realizimin e projektit si dhe akordimin e një shumë shtesë për grantin ekzistues IPS 2 me qëllim realizimin e këtij projekti.</w:t>
            </w:r>
            <w:r w:rsidRPr="00B130BB">
              <w:rPr>
                <w:rFonts w:ascii="Garamond" w:eastAsia="Times New Roman" w:hAnsi="Garamond" w:cs="Times New Roman"/>
                <w:spacing w:val="-4"/>
                <w:sz w:val="18"/>
                <w:szCs w:val="18"/>
                <w:lang w:val="sq-AL"/>
              </w:rPr>
              <w:br/>
              <w:t xml:space="preserve">Akti lidhet me Strategjinë për Menaxhimin e Financave </w:t>
            </w:r>
            <w:r w:rsidRPr="00B130BB">
              <w:rPr>
                <w:rFonts w:ascii="Garamond" w:eastAsia="Times New Roman" w:hAnsi="Garamond" w:cs="Times New Roman"/>
                <w:spacing w:val="-4"/>
                <w:sz w:val="18"/>
                <w:szCs w:val="18"/>
                <w:lang w:val="sq-AL"/>
              </w:rPr>
              <w:lastRenderedPageBreak/>
              <w:t>Publike 2014–2020.</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Projekti ka ndihmuar në finalizimin e Strategjisë Kombëtare për Zhvillimin dhe Integrim nëpërmjet konsulencës së huaj; Lidhet me Strategjinë kombëtare për menaxhimin e ndihmës së huaj </w:t>
            </w:r>
            <w:r w:rsidRPr="00B130BB">
              <w:rPr>
                <w:rFonts w:ascii="Garamond" w:eastAsia="Times New Roman" w:hAnsi="Garamond" w:cs="Times New Roman"/>
                <w:spacing w:val="-4"/>
                <w:sz w:val="18"/>
                <w:szCs w:val="18"/>
                <w:lang w:val="sq-AL"/>
              </w:rPr>
              <w:lastRenderedPageBreak/>
              <w:t>për çështjet që lidhen me arritjen e standardeve evropiane për planifikimin dhe monitorimin e centralizuar; Lidhet me Strategjinë për menaxhimin e Financave Publike (2014–2020).</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72</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miratimin e ndryshimit të marrëveshjes së grantit nr. TF013972, ndërmjet Shqipërisë dhe Bankës Ndërkombëtare për Rindërtim dhe Zhvillim/Shoqatës Ndërkombëtare për Zhvillim, që vepron si administratore e fondeve grant të siguruara nga dhurues të ndryshëm, nën fondin e dytë të mirëbesimit shumëpalësh, për projektin “Mbështetje për ngritjen e kapaciteteve për zbatimin e sistemit të planifikimit të integruar (IPS 2)</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Përfundimi i afatit të përdorimit të grantit përpara se të përfundojë projekti dhe nevoje për financim shtese </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dhe bërja efektive e dokumentit ndryshues të marrëveshjes së grantit me IBRD/IDA për Projektin e ngritjes së kapaciteteve për zbatimin e sistemit të planifikimit të integruar (IPS 2).</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Ndryshimi i marrëveshjes së grantit synon: i) zgjatjen e afatit të përdorimit të grantit nga 30 qershor 2018 deri më 30 janar 2019; dhe ii) akordimin e një fondi shtese për këtë projekt</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Mundëson shtyrjen e afatit të përdorimit të grantit me qëllim realizimin e projektit si dhe akordimin e një shumë shtesë për grantin ekzistues IPS 2 me qëllim realizimin e këtij projekti.</w:t>
            </w:r>
            <w:r w:rsidRPr="00B130BB">
              <w:rPr>
                <w:rFonts w:ascii="Garamond" w:eastAsia="Times New Roman" w:hAnsi="Garamond" w:cs="Times New Roman"/>
                <w:spacing w:val="-4"/>
                <w:sz w:val="18"/>
                <w:szCs w:val="18"/>
                <w:lang w:val="sq-AL"/>
              </w:rPr>
              <w:br/>
              <w:t>Akti lidhet me Strategjinë për Menaxhimin e Financave Publike 2014–2020.</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Projekti ka ndihmuar në finalizimin e Strategjisë Kombëtare për Zhvillimin dhe Integrim nëpërmjet konsulencës së huaj; Lidhet me Strategjinë kombëtare për menaxhimin e ndihmës së huaj për çështjet që lidhen me arritjen e standardeve evropiane për planifikimin dhe monitorimin e centralizu</w:t>
            </w:r>
            <w:r w:rsidRPr="00B130BB">
              <w:rPr>
                <w:rFonts w:ascii="Garamond" w:eastAsia="Times New Roman" w:hAnsi="Garamond" w:cs="Times New Roman"/>
                <w:spacing w:val="-4"/>
                <w:sz w:val="18"/>
                <w:szCs w:val="18"/>
                <w:lang w:val="sq-AL"/>
              </w:rPr>
              <w:lastRenderedPageBreak/>
              <w:t>ar; Lidhet me Strategjinë për menaxhimin e Financave Publike (2014–2020).</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73</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miratimin në parim të letër marrëveshjes ndërmjet Republikës së Shqipërisë dhe Bankës Ndërkombëtare për Rindërtim dhe Zhvillim që vepron si administratore e fondeve grant të siguruara nga Sekretariati i Shtetit për Çështjet Ekonomike (SECO) të Qeverisë Zvicerane, nën Fondin e Besimit të Shumë Donatorëve për fuqizimin e kontabilitetit dhe mjedisit të mirëbesimit në Evropën Jugore dhe Azinë Qendrore për projektin e zhvillimit të kontabilitetit në sektorin publik.</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Nevoja për financimin e disa aktiviteteve të cilat do të ndihmojnë në përmirësimin e kuadrit rregullator dhe ligjor të kontabilitetit në sektorin publik, rishikimin dhe ndryshimin e llogarive kombëtare si dhe implementimin gradual të standardeve ndërkombëtare të kontabilitetit të sektorit publik (IPSAS) në Shqipëri</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në parim me qellim nënshkrimin e dokumentit të marrëveshjes së grantit me IBRD/IDA për Projektin e Zhvillimit të Kontabilitetit në Sektorin Publik.</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Marrëveshja e grantit synon: a) Zhvillimin e kontabilitetit dhe raportimit financiar të sektorit publik në përputhje me IPSAS; dhe b) Zhvillimin e kapaciteteve dhe aftësive profesionale në fushën e kontabilitetit për Ministrinë e Financave dhe Ekonomisë dhe për financierët në sektorin publik</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Ky projektakt do të përcaktojë kuadrin ligjor dhe kushtet kryesore të Marrëveshjes së Grantit mes Republikës se Shqipërisë dhe Bankës Ndërkombëtare për Rindërtim dhe Zhvillim/Shoqatës Ndërkombëtare për Zhvillim : </w:t>
            </w:r>
            <w:r w:rsidRPr="00B130BB">
              <w:rPr>
                <w:rFonts w:ascii="Garamond" w:eastAsia="Times New Roman" w:hAnsi="Garamond" w:cs="Times New Roman"/>
                <w:spacing w:val="-4"/>
                <w:sz w:val="18"/>
                <w:szCs w:val="18"/>
                <w:lang w:val="sq-AL"/>
              </w:rPr>
              <w:br/>
              <w:t>• Organizimi institucional;</w:t>
            </w:r>
            <w:r w:rsidRPr="00B130BB">
              <w:rPr>
                <w:rFonts w:ascii="Garamond" w:eastAsia="Times New Roman" w:hAnsi="Garamond" w:cs="Times New Roman"/>
                <w:spacing w:val="-4"/>
                <w:sz w:val="18"/>
                <w:szCs w:val="18"/>
                <w:lang w:val="sq-AL"/>
              </w:rPr>
              <w:br/>
              <w:t>• Aspekte të menaxhimit Financiar;</w:t>
            </w:r>
            <w:r w:rsidRPr="00B130BB">
              <w:rPr>
                <w:rFonts w:ascii="Garamond" w:eastAsia="Times New Roman" w:hAnsi="Garamond" w:cs="Times New Roman"/>
                <w:spacing w:val="-4"/>
                <w:sz w:val="18"/>
                <w:szCs w:val="18"/>
                <w:lang w:val="sq-AL"/>
              </w:rPr>
              <w:br/>
              <w:t>• Kuadri ligjor i zbatueshëm;</w:t>
            </w:r>
            <w:r w:rsidRPr="00B130BB">
              <w:rPr>
                <w:rFonts w:ascii="Garamond" w:eastAsia="Times New Roman" w:hAnsi="Garamond" w:cs="Times New Roman"/>
                <w:spacing w:val="-4"/>
                <w:sz w:val="18"/>
                <w:szCs w:val="18"/>
                <w:lang w:val="sq-AL"/>
              </w:rPr>
              <w:br/>
              <w:t>• Fushat dhe aktivitetet e financuara nga Granti.</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Zhvillimi Ekonomik</w:t>
            </w:r>
            <w:r w:rsidRPr="00B130BB">
              <w:rPr>
                <w:rFonts w:ascii="Garamond" w:eastAsia="Times New Roman" w:hAnsi="Garamond" w:cs="Times New Roman"/>
                <w:spacing w:val="-4"/>
                <w:sz w:val="18"/>
                <w:szCs w:val="18"/>
                <w:lang w:val="sq-AL"/>
              </w:rPr>
              <w:br/>
              <w:t>Integrimi në Bashkimin Evropian</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74</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miratimin e letër marrëveshjes ndërmjet Republikës së Shqipërisë dhe Bankës Ndërkombëtare për Rindërtim dhe Zhvillim që vepron si administratore e fondeve grant të siguruara nga Sekretariati i Shtetit për Çështjet Ekonomike (SECO) të Qeverisë Zvicerane, nën </w:t>
            </w:r>
            <w:r w:rsidRPr="00B130BB">
              <w:rPr>
                <w:rFonts w:ascii="Garamond" w:eastAsia="Times New Roman" w:hAnsi="Garamond" w:cs="Times New Roman"/>
                <w:spacing w:val="-4"/>
                <w:sz w:val="18"/>
                <w:szCs w:val="18"/>
                <w:lang w:val="sq-AL"/>
              </w:rPr>
              <w:lastRenderedPageBreak/>
              <w:t>Fondin e Besimit të Shumë Donatorëve për fuqizimin e kontabilitetit dhe mjedisit të mirëbesimit në Evropën Jugore dhe Azinë Qendrore për projektin e zhvillimit të kontabilitetit në sektorin publik.</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Nevoja për financimin e disa aktiviteteve të cilat do të ndihmojnë në përmirësimin e kuadrit rregullator dhe ligjor të kontabilitetit në sektorin publik, rishikimin dhe ndryshimin e llogarive </w:t>
            </w:r>
            <w:r w:rsidRPr="00B130BB">
              <w:rPr>
                <w:rFonts w:ascii="Garamond" w:eastAsia="Times New Roman" w:hAnsi="Garamond" w:cs="Times New Roman"/>
                <w:spacing w:val="-4"/>
                <w:sz w:val="18"/>
                <w:szCs w:val="18"/>
                <w:lang w:val="sq-AL"/>
              </w:rPr>
              <w:lastRenderedPageBreak/>
              <w:t>kombëtare si dhe implementimin gradual të standardeve ndërkombëtare të kontabilitetit të sektorit publik (IPSAS) në Shqipëri</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Miratimi dhe hyrja në fuqi e dokumentit të marrëveshjes së grantit me IBRD/IDA për Projektin e Zhvillimit të Kontabilitetit në Sektorin Publik.</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Marrëveshja e grantit synon: a) Zhvillimin e kontabilitetit dhe raportimit financiar të sektorit publik në përputhje me IPSAS; dhe b) Zhvillimin e kapaciteteve dhe aftësive profesionale në fushën e kontabilitetit </w:t>
            </w:r>
            <w:r w:rsidRPr="00B130BB">
              <w:rPr>
                <w:rFonts w:ascii="Garamond" w:eastAsia="Times New Roman" w:hAnsi="Garamond" w:cs="Times New Roman"/>
                <w:spacing w:val="-4"/>
                <w:sz w:val="18"/>
                <w:szCs w:val="18"/>
                <w:lang w:val="sq-AL"/>
              </w:rPr>
              <w:lastRenderedPageBreak/>
              <w:t>për Ministrinë e Financave dhe Ekonomisë dhe për financierët në sektorin publik</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Ky projektakt do të përcaktojë kuadrin ligjor dhe kushtet kryesore të Marrëveshjes së Grantit mes Republikës se Shqipërisë dhe Bankës Ndërkombëtare për Rindërtim dhe </w:t>
            </w:r>
            <w:r w:rsidRPr="00B130BB">
              <w:rPr>
                <w:rFonts w:ascii="Garamond" w:eastAsia="Times New Roman" w:hAnsi="Garamond" w:cs="Times New Roman"/>
                <w:spacing w:val="-4"/>
                <w:sz w:val="18"/>
                <w:szCs w:val="18"/>
                <w:lang w:val="sq-AL"/>
              </w:rPr>
              <w:lastRenderedPageBreak/>
              <w:t xml:space="preserve">Zhvillim/Shoqatës Ndërkombëtare për Zhvillim : </w:t>
            </w:r>
            <w:r w:rsidRPr="00B130BB">
              <w:rPr>
                <w:rFonts w:ascii="Garamond" w:eastAsia="Times New Roman" w:hAnsi="Garamond" w:cs="Times New Roman"/>
                <w:spacing w:val="-4"/>
                <w:sz w:val="18"/>
                <w:szCs w:val="18"/>
                <w:lang w:val="sq-AL"/>
              </w:rPr>
              <w:br/>
              <w:t>• Organizimi institucional;</w:t>
            </w:r>
            <w:r w:rsidRPr="00B130BB">
              <w:rPr>
                <w:rFonts w:ascii="Garamond" w:eastAsia="Times New Roman" w:hAnsi="Garamond" w:cs="Times New Roman"/>
                <w:spacing w:val="-4"/>
                <w:sz w:val="18"/>
                <w:szCs w:val="18"/>
                <w:lang w:val="sq-AL"/>
              </w:rPr>
              <w:br/>
              <w:t>• Aspekte të menaxhimit Financiar;</w:t>
            </w:r>
            <w:r w:rsidRPr="00B130BB">
              <w:rPr>
                <w:rFonts w:ascii="Garamond" w:eastAsia="Times New Roman" w:hAnsi="Garamond" w:cs="Times New Roman"/>
                <w:spacing w:val="-4"/>
                <w:sz w:val="18"/>
                <w:szCs w:val="18"/>
                <w:lang w:val="sq-AL"/>
              </w:rPr>
              <w:br/>
              <w:t>• Kuadri ligjor i zbatueshëm;</w:t>
            </w:r>
            <w:r w:rsidRPr="00B130BB">
              <w:rPr>
                <w:rFonts w:ascii="Garamond" w:eastAsia="Times New Roman" w:hAnsi="Garamond" w:cs="Times New Roman"/>
                <w:spacing w:val="-4"/>
                <w:sz w:val="18"/>
                <w:szCs w:val="18"/>
                <w:lang w:val="sq-AL"/>
              </w:rPr>
              <w:br/>
              <w:t>• Fushat dhe aktivitetet e financuara nga Granti.</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Zhvillimi Ekonomik</w:t>
            </w:r>
            <w:r w:rsidRPr="00B130BB">
              <w:rPr>
                <w:rFonts w:ascii="Garamond" w:eastAsia="Times New Roman" w:hAnsi="Garamond" w:cs="Times New Roman"/>
                <w:spacing w:val="-4"/>
                <w:sz w:val="18"/>
                <w:szCs w:val="18"/>
                <w:lang w:val="sq-AL"/>
              </w:rPr>
              <w:br/>
              <w:t>Integrimi në Bashkimin Evropian</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75</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Miratimi në parim i ndryshimit të Marrëveshjes Financiare ndërmjet Këshillit të Ministrave të Republikës së Shqipërisë, të përfaqësuar nga Ministria e Financave dhe Artigiancassa S.P.A. për “Programin e zhvillimit të sektorit privat, nëpërmjet mbështetjes së ndërmarrjeve të vogla dhe të mesme dhe sigurimit të asistencës teknike përkatëse”</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Nëpërmjet këtij projektvendimi synohet Miratimi në parim të dokumentit ndryshues, të Marrëveshjes Financiare - F.ROT. /AID 06/004/00, për programin për zhvillimit të sektorit privat, nëpërmjet mbështetjes së NMV-ve dhe asistencës teknike përkatëse, e nënshkruar në Tiranë, më datë 24 Shkurt 2006, ndërmjet Këshillit të Ministrave të Republikës së Shqipërisë, të përfaqësuar nga Ministria e Financave dhe Artigiancassa S.p.A,</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në parim dhe nënshkrimi i dokumentit ndryshues të Marrëveshjes Financiare me Artigiancassa S.P.A për Programin e zhvillimit të sektorit privat, nëpërmjet mbështetjes se ndërmarrjeve të vogla dhe të mesme dhe sigurimit të asistencës teknike përkatëse.</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Ndryshimi I marrëveshjes se financimit synon të bëjë ndryshimin e emërtimeve të institucioneve përkatëse si dhe të lehtësojë kushtet e kreditimit të projekteve të vogla me vlerë 15,000-50,000 euro të NVM-ve.</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1. Reflektimin e ndryshimeve të ndodhura për palën italiane, lidhur me emërtimin e “Ministrisë së Punëve të Jashtme – Drejtoria e Përgjithshme e Bashkëpunimit për Zhvillim (MPJ/DPBZH)” </w:t>
            </w:r>
            <w:r w:rsidRPr="00B130BB">
              <w:rPr>
                <w:rFonts w:ascii="Garamond" w:eastAsia="Times New Roman" w:hAnsi="Garamond" w:cs="Times New Roman"/>
                <w:spacing w:val="-4"/>
                <w:sz w:val="18"/>
                <w:szCs w:val="18"/>
                <w:lang w:val="sq-AL"/>
              </w:rPr>
              <w:br/>
              <w:t>2. Ndryshimin e emërtimit në “Ministria e Financave dhe Ekonomisë (MFE)”.</w:t>
            </w:r>
            <w:r w:rsidRPr="00B130BB">
              <w:rPr>
                <w:rFonts w:ascii="Garamond" w:eastAsia="Times New Roman" w:hAnsi="Garamond" w:cs="Times New Roman"/>
                <w:spacing w:val="-4"/>
                <w:sz w:val="18"/>
                <w:szCs w:val="18"/>
                <w:lang w:val="sq-AL"/>
              </w:rPr>
              <w:br/>
              <w:t>3. Ndryshimi i institucionit financiar që administron Fondin Qarkullues të Bashkëpunimit për Zhvillim nga “Artigiancassa S.p.A” në “Cassa Depositi e Prestiti S.p.A” etj.</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Çështja “Sipërmarrje konkurruese dhe partnere e zhvillimit” -faqe 7</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76</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 Për ratifikimin e ndryshimit të Marrëveshjes Financiare ndërmjet Këshillit të Ministrave të Republikës së Shqipërisë, të përfaqësuar nga Ministria e Financave dhe Artigiancassa S.P.A. për “Programin e zhvillimit të sektorit privat, nëpërmjet mbështetjes së ndërmarrjeve të vogla dhe të mesme dhe sigurimit të asistencës teknike përkatëse”</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Nëpërmjet këtij projektvendimi synohet ratifikimi i dokumentit ndryshues, të Marrëveshjes Financiare - F.ROT. /AID 06/004/00, për programin për zhvillimit të sektorit privat, nëpërmjet mbështetjes së NMV-ve dhe asistencës teknike përkatëse, e nënshkruar në Tiranë, më datë 24 Shkurt 2006, ndërmjet Këshillit të Ministrave të Republikës së Shqipërisë, të përfaqësuar nga Ministria e Financave dhe Artigiancassa S.p.A,</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Ratifikimi dhe hyrja në fuqi e dokumentit ndryshues të Marreveshjes Financiare me Artigiancassa S.P.A për Programin e zhvillimit të sektorit privat, nepermjet mbështetjes së ndërmarrjeve të vogla dhe të mesme dhe sigurimit të asistencës teknike përkatëse.</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Ndryshimi I marrëveshjes së financimit synon të bëjë ndryshimin e emërtimeve të institucioneve përkatëse si dhe të lehtësojë kushtet e kreditimit të projekteve të vogla me vlerë 15,000-50,000 euro të NVM-ve.</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1. Reflektimin e ndryshimeve të ndodhura për palën italiane, lidhur me emërtimin e “Ministrisë së Punëve të Jashtme – Drejtoria e Përgjithshme e Bashkëpunimit për Zhvillim (MPJ/DPBZH)” </w:t>
            </w:r>
            <w:r w:rsidRPr="00B130BB">
              <w:rPr>
                <w:rFonts w:ascii="Garamond" w:eastAsia="Times New Roman" w:hAnsi="Garamond" w:cs="Times New Roman"/>
                <w:spacing w:val="-4"/>
                <w:sz w:val="18"/>
                <w:szCs w:val="18"/>
                <w:lang w:val="sq-AL"/>
              </w:rPr>
              <w:br/>
              <w:t>2. Ndryshimin e emërtimit në “Ministria e Financave dhe Ekonomisë (MFE)”.</w:t>
            </w:r>
            <w:r w:rsidRPr="00B130BB">
              <w:rPr>
                <w:rFonts w:ascii="Garamond" w:eastAsia="Times New Roman" w:hAnsi="Garamond" w:cs="Times New Roman"/>
                <w:spacing w:val="-4"/>
                <w:sz w:val="18"/>
                <w:szCs w:val="18"/>
                <w:lang w:val="sq-AL"/>
              </w:rPr>
              <w:br/>
              <w:t>3. Ndryshimi i institucionit financiar që administron Fondin Qarkullues të Bashkëpunimit për Zhvillim nga “Artigiancassa S.p.A” në “Cassa Depositi e Prestiti S.p.A”. etj.</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Çështja “Sipërmarrje konkurruese dhe partnere e zhvillimit” - faqe 7</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77</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Miratimi në parim i Marrëveshjes Financiare ndërmjet Këshillit të Ministrave të Republikës së Shqipërisë, të përfaqësuar nga Ministria e Financave dhe Ekonomisë, dhe Cassa Depositi e Prestiti S.p.A. për “Programin e Arsimit dhe Formimit </w:t>
            </w:r>
            <w:r w:rsidRPr="00B130BB">
              <w:rPr>
                <w:rFonts w:ascii="Garamond" w:eastAsia="Times New Roman" w:hAnsi="Garamond" w:cs="Times New Roman"/>
                <w:spacing w:val="-4"/>
                <w:sz w:val="18"/>
                <w:szCs w:val="18"/>
                <w:lang w:val="sq-AL"/>
              </w:rPr>
              <w:lastRenderedPageBreak/>
              <w:t>Profesional nëpërmjet Inovacionit”</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Sigurimi i këtij financimi garanton mbështetjen dhe fuqizimin e dy shkollave profesionale në drejtimet e bujqësisë, veterinarisë, mekanikës bujqësore etj., të cilat janë shumë të </w:t>
            </w:r>
            <w:r w:rsidRPr="00B130BB">
              <w:rPr>
                <w:rFonts w:ascii="Garamond" w:eastAsia="Times New Roman" w:hAnsi="Garamond" w:cs="Times New Roman"/>
                <w:spacing w:val="-4"/>
                <w:sz w:val="18"/>
                <w:szCs w:val="18"/>
                <w:lang w:val="sq-AL"/>
              </w:rPr>
              <w:lastRenderedPageBreak/>
              <w:t>rëndësishme për ekonominë e vendit tonë dhe sidomos në rajonin ku këto shkolla kryejnë aktivitetin e tyre.</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Miratimi në parim i Marrëveshjes Financiare me Cassa Depositi e Prestiti S.p.A për “Programin e Arsimit dhe Formimit Profesional nëpërmjet Inovacionit”.</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Synimi i Programit është të përmbushë vizionin e Strategjisë Kombëtare për Punësim dhe Aftësi (SKPA) 2014 – 2020, për të pasur një ekonomi konkurruese dhe një shoqëri gjithëpërfshir</w:t>
            </w:r>
            <w:r w:rsidRPr="00B130BB">
              <w:rPr>
                <w:rFonts w:ascii="Garamond" w:eastAsia="Times New Roman" w:hAnsi="Garamond" w:cs="Times New Roman"/>
                <w:spacing w:val="-4"/>
                <w:sz w:val="18"/>
                <w:szCs w:val="18"/>
                <w:lang w:val="sq-AL"/>
              </w:rPr>
              <w:lastRenderedPageBreak/>
              <w:t>ëse që mbështetet në aftësi më të larta dhe punësim më të mirë për gjithë gratë e burrat deri në vitin 2020, në sektorët prodhues ku Shqipëria ka një potencial të madh dhe Italia ka një vlerë të shtuar të konsiderueshme.</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24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Çështjet që synohen të rregullohen nëpërmjet këtij projekakti janë: </w:t>
            </w:r>
            <w:r w:rsidRPr="00B130BB">
              <w:rPr>
                <w:rFonts w:ascii="Garamond" w:eastAsia="Times New Roman" w:hAnsi="Garamond" w:cs="Times New Roman"/>
                <w:spacing w:val="-4"/>
                <w:sz w:val="18"/>
                <w:szCs w:val="18"/>
                <w:lang w:val="sq-AL"/>
              </w:rPr>
              <w:br/>
              <w:t xml:space="preserve">i) organizimi dhe zhvillimi në mënyrë të plotë i Shkollës Bujqësore multifunksionale të Arsimit dhe Formimit </w:t>
            </w:r>
            <w:r w:rsidRPr="00B130BB">
              <w:rPr>
                <w:rFonts w:ascii="Garamond" w:eastAsia="Times New Roman" w:hAnsi="Garamond" w:cs="Times New Roman"/>
                <w:spacing w:val="-4"/>
                <w:sz w:val="18"/>
                <w:szCs w:val="18"/>
                <w:lang w:val="sq-AL"/>
              </w:rPr>
              <w:lastRenderedPageBreak/>
              <w:t>Profesional në Fier dhe përmirësimi dhe riorganizimi i shkollës në Lushnjë; ii) zhvillimi dhe aplikimi i kurrikulave të AFP-së të orientuara nga tregu;</w:t>
            </w:r>
            <w:r w:rsidRPr="00B130BB">
              <w:rPr>
                <w:rFonts w:ascii="Garamond" w:eastAsia="Times New Roman" w:hAnsi="Garamond" w:cs="Times New Roman"/>
                <w:spacing w:val="-4"/>
                <w:sz w:val="18"/>
                <w:szCs w:val="18"/>
                <w:lang w:val="sq-AL"/>
              </w:rPr>
              <w:br/>
              <w:t>iii) ndërtimi i marrëdhënieve të qëndrueshme dhe të përshtatura sipas kushteve, mes shkollës multifunksionale të AFP-së dhe sektorit privat; iv) sigurimi i koherencës me financimin e IPA II për Sektorin e Punësimit dhe Aftësive.</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Pika 3.3 të programit qeverisës 2017–2021, “ Kujdesi social”, Arsimi Profesional</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78</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 për propozimin e projektligjit për ratifikimin e Marrëveshjes Financiare ndërmjet Këshillit të Ministrave të Republikës së Shqipërisë, të përfaqësuar nga Ministria e Financave dhe Ekonomisë, dhe Cassa Depositi e Prestiti S.p.A. për “Programin e Arsimit dhe Formimit Profesional nëpërmjet Inovacionit”</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Sigurimi i këtij financimi garanton mbështetjen dhe fuqizimin e dy shkollave profesionale në drejtimet e bujqësisë, veterinarisë, mekanikës bujqësore etj., të cilat janë shumë të rëndësishme për ekonominë e vendit tonë dhe sidomos në rajonin ku këto shkolla kryejnë </w:t>
            </w:r>
            <w:r w:rsidRPr="00B130BB">
              <w:rPr>
                <w:rFonts w:ascii="Garamond" w:eastAsia="Times New Roman" w:hAnsi="Garamond" w:cs="Times New Roman"/>
                <w:spacing w:val="-4"/>
                <w:sz w:val="18"/>
                <w:szCs w:val="18"/>
                <w:lang w:val="sq-AL"/>
              </w:rPr>
              <w:lastRenderedPageBreak/>
              <w:t>aktivitetin e tyre.</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Ratifikimi dhe hyrja në fuqi e Marrëveshjes Financiare me Cassa Depositi e Prestiti S.p.A. për “Programin e Arsimit dhe Formimit Profesional nëpërmjet Inovacionit”.</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Synimi i Programit është të përmbushë vizionin e Strategjisë Kombëtare për Punësim dhe Aftësi (SKPA) 2014 – 2020, për të pasur një ekonomi konkurruese dhe një shoqëri gjithëpërfshirëse që mbështetet në aftësi më të larta dhe punësim më të mirë për gjithë gratë e burrat deri në vitin 2020, në </w:t>
            </w:r>
            <w:r w:rsidRPr="00B130BB">
              <w:rPr>
                <w:rFonts w:ascii="Garamond" w:eastAsia="Times New Roman" w:hAnsi="Garamond" w:cs="Times New Roman"/>
                <w:spacing w:val="-4"/>
                <w:sz w:val="18"/>
                <w:szCs w:val="18"/>
                <w:lang w:val="sq-AL"/>
              </w:rPr>
              <w:lastRenderedPageBreak/>
              <w:t>sektorët prodhues ku Shqipëria ka një potencial të madh dhe Italia ka një vlerë të shtuar të konsiderueshme.</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24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Çështjet që synohen të rregullohen nëpërmjet këtij projekakti janë: </w:t>
            </w:r>
            <w:r w:rsidRPr="00B130BB">
              <w:rPr>
                <w:rFonts w:ascii="Garamond" w:eastAsia="Times New Roman" w:hAnsi="Garamond" w:cs="Times New Roman"/>
                <w:spacing w:val="-4"/>
                <w:sz w:val="18"/>
                <w:szCs w:val="18"/>
                <w:lang w:val="sq-AL"/>
              </w:rPr>
              <w:br/>
              <w:t xml:space="preserve">i) organizimi dhe zhvillimi në mënyrë të plotë i Shkollës Bujqësore multifunksionale të Arsimit dhe Formimit Profesional në Fier dhe përmirësimi dhe riorganizimi i shkollës në Lushnjë; ii) zhvillimi dhe aplikimi i </w:t>
            </w:r>
            <w:r w:rsidRPr="00B130BB">
              <w:rPr>
                <w:rFonts w:ascii="Garamond" w:eastAsia="Times New Roman" w:hAnsi="Garamond" w:cs="Times New Roman"/>
                <w:spacing w:val="-4"/>
                <w:sz w:val="18"/>
                <w:szCs w:val="18"/>
                <w:lang w:val="sq-AL"/>
              </w:rPr>
              <w:lastRenderedPageBreak/>
              <w:t>kurrikulave të AFP-së të orientuara nga tregu;</w:t>
            </w:r>
            <w:r w:rsidRPr="00B130BB">
              <w:rPr>
                <w:rFonts w:ascii="Garamond" w:eastAsia="Times New Roman" w:hAnsi="Garamond" w:cs="Times New Roman"/>
                <w:spacing w:val="-4"/>
                <w:sz w:val="18"/>
                <w:szCs w:val="18"/>
                <w:lang w:val="sq-AL"/>
              </w:rPr>
              <w:br/>
              <w:t>iii) ndërtimi i marrëdhënieve të qëndrueshme dhe të përshtatura sipas kushteve, mes shkollës multifunksionale të AFP-së dhe sektorit privat; iv) sigurimi i koherencës me financimin e IPA II për Sektorin e Punësimit dhe Aftësive.</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Pika 3.3 “ Kujdesi social”, Arsimi Profesional</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79</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 Për propozimin e projektligjit për ratifikimin e Marrëveshjes se Huas ndërmjet Republikës se Shqipërisë dhe Bankës Ndërkombëtare për Rindërtim dhe Zhvillim për Financimin Shtese të Projektit për Burimet Ujore dhe Ujitjes.</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Nevoje për financim projekti</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Ratifikimi dhe bërja efektive e Marrëveshjes se Huas ndërmjet Republikës se Shqipërisë dhe Bankës Ndërkombëtare për Rindërtim dhe Zhvillim për Financimin Shtese të Projektit për Burimet Ujore dhe Ujitjes.</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Sigurimi i financimit shtese në formën e huas në vlerën prej 23,000,000 eurosh për Projektin e Burimeve Ujore dhe Ujitjes.</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Mundëson sigurimin e financimit në formën e huas në vlerën prej 23,000,000 eurosh</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2.3 Investime në ujitje - kullim</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80</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w:t>
            </w:r>
            <w:r w:rsidRPr="00B130BB">
              <w:rPr>
                <w:rFonts w:ascii="Garamond" w:eastAsia="Times New Roman" w:hAnsi="Garamond" w:cs="Times New Roman"/>
                <w:color w:val="000000"/>
                <w:spacing w:val="-4"/>
                <w:sz w:val="18"/>
                <w:szCs w:val="18"/>
                <w:lang w:val="sq-AL"/>
              </w:rPr>
              <w:t>Për disa ndryshime dhe shtesa në ligjin nr. 9917, datë 19.5.2008 “Për parandalimin e pastrimit të parave dhe financimin e terrorizmit”, i ndryshuar”</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Nevoje e Institucionit, Grupe Interesi</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Përmirësim të ligjit me qëllim të parandalojë pastrimin e parave dhe të produkteve që burojnë nga veprat penale, si dhe parandalimin e financimit të terrorizmit dhe plotësim të </w:t>
            </w:r>
            <w:r w:rsidRPr="00B130BB">
              <w:rPr>
                <w:rFonts w:ascii="Garamond" w:eastAsia="Times New Roman" w:hAnsi="Garamond" w:cs="Times New Roman"/>
                <w:spacing w:val="-4"/>
                <w:sz w:val="18"/>
                <w:szCs w:val="18"/>
                <w:lang w:val="sq-AL"/>
              </w:rPr>
              <w:lastRenderedPageBreak/>
              <w:t>përputhshmërisë me Rekomandimet e FATF</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81</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i Këshillit të Ministrave </w:t>
            </w:r>
            <w:r w:rsidRPr="00B130BB">
              <w:rPr>
                <w:rFonts w:ascii="Garamond" w:eastAsia="Times New Roman" w:hAnsi="Garamond" w:cs="Times New Roman"/>
                <w:color w:val="000000"/>
                <w:spacing w:val="-4"/>
                <w:sz w:val="18"/>
                <w:szCs w:val="18"/>
                <w:lang w:val="sq-AL"/>
              </w:rPr>
              <w:t>“Për përcaktimin e rregullave, kushteve, standardeve dhe afatet për raportim nga subjektet që ofrojnë shërbime bankare në funksion të krijimit të Regjistrit Kombëtarë të Llogarive Bankare”</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Parashikimin e rregullave dhe mënyrave të raportimit të subjekteve me qellim krijimin e Regjistrit Kombëtare të Llogarive bankare</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Krijimi Regjistrit Kombëtar të Llogarive</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82</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i Këshillit të Ministrave </w:t>
            </w:r>
            <w:r w:rsidRPr="00B130BB">
              <w:rPr>
                <w:rFonts w:ascii="Garamond" w:eastAsia="Times New Roman" w:hAnsi="Garamond" w:cs="Times New Roman"/>
                <w:b/>
                <w:bCs/>
                <w:color w:val="000000"/>
                <w:spacing w:val="-4"/>
                <w:sz w:val="18"/>
                <w:szCs w:val="18"/>
                <w:lang w:val="sq-AL"/>
              </w:rPr>
              <w:t>“</w:t>
            </w:r>
            <w:r w:rsidRPr="00B130BB">
              <w:rPr>
                <w:rFonts w:ascii="Garamond" w:eastAsia="Times New Roman" w:hAnsi="Garamond" w:cs="Times New Roman"/>
                <w:color w:val="000000"/>
                <w:spacing w:val="-4"/>
                <w:sz w:val="18"/>
                <w:szCs w:val="18"/>
                <w:lang w:val="sq-AL"/>
              </w:rPr>
              <w:t xml:space="preserve">Për disa shtesa dhe ndryshime në Vendimin e Këshillit të Ministrave nr. 343, datë 08.04.2009, ‘Për mënyrat dhe procedurat e raportimit të autoriteteve licencuese dhe/ose mbikëqyrëse’” </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Projektvendimi parashikohet të ketë një impakt pozitiv në qartësimin e subjekteve raportuese, që autoritetet licencuese/mbikëqyrëse kontrollojnë dhe mbikëqyrin, . Projektvendimi saktëson gjithashtu në përputhje me ndryshimet e bëra në ligjin “Për parandalimin e pastrimit të parave dhe financimin e terrorizimit”, rastet kur Drejtoria e PPPP-së mund të kërkojë pranë autoriteteve mbikëqyrëse dhe/ose licencuese marrjen e masave të kufizimit, pezullimit, apo revokimit të licencës së një subjekti raportues. </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8</w:t>
            </w:r>
            <w:r w:rsidRPr="00B130BB">
              <w:rPr>
                <w:rFonts w:ascii="Garamond" w:eastAsia="Times New Roman" w:hAnsi="Garamond" w:cs="Times New Roman"/>
                <w:spacing w:val="-4"/>
                <w:sz w:val="18"/>
                <w:szCs w:val="18"/>
                <w:lang w:val="sq-AL"/>
              </w:rPr>
              <w:lastRenderedPageBreak/>
              <w:t>3</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Projektvendim i </w:t>
            </w:r>
            <w:r w:rsidRPr="00B130BB">
              <w:rPr>
                <w:rFonts w:ascii="Garamond" w:eastAsia="Times New Roman" w:hAnsi="Garamond" w:cs="Times New Roman"/>
                <w:spacing w:val="-4"/>
                <w:sz w:val="18"/>
                <w:szCs w:val="18"/>
                <w:lang w:val="sq-AL"/>
              </w:rPr>
              <w:lastRenderedPageBreak/>
              <w:t xml:space="preserve">Këshillit të Ministrave </w:t>
            </w:r>
            <w:r w:rsidRPr="00B130BB">
              <w:rPr>
                <w:rFonts w:ascii="Garamond" w:eastAsia="Times New Roman" w:hAnsi="Garamond" w:cs="Times New Roman"/>
                <w:color w:val="000000"/>
                <w:spacing w:val="-4"/>
                <w:sz w:val="18"/>
                <w:szCs w:val="18"/>
                <w:lang w:val="sq-AL"/>
              </w:rPr>
              <w:t>“Për disa shtesa dhe ndryshime në vendimin e Këshillit të Ministrave nr. 922 datë 21.12.2011 “Për mënyrën e organizimit dhe të funksionimit të Drejtorisë së Përgjithshme të Parandalimit të Pastrimit të Parave”</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Ministri i </w:t>
            </w:r>
            <w:r w:rsidRPr="00B130BB">
              <w:rPr>
                <w:rFonts w:ascii="Garamond" w:eastAsia="Times New Roman" w:hAnsi="Garamond" w:cs="Times New Roman"/>
                <w:spacing w:val="-4"/>
                <w:sz w:val="18"/>
                <w:szCs w:val="18"/>
                <w:lang w:val="sq-AL"/>
              </w:rPr>
              <w:lastRenderedPageBreak/>
              <w:t>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Katërmu</w:t>
            </w:r>
            <w:r w:rsidRPr="00B130BB">
              <w:rPr>
                <w:rFonts w:ascii="Garamond" w:eastAsia="Times New Roman" w:hAnsi="Garamond" w:cs="Times New Roman"/>
                <w:spacing w:val="-4"/>
                <w:sz w:val="18"/>
                <w:szCs w:val="18"/>
                <w:lang w:val="sq-AL"/>
              </w:rPr>
              <w:lastRenderedPageBreak/>
              <w:t>jori III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Detyrim </w:t>
            </w:r>
            <w:r w:rsidRPr="00B130BB">
              <w:rPr>
                <w:rFonts w:ascii="Garamond" w:eastAsia="Times New Roman" w:hAnsi="Garamond" w:cs="Times New Roman"/>
                <w:spacing w:val="-4"/>
                <w:sz w:val="18"/>
                <w:szCs w:val="18"/>
                <w:lang w:val="sq-AL"/>
              </w:rPr>
              <w:lastRenderedPageBreak/>
              <w:t>ligjor</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Të </w:t>
            </w:r>
            <w:r w:rsidRPr="00B130BB">
              <w:rPr>
                <w:rFonts w:ascii="Garamond" w:eastAsia="Times New Roman" w:hAnsi="Garamond" w:cs="Times New Roman"/>
                <w:spacing w:val="-4"/>
                <w:sz w:val="18"/>
                <w:szCs w:val="18"/>
                <w:lang w:val="sq-AL"/>
              </w:rPr>
              <w:lastRenderedPageBreak/>
              <w:t>reflektohen ndryshimet e ndodhura konkretisht nëpërmjet urdhrit nr. 93 datë 21.2.2014 të Kryeministrit “Për miratimin e strukturës dhe organikës së Drejtorisë së Përgjithshme të Parandalimit të Pastrimit të Parave”.</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Organizimi </w:t>
            </w:r>
            <w:r w:rsidRPr="00B130BB">
              <w:rPr>
                <w:rFonts w:ascii="Garamond" w:eastAsia="Times New Roman" w:hAnsi="Garamond" w:cs="Times New Roman"/>
                <w:spacing w:val="-4"/>
                <w:sz w:val="18"/>
                <w:szCs w:val="18"/>
                <w:lang w:val="sq-AL"/>
              </w:rPr>
              <w:lastRenderedPageBreak/>
              <w:t xml:space="preserve">dhe Funksionimi i </w:t>
            </w:r>
            <w:r w:rsidRPr="00B130BB">
              <w:rPr>
                <w:rFonts w:ascii="Garamond" w:eastAsia="Times New Roman" w:hAnsi="Garamond" w:cs="Times New Roman"/>
                <w:color w:val="000000"/>
                <w:spacing w:val="-4"/>
                <w:sz w:val="18"/>
                <w:szCs w:val="18"/>
                <w:lang w:val="sq-AL"/>
              </w:rPr>
              <w:t>Drejtorisë së Përgjithshme të Parandalimit të Pastrimit të Parave në zbatim t</w:t>
            </w:r>
            <w:r w:rsidRPr="00B130BB">
              <w:rPr>
                <w:rFonts w:ascii="Garamond" w:eastAsia="Times New Roman" w:hAnsi="Garamond" w:cs="Times New Roman"/>
                <w:spacing w:val="-4"/>
                <w:sz w:val="18"/>
                <w:szCs w:val="18"/>
                <w:lang w:val="sq-AL"/>
              </w:rPr>
              <w:t>ë</w:t>
            </w:r>
            <w:r w:rsidRPr="00B130BB">
              <w:rPr>
                <w:rFonts w:ascii="Garamond" w:eastAsia="Times New Roman" w:hAnsi="Garamond" w:cs="Times New Roman"/>
                <w:color w:val="000000"/>
                <w:spacing w:val="-4"/>
                <w:sz w:val="18"/>
                <w:szCs w:val="18"/>
                <w:lang w:val="sq-AL"/>
              </w:rPr>
              <w:t xml:space="preserve"> urdhrit nr. 93 datë 21.2.2014 të Kryeministrit.</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84</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“Për kontabilitetin dhe pasqyrat financiare”</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Përmirësimi i raportimit financiar </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dhe përmirësimi i cilësisë së standardeve për kontabilitetin dhe raportimin financiar si dhe përafrimi i tyre me Direktivën e BE.</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Projektligji synon të arrijë këta objektiva:</w:t>
            </w:r>
            <w:r w:rsidRPr="00B130BB">
              <w:rPr>
                <w:rFonts w:ascii="Garamond" w:eastAsia="Times New Roman" w:hAnsi="Garamond" w:cs="Times New Roman"/>
                <w:spacing w:val="-4"/>
                <w:sz w:val="18"/>
                <w:szCs w:val="18"/>
                <w:lang w:val="sq-AL"/>
              </w:rPr>
              <w:br/>
              <w:t>• Përafrimin e legjislacionit me atë të BE-së dhe konkretisht me Direktivën nr. 2013/34/BE të Parlamentit Evropian;</w:t>
            </w:r>
            <w:r w:rsidRPr="00B130BB">
              <w:rPr>
                <w:rFonts w:ascii="Garamond" w:eastAsia="Times New Roman" w:hAnsi="Garamond" w:cs="Times New Roman"/>
                <w:spacing w:val="-4"/>
                <w:sz w:val="18"/>
                <w:szCs w:val="18"/>
                <w:lang w:val="sq-AL"/>
              </w:rPr>
              <w:br/>
              <w:t xml:space="preserve">• Klasifikimin e njësive dhe grupeve ekonomike, për efekt të standardeve kombëtarë apo ndërkombëtarë të kontabilitetit; hartimin e raporteve financiare dhe jo financiare, të cilët japin një pamje të plotë të zhvillimit dhe politikave të ndërmarrjes; paraqitjen e raportit të pagesave që u bëhen autoriteteve shtetërore nga ana e industrisë </w:t>
            </w:r>
            <w:r w:rsidRPr="00B130BB">
              <w:rPr>
                <w:rFonts w:ascii="Garamond" w:eastAsia="Times New Roman" w:hAnsi="Garamond" w:cs="Times New Roman"/>
                <w:spacing w:val="-4"/>
                <w:sz w:val="18"/>
                <w:szCs w:val="18"/>
                <w:lang w:val="sq-AL"/>
              </w:rPr>
              <w:lastRenderedPageBreak/>
              <w:t>nxjerrëse ose shfrytëzimit etj.</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Projektligji trajton çështje që kanë të bëjnë me raportimin financiar në sektorin privat, klasifikimin e njësive ekonomike sipas kritereve specifike si dhe identifikon pasqyrat financiare që duhet të hartojnë secili prej llojeve të njësive ekonomike.</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 në kapitullin 6 “Legjislacioni tregtar”</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85</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Projektvendimi “Mbi njësitë ekonomike me interes publik”</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saktë i konceptit dhe mënyrës së funksionimit të njësive ekonomike me interes publik</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Identifikimi i saktë i njësive ekonomike me interes publik si dhe </w:t>
            </w:r>
            <w:r w:rsidRPr="00B130BB">
              <w:rPr>
                <w:rFonts w:ascii="Garamond" w:eastAsia="Times New Roman" w:hAnsi="Garamond" w:cs="Times New Roman"/>
                <w:color w:val="000000"/>
                <w:spacing w:val="-4"/>
                <w:sz w:val="18"/>
                <w:szCs w:val="18"/>
                <w:lang w:val="sq-AL"/>
              </w:rPr>
              <w:t>garantimi i profesionalizmit, pavarësisë, transparencës dhe integritetit në kryerjen e auditimit ligjor të këtyre njësive.</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Projektvendimi synon: përcaktimin e njësive ekonomike me interes të rëndësishëm publik, të kritereve të përfshirjes së një njësie ekonomike në këtë grup, kushteve për kryerjen e auditimit ligjor të tyre si dhe sigurimin e pasqyrave financiare të besueshme dhe transparante të njësive me interes publik.</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Projektvendimi trajton çështje që lidhen me përcaktimin e përkufizimit, kritereve dhe kushteve konkrete për kryerjen e auditimit ligjor të njësive ekonomike me interes publik, duke synuar garantimin e profesionalizmit, pavarësisë, transparencës dhe integritetit të këtij auditimi, si dhe identifikimin e saktë të njësive ekonomike që kanë interes të rëndësishëm publik. </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 në kapitullin 6 “Legjislacioni tregtar”</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86</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Projektvendimi “Për miratimin në letër të marrëveshjes ndërmjet Republikës së Shqipërisë dhe Bankës Ndërkombëtare për Rindërtim dhe Zhvillim që vepron si Administratore e Fondeve Grant të Siguruara nga Sekretariati i Shtetit për Çështjet Ekonomike (SECO) të Qeverisë Zvicerane, nën Fondin e Besimit të shumë Donatorëve për Fuqizimin e Kontabilitetit dhe Mjedisit të </w:t>
            </w:r>
            <w:r w:rsidRPr="00B130BB">
              <w:rPr>
                <w:rFonts w:ascii="Garamond" w:eastAsia="Times New Roman" w:hAnsi="Garamond" w:cs="Times New Roman"/>
                <w:spacing w:val="-4"/>
                <w:sz w:val="18"/>
                <w:szCs w:val="18"/>
                <w:lang w:val="sq-AL"/>
              </w:rPr>
              <w:lastRenderedPageBreak/>
              <w:t>Mirëbesimit në Evropën Jugore dhe Azinë Qendrore për projektin e Zhvillimit të Kontabilitetit në Sektorin Publik”</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Përmirësimi i kuadrit rregullator dhe ligjor të kontabilitetit në sektorin publik</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Qëllimi kryesor i këtij projektvendimi është zhvillimi i një strategjie për implementimin e kontabilitetit të sektorit publik me baza rrjedhëse si dhe mbështetjen e hapave të para të kësaj reforme, duke përfshirë dhe rritjen e kapaciteteve profesionale </w:t>
            </w:r>
            <w:r w:rsidRPr="00B130BB">
              <w:rPr>
                <w:rFonts w:ascii="Garamond" w:eastAsia="Times New Roman" w:hAnsi="Garamond" w:cs="Times New Roman"/>
                <w:spacing w:val="-4"/>
                <w:sz w:val="18"/>
                <w:szCs w:val="18"/>
                <w:lang w:val="sq-AL"/>
              </w:rPr>
              <w:lastRenderedPageBreak/>
              <w:t>në fushën e raportimit financiar në sektorin publik.</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Objektivat kryesorë të këtij projektvendimi janë:</w:t>
            </w:r>
            <w:r w:rsidRPr="00B130BB">
              <w:rPr>
                <w:rFonts w:ascii="Garamond" w:eastAsia="Times New Roman" w:hAnsi="Garamond" w:cs="Times New Roman"/>
                <w:spacing w:val="-4"/>
                <w:sz w:val="18"/>
                <w:szCs w:val="18"/>
                <w:lang w:val="sq-AL"/>
              </w:rPr>
              <w:br/>
              <w:t>• Zhvillimin e kontabilitetit dhe raportimit financiar të sektorit publik në përputhje me IPSAS;</w:t>
            </w:r>
            <w:r w:rsidRPr="00B130BB">
              <w:rPr>
                <w:rFonts w:ascii="Garamond" w:eastAsia="Times New Roman" w:hAnsi="Garamond" w:cs="Times New Roman"/>
                <w:spacing w:val="-4"/>
                <w:sz w:val="18"/>
                <w:szCs w:val="18"/>
                <w:lang w:val="sq-AL"/>
              </w:rPr>
              <w:br/>
              <w:t xml:space="preserve">• Zhvillimin e kapaciteteve dhe aftësive profesionale në fushën e kontabilitetit për Ministrinë e Financave dhe </w:t>
            </w:r>
            <w:r w:rsidRPr="00B130BB">
              <w:rPr>
                <w:rFonts w:ascii="Garamond" w:eastAsia="Times New Roman" w:hAnsi="Garamond" w:cs="Times New Roman"/>
                <w:spacing w:val="-4"/>
                <w:sz w:val="18"/>
                <w:szCs w:val="18"/>
                <w:lang w:val="sq-AL"/>
              </w:rPr>
              <w:lastRenderedPageBreak/>
              <w:t>Ekonomisë dhe për financierët në sektorin publik.</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Projektvendimi trajton çështjet që lidhen me zhvillimin e një projekti i cili do të ndihmojë në përmirësimin e kuadrit rregullator dhe ligjor të kontabilitetit në sektorin publik, rishikimin dhe ndryshimin e llogarive kombëtare si dhe implementimin gradual </w:t>
            </w:r>
            <w:r w:rsidRPr="00B130BB">
              <w:rPr>
                <w:rFonts w:ascii="Garamond" w:eastAsia="Times New Roman" w:hAnsi="Garamond" w:cs="Times New Roman"/>
                <w:spacing w:val="-4"/>
                <w:sz w:val="18"/>
                <w:szCs w:val="18"/>
                <w:lang w:val="sq-AL"/>
              </w:rPr>
              <w:lastRenderedPageBreak/>
              <w:t>të standardeve ndërkombëtare të kontabilitetit të sektorit publik (IPSAS) në vendin tonë.</w:t>
            </w:r>
            <w:r w:rsidRPr="00B130BB">
              <w:rPr>
                <w:rFonts w:ascii="Garamond" w:eastAsia="Times New Roman" w:hAnsi="Garamond" w:cs="Times New Roman"/>
                <w:spacing w:val="-4"/>
                <w:sz w:val="18"/>
                <w:szCs w:val="18"/>
                <w:lang w:val="sq-AL"/>
              </w:rPr>
              <w:br/>
              <w:t>Akti lidhet me Strategjinë për Menaxhimin e Financave Publike 2014–2020.</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87</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organizimin dhe funksionimin e Këshillit Kombëtar të Kontabilitetit”</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Rregullimi i funksionimit të Këshillit Kombëtar të Kontabilitetit</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Qëllimi kryesor është organizimi dhe funksionimi I Këshillit Kombëtar të Kontabilitetit</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Projektvendimi synon: organizimin dhe funksionimin e Këshillit Kombëtar të Kontabilitetit si dhe përmirësimin e e standardeve kontabël kombëtare.</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Çështjet që trajton kanë të bëjnë me: organizimin dhe funksionimin e Këshillit Kombëtar të Kontabilitetit, përcaktimin e kërkesave të posaçme që duhet të përmbushi një kandidat për të qenë anëtar i këshillit, procedurat e përzgjedhjes dhe rastet e shkarkimit të anëtarëve, procedurat për hartimin dhe miratimin e standardeve kontabël kombëtare dhe të produkteve të tjera, të realizuara nga anëtarët e këtij këshilli ose të tretët.</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88</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lirimin, mandatimin dhe rimandatimin e disa anëtarëve të Këshillit Kombëtar të Kontabilitetit”</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Përzgjedhja e anëtarëve të Këshillit Kombëtar të Kontabilitetit</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Zëvendësimi i anëtarëve të KKK që u ka mbaruar mandati. </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synon zëvendësimin e anëtarëve të KKK, brenda muajit Mars 2018, me </w:t>
            </w:r>
            <w:r w:rsidRPr="00B130BB">
              <w:rPr>
                <w:rFonts w:ascii="Garamond" w:eastAsia="Times New Roman" w:hAnsi="Garamond" w:cs="Times New Roman"/>
                <w:spacing w:val="-4"/>
                <w:sz w:val="18"/>
                <w:szCs w:val="18"/>
                <w:lang w:val="sq-AL"/>
              </w:rPr>
              <w:lastRenderedPageBreak/>
              <w:t xml:space="preserve">qëllim vazhdimin normal të punës së këtij organizmi profesional. </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Çështjet që rregullon ky projektvendim kanë të bëjnë me lirimin, mandatimin </w:t>
            </w:r>
            <w:r w:rsidRPr="00B130BB">
              <w:rPr>
                <w:rFonts w:ascii="Garamond" w:eastAsia="Times New Roman" w:hAnsi="Garamond" w:cs="Times New Roman"/>
                <w:spacing w:val="-4"/>
                <w:sz w:val="18"/>
                <w:szCs w:val="18"/>
                <w:lang w:val="sq-AL"/>
              </w:rPr>
              <w:lastRenderedPageBreak/>
              <w:t>dhe rimandatimin e anëtarëve që u ka mbaruar mandati.</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89</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Projektligji “Për disa shtesa dhe ndryshime në ligjin nr. 61/2012 “Për akcizat në Republikën e Shqipërisë”, i ndryshuar.</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Nevojë e tregut</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Ndryshimet në kuadër të Paketës Fiskale.</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Ndryshimet në kuadër të Paketës Fiskale.</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Rregullat fiskale mbi produktet që i nënshtrohen detyrimeve të akcizës</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90</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Projektligji “Për disa shtesa dhe ndryshime në ligjin nr. 9975, datë 28.07.2008 “Për taksat kombëtare”, i ndryshuar</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Nevojë e tregut</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Ndryshimet në kuadër të Paketës Fiskale.</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Ndryshimet në kuadër të Paketës Fiskale.</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Çështje që lidhen me taksat dhe tarifat kombëtare që zbatohen në RSH</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91</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Projektligji “Për tatimin mbi të ardhurat”</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Nevojë e tregut</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i një ligji të ri për tatimin mbi të ardhurat, sipas praktikave më të mira ndërkombëtare.</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Hartimi i një kuadri ligjor, të plotë dhe sipas praktikave më të mira ndërkombëtare. Miratimi i rregullave të qarta të cilat ulin burokracinë, zvogëlojnë nevojën për interpretim etj.</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Çështje që lidhen me taksimin e të ardhurave, si personale dhe atyre korporative</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92</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Projektligji “Për disa shtesa dhe ndryshime në ligjin nr. 92/2014 “Për tatimin mbi vlerën e shtuar në Republikën e Shqipërisë”</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Nevojë e tregut</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Ndryshimet në kuadër të Paketës Fiskale.</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Ndryshimet në kuadër të Paketës Fiskale.</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Çështje që rregullojnë tatimin mbi vlerën e shtuar në RSH</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93</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Projektligji “Për disa shtesa dhe ndryshime në ligjin nr. 9632, datë 30.10.2006, “Për sistemin e taksave vendore në Republikën e Shqipërisë”, i ndryshuar.</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Nevojë e tregut</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Ndryshimet në kuadër të Paketës Fiskale.</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Ndryshimet në kuadër të Paketës Fiskale.</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Çështje që rregullojnë taksat vendore</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94</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Projektligji “Për disa shtesa dhe ndryshime në ligjin nr. 9920, datë 19.05.2008 “Për procedurat tatimore”, i </w:t>
            </w:r>
            <w:r w:rsidRPr="00B130BB">
              <w:rPr>
                <w:rFonts w:ascii="Garamond" w:eastAsia="Times New Roman" w:hAnsi="Garamond" w:cs="Times New Roman"/>
                <w:spacing w:val="-4"/>
                <w:sz w:val="18"/>
                <w:szCs w:val="18"/>
                <w:lang w:val="sq-AL"/>
              </w:rPr>
              <w:lastRenderedPageBreak/>
              <w:t>ndryshuar</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Nevojë e tregut</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Ndryshimet në kuadër të Paketës Fiskale.</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Ndryshimet në kuadër të Paketës Fiskale.</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Çështje që rregullojnë procedurat tatimore </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95</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disa shtesa dhe ndryshime në VKM Nr. 612, datë 05.09.2012 “Për Dispozitat Zbatuese të Ligjit Për Akcizat”, i ndryshuar”.</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Nevojë e tregut</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Ndryshimet në kuadër të Paketës Fiskale/përmirësimi i procedurave në fushën e akcizës</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Ndryshimet në kuadër të Paketës Fiskale.</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Çështje që rregullojnë akcizën</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96</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“Për disa shtesa dhe ndryshime në VKM-në Nr. 953, datë 29.12.2014 Për dispozitat zbatuese të ligjit nr. 92/2014,” Për tatimin mbi vlerën e shtuar në </w:t>
            </w:r>
            <w:r w:rsidRPr="00B130BB">
              <w:rPr>
                <w:rFonts w:ascii="Times New Roman" w:eastAsia="Times New Roman" w:hAnsi="Times New Roman" w:cs="Times New Roman"/>
                <w:spacing w:val="-4"/>
                <w:sz w:val="18"/>
                <w:szCs w:val="18"/>
                <w:lang w:val="sq-AL"/>
              </w:rPr>
              <w:t>​</w:t>
            </w:r>
            <w:r w:rsidRPr="00B130BB">
              <w:rPr>
                <w:rFonts w:ascii="Garamond" w:eastAsia="Times New Roman" w:hAnsi="Garamond" w:cs="Times New Roman"/>
                <w:spacing w:val="-4"/>
                <w:sz w:val="18"/>
                <w:szCs w:val="18"/>
                <w:lang w:val="sq-AL"/>
              </w:rPr>
              <w:t>Republik</w:t>
            </w:r>
            <w:r w:rsidRPr="00B130BB">
              <w:rPr>
                <w:rFonts w:ascii="Garamond" w:eastAsia="Times New Roman" w:hAnsi="Garamond" w:cs="Garamond"/>
                <w:spacing w:val="-4"/>
                <w:sz w:val="18"/>
                <w:szCs w:val="18"/>
                <w:lang w:val="sq-AL"/>
              </w:rPr>
              <w:t>ë</w:t>
            </w:r>
            <w:r w:rsidRPr="00B130BB">
              <w:rPr>
                <w:rFonts w:ascii="Garamond" w:eastAsia="Times New Roman" w:hAnsi="Garamond" w:cs="Times New Roman"/>
                <w:spacing w:val="-4"/>
                <w:sz w:val="18"/>
                <w:szCs w:val="18"/>
                <w:lang w:val="sq-AL"/>
              </w:rPr>
              <w:t>n e Shqip</w:t>
            </w:r>
            <w:r w:rsidRPr="00B130BB">
              <w:rPr>
                <w:rFonts w:ascii="Garamond" w:eastAsia="Times New Roman" w:hAnsi="Garamond" w:cs="Garamond"/>
                <w:spacing w:val="-4"/>
                <w:sz w:val="18"/>
                <w:szCs w:val="18"/>
                <w:lang w:val="sq-AL"/>
              </w:rPr>
              <w:t>ë</w:t>
            </w:r>
            <w:r w:rsidRPr="00B130BB">
              <w:rPr>
                <w:rFonts w:ascii="Garamond" w:eastAsia="Times New Roman" w:hAnsi="Garamond" w:cs="Times New Roman"/>
                <w:spacing w:val="-4"/>
                <w:sz w:val="18"/>
                <w:szCs w:val="18"/>
                <w:lang w:val="sq-AL"/>
              </w:rPr>
              <w:t>ris</w:t>
            </w:r>
            <w:r w:rsidRPr="00B130BB">
              <w:rPr>
                <w:rFonts w:ascii="Garamond" w:eastAsia="Times New Roman" w:hAnsi="Garamond" w:cs="Garamond"/>
                <w:spacing w:val="-4"/>
                <w:sz w:val="18"/>
                <w:szCs w:val="18"/>
                <w:lang w:val="sq-AL"/>
              </w:rPr>
              <w:t>ë</w:t>
            </w:r>
            <w:r w:rsidRPr="00B130BB">
              <w:rPr>
                <w:rFonts w:ascii="Garamond" w:eastAsia="Times New Roman" w:hAnsi="Garamond" w:cs="Times New Roman"/>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Në kuadër të uljes së kufirit të regjistrimit për TVSH-në</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Reduktimi i kostove të pajtueshmërisë për biznesin e vogël me TVSH</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Reduktimi i kostove të pajtueshmërisë për biznesin e vogël me TVSH</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Detyrimin për dorëzimin e deklaratës dhe librave për biznesin e vogël me TVSH</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97</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miratimin e metodologjisë së vlerësimit të pasurisë së paluajtshme ndërtesë, për efekt taksimi mbi ndërtesën”</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Në kuadër të taksimit të pasurisë së paluajtshme -ndërtesë, mbi bazën e vlerës.</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metodologjisë për taksimin e pasurisë së paluajtshme-ndërtesë mbi bazën ë vlerës</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Hartimi i metodologjisë për efekt të llogaritjes së vlerës së pasurisë për qëllime të taksës mbi ndërtesat.</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Çështje që lidhen me taksimin e pasurisë së paluajtshme ndërtesë</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98</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mënyrën e pagesës së taksës së pasurisë së paluajtshme ndërtesë, përcaktimin e agjentit të autorizuar për mbledhjen e taksës së ndërtesës, si dhe masën e përfitimit nga mbledhja e taksës së ndërtesës për agjentin e autorizuar”</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Në kuadër të taksimit të pasurisë së paluajtshme -ndërtesë, mbi bazën e vlerës.</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mënyrës së pagesës së taksës dhe agjentit për mbledhjen e taksës mbi ndërtesat</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Vendosja e rregullave lidhur me pagesën e taksës së ndërtesës dhe përcaktimi i agjentit për mbledhjen e saj</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Çështje që lidhen me pagesën dhe mbledhjen e taksës mbi ndërtesat.</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99</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miratimin dhe publikimin zyrtar të Nomenklaturës së Kombinuar të mallrave 2019”</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Përafrimi me BE</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Është vendim, përmes të cilit bëhet i mundur harmonizimi i kodeve tarifore me përshkrimet e Kodeve të CN të Komunitetit Evropian.</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Përafrimi me BE</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Në datë 1 janar 2019 Administrata Doganore Shqiptare duhet të zbatojë të njëjtën Nomenklaturë Mallrash si Bashkimi Evropian. Në bazë të kësaj Nomenklaturë zbatohen nivelet </w:t>
            </w:r>
            <w:r w:rsidRPr="00B130BB">
              <w:rPr>
                <w:rFonts w:ascii="Garamond" w:eastAsia="Times New Roman" w:hAnsi="Garamond" w:cs="Times New Roman"/>
                <w:spacing w:val="-4"/>
                <w:sz w:val="18"/>
                <w:szCs w:val="18"/>
                <w:lang w:val="sq-AL"/>
              </w:rPr>
              <w:lastRenderedPageBreak/>
              <w:t xml:space="preserve">kombëtare të tarifës doganore, Marrëveshja e Stabilizim Asociimit, Marrëveshja Interim si dhe Marrëveshjet e Tregtisë së Lirë. </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Kapitulli 29 Projektvendim “Për miratimin dhe publikimin zyrtar të Nomenklaturës së Kombinuar të Mallrave 2019”</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100</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“Për përcaktimin e aktiviteteve që përfshihen në fushën e prodhimit /zhvillimit të </w:t>
            </w:r>
            <w:r w:rsidRPr="00B130BB">
              <w:rPr>
                <w:rFonts w:ascii="Garamond" w:eastAsia="Times New Roman" w:hAnsi="Garamond" w:cs="Times New Roman"/>
                <w:i/>
                <w:spacing w:val="-4"/>
                <w:sz w:val="18"/>
                <w:szCs w:val="18"/>
                <w:lang w:val="sq-AL"/>
              </w:rPr>
              <w:t>software</w:t>
            </w:r>
            <w:r w:rsidRPr="00B130BB">
              <w:rPr>
                <w:rFonts w:ascii="Garamond" w:eastAsia="Times New Roman" w:hAnsi="Garamond" w:cs="Times New Roman"/>
                <w:spacing w:val="-4"/>
                <w:sz w:val="18"/>
                <w:szCs w:val="18"/>
                <w:lang w:val="sq-AL"/>
              </w:rPr>
              <w:t>-ve dhe procedurat për zbatimin e shkallës 5% të tatim fitimit “</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Në kudër të ndryshimit ligjor lidhur me shkallën e tatim fitimit për personat juridikë që ushtrojnë aktivitet për prodhimin/zhvillimin e </w:t>
            </w:r>
            <w:r w:rsidRPr="00B130BB">
              <w:rPr>
                <w:rFonts w:ascii="Garamond" w:eastAsia="Times New Roman" w:hAnsi="Garamond" w:cs="Times New Roman"/>
                <w:i/>
                <w:spacing w:val="-4"/>
                <w:sz w:val="18"/>
                <w:szCs w:val="18"/>
                <w:lang w:val="sq-AL"/>
              </w:rPr>
              <w:t>software</w:t>
            </w:r>
            <w:r w:rsidRPr="00B130BB">
              <w:rPr>
                <w:rFonts w:ascii="Garamond" w:eastAsia="Times New Roman" w:hAnsi="Garamond" w:cs="Times New Roman"/>
                <w:spacing w:val="-4"/>
                <w:sz w:val="18"/>
                <w:szCs w:val="18"/>
                <w:lang w:val="sq-AL"/>
              </w:rPr>
              <w:t>-ve</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Përcaktimi i aktiviteteve që përfshihen në fushën e prodhimit/zhvillimit të </w:t>
            </w:r>
            <w:r w:rsidRPr="00B130BB">
              <w:rPr>
                <w:rFonts w:ascii="Garamond" w:eastAsia="Times New Roman" w:hAnsi="Garamond" w:cs="Times New Roman"/>
                <w:i/>
                <w:spacing w:val="-4"/>
                <w:sz w:val="18"/>
                <w:szCs w:val="18"/>
                <w:lang w:val="sq-AL"/>
              </w:rPr>
              <w:t>software</w:t>
            </w:r>
            <w:r w:rsidRPr="00B130BB">
              <w:rPr>
                <w:rFonts w:ascii="Garamond" w:eastAsia="Times New Roman" w:hAnsi="Garamond" w:cs="Times New Roman"/>
                <w:spacing w:val="-4"/>
                <w:sz w:val="18"/>
                <w:szCs w:val="18"/>
                <w:lang w:val="sq-AL"/>
              </w:rPr>
              <w:t>-ve</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Përcaktimi i aktiviteteve që përfshihen në fushën e prodhimit/zhvillimit të </w:t>
            </w:r>
            <w:r w:rsidRPr="00B130BB">
              <w:rPr>
                <w:rFonts w:ascii="Garamond" w:eastAsia="Times New Roman" w:hAnsi="Garamond" w:cs="Times New Roman"/>
                <w:i/>
                <w:spacing w:val="-4"/>
                <w:sz w:val="18"/>
                <w:szCs w:val="18"/>
                <w:lang w:val="sq-AL"/>
              </w:rPr>
              <w:t>software</w:t>
            </w:r>
            <w:r w:rsidRPr="00B130BB">
              <w:rPr>
                <w:rFonts w:ascii="Garamond" w:eastAsia="Times New Roman" w:hAnsi="Garamond" w:cs="Times New Roman"/>
                <w:spacing w:val="-4"/>
                <w:sz w:val="18"/>
                <w:szCs w:val="18"/>
                <w:lang w:val="sq-AL"/>
              </w:rPr>
              <w:t>-ve dhe procedura për zbatimin e shkallës 5 %të tatim fitimit</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çështje që lidhen me shkallën e tatim fitimit 5 % për aktivitetet që përfshihen në fushën e prodhimit të </w:t>
            </w:r>
            <w:r w:rsidRPr="00B130BB">
              <w:rPr>
                <w:rFonts w:ascii="Garamond" w:eastAsia="Times New Roman" w:hAnsi="Garamond" w:cs="Times New Roman"/>
                <w:i/>
                <w:spacing w:val="-4"/>
                <w:sz w:val="18"/>
                <w:szCs w:val="18"/>
                <w:lang w:val="sq-AL"/>
              </w:rPr>
              <w:t>software</w:t>
            </w:r>
            <w:r w:rsidRPr="00B130BB">
              <w:rPr>
                <w:rFonts w:ascii="Garamond" w:eastAsia="Times New Roman" w:hAnsi="Garamond" w:cs="Times New Roman"/>
                <w:spacing w:val="-4"/>
                <w:sz w:val="18"/>
                <w:szCs w:val="18"/>
                <w:lang w:val="sq-AL"/>
              </w:rPr>
              <w:t>-ve</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Pika 2.1 Stabiliteti makroekonomik</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101</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miratimin e Rregullores se Markave”</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 shkak të ndryshimeve të ligjit 9947, date 7.7.2008 “Për pronësinë industriale”, I ndryshuar.</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Rregullorja për regjistrimin e markave ka si qëllim të përcaktojë në mënyrë të detajuar çështje të caktuara të parashikuara në ligjin nr. 9947, datë 7.7.2008, “Për Pronësinë Industriale” i ndryshuar, për sa i takon procedurave në lidhje me markat të ndjekura nga DPPI.</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Përmirësim i procedurave të regjistrimit Markave</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rregullon procedura të regjistrimit Markave sipas ndryshimeve të reja ligjore në ligjin 9947 “Për pronësinë Industriale”.</w:t>
            </w:r>
            <w:r w:rsidRPr="00B130BB">
              <w:rPr>
                <w:rFonts w:ascii="Garamond" w:eastAsia="Times New Roman" w:hAnsi="Garamond" w:cs="Times New Roman"/>
                <w:spacing w:val="-4"/>
                <w:sz w:val="18"/>
                <w:szCs w:val="18"/>
                <w:lang w:val="sq-AL"/>
              </w:rPr>
              <w:br/>
              <w:t>Akti lidhet me Strategjinë Kombëtare të Pronësisë Intelektuale 2016–2020</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VII. E drejta e pronësisë intelektuale</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102</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miratimin e rregullores “Për regjistrimin e treguesve gjeografikë dhe emërtimeve të origjinës”</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 shkak të ndryshimeve të ligjit 9947, datë 7.7.2008 “Për pronësinë industriale”, i ndryshuar.</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Kjo rregullore ka si qëllim përcaktimin e rregullave dhe procedurave lidhur me regjistrimin e treguesve gjeografike dhe emërtimeve të origjinës.</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Përmirësim i procedurave të regjistrimit të treguesve gjeografikë dhe emërtimeve të origjinës</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Ky projektvendim rregullon procedura të treguesve gjeografike dhe emërtimeve të origjinës sipas ndryshimeve të reja ligjore në ligjin 9947, “Për </w:t>
            </w:r>
            <w:r w:rsidRPr="00B130BB">
              <w:rPr>
                <w:rFonts w:ascii="Garamond" w:eastAsia="Times New Roman" w:hAnsi="Garamond" w:cs="Times New Roman"/>
                <w:spacing w:val="-4"/>
                <w:sz w:val="18"/>
                <w:szCs w:val="18"/>
                <w:lang w:val="sq-AL"/>
              </w:rPr>
              <w:lastRenderedPageBreak/>
              <w:t>pronësinë industriale”.</w:t>
            </w:r>
            <w:r w:rsidRPr="00B130BB">
              <w:rPr>
                <w:rFonts w:ascii="Garamond" w:eastAsia="Times New Roman" w:hAnsi="Garamond" w:cs="Times New Roman"/>
                <w:spacing w:val="-4"/>
                <w:sz w:val="18"/>
                <w:szCs w:val="18"/>
                <w:lang w:val="sq-AL"/>
              </w:rPr>
              <w:br/>
              <w:t>Akti lidhet me Strategjinë Kombëtare të Pronësisë Intelektuale 2016–2020</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Kapitulli VII. E drejta e pronësisë intelektuale</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103</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miratimin e rregullores “Për regjistrimin e dizenjove industriale”</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 shkak të ndryshimeve të ligjit 9947, datë 7.7.2008 “Për pronësinë industriale”, i ndryshuar.</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Rregullorja për regjistrimin e dizenjove industriale ka si qëllim të përcaktojë në mënyrë të detajuar, çështje të caktuara të parashikuara në ligjin nr. 9947, datë 7.7.2008, “Për pronësinë industriale” i ndryshuar, për procedurat dhe rregullat e regjistrimit të dizenjove industriale.</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Përmirësim i procedurave të regjistrimit të dizenjove industriale</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rregullon procedurat e regjistrimit të dizenjove industriale, sipas ndryshimeve të reja ligjore në ligjin 9947, “Për pronësinë industriale”.</w:t>
            </w:r>
            <w:r w:rsidRPr="00B130BB">
              <w:rPr>
                <w:rFonts w:ascii="Garamond" w:eastAsia="Times New Roman" w:hAnsi="Garamond" w:cs="Times New Roman"/>
                <w:spacing w:val="-4"/>
                <w:sz w:val="18"/>
                <w:szCs w:val="18"/>
                <w:lang w:val="sq-AL"/>
              </w:rPr>
              <w:br/>
              <w:t>Akti lidhet me Strategjinë Kombëtare të Pronësisë Intelektuale 2016–2020</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VII. E drejta e pronësisë intelektuale</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104</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Projektvendimi “Për disa shtesa dhe ndryshime në vendimin nr. 1707, datë 29.12.2008 të Këshillit të ministrave “Për miratimin e rregullores për lëshimin e patentave për shpikjet dhe modelet e përdorimit”</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 shkak të ndryshimeve të ligjit 9947, date 7.7.2008, “Për pronësinë industriale”, i ndryshuar.</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Kjo rregullore ka si qëllim përcaktimin e rregullave dhe procedurave lidhur me: lëshimin e patentave për shpikjet dhe modelet e përdorimit; ripërtëritjen e patentave për shpikjet dhe modelet e përdorimit; lëshimin e certifikatave të mbrojtjes shtesë për produktet farmaceutike dhe produktet për mbrojtjen e bimëve; </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Përmirësim i procedurave të regjistrimit të dizenjove industriale</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rregullon procedurave të regjistrimit të patentave për shpikje dhe modeleve të përdorimit në mbështetje të ndryshimeve të reja të ligjit 9947, “Për pronësinë industriale”.</w:t>
            </w:r>
            <w:r w:rsidRPr="00B130BB">
              <w:rPr>
                <w:rFonts w:ascii="Garamond" w:eastAsia="Times New Roman" w:hAnsi="Garamond" w:cs="Times New Roman"/>
                <w:spacing w:val="-4"/>
                <w:sz w:val="18"/>
                <w:szCs w:val="18"/>
                <w:lang w:val="sq-AL"/>
              </w:rPr>
              <w:br/>
              <w:t>Akti lidhet me Strategjinë Kombëtare të Pronësisë Intelektuale, 2016–2020</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VII. E drejta e pronësisë intelektuale</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105</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miratimin e rregullores së organizimit dhe funksionimit të Bordit të Apelit të DPPI-së”</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 shkak të ndryshimeve të ligjit 9947, datë 7.7.2008 “Për pronësinë industriale”, i ndryshuar.</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Kjo rregullore ka për qëllim përcaktimin e rregullave dhe procedurave lidhur me organizimin, funksionimin e Bordit të Apelit të DPPI-së.</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Bordi i Apelimit i DPPI-së me përmirësimet e reja ligjore dhe me nxjerrjen e një projektvendimi të ri behet të jetë një strukture më e forte në dhënien e vendimit, duke u përbërë nga specialist të DPPM-së dhe eksperte të fushës së PI.</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Kjo është një rregullore e re e krijuar për here të pare, që përcakton qarte rregulla për funksionimin dhe organizimin e Bordit Apelit.</w:t>
            </w:r>
            <w:r w:rsidRPr="00B130BB">
              <w:rPr>
                <w:rFonts w:ascii="Garamond" w:eastAsia="Times New Roman" w:hAnsi="Garamond" w:cs="Times New Roman"/>
                <w:spacing w:val="-4"/>
                <w:sz w:val="18"/>
                <w:szCs w:val="18"/>
                <w:lang w:val="sq-AL"/>
              </w:rPr>
              <w:br/>
              <w:t>Akti lidhet me Strategjinë Kombëtare të Pronësisë Intelektuale, 2016–2020</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VII. E drejta e pronësisë intelektuale</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106</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miratimin e rregullores së përfaqësuesve të autorizuar të DPPI-së”</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 shkak të ndryshimeve të ligjit 9947, date 7.7.2008 “Për pronësinë industriale”, i ndryshuar.</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Kjo rregullore ka për qëllim përcaktimin e rregullave dhe procedurave lidhur me përfaqësimin në Drejtorinë e Përgjithshme të Pronësisë Industriale (në vazhdim DPPI), i cili bëhet nga përfaqësuesit e autorizuar të regjistruar në DPPI.</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Përfaqësuesit e autorizuar janë një grupim mjaft i rëndësishëm dhe nxitës për prurjen aplikimeve në DPPI. Është mjaft e rëndësishme nxjerrja e një projektvendimi për mënyrën e funksionimit të PA-së. </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Kjo është një rregullore e re e krijuar për herë të pare, që përcakton qarte rregulla për Përfaqësuesit e Autorizuar që ndjekin çështje të PI-së pranë DPPI-së.</w:t>
            </w:r>
            <w:r w:rsidRPr="00B130BB">
              <w:rPr>
                <w:rFonts w:ascii="Garamond" w:eastAsia="Times New Roman" w:hAnsi="Garamond" w:cs="Times New Roman"/>
                <w:spacing w:val="-4"/>
                <w:sz w:val="18"/>
                <w:szCs w:val="18"/>
                <w:lang w:val="sq-AL"/>
              </w:rPr>
              <w:br/>
              <w:t>Akti lidhet me Strategjinë Kombëtare të Pronësisë Intelektuale 2016–2020</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VII. E drejta e pronësisë intelektuale</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107</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miratimin e rregullores së ekspertëve të DPPI-së”</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 shkak të ndryshimeve të ligjit 9947, date 7.7.2008 “Për pronësinë industriale”, i ndryshuar.</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Kjo rregullore ka për qëllim përcaktimin e rregullave dhe procedurave për Ekspertët e Objekteve të Pronësisë Industriale (në vazhdim PI), të cilët certifikohen nga Drejtoria e Përgjithshme e Pronësisë Industriale</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Me ndryshimet e saj ligjore dhe me rekomandimet e lëna nga BE në raportin e vlerësimit është lënë si detyre hartimi i rregullave dhe kritereve për Ekspertet e PI .</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Kjo është një rregullore e re e krijuar për here të pare, që përcakton qarte rregulla për Ekspertet e PI-së.</w:t>
            </w:r>
            <w:r w:rsidRPr="00B130BB">
              <w:rPr>
                <w:rFonts w:ascii="Garamond" w:eastAsia="Times New Roman" w:hAnsi="Garamond" w:cs="Times New Roman"/>
                <w:spacing w:val="-4"/>
                <w:sz w:val="18"/>
                <w:szCs w:val="18"/>
                <w:lang w:val="sq-AL"/>
              </w:rPr>
              <w:br/>
              <w:t>Akti lidhet me Strategjinë Kombëtare të Pronësisë Intelektuale 2016–2020</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VII. E drejta e pronësisë intelektuale</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108</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miratimin e rregullores për procedurat e funksionimit të Qendrës së Trajnimeve në fushën e PI-së”</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 shkak të ndryshimeve të ligjit 9947, date 7.7.2008 “Për pronësinë industriale”, i ndryshuar.</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Kjo rregullore ka për qëllim miratimin e tarifave për regjistrimin e objekteve të pronësisë industriale, të përfaqësuesve të autorizuar dhe eksperteve të PI-së.</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rregullave për funksionimin dhe organizimin e Qendrës se Trajnimeve në fushën e PI-së</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Kjo është një rregullore e re e krijuar në zbatim të ndryshimeve të ligjit 9947, “Për pronësinë Industriale”, që përcakton qartë rregulla për funksionimin dhe organizimin e Qendrës së Trajnimeve në fushën e PI-së.</w:t>
            </w:r>
            <w:r w:rsidRPr="00B130BB">
              <w:rPr>
                <w:rFonts w:ascii="Garamond" w:eastAsia="Times New Roman" w:hAnsi="Garamond" w:cs="Times New Roman"/>
                <w:spacing w:val="-4"/>
                <w:sz w:val="18"/>
                <w:szCs w:val="18"/>
                <w:lang w:val="sq-AL"/>
              </w:rPr>
              <w:br/>
              <w:t>Akti lidhet me Strategjinë Kombëtare të Pronësisë Intelektuale, 2016–2020</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VII. E drejta e pronësisë intelektuale</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109</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Projektvendimi “Për disa shtesa dhe ndryshime në vendimin nr. 883, datë 13.5.2009 të Këshillit të Ministrave “Për miratimin e e tarifave për regjistrimin e objekteve të pronësisë industriale”</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 shkak të ndryshimeve të ligjit 9947, datë 7.7.2008, “Për pronësinë industriale”, i ndryshuar.</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Kjo rregullore ka për qellim miratimin e tarifave të saj, sipas ndryshimeve në projektvendimet e reja që do të miratohen në zbatim të ligjit 9947/2008, “Për pronësinë industriale” </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Me ndryshimin e rregulloreve të objekteve të PI, janë parashikuar edhe disa tarifa të reja, për ndryshimet që do ndodhin në këtë rregullore.</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Me ndryshimin e rregulloreve të objekteve të PI, janë parashikuar edhe disa tarifa të reja, për ndryshimet që do ndodhin në këtë rregullore.</w:t>
            </w:r>
            <w:r w:rsidRPr="00B130BB">
              <w:rPr>
                <w:rFonts w:ascii="Garamond" w:eastAsia="Times New Roman" w:hAnsi="Garamond" w:cs="Times New Roman"/>
                <w:spacing w:val="-4"/>
                <w:sz w:val="18"/>
                <w:szCs w:val="18"/>
                <w:lang w:val="sq-AL"/>
              </w:rPr>
              <w:br/>
              <w:t>Akti lidhet me Strategjinë Kombëtare të Pronësisë Intelektuale 2016–2020</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VII. E drejta e pronësisë intelektuale</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110</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përcaktimin e masës së shpërblimit të anëtarëve të Këshillit Mbikëqyrës të Drejtorisë së Përgjithshme të Pronësisë Industriale.</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 shkak të ndryshimeve të ligjit 9947, datë 7.7.2008, “Për pronësinë industriale”, i ndryshuar.</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shpërblimit të anëtarëve të Këshillit Mbikëqyrës të DPPI-së, në zbatim të ligjit nr. 17/2017.</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Ndryshimet ligjore bëjnë të nevojshëm parashikimin e shpërblimeve të anëtarëve të Këshillit mbikëqyrës të DPPI-së. Për shkak të funksioneve </w:t>
            </w:r>
            <w:r w:rsidRPr="00B130BB">
              <w:rPr>
                <w:rFonts w:ascii="Garamond" w:eastAsia="Times New Roman" w:hAnsi="Garamond" w:cs="Times New Roman"/>
                <w:spacing w:val="-4"/>
                <w:sz w:val="18"/>
                <w:szCs w:val="18"/>
                <w:lang w:val="sq-AL"/>
              </w:rPr>
              <w:lastRenderedPageBreak/>
              <w:t>shtesë.</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Zbatimi i nenit 189/b e vijues të ligjit nr. 9947, datë 7.7.2008, i ndryshuar.</w:t>
            </w:r>
            <w:r w:rsidRPr="00B130BB">
              <w:rPr>
                <w:rFonts w:ascii="Garamond" w:eastAsia="Times New Roman" w:hAnsi="Garamond" w:cs="Times New Roman"/>
                <w:spacing w:val="-4"/>
                <w:sz w:val="18"/>
                <w:szCs w:val="18"/>
                <w:lang w:val="sq-AL"/>
              </w:rPr>
              <w:br/>
              <w:t xml:space="preserve">Akti lidhet me Strategjinë Kombëtare të Pronësisë </w:t>
            </w:r>
            <w:r w:rsidRPr="00B130BB">
              <w:rPr>
                <w:rFonts w:ascii="Garamond" w:eastAsia="Times New Roman" w:hAnsi="Garamond" w:cs="Times New Roman"/>
                <w:spacing w:val="-4"/>
                <w:sz w:val="18"/>
                <w:szCs w:val="18"/>
                <w:lang w:val="sq-AL"/>
              </w:rPr>
              <w:lastRenderedPageBreak/>
              <w:t>Intelektuale 2016–2020</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Kapitulli VII. E drejta e pronësisë intelektuale</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111</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“Për disa ndryshime dhe shtesa në ligjin nr. 10081, datë 23.2.2009, “Për licencat, autorizimet dhe lejet në Republikën e Shqipërisë”“</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projekakt, i cili synon kryerjen e përmirësimeve të mëtejshme në procedurën teknike të licencimit dhe lejimit, nxirret në kuadër të reformës së deregulimit.</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Me anë të këtij Projektligji synohet përmirësimi i mëtejshëm i procedurave të licencimit dhe lejimit</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Përmirësime të mëtejshme në procedurën teknike të licencimit dhe lejimit</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Kthimi i QKB-së në rolin klasik të një “pike të vetme kontakti”, për 72 licenca të grupit 3, duke kufizuar rolin e QKB vetëm në verifikimin nëse aplikimi është i plotë apo ka nevoje për plotësim, gjatë procedurës paraprake; Reduktimi me 50% i afatit përfundimtar të vendimmarrjes për 35 licenca të grupit 2 </w:t>
            </w:r>
            <w:r w:rsidRPr="00B130BB">
              <w:rPr>
                <w:rFonts w:ascii="Garamond" w:eastAsia="Times New Roman" w:hAnsi="Garamond" w:cs="Times New Roman"/>
                <w:color w:val="000000"/>
                <w:spacing w:val="-4"/>
                <w:sz w:val="18"/>
                <w:szCs w:val="18"/>
                <w:lang w:val="sq-AL"/>
              </w:rPr>
              <w:t>(nga 4 (katër) ditë pune në 2 (dy) ditë kalendarike); Reduktimi me 20% i afatit të procedurës paraprake në QKB për 72 licenca të grupit 3 (nga 4 (katër) ditë pune në 2 (dy) ditë kalendarike); Reduktim i afateve të vendimmarrjes për disa licenca dhe leje të grupit 3 (nga 15 ditë në 10 ditë) etj.</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112</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Projektvendimi “Për disa shtesa dhe ndryshime në Vendimin Nr. 538, </w:t>
            </w:r>
            <w:r w:rsidRPr="00B130BB">
              <w:rPr>
                <w:rFonts w:ascii="Garamond" w:eastAsia="Times New Roman" w:hAnsi="Garamond" w:cs="Times New Roman"/>
                <w:spacing w:val="-4"/>
                <w:sz w:val="18"/>
                <w:szCs w:val="18"/>
                <w:lang w:val="sq-AL"/>
              </w:rPr>
              <w:lastRenderedPageBreak/>
              <w:t>datë 26.5.2009, të Këshillit të Ministrave, Për licencat dhe lejet që trajtohen nga apo nëpërmjet Qendrës Kombëtare të Licencimit (QKB) dhe disa rregullime të tjera nënligjore të përbashkëta”, të ndryshuar”</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Financave dhe Ekono</w:t>
            </w:r>
            <w:r w:rsidRPr="00B130BB">
              <w:rPr>
                <w:rFonts w:ascii="Garamond" w:eastAsia="Times New Roman" w:hAnsi="Garamond" w:cs="Times New Roman"/>
                <w:spacing w:val="-4"/>
                <w:sz w:val="18"/>
                <w:szCs w:val="18"/>
                <w:lang w:val="sq-AL"/>
              </w:rPr>
              <w:lastRenderedPageBreak/>
              <w:t>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Ky projekakt, i cili synon kryerjen e </w:t>
            </w:r>
            <w:r w:rsidRPr="00B130BB">
              <w:rPr>
                <w:rFonts w:ascii="Garamond" w:eastAsia="Times New Roman" w:hAnsi="Garamond" w:cs="Times New Roman"/>
                <w:spacing w:val="-4"/>
                <w:sz w:val="18"/>
                <w:szCs w:val="18"/>
                <w:lang w:val="sq-AL"/>
              </w:rPr>
              <w:lastRenderedPageBreak/>
              <w:t>përmirësimeve të mëtejshme në procedurën teknike të licencimit dhe lejimit, nxirret në kuadër të reformës së deregulimit.</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Me anë të këtij Projektvendimi synohet </w:t>
            </w:r>
            <w:r w:rsidRPr="00B130BB">
              <w:rPr>
                <w:rFonts w:ascii="Garamond" w:eastAsia="Times New Roman" w:hAnsi="Garamond" w:cs="Times New Roman"/>
                <w:spacing w:val="-4"/>
                <w:sz w:val="18"/>
                <w:szCs w:val="18"/>
                <w:lang w:val="sq-AL"/>
              </w:rPr>
              <w:lastRenderedPageBreak/>
              <w:t>përmirësimi i mëtejshëm i procedurave të licencimit dhe lejimit</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Përmirësime të mëtejshme në procedurën </w:t>
            </w:r>
            <w:r w:rsidRPr="00B130BB">
              <w:rPr>
                <w:rFonts w:ascii="Garamond" w:eastAsia="Times New Roman" w:hAnsi="Garamond" w:cs="Times New Roman"/>
                <w:spacing w:val="-4"/>
                <w:sz w:val="18"/>
                <w:szCs w:val="18"/>
                <w:lang w:val="sq-AL"/>
              </w:rPr>
              <w:lastRenderedPageBreak/>
              <w:t>teknike të licencimit dhe lejimit</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Reduktimi me 50% i shtyrjes shtesë të </w:t>
            </w:r>
            <w:r w:rsidRPr="00B130BB">
              <w:rPr>
                <w:rFonts w:ascii="Garamond" w:eastAsia="Times New Roman" w:hAnsi="Garamond" w:cs="Times New Roman"/>
                <w:spacing w:val="-4"/>
                <w:sz w:val="18"/>
                <w:szCs w:val="18"/>
                <w:lang w:val="sq-AL"/>
              </w:rPr>
              <w:lastRenderedPageBreak/>
              <w:t>afatit të vendimmarrjes nga ministritë e linjës (i cili mund të përdoret vetëm një herë)</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113</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krijimin e Fondit Shqiptar të Konkurrueshmërisë</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VKM nr. 24, datë 20.1.2016 “Për krijimin e Fondit Shqiptar të Konkurrueshmërisë” e humbet fuqinë ligjore në fund të vitit 2018, ky fond do të riaktivizohet sërish nëpërmjet këtij Projektakti. </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24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projektakt synon t’u ofrojë ndërmarrjeve mikro, të vogla dhe të mesme (SME) mbështetje të drejtpërdrejtë financiare për të mbështetur fuqizimin e kompanive shqiptare me synim promovimin e produkteve “Made in Albania” globalisht, rritjen e konkurrueshmërisë së produkteve shqiptare, rritjen e punësimit.</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 Përmirësim produkti, përfshirë ambalazhimin dhe etiketimin, certifikim produkti, vlerësim konformiteti dhe zbatim të sistemeve të menaxhimit të cilësisë;</w:t>
            </w:r>
            <w:r w:rsidRPr="00B130BB">
              <w:rPr>
                <w:rFonts w:ascii="Garamond" w:eastAsia="Times New Roman" w:hAnsi="Garamond" w:cs="Times New Roman"/>
                <w:spacing w:val="-4"/>
                <w:sz w:val="18"/>
                <w:szCs w:val="18"/>
                <w:lang w:val="sq-AL"/>
              </w:rPr>
              <w:br/>
              <w:t>b) pjesëmarrje në panaire jashtë vendit;</w:t>
            </w:r>
            <w:r w:rsidRPr="00B130BB">
              <w:rPr>
                <w:rFonts w:ascii="Garamond" w:eastAsia="Times New Roman" w:hAnsi="Garamond" w:cs="Times New Roman"/>
                <w:spacing w:val="-4"/>
                <w:sz w:val="18"/>
                <w:szCs w:val="18"/>
                <w:lang w:val="sq-AL"/>
              </w:rPr>
              <w:br/>
              <w:t>c) krijim faqeje interneti, zhvillim të tregtisë elektronike dhe promovim, publikim dhe hartim materialesh promovuese.</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Fuqizimi i kompanive shqiptare me synim promovimin e produkteve “Made in Albania”</w:t>
            </w:r>
            <w:r w:rsidRPr="00B130BB">
              <w:rPr>
                <w:rFonts w:ascii="Garamond" w:eastAsia="Times New Roman" w:hAnsi="Garamond" w:cs="Times New Roman"/>
                <w:spacing w:val="-4"/>
                <w:sz w:val="18"/>
                <w:szCs w:val="18"/>
                <w:lang w:val="sq-AL"/>
              </w:rPr>
              <w:br/>
              <w:t>Akti lidhet me Strategjinë për Zhvillim dhe Integrim; Strategjinë e Zhvillimit të Biznesit dhe Investimeve për periudhën 2014–2020</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Zhvillimi Ekonomik</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114</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disa ndryshime në “VKM nr. nr. 687, datë 5.10.2011 “Për organizimin, kompetencat dhe funksionimin e Agjencisë se Administrimit të Pasurive të sekuestruara e të konfiskuara, si dhe mënyrën e administrimit të pasurive të sekuestruara dhe të konfiskuara” </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Ndryshimet e bëra në ligjin 10192/2009 nëpërmjet ligjit 75/2017</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Ndryshimi i atyre dispozitave të VKM-së të cilat lidhen me ndryshimet e bëra në ligjin 10192/2009 nëpërmjet ligjit 75/2017</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Përputhja e aktit nënligjor (VKM-së 687/2011) me ligjin 10192/2009, të ndryshuar me ligjin 75/2017</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Ndryshimin e mënyrës se ekzekutimit të vendimeve të gjykatës; mbajtjen e shpenzimeve në rastet e revokimit të pasurive; mos ngarkimin e AAPSK-së me detyrimet e mëparshme të pasurive. </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11</w:t>
            </w:r>
            <w:r w:rsidRPr="00B130BB">
              <w:rPr>
                <w:rFonts w:ascii="Garamond" w:eastAsia="Times New Roman" w:hAnsi="Garamond" w:cs="Times New Roman"/>
                <w:spacing w:val="-4"/>
                <w:sz w:val="18"/>
                <w:szCs w:val="18"/>
                <w:lang w:val="sq-AL"/>
              </w:rPr>
              <w:lastRenderedPageBreak/>
              <w:t>5</w:t>
            </w:r>
          </w:p>
        </w:tc>
        <w:tc>
          <w:tcPr>
            <w:tcW w:w="81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Projektligj, “Për disa shtesa dhe </w:t>
            </w:r>
            <w:r w:rsidRPr="00B130BB">
              <w:rPr>
                <w:rFonts w:ascii="Garamond" w:eastAsia="Times New Roman" w:hAnsi="Garamond" w:cs="Times New Roman"/>
                <w:spacing w:val="-4"/>
                <w:sz w:val="18"/>
                <w:szCs w:val="18"/>
                <w:lang w:val="sq-AL"/>
              </w:rPr>
              <w:lastRenderedPageBreak/>
              <w:t>ndryshime në ligjin nr. 9831, datë 12.11.2007, “Për dëmshpërblimin e ish të dënuarve politikë të regjimit komunist”, të ndryshuar</w:t>
            </w:r>
          </w:p>
        </w:tc>
        <w:tc>
          <w:tcPr>
            <w:tcW w:w="42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Financa</w:t>
            </w:r>
            <w:r w:rsidRPr="00B130BB">
              <w:rPr>
                <w:rFonts w:ascii="Garamond" w:eastAsia="Times New Roman" w:hAnsi="Garamond" w:cs="Times New Roman"/>
                <w:spacing w:val="-4"/>
                <w:sz w:val="18"/>
                <w:szCs w:val="18"/>
                <w:lang w:val="sq-AL"/>
              </w:rPr>
              <w:lastRenderedPageBreak/>
              <w:t>ve dhe Ekonomisë</w:t>
            </w:r>
          </w:p>
        </w:tc>
        <w:tc>
          <w:tcPr>
            <w:tcW w:w="4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Katërmujori I</w:t>
            </w:r>
          </w:p>
        </w:tc>
        <w:tc>
          <w:tcPr>
            <w:tcW w:w="55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Miratimi i këtij </w:t>
            </w:r>
            <w:r w:rsidRPr="00B130BB">
              <w:rPr>
                <w:rFonts w:ascii="Garamond" w:eastAsia="Times New Roman" w:hAnsi="Garamond" w:cs="Times New Roman"/>
                <w:spacing w:val="-4"/>
                <w:sz w:val="18"/>
                <w:szCs w:val="18"/>
                <w:lang w:val="sq-AL"/>
              </w:rPr>
              <w:lastRenderedPageBreak/>
              <w:t xml:space="preserve">projektligji, synon krijimin e mundësisë së përfundimit të shpërndarjes së dëmshpërblimit financiar për ish të përndjekurit e regjimit komunist, të cilët janë gjallë, duke i dhënë prioritet likuidimit të plotë të tyre, dhe duke hequr nën-kategorizimin e subjekteve parësore. </w:t>
            </w:r>
          </w:p>
        </w:tc>
        <w:tc>
          <w:tcPr>
            <w:tcW w:w="5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Qëllimi i këtij projektligji </w:t>
            </w:r>
            <w:r w:rsidRPr="00B130BB">
              <w:rPr>
                <w:rFonts w:ascii="Garamond" w:eastAsia="Times New Roman" w:hAnsi="Garamond" w:cs="Times New Roman"/>
                <w:spacing w:val="-4"/>
                <w:sz w:val="18"/>
                <w:szCs w:val="18"/>
                <w:lang w:val="sq-AL"/>
              </w:rPr>
              <w:lastRenderedPageBreak/>
              <w:t>është mundësimi i të drejtës kushtetuese dhe ligjore, për përfitimin e gjithë shumës së miratuar të dëmshpërblimit financiar, për ish të përndjekurit e regjimit komunist, të cilët janë gjallë dhe bëjnë pjesë në kategorinë parësore, sipas parashikimeve të kuadrit ligjor në fuqi. Gjithashtu, nëpërmjet këtij projektakti, synohet edhe përshpejtimi i procesit të dëmshpërblimit financiar për familjarët e viktimave të burgosura apo ekzekutuara, në masë më të madhe, duke përmbushur në këtë mënyrë një të drejtë të tyre ligjore.</w:t>
            </w:r>
          </w:p>
        </w:tc>
        <w:tc>
          <w:tcPr>
            <w:tcW w:w="60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Përmbyllja përfundimtar</w:t>
            </w:r>
            <w:r w:rsidRPr="00B130BB">
              <w:rPr>
                <w:rFonts w:ascii="Garamond" w:eastAsia="Times New Roman" w:hAnsi="Garamond" w:cs="Times New Roman"/>
                <w:spacing w:val="-4"/>
                <w:sz w:val="18"/>
                <w:szCs w:val="18"/>
                <w:lang w:val="sq-AL"/>
              </w:rPr>
              <w:lastRenderedPageBreak/>
              <w:t>e e procesit të dëmshpërblimit për ata ish-të dënuar që kanë vuajtur vetë dënimin gjatë regjimit komunist, ende në jetë;</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Ndryshimi i raportit të </w:t>
            </w:r>
            <w:r w:rsidRPr="00B130BB">
              <w:rPr>
                <w:rFonts w:ascii="Garamond" w:eastAsia="Times New Roman" w:hAnsi="Garamond" w:cs="Times New Roman"/>
                <w:spacing w:val="-4"/>
                <w:sz w:val="18"/>
                <w:szCs w:val="18"/>
                <w:lang w:val="sq-AL"/>
              </w:rPr>
              <w:lastRenderedPageBreak/>
              <w:t>përcaktuar të fondit të miratuar, ku 70% i vihej në dispozicion kategorisë parësore dhe pjesa tjetër i shpërndahej kategorisë së trashëgimtarëve;</w:t>
            </w:r>
            <w:r w:rsidRPr="00B130BB">
              <w:rPr>
                <w:rFonts w:ascii="Garamond" w:eastAsia="Times New Roman" w:hAnsi="Garamond" w:cs="Times New Roman"/>
                <w:spacing w:val="-4"/>
                <w:sz w:val="18"/>
                <w:szCs w:val="18"/>
                <w:lang w:val="sq-AL"/>
              </w:rPr>
              <w:br/>
              <w:t xml:space="preserve">Dëmshpërblimi i plotë, për të gjithë ata ish të dënuar të cilët janë ende në jetë, të cilët për shkak të parashikimeve aktuale ligjore, ishin të kufizuar në marrjen e vlerës maksimale të dëmshpërblimit, pasi parashikimet ligjore e kufizonin ndarjen e shumave në 8 këste, me vlerë maksimale 1 000 000 lekë. Ndërkohë, që ekzistojnë subjekte parësore, të cilat e superojnë këtë vlerë (8 x 1 000 000 lekë), të vendosur nga ligji. </w:t>
            </w:r>
          </w:p>
        </w:tc>
        <w:tc>
          <w:tcPr>
            <w:tcW w:w="4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6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bl>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tbl>
      <w:tblPr>
        <w:tblW w:w="5000" w:type="pct"/>
        <w:tblLayout w:type="fixed"/>
        <w:tblLook w:val="04A0" w:firstRow="1" w:lastRow="0" w:firstColumn="1" w:lastColumn="0" w:noHBand="0" w:noVBand="1"/>
      </w:tblPr>
      <w:tblGrid>
        <w:gridCol w:w="294"/>
        <w:gridCol w:w="1911"/>
        <w:gridCol w:w="898"/>
        <w:gridCol w:w="745"/>
        <w:gridCol w:w="1005"/>
        <w:gridCol w:w="902"/>
        <w:gridCol w:w="1310"/>
        <w:gridCol w:w="1126"/>
        <w:gridCol w:w="651"/>
        <w:gridCol w:w="734"/>
      </w:tblGrid>
      <w:tr w:rsidR="00B130BB" w:rsidRPr="00B130BB" w:rsidTr="00842C95">
        <w:trPr>
          <w:trHeight w:val="180"/>
        </w:trPr>
        <w:tc>
          <w:tcPr>
            <w:tcW w:w="5000" w:type="pct"/>
            <w:gridSpan w:val="10"/>
            <w:tcBorders>
              <w:top w:val="nil"/>
              <w:left w:val="nil"/>
              <w:bottom w:val="nil"/>
              <w:right w:val="nil"/>
            </w:tcBorders>
            <w:shd w:val="clear" w:color="auto" w:fill="auto"/>
            <w:vAlign w:val="bottom"/>
            <w:hideMark/>
          </w:tcPr>
          <w:p w:rsidR="00B130BB" w:rsidRPr="00B130BB" w:rsidRDefault="00B130BB" w:rsidP="00B130BB">
            <w:pPr>
              <w:spacing w:after="0" w:line="240" w:lineRule="auto"/>
              <w:jc w:val="center"/>
              <w:rPr>
                <w:rFonts w:ascii="Garamond" w:eastAsia="Times New Roman" w:hAnsi="Garamond" w:cs="Times New Roman"/>
                <w:b/>
                <w:bCs/>
                <w:color w:val="000000"/>
                <w:spacing w:val="-4"/>
                <w:sz w:val="18"/>
                <w:szCs w:val="18"/>
                <w:lang w:val="sq-AL"/>
              </w:rPr>
            </w:pPr>
            <w:bookmarkStart w:id="3" w:name="RANGE!A1:J35"/>
            <w:r w:rsidRPr="00B130BB">
              <w:rPr>
                <w:rFonts w:ascii="Garamond" w:eastAsia="Times New Roman" w:hAnsi="Garamond" w:cs="Times New Roman"/>
                <w:b/>
                <w:bCs/>
                <w:color w:val="000000"/>
                <w:spacing w:val="-4"/>
                <w:sz w:val="18"/>
                <w:szCs w:val="18"/>
                <w:lang w:val="sq-AL"/>
              </w:rPr>
              <w:t>PROGRAMI I PËRGJITHSHËM ANALITIK I PROJEKTAKTEVE PËR VITIN 2018</w:t>
            </w:r>
            <w:bookmarkEnd w:id="3"/>
          </w:p>
        </w:tc>
      </w:tr>
      <w:tr w:rsidR="00B130BB" w:rsidRPr="00B130BB" w:rsidTr="00842C95">
        <w:trPr>
          <w:trHeight w:val="180"/>
        </w:trPr>
        <w:tc>
          <w:tcPr>
            <w:tcW w:w="5000" w:type="pct"/>
            <w:gridSpan w:val="10"/>
            <w:tcBorders>
              <w:top w:val="nil"/>
              <w:left w:val="nil"/>
              <w:bottom w:val="nil"/>
              <w:right w:val="nil"/>
            </w:tcBorders>
            <w:shd w:val="clear" w:color="auto" w:fill="auto"/>
            <w:vAlign w:val="bottom"/>
            <w:hideMark/>
          </w:tcPr>
          <w:p w:rsidR="00B130BB" w:rsidRPr="00B130BB" w:rsidRDefault="00B130BB" w:rsidP="00B130BB">
            <w:pPr>
              <w:spacing w:after="0" w:line="240" w:lineRule="auto"/>
              <w:jc w:val="center"/>
              <w:rPr>
                <w:rFonts w:ascii="Garamond" w:eastAsia="Times New Roman" w:hAnsi="Garamond" w:cs="Times New Roman"/>
                <w:b/>
                <w:bCs/>
                <w:color w:val="000000"/>
                <w:spacing w:val="-4"/>
                <w:sz w:val="18"/>
                <w:szCs w:val="18"/>
                <w:lang w:val="sq-AL"/>
              </w:rPr>
            </w:pPr>
            <w:r w:rsidRPr="00B130BB">
              <w:rPr>
                <w:rFonts w:ascii="Garamond" w:eastAsia="Times New Roman" w:hAnsi="Garamond" w:cs="Times New Roman"/>
                <w:b/>
                <w:bCs/>
                <w:color w:val="000000"/>
                <w:spacing w:val="-4"/>
                <w:sz w:val="18"/>
                <w:szCs w:val="18"/>
                <w:lang w:val="sq-AL"/>
              </w:rPr>
              <w:t>MINISTRIA E TURIZMIT DHE MJEDISIT</w:t>
            </w:r>
          </w:p>
        </w:tc>
      </w:tr>
      <w:tr w:rsidR="00B130BB" w:rsidRPr="00B130BB" w:rsidTr="00842C95">
        <w:trPr>
          <w:trHeight w:val="180"/>
        </w:trPr>
        <w:tc>
          <w:tcPr>
            <w:tcW w:w="153" w:type="pct"/>
            <w:tcBorders>
              <w:top w:val="single" w:sz="4" w:space="0" w:color="FFFFFF"/>
              <w:left w:val="single" w:sz="4" w:space="0" w:color="FFFFFF"/>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Nr.</w:t>
            </w:r>
          </w:p>
        </w:tc>
        <w:tc>
          <w:tcPr>
            <w:tcW w:w="998"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Titulli i projektaktit</w:t>
            </w:r>
          </w:p>
        </w:tc>
        <w:tc>
          <w:tcPr>
            <w:tcW w:w="469"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 xml:space="preserve">Ministri propozues dhe bashkëpropozues </w:t>
            </w:r>
          </w:p>
        </w:tc>
        <w:tc>
          <w:tcPr>
            <w:tcW w:w="389"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Katërmujori</w:t>
            </w:r>
          </w:p>
        </w:tc>
        <w:tc>
          <w:tcPr>
            <w:tcW w:w="525"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Arsyeja e nxjerrjes së projektaktit</w:t>
            </w:r>
          </w:p>
        </w:tc>
        <w:tc>
          <w:tcPr>
            <w:tcW w:w="471"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Qëllimi i projektaktit</w:t>
            </w:r>
          </w:p>
        </w:tc>
        <w:tc>
          <w:tcPr>
            <w:tcW w:w="684"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Objektivat që kërkon të realizojë projektakti</w:t>
            </w:r>
          </w:p>
        </w:tc>
        <w:tc>
          <w:tcPr>
            <w:tcW w:w="588"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Çështjet që rregullon projektakti</w:t>
            </w:r>
          </w:p>
        </w:tc>
        <w:tc>
          <w:tcPr>
            <w:tcW w:w="340"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Lidhja me Planin Kombëtar për Integrimin Evropian</w:t>
            </w:r>
          </w:p>
        </w:tc>
        <w:tc>
          <w:tcPr>
            <w:tcW w:w="383"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Lidhja me programin qeverisës 2017-2021</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w:t>
            </w:r>
          </w:p>
        </w:tc>
        <w:tc>
          <w:tcPr>
            <w:tcW w:w="9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kriteret, procedurat dhe dokumentacionin që duhet të plotësojnë subjektet që duan të aplikojnë për statusin “Investitor në strukturë akomoduese me 4 ose 5 yje, status special”.</w:t>
            </w:r>
          </w:p>
        </w:tc>
        <w:tc>
          <w:tcPr>
            <w:tcW w:w="46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lehtësirave për investimet në zhvillimin e turizmit. Ky projektakt del në bazë dhe për zbatim të nenit 33/2 të ligjit nr. 93/2015 “Për turizmin”, i ndryshuar</w:t>
            </w:r>
          </w:p>
        </w:tc>
        <w:tc>
          <w:tcPr>
            <w:tcW w:w="47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Aplikimi për statusin investitor në strukturë akomoduese me 4 ose 5 yje, status special”</w:t>
            </w:r>
          </w:p>
        </w:tc>
        <w:tc>
          <w:tcPr>
            <w:tcW w:w="6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Kriteret që duhen plotësuar, procedurat që duhet të ndiqen dhe dokumentacioni që duhet të dorëzohet për të përftuar statusin special</w:t>
            </w:r>
          </w:p>
        </w:tc>
        <w:tc>
          <w:tcPr>
            <w:tcW w:w="58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Marrëdhëniet procedurale midis investitorit dhe qeverisë.</w:t>
            </w:r>
          </w:p>
        </w:tc>
        <w:tc>
          <w:tcPr>
            <w:tcW w:w="3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38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w:t>
            </w:r>
          </w:p>
        </w:tc>
        <w:tc>
          <w:tcPr>
            <w:tcW w:w="9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miratimin e Strategjisë së zhvillimit të Turizmit dhe planin e veprimit të saj</w:t>
            </w:r>
          </w:p>
        </w:tc>
        <w:tc>
          <w:tcPr>
            <w:tcW w:w="46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Vendosja e shtyllave të zhvillimit të turizmit. Ky projektakt del në bazë dhe për zbatim të nenit 9, pika 1, germa “c” e ligjit nr. 93/2015. </w:t>
            </w:r>
          </w:p>
        </w:tc>
        <w:tc>
          <w:tcPr>
            <w:tcW w:w="47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Prezantimi i vizionit të qeverisë shqiptare për zhvillimin e turizmit</w:t>
            </w:r>
          </w:p>
        </w:tc>
        <w:tc>
          <w:tcPr>
            <w:tcW w:w="6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Objektivat ekonomikë, cilësorë, strukturorë, me ofertën për akomodim, promovimi produkteve turistik etj.</w:t>
            </w:r>
          </w:p>
        </w:tc>
        <w:tc>
          <w:tcPr>
            <w:tcW w:w="58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fushave prioritare për zhvillimin e qëndrueshëm dhe gjithëvjetor të turizmit dhe e vendos turizmin si prioritet</w:t>
            </w:r>
          </w:p>
        </w:tc>
        <w:tc>
          <w:tcPr>
            <w:tcW w:w="3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w:t>
            </w:r>
          </w:p>
        </w:tc>
        <w:tc>
          <w:tcPr>
            <w:tcW w:w="38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w:t>
            </w:r>
          </w:p>
        </w:tc>
        <w:tc>
          <w:tcPr>
            <w:tcW w:w="9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Për disa shtesa dhe ndryshime në vendimin e Këshillit të Ministrave nr. 692, date 05.10.2016 “Për miratimin e rregullave 'Kriteret për pajisjen me certifikatë për ushtrimin e veprimtarisë së udhërrëfyesit turistik, </w:t>
            </w:r>
            <w:r w:rsidRPr="00B130BB">
              <w:rPr>
                <w:rFonts w:ascii="Garamond" w:eastAsia="Times New Roman" w:hAnsi="Garamond" w:cs="Times New Roman"/>
                <w:spacing w:val="-4"/>
                <w:sz w:val="18"/>
                <w:szCs w:val="18"/>
                <w:lang w:val="sq-AL"/>
              </w:rPr>
              <w:lastRenderedPageBreak/>
              <w:t>detyrat, përgjegjësitë dhe kodin e tyre”</w:t>
            </w:r>
          </w:p>
        </w:tc>
        <w:tc>
          <w:tcPr>
            <w:tcW w:w="46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Turizmit dhe Mjedisit</w:t>
            </w:r>
          </w:p>
        </w:tc>
        <w:tc>
          <w:tcPr>
            <w:tcW w:w="38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Shtesat dhe ndryshimi do të konsistojnë në: </w:t>
            </w:r>
          </w:p>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1. lehtësimi/heqja e disa dokumenteve që </w:t>
            </w:r>
            <w:r w:rsidRPr="00B130BB">
              <w:rPr>
                <w:rFonts w:ascii="Garamond" w:eastAsia="Times New Roman" w:hAnsi="Garamond" w:cs="Times New Roman"/>
                <w:spacing w:val="-4"/>
                <w:sz w:val="18"/>
                <w:szCs w:val="18"/>
                <w:lang w:val="sq-AL"/>
              </w:rPr>
              <w:lastRenderedPageBreak/>
              <w:t xml:space="preserve">duhen dorëzuar për certifikimin </w:t>
            </w:r>
          </w:p>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 parashikimi i disa rregullave për certifikimin si udhërrëfyes turistik i specialitetit të veçantë.</w:t>
            </w:r>
          </w:p>
        </w:tc>
        <w:tc>
          <w:tcPr>
            <w:tcW w:w="47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Vendosja e standardeve dhe rregullave për ushtrimin e veprimtarisë me </w:t>
            </w:r>
            <w:r w:rsidRPr="00B130BB">
              <w:rPr>
                <w:rFonts w:ascii="Garamond" w:eastAsia="Times New Roman" w:hAnsi="Garamond" w:cs="Times New Roman"/>
                <w:spacing w:val="-4"/>
                <w:sz w:val="18"/>
                <w:szCs w:val="18"/>
                <w:lang w:val="sq-AL"/>
              </w:rPr>
              <w:lastRenderedPageBreak/>
              <w:t>qëllim përmirësimi i cilësisë së shërbimit.</w:t>
            </w:r>
          </w:p>
        </w:tc>
        <w:tc>
          <w:tcPr>
            <w:tcW w:w="6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Kriteret që duhet të plotësohen për pajisjen me certifikatë dhe ushtrimin e veprimtarisë së udhërrëfyesit turistik edhe për specialitetet e </w:t>
            </w:r>
            <w:r w:rsidRPr="00B130BB">
              <w:rPr>
                <w:rFonts w:ascii="Garamond" w:eastAsia="Times New Roman" w:hAnsi="Garamond" w:cs="Times New Roman"/>
                <w:spacing w:val="-4"/>
                <w:sz w:val="18"/>
                <w:szCs w:val="18"/>
                <w:lang w:val="sq-AL"/>
              </w:rPr>
              <w:lastRenderedPageBreak/>
              <w:t>veçanta.</w:t>
            </w:r>
          </w:p>
        </w:tc>
        <w:tc>
          <w:tcPr>
            <w:tcW w:w="58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1. Certifikimi udhërrëfyesve turistik 2. Detyrat dhe përgjegjësitë e udhërrëfyesit turistik </w:t>
            </w:r>
          </w:p>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 Kodi etikës së </w:t>
            </w:r>
            <w:r w:rsidRPr="00B130BB">
              <w:rPr>
                <w:rFonts w:ascii="Garamond" w:eastAsia="Times New Roman" w:hAnsi="Garamond" w:cs="Times New Roman"/>
                <w:spacing w:val="-4"/>
                <w:sz w:val="18"/>
                <w:szCs w:val="18"/>
                <w:lang w:val="sq-AL"/>
              </w:rPr>
              <w:lastRenderedPageBreak/>
              <w:t>udhërrëfyesve turistik</w:t>
            </w:r>
          </w:p>
        </w:tc>
        <w:tc>
          <w:tcPr>
            <w:tcW w:w="3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38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4</w:t>
            </w:r>
          </w:p>
        </w:tc>
        <w:tc>
          <w:tcPr>
            <w:tcW w:w="9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kriteret, kushtet dhe procedurat për ushtrimin e veprimtarisë “Agroturizëm”</w:t>
            </w:r>
          </w:p>
        </w:tc>
        <w:tc>
          <w:tcPr>
            <w:tcW w:w="46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Turizmit dhe Mjedisit dhe Ministri i Bujqësisë dhe Zhvillimit Rural</w:t>
            </w:r>
          </w:p>
        </w:tc>
        <w:tc>
          <w:tcPr>
            <w:tcW w:w="38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kushteve dhe kritereve për ushtrimin e veprimtarisë “Agroturizëm”</w:t>
            </w:r>
          </w:p>
        </w:tc>
        <w:tc>
          <w:tcPr>
            <w:tcW w:w="47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Vendosja e standardeve dhe rregullave për ushtrimin e veprimtarisë me qëllim përmirësimi i cilësisë së shërbimit.</w:t>
            </w:r>
          </w:p>
        </w:tc>
        <w:tc>
          <w:tcPr>
            <w:tcW w:w="6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Zhvillimi ekonomik i zonave rurale duke përmirësuar cilësinë e shërbimit në veprimtarinë agroturizëm</w:t>
            </w:r>
          </w:p>
        </w:tc>
        <w:tc>
          <w:tcPr>
            <w:tcW w:w="58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Agroturizmi mbështet zhvillimin e turizmit të qëndrueshëm të zonave rurale nëpërmjet mbrojtjes së ambientit, ruajtjes së traditave dhe promovimit të produkteve tipike të zonës. </w:t>
            </w:r>
            <w:r w:rsidRPr="00B130BB">
              <w:rPr>
                <w:rFonts w:ascii="Garamond" w:eastAsia="Times New Roman" w:hAnsi="Garamond" w:cs="Times New Roman"/>
                <w:spacing w:val="-4"/>
                <w:sz w:val="18"/>
                <w:szCs w:val="18"/>
                <w:lang w:val="sq-AL"/>
              </w:rPr>
              <w:br/>
              <w:t>Akti lidhet me Strategjinë Kombëtare të Bujqësisë dhe Zhvillimit Rural 2014–2020</w:t>
            </w:r>
          </w:p>
        </w:tc>
        <w:tc>
          <w:tcPr>
            <w:tcW w:w="3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38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2.3. Bujqësia - Strategjia e zhvillimit rural.</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5</w:t>
            </w:r>
          </w:p>
        </w:tc>
        <w:tc>
          <w:tcPr>
            <w:tcW w:w="9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Për miratimin e rregullave të detajuara për vënien në dispozicion të hapësirës së plazhit për investimet pranë brigjeve të detit apo liqenit </w:t>
            </w:r>
          </w:p>
        </w:tc>
        <w:tc>
          <w:tcPr>
            <w:tcW w:w="46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Caktimi i hapësirë së plazhit që do të vihet në dispozicion për investimet pranë brigjeve të detit apo liqenit. Ky projektakt del në bazë dhe për zbatim të nenit 40, pika 2, e ligjit nr. 93/2015</w:t>
            </w:r>
          </w:p>
        </w:tc>
        <w:tc>
          <w:tcPr>
            <w:tcW w:w="47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i rregullave të detajuara për vënien në dispozicion të hapësirës së plazhit për investimet pranë brigjeve të detit apo liqenit</w:t>
            </w:r>
          </w:p>
        </w:tc>
        <w:tc>
          <w:tcPr>
            <w:tcW w:w="6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Kriteret që duhet të plotësohen për përfitimin e hapësirë se plazhit, procedura dhe dokumentacioni që duhet të dorëzohet</w:t>
            </w:r>
          </w:p>
        </w:tc>
        <w:tc>
          <w:tcPr>
            <w:tcW w:w="58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Kriteret për përfitimin e hapësirës. Mënyra e përdorimit të bregut. Marrëdhëniet procedurale midis investitorit dhe qeverisë.</w:t>
            </w:r>
          </w:p>
        </w:tc>
        <w:tc>
          <w:tcPr>
            <w:tcW w:w="3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38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6</w:t>
            </w:r>
          </w:p>
        </w:tc>
        <w:tc>
          <w:tcPr>
            <w:tcW w:w="9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Për ndryshim të Vendimit të </w:t>
            </w:r>
            <w:r w:rsidRPr="00B130BB">
              <w:rPr>
                <w:rFonts w:ascii="Garamond" w:eastAsia="Times New Roman" w:hAnsi="Garamond" w:cs="Times New Roman"/>
                <w:spacing w:val="-4"/>
                <w:sz w:val="18"/>
                <w:szCs w:val="18"/>
                <w:lang w:val="sq-AL"/>
              </w:rPr>
              <w:lastRenderedPageBreak/>
              <w:t>Këshillit të Ministrave nr. 129, datë 22.2.2017 “Për caktimin e anëtarëve të Komisionit të Përzgjedhjes së Projekteve në turizëm”.</w:t>
            </w:r>
          </w:p>
        </w:tc>
        <w:tc>
          <w:tcPr>
            <w:tcW w:w="46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Ministri i Turizmit </w:t>
            </w:r>
            <w:r w:rsidRPr="00B130BB">
              <w:rPr>
                <w:rFonts w:ascii="Garamond" w:eastAsia="Times New Roman" w:hAnsi="Garamond" w:cs="Times New Roman"/>
                <w:spacing w:val="-4"/>
                <w:sz w:val="18"/>
                <w:szCs w:val="18"/>
                <w:lang w:val="sq-AL"/>
              </w:rPr>
              <w:lastRenderedPageBreak/>
              <w:t>dhe Mjedisit</w:t>
            </w:r>
          </w:p>
        </w:tc>
        <w:tc>
          <w:tcPr>
            <w:tcW w:w="38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Katërmujori I</w:t>
            </w:r>
          </w:p>
        </w:tc>
        <w:tc>
          <w:tcPr>
            <w:tcW w:w="5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Rishikimi I këtij </w:t>
            </w:r>
            <w:r w:rsidRPr="00B130BB">
              <w:rPr>
                <w:rFonts w:ascii="Garamond" w:eastAsia="Times New Roman" w:hAnsi="Garamond" w:cs="Times New Roman"/>
                <w:spacing w:val="-4"/>
                <w:sz w:val="18"/>
                <w:szCs w:val="18"/>
                <w:lang w:val="sq-AL"/>
              </w:rPr>
              <w:lastRenderedPageBreak/>
              <w:t xml:space="preserve">projektakti bëhet për shkak të ristrukturimit të Ministrisë përgjegjëse për fushën e turizmit. </w:t>
            </w:r>
          </w:p>
        </w:tc>
        <w:tc>
          <w:tcPr>
            <w:tcW w:w="47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Financimi i </w:t>
            </w:r>
            <w:r w:rsidRPr="00B130BB">
              <w:rPr>
                <w:rFonts w:ascii="Garamond" w:eastAsia="Times New Roman" w:hAnsi="Garamond" w:cs="Times New Roman"/>
                <w:spacing w:val="-4"/>
                <w:sz w:val="18"/>
                <w:szCs w:val="18"/>
                <w:lang w:val="sq-AL"/>
              </w:rPr>
              <w:lastRenderedPageBreak/>
              <w:t>projekteve në funksion e turizmit</w:t>
            </w:r>
          </w:p>
        </w:tc>
        <w:tc>
          <w:tcPr>
            <w:tcW w:w="6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Përzgjedhja e projekteve</w:t>
            </w:r>
          </w:p>
        </w:tc>
        <w:tc>
          <w:tcPr>
            <w:tcW w:w="58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Kryerja e një procesi </w:t>
            </w:r>
            <w:r w:rsidRPr="00B130BB">
              <w:rPr>
                <w:rFonts w:ascii="Garamond" w:eastAsia="Times New Roman" w:hAnsi="Garamond" w:cs="Times New Roman"/>
                <w:spacing w:val="-4"/>
                <w:sz w:val="18"/>
                <w:szCs w:val="18"/>
                <w:lang w:val="sq-AL"/>
              </w:rPr>
              <w:lastRenderedPageBreak/>
              <w:t>administrativ për përzgjedhjen e projekteve</w:t>
            </w:r>
          </w:p>
        </w:tc>
        <w:tc>
          <w:tcPr>
            <w:tcW w:w="3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38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7</w:t>
            </w:r>
          </w:p>
        </w:tc>
        <w:tc>
          <w:tcPr>
            <w:tcW w:w="9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kompetencat, mënyra e organizimit dhe funksionimit të AKB-së</w:t>
            </w:r>
          </w:p>
        </w:tc>
        <w:tc>
          <w:tcPr>
            <w:tcW w:w="46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Mënyra e funksionimit dhe e organizimit të Agjencisë Kombëtare të Bregdetit. Ky projektakt del në bazë dhe për zbatim të nenit 15, pika 2, e ligjit nr. 93/2015</w:t>
            </w:r>
          </w:p>
        </w:tc>
        <w:tc>
          <w:tcPr>
            <w:tcW w:w="47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Mbrojtja dhe ndjekja e zhvillimit të zonës bregdetare shqiptare</w:t>
            </w:r>
          </w:p>
        </w:tc>
        <w:tc>
          <w:tcPr>
            <w:tcW w:w="6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Miradministrimi i zonës bregdetare shqiptare</w:t>
            </w:r>
          </w:p>
        </w:tc>
        <w:tc>
          <w:tcPr>
            <w:tcW w:w="58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Monitorimi i bregdetit. Përcaktimi kompetencave të AKB. Funksionimi AKB.</w:t>
            </w:r>
          </w:p>
        </w:tc>
        <w:tc>
          <w:tcPr>
            <w:tcW w:w="3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38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8</w:t>
            </w:r>
          </w:p>
        </w:tc>
        <w:tc>
          <w:tcPr>
            <w:tcW w:w="9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për rishikimin e Planit Kombëtar të Menaxhimit të Integruar të Mbetjeve </w:t>
            </w:r>
          </w:p>
        </w:tc>
        <w:tc>
          <w:tcPr>
            <w:tcW w:w="46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dokument është i nevojshëm të rishikohet pasi të gjithë objektivat e vendosur në strategjinë ekzistuese nuk u arritën për shkak të pamjaftueshmërisë financiare dhe mungesës së kapaciteteve në nivel qendror dhe vendor. Ky akt del në bazë dhe për zbatim të pikës 5 të nenit 11 të ligjit nr. 10463/2011 “Për menaxhimi</w:t>
            </w:r>
            <w:r w:rsidRPr="00B130BB">
              <w:rPr>
                <w:rFonts w:ascii="Garamond" w:eastAsia="Times New Roman" w:hAnsi="Garamond" w:cs="Times New Roman"/>
                <w:spacing w:val="-4"/>
                <w:sz w:val="18"/>
                <w:szCs w:val="18"/>
                <w:lang w:val="sq-AL"/>
              </w:rPr>
              <w:lastRenderedPageBreak/>
              <w:t xml:space="preserve">n e integruar të mbetjeve”, i ndryshuar, i cili në pikën 6 të nenit 10 parashikon se Plani Kombëtar i Menaxhimit të Integruar të Mbetjeve rishikohet dhe, në rast se është e nevojshme, përditësohet çdo gjashtë vjet. </w:t>
            </w:r>
          </w:p>
        </w:tc>
        <w:tc>
          <w:tcPr>
            <w:tcW w:w="47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Dokumenti do të mbulojë periudhën 2018-2033 dhe ka si qëllim kryesor të rishikojë aftësitë e vendit për të përmbushur detyrimet e anëtarësimit në Bashkimin Evropian që rrjedhin nga </w:t>
            </w:r>
            <w:r w:rsidRPr="00B130BB">
              <w:rPr>
                <w:rFonts w:ascii="Garamond" w:eastAsia="Times New Roman" w:hAnsi="Garamond" w:cs="Times New Roman"/>
                <w:i/>
                <w:spacing w:val="-4"/>
                <w:sz w:val="18"/>
                <w:szCs w:val="18"/>
                <w:lang w:val="sq-AL"/>
              </w:rPr>
              <w:t>acquis communautaire</w:t>
            </w:r>
            <w:r w:rsidRPr="00B130BB">
              <w:rPr>
                <w:rFonts w:ascii="Garamond" w:eastAsia="Times New Roman" w:hAnsi="Garamond" w:cs="Times New Roman"/>
                <w:spacing w:val="-4"/>
                <w:sz w:val="18"/>
                <w:szCs w:val="18"/>
                <w:lang w:val="sq-AL"/>
              </w:rPr>
              <w:t xml:space="preserve"> kapitulli 27 “Për mjedisin”, duke paraqitur një drejtim strategjik efikas dhe </w:t>
            </w:r>
            <w:r w:rsidRPr="00B130BB">
              <w:rPr>
                <w:rFonts w:ascii="Garamond" w:eastAsia="Times New Roman" w:hAnsi="Garamond" w:cs="Times New Roman"/>
                <w:spacing w:val="-4"/>
                <w:sz w:val="18"/>
                <w:szCs w:val="18"/>
                <w:lang w:val="sq-AL"/>
              </w:rPr>
              <w:lastRenderedPageBreak/>
              <w:t>të përballueshëm për zbatuesit e politikave të menaxhimit të mjedisit në nivel qendror dhe vendor.</w:t>
            </w:r>
          </w:p>
        </w:tc>
        <w:tc>
          <w:tcPr>
            <w:tcW w:w="684" w:type="pct"/>
            <w:tcBorders>
              <w:top w:val="nil"/>
              <w:left w:val="nil"/>
              <w:bottom w:val="single" w:sz="4" w:space="0" w:color="auto"/>
              <w:right w:val="single" w:sz="4" w:space="0" w:color="auto"/>
            </w:tcBorders>
            <w:shd w:val="clear" w:color="auto" w:fill="auto"/>
            <w:hideMark/>
          </w:tcPr>
          <w:p w:rsidR="00B130BB" w:rsidRPr="00B130BB" w:rsidRDefault="00B130BB" w:rsidP="00B130BB">
            <w:pPr>
              <w:numPr>
                <w:ilvl w:val="0"/>
                <w:numId w:val="34"/>
              </w:numPr>
              <w:spacing w:after="0" w:line="240" w:lineRule="auto"/>
              <w:contextualSpacing/>
              <w:jc w:val="both"/>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Përmirësimi i shërbimit të menaxhimit të mbetjeve bazuar në parimin “ndotësi paguan”. 2. Financimi i qëndrueshëm i menaxhimit të mbetjeve.</w:t>
            </w:r>
            <w:r w:rsidRPr="00B130BB">
              <w:rPr>
                <w:rFonts w:ascii="Garamond" w:eastAsia="Times New Roman" w:hAnsi="Garamond" w:cs="Times New Roman"/>
                <w:spacing w:val="-4"/>
                <w:sz w:val="18"/>
                <w:szCs w:val="18"/>
                <w:lang w:val="sq-AL"/>
              </w:rPr>
              <w:br/>
              <w:t>3. Rregullimi institucion</w:t>
            </w:r>
            <w:r w:rsidRPr="00B130BB">
              <w:rPr>
                <w:rFonts w:ascii="Garamond" w:eastAsia="Times New Roman" w:hAnsi="Garamond" w:cs="Times New Roman"/>
                <w:spacing w:val="-4"/>
                <w:sz w:val="18"/>
                <w:szCs w:val="18"/>
                <w:lang w:val="sq-AL"/>
              </w:rPr>
              <w:lastRenderedPageBreak/>
              <w:t>al i sektorit dhe aftësimi teknik i stafeve si dhe rritja e ndërgjegjësimit të popullatës për menaxhimin e qëndrueshëm të mbetjeve.</w:t>
            </w:r>
            <w:r w:rsidRPr="00B130BB">
              <w:rPr>
                <w:rFonts w:ascii="Garamond" w:eastAsia="Times New Roman" w:hAnsi="Garamond" w:cs="Times New Roman"/>
                <w:spacing w:val="-4"/>
                <w:sz w:val="18"/>
                <w:szCs w:val="18"/>
                <w:lang w:val="sq-AL"/>
              </w:rPr>
              <w:br/>
              <w:t xml:space="preserve">4. Përmirësimi dhe harmonizimi i kuadrit ligjor të menaxhimit të mbetjeve. </w:t>
            </w:r>
          </w:p>
        </w:tc>
        <w:tc>
          <w:tcPr>
            <w:tcW w:w="58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Krijimi i një kuadri strategjik rregullator, me qëllim uljen e sasisë së mbetjeve të gjeneruara dhe menaxhimi i integruar i tyre në një linjë me objektivat e BE-së.</w:t>
            </w:r>
          </w:p>
        </w:tc>
        <w:tc>
          <w:tcPr>
            <w:tcW w:w="3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Po. Kapitulli 27 “Mjedisi”. </w:t>
            </w:r>
            <w:r w:rsidRPr="00B130BB">
              <w:rPr>
                <w:rFonts w:ascii="Garamond" w:eastAsia="Times New Roman" w:hAnsi="Garamond" w:cs="Times New Roman"/>
                <w:spacing w:val="-4"/>
                <w:sz w:val="18"/>
                <w:szCs w:val="18"/>
                <w:lang w:val="sq-AL"/>
              </w:rPr>
              <w:br/>
              <w:t xml:space="preserve">P/VKM “Për rishikimin e VKM nr. 175, datë 19.1.2011, “Për miratimin e Strategjisë Kombëtare të Menaxhimit të Mbetjeve dhe të Planit Kombëtar të Menaxhimit </w:t>
            </w:r>
            <w:r w:rsidRPr="00B130BB">
              <w:rPr>
                <w:rFonts w:ascii="Garamond" w:eastAsia="Times New Roman" w:hAnsi="Garamond" w:cs="Times New Roman"/>
                <w:spacing w:val="-4"/>
                <w:sz w:val="18"/>
                <w:szCs w:val="18"/>
                <w:lang w:val="sq-AL"/>
              </w:rPr>
              <w:lastRenderedPageBreak/>
              <w:t xml:space="preserve">të Mbetjeve””. </w:t>
            </w:r>
          </w:p>
        </w:tc>
        <w:tc>
          <w:tcPr>
            <w:tcW w:w="38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 2.4. Mjedisi</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9</w:t>
            </w:r>
          </w:p>
        </w:tc>
        <w:tc>
          <w:tcPr>
            <w:tcW w:w="9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“Miratimi i masave për kostot e menaxhimit të integruar të mbetjeve </w:t>
            </w:r>
          </w:p>
        </w:tc>
        <w:tc>
          <w:tcPr>
            <w:tcW w:w="46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Turizmit dhe Mjedisit dhe Ministri i Financave dhe Ekonomisë</w:t>
            </w:r>
          </w:p>
        </w:tc>
        <w:tc>
          <w:tcPr>
            <w:tcW w:w="38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Ky projektakt del në bazë dhe për zbatim të nenit 20, pika 2 e ligjit nr. 10463/2011. Nisur nga situata emergjente që kanë aktualisht Njësitë e Qeverisjes Vendore në lidhje me </w:t>
            </w:r>
            <w:r w:rsidRPr="00B130BB">
              <w:rPr>
                <w:rFonts w:ascii="Garamond" w:eastAsia="Times New Roman" w:hAnsi="Garamond" w:cs="Times New Roman"/>
                <w:spacing w:val="-4"/>
                <w:sz w:val="18"/>
                <w:szCs w:val="18"/>
                <w:lang w:val="sq-AL"/>
              </w:rPr>
              <w:lastRenderedPageBreak/>
              <w:t>menaxhimin e mbetjeve në territorin administrativ, si dhe me kërkesat ndër vite të bëra nga vetë këto njësi, do të përgatitet ky akt, për t’i orientuar në lidhje me mënyrat e përllogaritjes së kostove dhe tarifave.</w:t>
            </w:r>
          </w:p>
        </w:tc>
        <w:tc>
          <w:tcPr>
            <w:tcW w:w="47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Qëllimi i këtij akti është miratimi i masave, për llogaritjen e kostove të menaxhimit të integruar të mbetjeve dhe modeleve të llogaritjes </w:t>
            </w:r>
            <w:r w:rsidRPr="00B130BB">
              <w:rPr>
                <w:rFonts w:ascii="Garamond" w:eastAsia="Times New Roman" w:hAnsi="Garamond" w:cs="Times New Roman"/>
                <w:spacing w:val="-4"/>
                <w:sz w:val="18"/>
                <w:szCs w:val="18"/>
                <w:lang w:val="sq-AL"/>
              </w:rPr>
              <w:lastRenderedPageBreak/>
              <w:t xml:space="preserve">së tarifave për menaxhimin e mbetjeve. </w:t>
            </w:r>
          </w:p>
        </w:tc>
        <w:tc>
          <w:tcPr>
            <w:tcW w:w="6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Objektivat që synon ky projektvendim është mundësimi dhe orientimi i Njësive vendore në përgatitjen e saktë të kostove të menaxhimit të mbetjeve, si dhe të adresojë Bashkitë për formën dhe mënyrën si bëhet buxhetimi, që të jetë më i </w:t>
            </w:r>
            <w:r w:rsidRPr="00B130BB">
              <w:rPr>
                <w:rFonts w:ascii="Garamond" w:eastAsia="Times New Roman" w:hAnsi="Garamond" w:cs="Times New Roman"/>
                <w:spacing w:val="-4"/>
                <w:sz w:val="18"/>
                <w:szCs w:val="18"/>
                <w:lang w:val="sq-AL"/>
              </w:rPr>
              <w:lastRenderedPageBreak/>
              <w:t>kontrolluar, duke siguruar transparencë për qytetarët dhe mënyrën si llogariten tarifat e mbetjeve.</w:t>
            </w:r>
          </w:p>
        </w:tc>
        <w:tc>
          <w:tcPr>
            <w:tcW w:w="58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Ky projektvendim ka si qëllim: - Udhëzimin dhe orientimin e njësive të vetëqeverisjes vendore, për përcaktimin e rregullave për identifikimin, analizimin e elementeve përbërës të kostos dhe tarifës së </w:t>
            </w:r>
            <w:r w:rsidRPr="00B130BB">
              <w:rPr>
                <w:rFonts w:ascii="Garamond" w:eastAsia="Times New Roman" w:hAnsi="Garamond" w:cs="Times New Roman"/>
                <w:spacing w:val="-4"/>
                <w:sz w:val="18"/>
                <w:szCs w:val="18"/>
                <w:lang w:val="sq-AL"/>
              </w:rPr>
              <w:lastRenderedPageBreak/>
              <w:t>shërbimit të mbetjeve urbane për bërjen e tyre eficiente;</w:t>
            </w:r>
            <w:r w:rsidRPr="00B130BB">
              <w:rPr>
                <w:rFonts w:ascii="Garamond" w:eastAsia="Times New Roman" w:hAnsi="Garamond" w:cs="Times New Roman"/>
                <w:spacing w:val="-4"/>
                <w:sz w:val="18"/>
                <w:szCs w:val="18"/>
                <w:lang w:val="sq-AL"/>
              </w:rPr>
              <w:br/>
              <w:t xml:space="preserve">- Qartësimin dhe unifikimin e mënyrës së llogaritjes së kostove dhe vendosjes së tarifave të shërbimit të menaxhimit të mbetjeve me qëllim transparencën ndaj publikut dhe monitorimin; </w:t>
            </w:r>
            <w:r w:rsidRPr="00B130BB">
              <w:rPr>
                <w:rFonts w:ascii="Garamond" w:eastAsia="Times New Roman" w:hAnsi="Garamond" w:cs="Times New Roman"/>
                <w:spacing w:val="-4"/>
                <w:sz w:val="18"/>
                <w:szCs w:val="18"/>
                <w:lang w:val="sq-AL"/>
              </w:rPr>
              <w:br/>
              <w:t>- Rregullimin e sistemit të kostimit për një shërbimi me bazë performance;</w:t>
            </w:r>
            <w:r w:rsidRPr="00B130BB">
              <w:rPr>
                <w:rFonts w:ascii="Garamond" w:eastAsia="Times New Roman" w:hAnsi="Garamond" w:cs="Times New Roman"/>
                <w:spacing w:val="-4"/>
                <w:sz w:val="18"/>
                <w:szCs w:val="18"/>
                <w:lang w:val="sq-AL"/>
              </w:rPr>
              <w:br/>
              <w:t>- Forcimin e parimit “Ndotësi paguan” nëpërmjet tarifimit të drejtë të gjeneruesve të mbetjeve.</w:t>
            </w:r>
            <w:r w:rsidRPr="00B130BB">
              <w:rPr>
                <w:rFonts w:ascii="Garamond" w:eastAsia="Times New Roman" w:hAnsi="Garamond" w:cs="Times New Roman"/>
                <w:spacing w:val="-4"/>
                <w:sz w:val="18"/>
                <w:szCs w:val="18"/>
                <w:lang w:val="sq-AL"/>
              </w:rPr>
              <w:br/>
              <w:t>Akti lidhet me strategjinë sektoriale të menaxhimit të mbetjeve</w:t>
            </w:r>
          </w:p>
        </w:tc>
        <w:tc>
          <w:tcPr>
            <w:tcW w:w="3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Po. Kapitulli 27 “Mjedisi”. </w:t>
            </w:r>
            <w:r w:rsidRPr="00B130BB">
              <w:rPr>
                <w:rFonts w:ascii="Garamond" w:eastAsia="Times New Roman" w:hAnsi="Garamond" w:cs="Times New Roman"/>
                <w:spacing w:val="-4"/>
                <w:sz w:val="18"/>
                <w:szCs w:val="18"/>
                <w:lang w:val="sq-AL"/>
              </w:rPr>
              <w:br/>
              <w:t>P/VKM “Për kostot e menaxhimit të mbetjeve”.</w:t>
            </w:r>
          </w:p>
        </w:tc>
        <w:tc>
          <w:tcPr>
            <w:tcW w:w="38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2.4. Mjedisi</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10</w:t>
            </w:r>
          </w:p>
        </w:tc>
        <w:tc>
          <w:tcPr>
            <w:tcW w:w="9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Për disa ndryshime në ligjin nr. 10463/2011, “Për menaxhimin e integruar të mbetjeve”</w:t>
            </w:r>
          </w:p>
        </w:tc>
        <w:tc>
          <w:tcPr>
            <w:tcW w:w="46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Rishikimi i Planit Kombëtar i menaxhimit të integruar të mbetjeve, në një prej objektivave madhorë të saj ka dhe përmirësimin e kuadrit ligjor në fushën e menaxhimit të mbetjeve</w:t>
            </w:r>
          </w:p>
        </w:tc>
        <w:tc>
          <w:tcPr>
            <w:tcW w:w="47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projektligj ka për qëllim të mbrojë mjedisin e shëndetin e njeriut dhe të sigurojë menaxhimin e duhur mjedisor të mbetjeve.</w:t>
            </w:r>
          </w:p>
        </w:tc>
        <w:tc>
          <w:tcPr>
            <w:tcW w:w="6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Sigurimi i një niveli të lartë të mbrojtjes së mjedisit dhe shëndetit përmes parandalimit, minimizimit dhe menaxhimit të duhur të mbetjeve si dhe përdorimi eficient i burimeve natyrore përmes ripërdorimit, riciklimit dhe rikuperimit të mbetjeve. </w:t>
            </w:r>
          </w:p>
        </w:tc>
        <w:tc>
          <w:tcPr>
            <w:tcW w:w="58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Projektligji është konceptuar si një ligj integral për menaxhimin e mbetjeve në disa kuptime: në kuptimin që mbulon si mbetjet e rrezikshme dhe ato jo të rrezikshme, në kuptimin që mbulon të gjithë ciklin e përpjekjeve për menaxhimin </w:t>
            </w:r>
            <w:r w:rsidRPr="00B130BB">
              <w:rPr>
                <w:rFonts w:ascii="Garamond" w:eastAsia="Times New Roman" w:hAnsi="Garamond" w:cs="Times New Roman"/>
                <w:spacing w:val="-4"/>
                <w:sz w:val="18"/>
                <w:szCs w:val="18"/>
                <w:lang w:val="sq-AL"/>
              </w:rPr>
              <w:lastRenderedPageBreak/>
              <w:t>e tyre duke filluar që nga parandalimi i tyre, gjenerimi, ndarja në burim sipas rrymave, grumbullimi, transporti, përpunimi, ri-përdorimi, riciklimi, rikuperimi, asgjësimi në lendfill apo përmes incinerimit, por edhe për faktin se krijon mundësinë që gjithë infrastruktura e ardhshme e mbetjeve që do të ngrihet në zbatim të këtij projektligji dhe të akteve nën-ligjore që do të mbështeten në të, të mund të konceptohet si një rrjet i tëre menaxhimi.</w:t>
            </w:r>
            <w:r w:rsidRPr="00B130BB">
              <w:rPr>
                <w:rFonts w:ascii="Garamond" w:eastAsia="Times New Roman" w:hAnsi="Garamond" w:cs="Times New Roman"/>
                <w:spacing w:val="-4"/>
                <w:sz w:val="18"/>
                <w:szCs w:val="18"/>
                <w:lang w:val="sq-AL"/>
              </w:rPr>
              <w:br/>
              <w:t>Akti lidhet me strategjinë sektoriale të menaxhimit të mbetjeve</w:t>
            </w:r>
          </w:p>
        </w:tc>
        <w:tc>
          <w:tcPr>
            <w:tcW w:w="3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38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2.4. Mjedisi</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11</w:t>
            </w:r>
          </w:p>
        </w:tc>
        <w:tc>
          <w:tcPr>
            <w:tcW w:w="9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“Për disa shtesa dhe ndryshime në ligjin nr. 10253, datë 11.03.2010 “Për gjuetinë” , të ndryshuar</w:t>
            </w:r>
          </w:p>
        </w:tc>
        <w:tc>
          <w:tcPr>
            <w:tcW w:w="46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Rishikimi i dispozitave pas reformës territoriale dhe reformës në sektorin e pyjeve dhe kullotave</w:t>
            </w:r>
          </w:p>
        </w:tc>
        <w:tc>
          <w:tcPr>
            <w:tcW w:w="47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Përditësimi i kuadrit ligjor për gjuetinë dhe adresimin e problemeve të identifikuara gjatë zbatimit të Ligjit të vitit 2010</w:t>
            </w:r>
          </w:p>
        </w:tc>
        <w:tc>
          <w:tcPr>
            <w:tcW w:w="6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Menaxhimin e qëndrueshëm të popullatave të llojeve të faunës së egër objekt gjuetie </w:t>
            </w:r>
          </w:p>
        </w:tc>
        <w:tc>
          <w:tcPr>
            <w:tcW w:w="58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Menaxhimin e qëndrueshëm të aktivitetit të gjuetisë</w:t>
            </w:r>
            <w:r w:rsidRPr="00B130BB">
              <w:rPr>
                <w:rFonts w:ascii="Garamond" w:eastAsia="Times New Roman" w:hAnsi="Garamond" w:cs="Times New Roman"/>
                <w:spacing w:val="-4"/>
                <w:sz w:val="18"/>
                <w:szCs w:val="18"/>
                <w:lang w:val="sq-AL"/>
              </w:rPr>
              <w:br/>
              <w:t>Akti lidhet me Dokumentin e Politikave Strategjike për Mbrojtjen e Biodiversitetit</w:t>
            </w:r>
          </w:p>
        </w:tc>
        <w:tc>
          <w:tcPr>
            <w:tcW w:w="3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w:t>
            </w:r>
          </w:p>
        </w:tc>
        <w:tc>
          <w:tcPr>
            <w:tcW w:w="38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Lidhet me programin qeverisës 2017-2021, paragrafi 2.4.</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12</w:t>
            </w:r>
          </w:p>
        </w:tc>
        <w:tc>
          <w:tcPr>
            <w:tcW w:w="9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Projektligj “Për disa shtesa dhe ndryshime në </w:t>
            </w:r>
            <w:r w:rsidRPr="00B130BB">
              <w:rPr>
                <w:rFonts w:ascii="Garamond" w:eastAsia="Times New Roman" w:hAnsi="Garamond" w:cs="Times New Roman"/>
                <w:spacing w:val="-4"/>
                <w:sz w:val="18"/>
                <w:szCs w:val="18"/>
                <w:lang w:val="sq-AL"/>
              </w:rPr>
              <w:lastRenderedPageBreak/>
              <w:t>ligjin nr. 10006, datë 23.10.2008, “Për mbrojtjen e faunës së egër”, të ndryshuar</w:t>
            </w:r>
          </w:p>
        </w:tc>
        <w:tc>
          <w:tcPr>
            <w:tcW w:w="46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Ministri i Turizmit </w:t>
            </w:r>
            <w:r w:rsidRPr="00B130BB">
              <w:rPr>
                <w:rFonts w:ascii="Garamond" w:eastAsia="Times New Roman" w:hAnsi="Garamond" w:cs="Times New Roman"/>
                <w:spacing w:val="-4"/>
                <w:sz w:val="18"/>
                <w:szCs w:val="18"/>
                <w:lang w:val="sq-AL"/>
              </w:rPr>
              <w:lastRenderedPageBreak/>
              <w:t>dhe Mjedisit</w:t>
            </w:r>
          </w:p>
        </w:tc>
        <w:tc>
          <w:tcPr>
            <w:tcW w:w="38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Katërmujori III</w:t>
            </w:r>
          </w:p>
        </w:tc>
        <w:tc>
          <w:tcPr>
            <w:tcW w:w="5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Rishikimi i dispozitave </w:t>
            </w:r>
            <w:r w:rsidRPr="00B130BB">
              <w:rPr>
                <w:rFonts w:ascii="Garamond" w:eastAsia="Times New Roman" w:hAnsi="Garamond" w:cs="Times New Roman"/>
                <w:spacing w:val="-4"/>
                <w:sz w:val="18"/>
                <w:szCs w:val="18"/>
                <w:lang w:val="sq-AL"/>
              </w:rPr>
              <w:lastRenderedPageBreak/>
              <w:t>pas reformës territoriale dhe reformës në sektorin e pyjeve dhe kullotave</w:t>
            </w:r>
          </w:p>
        </w:tc>
        <w:tc>
          <w:tcPr>
            <w:tcW w:w="47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Përditësimi i </w:t>
            </w:r>
            <w:r w:rsidRPr="00B130BB">
              <w:rPr>
                <w:rFonts w:ascii="Garamond" w:eastAsia="Times New Roman" w:hAnsi="Garamond" w:cs="Times New Roman"/>
                <w:spacing w:val="-4"/>
                <w:sz w:val="18"/>
                <w:szCs w:val="18"/>
                <w:lang w:val="sq-AL"/>
              </w:rPr>
              <w:lastRenderedPageBreak/>
              <w:t>kuadrit ligjor për mbrojtjen e faunës së egër</w:t>
            </w:r>
          </w:p>
        </w:tc>
        <w:tc>
          <w:tcPr>
            <w:tcW w:w="6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Menaxhimin e qëndrueshëm të </w:t>
            </w:r>
            <w:r w:rsidRPr="00B130BB">
              <w:rPr>
                <w:rFonts w:ascii="Garamond" w:eastAsia="Times New Roman" w:hAnsi="Garamond" w:cs="Times New Roman"/>
                <w:spacing w:val="-4"/>
                <w:sz w:val="18"/>
                <w:szCs w:val="18"/>
                <w:lang w:val="sq-AL"/>
              </w:rPr>
              <w:lastRenderedPageBreak/>
              <w:t xml:space="preserve">popullatave të llojeve të faunës së egër </w:t>
            </w:r>
          </w:p>
        </w:tc>
        <w:tc>
          <w:tcPr>
            <w:tcW w:w="58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Ruajtjen dhe përdorimin e </w:t>
            </w:r>
            <w:r w:rsidRPr="00B130BB">
              <w:rPr>
                <w:rFonts w:ascii="Garamond" w:eastAsia="Times New Roman" w:hAnsi="Garamond" w:cs="Times New Roman"/>
                <w:spacing w:val="-4"/>
                <w:sz w:val="18"/>
                <w:szCs w:val="18"/>
                <w:lang w:val="sq-AL"/>
              </w:rPr>
              <w:lastRenderedPageBreak/>
              <w:t xml:space="preserve">qëndrueshëm të llojeve të faunës së egër </w:t>
            </w:r>
            <w:r w:rsidRPr="00B130BB">
              <w:rPr>
                <w:rFonts w:ascii="Garamond" w:eastAsia="Times New Roman" w:hAnsi="Garamond" w:cs="Times New Roman"/>
                <w:spacing w:val="-4"/>
                <w:sz w:val="18"/>
                <w:szCs w:val="18"/>
                <w:lang w:val="sq-AL"/>
              </w:rPr>
              <w:br/>
              <w:t>Akti lidhet me Dokumentin e Politikave Strategjike për Mbrojtjen e Biodiversitetit</w:t>
            </w:r>
          </w:p>
        </w:tc>
        <w:tc>
          <w:tcPr>
            <w:tcW w:w="3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38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Lidhet me </w:t>
            </w:r>
            <w:r w:rsidRPr="00B130BB">
              <w:rPr>
                <w:rFonts w:ascii="Garamond" w:eastAsia="Times New Roman" w:hAnsi="Garamond" w:cs="Times New Roman"/>
                <w:spacing w:val="-4"/>
                <w:sz w:val="18"/>
                <w:szCs w:val="18"/>
                <w:lang w:val="sq-AL"/>
              </w:rPr>
              <w:lastRenderedPageBreak/>
              <w:t>programin qeverisës 2017-2021, paragrafi 2.4.</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13</w:t>
            </w:r>
          </w:p>
        </w:tc>
        <w:tc>
          <w:tcPr>
            <w:tcW w:w="9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“Për një ndryshim në ligjin nr. 9867, datë 31.01.2008 “Për përcaktimin e rregullave dhe procedurave për tregtimin ndërkombëtar të llojeve të rrezikuara të faunës dhe florës së egër”</w:t>
            </w:r>
          </w:p>
        </w:tc>
        <w:tc>
          <w:tcPr>
            <w:tcW w:w="46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Rishikimi i Vendimit të Këshillit të Ministrave të sipërcituar bëhet në përputhje me Reformën e Deregulimit, e cila është një nismë e qeverisë për të thjeshtuar procedurat administrative për shërbimet e ofruara ndaj personave fizikë/juridikë.</w:t>
            </w:r>
          </w:p>
        </w:tc>
        <w:tc>
          <w:tcPr>
            <w:tcW w:w="47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Qëllimi i projektvendimit është të lehtësojë procedurat administrative për sa i përket kërkesave të posaçme, kushteve dhe rregullave për aplikimet dhe shqyrtimin e kërkesave për leje CITES.</w:t>
            </w:r>
          </w:p>
        </w:tc>
        <w:tc>
          <w:tcPr>
            <w:tcW w:w="6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Personat fizik/juridik do të kenë një procedurë më të thjeshtuar, ku nevojiten më pak dokumente për aplikim.</w:t>
            </w:r>
          </w:p>
        </w:tc>
        <w:tc>
          <w:tcPr>
            <w:tcW w:w="58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i këtij projektvendimi do të sjellë si pasoje që, personat fizik/juridik do të kenë një procedurë më të thjeshtuar, ku nevojiten më pak dokumente për aplikim .</w:t>
            </w:r>
          </w:p>
        </w:tc>
        <w:tc>
          <w:tcPr>
            <w:tcW w:w="3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38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Rishikimi i Vendimit të Këshillit të Ministrave bëhet në përputhje me programin e qeverisë për të thjeshtuar procedurat administrative për shërbimet e ofruara ndaj personave fizikë/juridikë në fushën e mjedisit në kuadër të reformës së deregulimit.</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14</w:t>
            </w:r>
          </w:p>
        </w:tc>
        <w:tc>
          <w:tcPr>
            <w:tcW w:w="9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Për kriteret dhe mënyra e zonimit të territorit të një zone të mbrojtur mjedisore </w:t>
            </w:r>
          </w:p>
        </w:tc>
        <w:tc>
          <w:tcPr>
            <w:tcW w:w="46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Nxjerrja e akteve nënligjore në zbatim të ligjit të ri për zonat e mbrojtura. Konkretish</w:t>
            </w:r>
            <w:r w:rsidRPr="00B130BB">
              <w:rPr>
                <w:rFonts w:ascii="Garamond" w:eastAsia="Times New Roman" w:hAnsi="Garamond" w:cs="Times New Roman"/>
                <w:spacing w:val="-4"/>
                <w:sz w:val="18"/>
                <w:szCs w:val="18"/>
                <w:lang w:val="sq-AL"/>
              </w:rPr>
              <w:lastRenderedPageBreak/>
              <w:t xml:space="preserve">t, ky akt del në bazë dhe për zbatim të pikës 3 të nenit 47 të ligjit nr. 81/2017 “Për zonat e mbrojtura”. </w:t>
            </w:r>
          </w:p>
        </w:tc>
        <w:tc>
          <w:tcPr>
            <w:tcW w:w="47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Zbatueshmëria e ligjit të ri “Për zonat e mbrojtura”</w:t>
            </w:r>
          </w:p>
        </w:tc>
        <w:tc>
          <w:tcPr>
            <w:tcW w:w="6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Mbrojtja e biodiversitetit, llojeve të faunës dhe florës së egër dhe habitateve </w:t>
            </w:r>
          </w:p>
        </w:tc>
        <w:tc>
          <w:tcPr>
            <w:tcW w:w="58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kritereve dhe rregullave për zonimin e brendshëm të Zonave të Mbrojtura</w:t>
            </w:r>
            <w:r w:rsidRPr="00B130BB">
              <w:rPr>
                <w:rFonts w:ascii="Garamond" w:eastAsia="Times New Roman" w:hAnsi="Garamond" w:cs="Times New Roman"/>
                <w:spacing w:val="-4"/>
                <w:sz w:val="18"/>
                <w:szCs w:val="18"/>
                <w:lang w:val="sq-AL"/>
              </w:rPr>
              <w:br/>
              <w:t xml:space="preserve">Akti lidhet </w:t>
            </w:r>
            <w:r w:rsidRPr="00B130BB">
              <w:rPr>
                <w:rFonts w:ascii="Garamond" w:eastAsia="Times New Roman" w:hAnsi="Garamond" w:cs="Times New Roman"/>
                <w:spacing w:val="-4"/>
                <w:sz w:val="18"/>
                <w:szCs w:val="18"/>
                <w:lang w:val="sq-AL"/>
              </w:rPr>
              <w:lastRenderedPageBreak/>
              <w:t>me Dokumentin e Politikave Strategjike për Mbrojtjen e Biodiversitetit</w:t>
            </w:r>
          </w:p>
        </w:tc>
        <w:tc>
          <w:tcPr>
            <w:tcW w:w="3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38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Lidhet me programin qeverisës 2017-2021, </w:t>
            </w:r>
            <w:r w:rsidRPr="00B130BB">
              <w:rPr>
                <w:rFonts w:ascii="Garamond" w:eastAsia="Times New Roman" w:hAnsi="Garamond" w:cs="Times New Roman"/>
                <w:spacing w:val="-4"/>
                <w:sz w:val="18"/>
                <w:szCs w:val="18"/>
                <w:lang w:val="sq-AL"/>
              </w:rPr>
              <w:lastRenderedPageBreak/>
              <w:t>paragrafi 2.4.</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15</w:t>
            </w:r>
          </w:p>
        </w:tc>
        <w:tc>
          <w:tcPr>
            <w:tcW w:w="9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përbërjen, funksionet, detyrat dhe përgjegjësitë e Komiteteve të Menaxhimit të Zonave të Mbrojtura Mjedisore</w:t>
            </w:r>
          </w:p>
        </w:tc>
        <w:tc>
          <w:tcPr>
            <w:tcW w:w="46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Nxjerrja e akteve nënligjore në zbatim të ligjit të ri për zonat e mbrojtura. Konkretisht akt del në bazë dhe për zbatim të pikës 2 të nenit 41 të ligjit nr. 81/2017 “Për zonat e mbrojtura” </w:t>
            </w:r>
          </w:p>
        </w:tc>
        <w:tc>
          <w:tcPr>
            <w:tcW w:w="47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Zbatueshmëria e ligjit të ri “Për zonat e mbrojtura”</w:t>
            </w:r>
          </w:p>
        </w:tc>
        <w:tc>
          <w:tcPr>
            <w:tcW w:w="6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Mbrojtja e biodiversitetit, llojeve të faunës dhe florës së egër dhe habitateve </w:t>
            </w:r>
          </w:p>
        </w:tc>
        <w:tc>
          <w:tcPr>
            <w:tcW w:w="58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i përbërjes dhe detyrave të Komiteteve të menaxhimit të zonave të mbrojtura”</w:t>
            </w:r>
            <w:r w:rsidRPr="00B130BB">
              <w:rPr>
                <w:rFonts w:ascii="Garamond" w:eastAsia="Times New Roman" w:hAnsi="Garamond" w:cs="Times New Roman"/>
                <w:spacing w:val="-4"/>
                <w:sz w:val="18"/>
                <w:szCs w:val="18"/>
                <w:lang w:val="sq-AL"/>
              </w:rPr>
              <w:br/>
              <w:t>Akti lidhet me Dokumentin e Politikave Strategjike për Mbrojtjen e Biodiversitetit</w:t>
            </w:r>
          </w:p>
        </w:tc>
        <w:tc>
          <w:tcPr>
            <w:tcW w:w="3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38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Lidhet me programin qeverisës 2017-2021, paragrafi 2.4.</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16</w:t>
            </w:r>
          </w:p>
        </w:tc>
        <w:tc>
          <w:tcPr>
            <w:tcW w:w="9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w:t>
            </w:r>
            <w:r w:rsidRPr="00B130BB">
              <w:rPr>
                <w:rFonts w:ascii="Garamond" w:eastAsia="Times New Roman" w:hAnsi="Garamond" w:cs="Times New Roman"/>
                <w:b/>
                <w:bCs/>
                <w:spacing w:val="-4"/>
                <w:sz w:val="18"/>
                <w:szCs w:val="18"/>
                <w:lang w:val="sq-AL"/>
              </w:rPr>
              <w:t xml:space="preserve"> </w:t>
            </w:r>
            <w:r w:rsidRPr="00B130BB">
              <w:rPr>
                <w:rFonts w:ascii="Garamond" w:eastAsia="Times New Roman" w:hAnsi="Garamond" w:cs="Times New Roman"/>
                <w:bCs/>
                <w:spacing w:val="-4"/>
                <w:sz w:val="18"/>
                <w:szCs w:val="18"/>
                <w:lang w:val="sq-AL"/>
              </w:rPr>
              <w:t>“</w:t>
            </w:r>
            <w:r w:rsidRPr="00B130BB">
              <w:rPr>
                <w:rFonts w:ascii="Garamond" w:eastAsia="Times New Roman" w:hAnsi="Garamond" w:cs="Times New Roman"/>
                <w:spacing w:val="-4"/>
                <w:sz w:val="18"/>
                <w:szCs w:val="18"/>
                <w:lang w:val="sq-AL"/>
              </w:rPr>
              <w:t xml:space="preserve">Për miratimin e listës së monumenteve të Natyrës” </w:t>
            </w:r>
          </w:p>
        </w:tc>
        <w:tc>
          <w:tcPr>
            <w:tcW w:w="46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Nxjerrja e akteve nënligjore në zbatim të ligjit të ri për zonat e mbrojtura. Konkretisht akt del në bazë dhe për zbatim të pikës 5 të nenit 17 të ligjit nr. 81/2017 “Për zonat e mbrojtura” </w:t>
            </w:r>
          </w:p>
        </w:tc>
        <w:tc>
          <w:tcPr>
            <w:tcW w:w="47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Zbatueshmëria e ligjit të ri “Për zonat e mbrojtura”</w:t>
            </w:r>
          </w:p>
        </w:tc>
        <w:tc>
          <w:tcPr>
            <w:tcW w:w="6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Mbrojtja e biodiversitetit, llojeve të faunës dhe florës së egër dhe habitateve </w:t>
            </w:r>
          </w:p>
        </w:tc>
        <w:tc>
          <w:tcPr>
            <w:tcW w:w="58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Rishikimi dhe përditësimi i listës së Monumenteve të Natyre</w:t>
            </w:r>
            <w:r w:rsidRPr="00B130BB">
              <w:rPr>
                <w:rFonts w:ascii="Garamond" w:eastAsia="Times New Roman" w:hAnsi="Garamond" w:cs="Times New Roman"/>
                <w:spacing w:val="-4"/>
                <w:sz w:val="18"/>
                <w:szCs w:val="18"/>
                <w:lang w:val="sq-AL"/>
              </w:rPr>
              <w:br/>
              <w:t>Akti lidhet me Dokumentin e Politikave Strategjike për Mbrojtjen e Biodiversitetit</w:t>
            </w:r>
          </w:p>
        </w:tc>
        <w:tc>
          <w:tcPr>
            <w:tcW w:w="3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38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Lidhet me programin qeverisës 2017-2021, paragrafi 2.4.</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17</w:t>
            </w:r>
          </w:p>
        </w:tc>
        <w:tc>
          <w:tcPr>
            <w:tcW w:w="9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“Për disa ndryshime në vendimin e Këshillit të Ministrave nr. 419, datë 25.06.2014 ‘Për miratimin e kërkesave të posaçme për shqyrtimin e kërkesave për leje mjedisi të tipave A, B dhe C, për transferimin e lejeve nga një subjekt tek tjetri, të kushteve për lejet respektive të mjedisit, si dhe rregullat e hollësishme për shqyrtimin e tyre nga autoritetet kompetente deri në lëshimin e këtyre </w:t>
            </w:r>
            <w:r w:rsidRPr="00B130BB">
              <w:rPr>
                <w:rFonts w:ascii="Garamond" w:eastAsia="Times New Roman" w:hAnsi="Garamond" w:cs="Times New Roman"/>
                <w:spacing w:val="-4"/>
                <w:sz w:val="18"/>
                <w:szCs w:val="18"/>
                <w:lang w:val="sq-AL"/>
              </w:rPr>
              <w:lastRenderedPageBreak/>
              <w:t>lejeve nga QKL-ja’’”</w:t>
            </w:r>
          </w:p>
        </w:tc>
        <w:tc>
          <w:tcPr>
            <w:tcW w:w="46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Turizmit dhe Mjedisit</w:t>
            </w:r>
          </w:p>
        </w:tc>
        <w:tc>
          <w:tcPr>
            <w:tcW w:w="38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Rishikimi i Vendimit të Këshillit të Ministrave të sipërcituar bëhet në përputhje me Reformën e Deregulimit, e cila është një nismë e qeverisë për të thjeshtuar procedurat </w:t>
            </w:r>
            <w:r w:rsidRPr="00B130BB">
              <w:rPr>
                <w:rFonts w:ascii="Garamond" w:eastAsia="Times New Roman" w:hAnsi="Garamond" w:cs="Times New Roman"/>
                <w:spacing w:val="-4"/>
                <w:sz w:val="18"/>
                <w:szCs w:val="18"/>
                <w:lang w:val="sq-AL"/>
              </w:rPr>
              <w:lastRenderedPageBreak/>
              <w:t>administrative për shërbimet e ofruara ndaj personave fizikë/juridikë.</w:t>
            </w:r>
          </w:p>
        </w:tc>
        <w:tc>
          <w:tcPr>
            <w:tcW w:w="47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Qëllimi i projektvendimit është të lehtësojë procedurat administrative për sa i përket kërkesave të posaçme, kushteve dhe rregullave për </w:t>
            </w:r>
            <w:r w:rsidRPr="00B130BB">
              <w:rPr>
                <w:rFonts w:ascii="Garamond" w:eastAsia="Times New Roman" w:hAnsi="Garamond" w:cs="Times New Roman"/>
                <w:spacing w:val="-4"/>
                <w:sz w:val="18"/>
                <w:szCs w:val="18"/>
                <w:lang w:val="sq-AL"/>
              </w:rPr>
              <w:lastRenderedPageBreak/>
              <w:t>aplikimet dhe shqyrtimin e kërkesave për leje mjedisi të tipit A, B dhe C, transferimin e tyre nga një subjekt tek tjetri, si dhe përcaktimin e rregullave të hollësishme për shqyrtimin e tyre nga autoritetet kompetente deri në lëshimin e këtyre lejeve nga QKL-ja (aktualisht QKB).</w:t>
            </w:r>
          </w:p>
        </w:tc>
        <w:tc>
          <w:tcPr>
            <w:tcW w:w="6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Personat fizik/juridik do të kenë një procedurë më të thjeshtuar, ku nevojiten më pak dokumente për aplikim dhe konkretisht hiqen kërkesat për paraqitjen e Ekstraktit të Regjistrit Tregtar për të dhënat e subjekti, i cili mund të gjendet </w:t>
            </w:r>
            <w:r w:rsidRPr="00B130BB">
              <w:rPr>
                <w:rFonts w:ascii="Garamond" w:eastAsia="Times New Roman" w:hAnsi="Garamond" w:cs="Times New Roman"/>
                <w:i/>
                <w:spacing w:val="-4"/>
                <w:sz w:val="18"/>
                <w:szCs w:val="18"/>
                <w:lang w:val="sq-AL"/>
              </w:rPr>
              <w:lastRenderedPageBreak/>
              <w:t>online</w:t>
            </w:r>
            <w:r w:rsidRPr="00B130BB">
              <w:rPr>
                <w:rFonts w:ascii="Garamond" w:eastAsia="Times New Roman" w:hAnsi="Garamond" w:cs="Times New Roman"/>
                <w:spacing w:val="-4"/>
                <w:sz w:val="18"/>
                <w:szCs w:val="18"/>
                <w:lang w:val="sq-AL"/>
              </w:rPr>
              <w:t xml:space="preserve"> nga vetë punonjësit e administratës publike, që do të shqyrtojnë aplikimet e ndryshme apo dokumente të lëshuara më parë nga vetë institucioni ku kryhet aplikimi. </w:t>
            </w:r>
          </w:p>
        </w:tc>
        <w:tc>
          <w:tcPr>
            <w:tcW w:w="58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Miratimi i këtij projektvendimi do të sjellë si pasoje që, personat fizik/juridik do të kenë një procedurë më të thjeshtuar, ku nevojiten më pak dokumente për aplikim dhe konkretisht </w:t>
            </w:r>
            <w:r w:rsidRPr="00B130BB">
              <w:rPr>
                <w:rFonts w:ascii="Garamond" w:eastAsia="Times New Roman" w:hAnsi="Garamond" w:cs="Times New Roman"/>
                <w:spacing w:val="-4"/>
                <w:sz w:val="18"/>
                <w:szCs w:val="18"/>
                <w:lang w:val="sq-AL"/>
              </w:rPr>
              <w:lastRenderedPageBreak/>
              <w:t xml:space="preserve">hiqen kërkesat për paraqitjen e Ekstraktit të Regjistrit Tregtar për të dhënat e subjekti, i cili mund të gjendet </w:t>
            </w:r>
            <w:r w:rsidRPr="00B130BB">
              <w:rPr>
                <w:rFonts w:ascii="Garamond" w:eastAsia="Times New Roman" w:hAnsi="Garamond" w:cs="Times New Roman"/>
                <w:i/>
                <w:spacing w:val="-4"/>
                <w:sz w:val="18"/>
                <w:szCs w:val="18"/>
                <w:lang w:val="sq-AL"/>
              </w:rPr>
              <w:t>online</w:t>
            </w:r>
            <w:r w:rsidRPr="00B130BB">
              <w:rPr>
                <w:rFonts w:ascii="Garamond" w:eastAsia="Times New Roman" w:hAnsi="Garamond" w:cs="Times New Roman"/>
                <w:spacing w:val="-4"/>
                <w:sz w:val="18"/>
                <w:szCs w:val="18"/>
                <w:lang w:val="sq-AL"/>
              </w:rPr>
              <w:t xml:space="preserve"> nga vetë punonjësit e administratës publike, që do të shqyrtojnë aplikimet e ndryshme apo dokumente të lëshuara më parë nga vetë institucioni ku kryhet aplikimi. </w:t>
            </w:r>
          </w:p>
        </w:tc>
        <w:tc>
          <w:tcPr>
            <w:tcW w:w="3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38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Rishikimi i Vendimit të Këshillit të Ministrave bëhet në përputhje me programin e qeverisë për të thjesht</w:t>
            </w:r>
            <w:r w:rsidRPr="00B130BB">
              <w:rPr>
                <w:rFonts w:ascii="Garamond" w:eastAsia="Times New Roman" w:hAnsi="Garamond" w:cs="Times New Roman"/>
                <w:spacing w:val="-4"/>
                <w:sz w:val="18"/>
                <w:szCs w:val="18"/>
                <w:lang w:val="sq-AL"/>
              </w:rPr>
              <w:lastRenderedPageBreak/>
              <w:t>uar procedurat administrative për shërbimet e ofruara ndaj personave fizikë/juridikë në fushën e mjedisit në kuadër të reformës së deregulimit.</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18</w:t>
            </w:r>
          </w:p>
        </w:tc>
        <w:tc>
          <w:tcPr>
            <w:tcW w:w="9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disa ndryshime në vendimin e Këshillit të Ministrave nr. 597, datë 1.07.2015 ‘Për përcaktimin e procedurave dhe kërkesave të hollësishme për lidhjen e marrëveshjeve vullnetare, ndërmjet organizatave dhe grupeve që përfaqësojnë interesa të caktuara, grupeve të operatorëve ose operatorëve individualë me autoritetet përkatëse, për realizimin e një niveli më të lartë mbrojtjeje, sesa ai i përcaktuar në legjislacionin e posaçëm, për një përbërës mjedisor’”</w:t>
            </w:r>
          </w:p>
        </w:tc>
        <w:tc>
          <w:tcPr>
            <w:tcW w:w="46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Miratimi i këtij projektvendimi do të sjellë si pasojë që, personat fizik/juridik do të kenë një procedurë më të thjeshtuar, ku nevojiten më pak dokumente për aplikim dhe konkretisht hiqen kërkesat për paraqitjen e Ekstraktit të Regjistrit Tregtar për të dhënat e subjekti, i cili mund të </w:t>
            </w:r>
            <w:r w:rsidRPr="00B130BB">
              <w:rPr>
                <w:rFonts w:ascii="Garamond" w:eastAsia="Times New Roman" w:hAnsi="Garamond" w:cs="Times New Roman"/>
                <w:spacing w:val="-4"/>
                <w:sz w:val="18"/>
                <w:szCs w:val="18"/>
                <w:lang w:val="sq-AL"/>
              </w:rPr>
              <w:lastRenderedPageBreak/>
              <w:t xml:space="preserve">gjendet </w:t>
            </w:r>
            <w:r w:rsidRPr="00B130BB">
              <w:rPr>
                <w:rFonts w:ascii="Garamond" w:eastAsia="Times New Roman" w:hAnsi="Garamond" w:cs="Times New Roman"/>
                <w:i/>
                <w:spacing w:val="-4"/>
                <w:sz w:val="18"/>
                <w:szCs w:val="18"/>
                <w:lang w:val="sq-AL"/>
              </w:rPr>
              <w:t>online</w:t>
            </w:r>
            <w:r w:rsidRPr="00B130BB">
              <w:rPr>
                <w:rFonts w:ascii="Garamond" w:eastAsia="Times New Roman" w:hAnsi="Garamond" w:cs="Times New Roman"/>
                <w:spacing w:val="-4"/>
                <w:sz w:val="18"/>
                <w:szCs w:val="18"/>
                <w:lang w:val="sq-AL"/>
              </w:rPr>
              <w:t xml:space="preserve"> nga vetë punonjësit e administratës publike, që do të shqyrtojnë aplikimet e ndryshme apo dokumente të lëshuara më parë nga vetë institucioni ku kryhet aplikimi.</w:t>
            </w:r>
          </w:p>
        </w:tc>
        <w:tc>
          <w:tcPr>
            <w:tcW w:w="47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Qëllimi i projektvendimit është që të lehtësojnë personat fizik/juridik nga procedurat administrative lidhur me procedurat e kërkesave për lidhjen e marrëveshjeve vullnetare ndërmjet organizatave dhe grupeve që përfaqësojnë interesa të </w:t>
            </w:r>
            <w:r w:rsidRPr="00B130BB">
              <w:rPr>
                <w:rFonts w:ascii="Garamond" w:eastAsia="Times New Roman" w:hAnsi="Garamond" w:cs="Times New Roman"/>
                <w:spacing w:val="-4"/>
                <w:sz w:val="18"/>
                <w:szCs w:val="18"/>
                <w:lang w:val="sq-AL"/>
              </w:rPr>
              <w:lastRenderedPageBreak/>
              <w:t>caktuara, grupeve të operatorëve ose operatorëve individualë me autoritetet përkatëse, për realizimin e një niveli më të lartë mbrojtjeje, sesa ai i përcaktuar në legjislacionin e posaçëm, për një përbërës mjedisor, në kuadër të reformës së deregulimit.</w:t>
            </w:r>
          </w:p>
        </w:tc>
        <w:tc>
          <w:tcPr>
            <w:tcW w:w="6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Personat fizik/juridik do të kenë një procedurë më të thjeshtuar, ku nevojiten më pak dokumente për aplikim dhe konkretisht hiqen kërkesat për paraqitjen e Ekstraktit të Regjistrit Tregtar për të dhënat e subjekti, i cili mund të gjendet </w:t>
            </w:r>
            <w:r w:rsidRPr="00B130BB">
              <w:rPr>
                <w:rFonts w:ascii="Garamond" w:eastAsia="Times New Roman" w:hAnsi="Garamond" w:cs="Times New Roman"/>
                <w:i/>
                <w:spacing w:val="-4"/>
                <w:sz w:val="18"/>
                <w:szCs w:val="18"/>
                <w:lang w:val="sq-AL"/>
              </w:rPr>
              <w:t>online</w:t>
            </w:r>
            <w:r w:rsidRPr="00B130BB">
              <w:rPr>
                <w:rFonts w:ascii="Garamond" w:eastAsia="Times New Roman" w:hAnsi="Garamond" w:cs="Times New Roman"/>
                <w:spacing w:val="-4"/>
                <w:sz w:val="18"/>
                <w:szCs w:val="18"/>
                <w:lang w:val="sq-AL"/>
              </w:rPr>
              <w:t xml:space="preserve"> nga vetë punonjësit e administratës publike, që do të shqyrtojnë aplikimet e ndryshme apo dokumente të lëshuara më parë nga vetë institucioni ku kryhet aplikimi. </w:t>
            </w:r>
          </w:p>
        </w:tc>
        <w:tc>
          <w:tcPr>
            <w:tcW w:w="58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Miratimi i këtij projektvendimi do të sjellë si pasojë që, personat fizik/juridik do të kenë një procedurë më të thjeshtuar, ku nevojiten më pak dokumente për aplikim dhe konkretisht hiqen kërkesat për paraqitjen e Ekstraktit të Regjistrit Tregtar për të dhënat e subjekti, i cili mund të gjendet </w:t>
            </w:r>
            <w:r w:rsidRPr="00B130BB">
              <w:rPr>
                <w:rFonts w:ascii="Garamond" w:eastAsia="Times New Roman" w:hAnsi="Garamond" w:cs="Times New Roman"/>
                <w:i/>
                <w:spacing w:val="-4"/>
                <w:sz w:val="18"/>
                <w:szCs w:val="18"/>
                <w:lang w:val="sq-AL"/>
              </w:rPr>
              <w:t>online</w:t>
            </w:r>
            <w:r w:rsidRPr="00B130BB">
              <w:rPr>
                <w:rFonts w:ascii="Garamond" w:eastAsia="Times New Roman" w:hAnsi="Garamond" w:cs="Times New Roman"/>
                <w:spacing w:val="-4"/>
                <w:sz w:val="18"/>
                <w:szCs w:val="18"/>
                <w:lang w:val="sq-AL"/>
              </w:rPr>
              <w:t xml:space="preserve"> nga vetë punonjësit e administratës </w:t>
            </w:r>
            <w:r w:rsidRPr="00B130BB">
              <w:rPr>
                <w:rFonts w:ascii="Garamond" w:eastAsia="Times New Roman" w:hAnsi="Garamond" w:cs="Times New Roman"/>
                <w:spacing w:val="-4"/>
                <w:sz w:val="18"/>
                <w:szCs w:val="18"/>
                <w:lang w:val="sq-AL"/>
              </w:rPr>
              <w:lastRenderedPageBreak/>
              <w:t>publike, që do të shqyrtojnë aplikimet e ndryshme apo dokumente të lëshuara më parë nga vetë institucioni ku kryhet aplikimi.</w:t>
            </w:r>
          </w:p>
        </w:tc>
        <w:tc>
          <w:tcPr>
            <w:tcW w:w="3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38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Rishikimi i Vendimit të Këshillit të Ministrave bëhet në përputhje me programin e qeverisë për të thjeshtuar procedurat administrative për shërbimet e ofruara ndaj personave fizikë/j</w:t>
            </w:r>
            <w:r w:rsidRPr="00B130BB">
              <w:rPr>
                <w:rFonts w:ascii="Garamond" w:eastAsia="Times New Roman" w:hAnsi="Garamond" w:cs="Times New Roman"/>
                <w:spacing w:val="-4"/>
                <w:sz w:val="18"/>
                <w:szCs w:val="18"/>
                <w:lang w:val="sq-AL"/>
              </w:rPr>
              <w:lastRenderedPageBreak/>
              <w:t>uridikë në fushën e mjedisit në kuadër të reformës së deregulimit.</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19</w:t>
            </w:r>
          </w:p>
        </w:tc>
        <w:tc>
          <w:tcPr>
            <w:tcW w:w="9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disa ndryshime në vendimin e Këshillit të Ministrave nr. 686, datë 29.7.2015 ‘Për miratimin e rregullave, të përgjegjësive e të afateve për zhvillimin e procedurës së vlerësimit të ndikimit në mjedis (VNM) dhe procedurës së transferimit të vendimit e deklaratës mjedisore’”</w:t>
            </w:r>
          </w:p>
        </w:tc>
        <w:tc>
          <w:tcPr>
            <w:tcW w:w="46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Miratimi i këtij projektvendimi do të sjellë si pasoje që, personat fizik/juridik do të kenë një procedurë më të thjeshtuar, ku nevojiten më pak dokumente për aplikim dhe konkretisht hiqen kërkesat për paraqitjen e Ekstraktit të Regjistrit Tregtar për të dhënat e subjekti, i cili mund të gjendet </w:t>
            </w:r>
            <w:r w:rsidRPr="00B130BB">
              <w:rPr>
                <w:rFonts w:ascii="Garamond" w:eastAsia="Times New Roman" w:hAnsi="Garamond" w:cs="Times New Roman"/>
                <w:i/>
                <w:spacing w:val="-4"/>
                <w:sz w:val="18"/>
                <w:szCs w:val="18"/>
                <w:lang w:val="sq-AL"/>
              </w:rPr>
              <w:lastRenderedPageBreak/>
              <w:t>online</w:t>
            </w:r>
            <w:r w:rsidRPr="00B130BB">
              <w:rPr>
                <w:rFonts w:ascii="Garamond" w:eastAsia="Times New Roman" w:hAnsi="Garamond" w:cs="Times New Roman"/>
                <w:spacing w:val="-4"/>
                <w:sz w:val="18"/>
                <w:szCs w:val="18"/>
                <w:lang w:val="sq-AL"/>
              </w:rPr>
              <w:t xml:space="preserve"> nga vetë punonjësit e administratës publike, që do të shqyrtojnë aplikimet e ndryshme apo dokumente të lëshuara më parë nga vetë institucioni ku kryhet aplikimi</w:t>
            </w:r>
          </w:p>
        </w:tc>
        <w:tc>
          <w:tcPr>
            <w:tcW w:w="47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Qëllimi i projektvendimit është që të lehtësojnë personat fizik/juridik nga procedurat administrative lidhur me rregulloren dhe zhvillimin e procedurës së vlerësimit të ndikimit në mjedis (VNM) dhe procedurës së transferimit të vendimit </w:t>
            </w:r>
            <w:r w:rsidRPr="00B130BB">
              <w:rPr>
                <w:rFonts w:ascii="Garamond" w:eastAsia="Times New Roman" w:hAnsi="Garamond" w:cs="Times New Roman"/>
                <w:spacing w:val="-4"/>
                <w:sz w:val="18"/>
                <w:szCs w:val="18"/>
                <w:lang w:val="sq-AL"/>
              </w:rPr>
              <w:lastRenderedPageBreak/>
              <w:t>e deklaratës mjedisore, në kuadër të reformës së deregulimit.</w:t>
            </w:r>
          </w:p>
        </w:tc>
        <w:tc>
          <w:tcPr>
            <w:tcW w:w="6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Personat fizik/juridik do të kenë një procedurë më të thjeshtuar, ku nevojiten më pak dokumente për aplikim dhe konkretisht hiqen kërkesat për paraqitjen e Ekstraktit të Regjistrit Tregtar për të dhënat e subjekti, i cili mund të gjendet </w:t>
            </w:r>
            <w:r w:rsidRPr="00B130BB">
              <w:rPr>
                <w:rFonts w:ascii="Garamond" w:eastAsia="Times New Roman" w:hAnsi="Garamond" w:cs="Times New Roman"/>
                <w:i/>
                <w:spacing w:val="-4"/>
                <w:sz w:val="18"/>
                <w:szCs w:val="18"/>
                <w:lang w:val="sq-AL"/>
              </w:rPr>
              <w:t>online</w:t>
            </w:r>
            <w:r w:rsidRPr="00B130BB">
              <w:rPr>
                <w:rFonts w:ascii="Garamond" w:eastAsia="Times New Roman" w:hAnsi="Garamond" w:cs="Times New Roman"/>
                <w:spacing w:val="-4"/>
                <w:sz w:val="18"/>
                <w:szCs w:val="18"/>
                <w:lang w:val="sq-AL"/>
              </w:rPr>
              <w:t xml:space="preserve"> nga vetë punonjësit e administratës publike, që do të shqyrtojnë aplikimet e ndryshme apo dokumente të lëshuara më parë nga vetë institucioni ku kryhet aplikimi. </w:t>
            </w:r>
          </w:p>
        </w:tc>
        <w:tc>
          <w:tcPr>
            <w:tcW w:w="58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Miratimi i këtij projektvendimi do të sjellë si pasoje që, personat fizik/juridik do të kenë një procedurë më të thjeshtuar, ku nevojiten më pak dokumente për aplikim dhe konkretisht hiqen kërkesat për paraqitjen e Ekstraktit të Regjistrit Tregtar për të dhënat e subjekti, i cili mund të gjendet </w:t>
            </w:r>
            <w:r w:rsidRPr="00B130BB">
              <w:rPr>
                <w:rFonts w:ascii="Garamond" w:eastAsia="Times New Roman" w:hAnsi="Garamond" w:cs="Times New Roman"/>
                <w:i/>
                <w:spacing w:val="-4"/>
                <w:sz w:val="18"/>
                <w:szCs w:val="18"/>
                <w:lang w:val="sq-AL"/>
              </w:rPr>
              <w:t>online</w:t>
            </w:r>
            <w:r w:rsidRPr="00B130BB">
              <w:rPr>
                <w:rFonts w:ascii="Garamond" w:eastAsia="Times New Roman" w:hAnsi="Garamond" w:cs="Times New Roman"/>
                <w:spacing w:val="-4"/>
                <w:sz w:val="18"/>
                <w:szCs w:val="18"/>
                <w:lang w:val="sq-AL"/>
              </w:rPr>
              <w:t xml:space="preserve"> nga vetë punonjësit e administratës publike, që </w:t>
            </w:r>
            <w:r w:rsidRPr="00B130BB">
              <w:rPr>
                <w:rFonts w:ascii="Garamond" w:eastAsia="Times New Roman" w:hAnsi="Garamond" w:cs="Times New Roman"/>
                <w:spacing w:val="-4"/>
                <w:sz w:val="18"/>
                <w:szCs w:val="18"/>
                <w:lang w:val="sq-AL"/>
              </w:rPr>
              <w:lastRenderedPageBreak/>
              <w:t>do të shqyrtojnë aplikimet e ndryshme apo dokumente të lëshuara më parë nga vetë institucioni ku kryhet aplikimi</w:t>
            </w:r>
          </w:p>
        </w:tc>
        <w:tc>
          <w:tcPr>
            <w:tcW w:w="3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38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Rishikimi i Vendimit të Këshillit të Ministrave bëhet në përputhje me programin e qeverisë për të thjeshtuar procedurat administrative për shërbimet e ofruara ndaj personave fizikë/juridikë </w:t>
            </w:r>
            <w:r w:rsidRPr="00B130BB">
              <w:rPr>
                <w:rFonts w:ascii="Garamond" w:eastAsia="Times New Roman" w:hAnsi="Garamond" w:cs="Times New Roman"/>
                <w:spacing w:val="-4"/>
                <w:sz w:val="18"/>
                <w:szCs w:val="18"/>
                <w:lang w:val="sq-AL"/>
              </w:rPr>
              <w:lastRenderedPageBreak/>
              <w:t>në fushën e mjedisit në kuadër të reformës së deregulimit.</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20</w:t>
            </w:r>
          </w:p>
        </w:tc>
        <w:tc>
          <w:tcPr>
            <w:tcW w:w="9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disa ndryshime në vendimin e Këshillit të Ministrave nr. 372, datë 18.05.2016 ‘Për miratimin e rregullave të komunikimit, konsultimit dypalësh dhe vendimmarrjes për lejen e mjedisit të tipit A, për funksionimin e instalimit të vendosur në territorin e Republikës së Shqipërisë dhe që ka mundësi reale të krijojë efekte negative të konsiderueshme në mjedisin e një shteti tjetër, ose menjëherë pasi i kërkohet nga ky shtet’”</w:t>
            </w:r>
          </w:p>
        </w:tc>
        <w:tc>
          <w:tcPr>
            <w:tcW w:w="46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Miratimi i këtij projektvendimi do të sjellë si pasoje që, personat fizik/juridik do të kenë një procedurë më të thjeshtuar, ku nevojiten më pak dokumente për aplikim dhe konkretisht hiqen kërkesat për paraqitjen e Ekstraktit të Regjistrit Tregtar për të dhënat e subjekti, i cili mund të gjendet </w:t>
            </w:r>
            <w:r w:rsidRPr="00B130BB">
              <w:rPr>
                <w:rFonts w:ascii="Garamond" w:eastAsia="Times New Roman" w:hAnsi="Garamond" w:cs="Times New Roman"/>
                <w:i/>
                <w:spacing w:val="-4"/>
                <w:sz w:val="18"/>
                <w:szCs w:val="18"/>
                <w:lang w:val="sq-AL"/>
              </w:rPr>
              <w:t>online</w:t>
            </w:r>
            <w:r w:rsidRPr="00B130BB">
              <w:rPr>
                <w:rFonts w:ascii="Garamond" w:eastAsia="Times New Roman" w:hAnsi="Garamond" w:cs="Times New Roman"/>
                <w:spacing w:val="-4"/>
                <w:sz w:val="18"/>
                <w:szCs w:val="18"/>
                <w:lang w:val="sq-AL"/>
              </w:rPr>
              <w:t xml:space="preserve"> nga vetë punonjësit e administratës publike, që do të shqyrtojnë aplikimet e ndryshme apo dokumente të lëshuara më parë </w:t>
            </w:r>
            <w:r w:rsidRPr="00B130BB">
              <w:rPr>
                <w:rFonts w:ascii="Garamond" w:eastAsia="Times New Roman" w:hAnsi="Garamond" w:cs="Times New Roman"/>
                <w:spacing w:val="-4"/>
                <w:sz w:val="18"/>
                <w:szCs w:val="18"/>
                <w:lang w:val="sq-AL"/>
              </w:rPr>
              <w:lastRenderedPageBreak/>
              <w:t xml:space="preserve">nga vetë institucioni ku kryhet aplikimi. </w:t>
            </w:r>
          </w:p>
        </w:tc>
        <w:tc>
          <w:tcPr>
            <w:tcW w:w="47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Qëllimi i projektvendimit është të lehtësojë procedurat administrative për sa u përket rregullave tё komunikimit, konsultimit dypalёsh dhe vendimmarrjes, lidhur me lejen e mjedisit tё tipit A, pёr funksionimin e njё instalimi tё vendosur nё territorin e Republikës sё Shqipërisë, i cili ka mundësi reale tё krijojё efekte negative tё konsideru</w:t>
            </w:r>
            <w:r w:rsidRPr="00B130BB">
              <w:rPr>
                <w:rFonts w:ascii="Garamond" w:eastAsia="Times New Roman" w:hAnsi="Garamond" w:cs="Times New Roman"/>
                <w:spacing w:val="-4"/>
                <w:sz w:val="18"/>
                <w:szCs w:val="18"/>
                <w:lang w:val="sq-AL"/>
              </w:rPr>
              <w:lastRenderedPageBreak/>
              <w:t xml:space="preserve">eshme nё mjedisin e njё shteti tjetёr. </w:t>
            </w:r>
          </w:p>
        </w:tc>
        <w:tc>
          <w:tcPr>
            <w:tcW w:w="6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Personat fizik/juridik do të kenë një procedurë më të thjeshtuar, ku nevojiten më pak dokumente për aplikim dhe konkretisht hiqen kërkesat për paraqitjen e Ekstraktit të Regjistrit Tregtar për të dhënat e subjekti, i cili mund të gjendet </w:t>
            </w:r>
            <w:r w:rsidRPr="00B130BB">
              <w:rPr>
                <w:rFonts w:ascii="Garamond" w:eastAsia="Times New Roman" w:hAnsi="Garamond" w:cs="Times New Roman"/>
                <w:i/>
                <w:spacing w:val="-4"/>
                <w:sz w:val="18"/>
                <w:szCs w:val="18"/>
                <w:lang w:val="sq-AL"/>
              </w:rPr>
              <w:t>online</w:t>
            </w:r>
            <w:r w:rsidRPr="00B130BB">
              <w:rPr>
                <w:rFonts w:ascii="Garamond" w:eastAsia="Times New Roman" w:hAnsi="Garamond" w:cs="Times New Roman"/>
                <w:spacing w:val="-4"/>
                <w:sz w:val="18"/>
                <w:szCs w:val="18"/>
                <w:lang w:val="sq-AL"/>
              </w:rPr>
              <w:t xml:space="preserve"> nga vetë punonjësit e administratës publike, që do të shqyrtojnë aplikimet e ndryshme apo dokumente të lëshuara më parë nga vetë institucioni ku kryhet aplikimi. </w:t>
            </w:r>
          </w:p>
        </w:tc>
        <w:tc>
          <w:tcPr>
            <w:tcW w:w="58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Miratimi i këtij projektvendimi do të sjellë si pasoje që, personat fizik/juridik do të kenë një procedurë më të thjeshtuar, ku nevojiten më pak dokumente për aplikim dhe konkretisht hiqen kërkesat për paraqitjen e Ekstraktit të Regjistrit Tregtar për të dhënat e subjekti, i cili mund të gjendet </w:t>
            </w:r>
            <w:r w:rsidRPr="00B130BB">
              <w:rPr>
                <w:rFonts w:ascii="Garamond" w:eastAsia="Times New Roman" w:hAnsi="Garamond" w:cs="Times New Roman"/>
                <w:i/>
                <w:spacing w:val="-4"/>
                <w:sz w:val="18"/>
                <w:szCs w:val="18"/>
                <w:lang w:val="sq-AL"/>
              </w:rPr>
              <w:t>online</w:t>
            </w:r>
            <w:r w:rsidRPr="00B130BB">
              <w:rPr>
                <w:rFonts w:ascii="Garamond" w:eastAsia="Times New Roman" w:hAnsi="Garamond" w:cs="Times New Roman"/>
                <w:spacing w:val="-4"/>
                <w:sz w:val="18"/>
                <w:szCs w:val="18"/>
                <w:lang w:val="sq-AL"/>
              </w:rPr>
              <w:t xml:space="preserve"> nga vetë punonjësit e administratës publike, që do të shqyrtojnë aplikimet e ndryshme apo dokumente të lëshuara më parë nga vetë institucioni ku kryhet aplikimi</w:t>
            </w:r>
          </w:p>
        </w:tc>
        <w:tc>
          <w:tcPr>
            <w:tcW w:w="3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38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Rishikimi i Vendimit të Këshillit të Ministrave bëhet në përputhje me programin e qeverisë për të thjeshtuar procedurat administrative për shërbimet e ofruara ndaj personave fizikë/juridikë në fushën e mjedisit në kuadër të reformës së deregulimit.</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21</w:t>
            </w:r>
          </w:p>
        </w:tc>
        <w:tc>
          <w:tcPr>
            <w:tcW w:w="9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një ndryshim dhe shtesë në VKM-në nr. 594, datë 10.9.2014, “Për miratimin e Strategjisë Kombëtare të Cilësisë së Ajrit të Mjedisit</w:t>
            </w:r>
          </w:p>
        </w:tc>
        <w:tc>
          <w:tcPr>
            <w:tcW w:w="46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Turizmit dhe Mjedisit dhe Ministri i Shëndetësisë dhe Mbrojtjes Sociale</w:t>
            </w:r>
          </w:p>
        </w:tc>
        <w:tc>
          <w:tcPr>
            <w:tcW w:w="38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i Planit Kombëtar të Cilësisë se ajrit në vend, në zbatim të pikës 10 të nenit 7 të Ligjit nr. 162/2014 “Mbi mbrojtjen e cilësisë së ajrit në mjedis”</w:t>
            </w:r>
          </w:p>
        </w:tc>
        <w:tc>
          <w:tcPr>
            <w:tcW w:w="47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Qëllimi i këtij projektvendimi është miratimi i Planit Kombëtar të Menaxhimit të Cilësisë së Ajrit, me anë të të cilit qeveria shqiptare i jep efekt zbatimit të Strategjisë Kombëtare të Cilësisë së Ajrit të Mjedisit dhe ligjit nr. 162/2014, “Mbi mbrojtjen e cilësisë së ajrit në mjedis”. </w:t>
            </w:r>
          </w:p>
        </w:tc>
        <w:tc>
          <w:tcPr>
            <w:tcW w:w="6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Kjo PVKM ka si objektiv: 1. përmirësimin e cilësisë së ajrit në zonat ku janë tejkaluar limitet e vendosura me ligj, si dhe në zonat ku ekziston një rrisk i lartë i tejkalimit të këtyre limiteve, përmirësimin e cilësisë së ajrit në zonat ku janë tejkaluar limitet e vendosura me ligj, si dhe në zonat ku ekziston një rrisk i lartë i tejkalimit të këtyre limiteve,</w:t>
            </w:r>
            <w:r w:rsidRPr="00B130BB">
              <w:rPr>
                <w:rFonts w:ascii="Garamond" w:eastAsia="Times New Roman" w:hAnsi="Garamond" w:cs="Times New Roman"/>
                <w:spacing w:val="-4"/>
                <w:sz w:val="18"/>
                <w:szCs w:val="18"/>
                <w:lang w:val="sq-AL"/>
              </w:rPr>
              <w:br/>
              <w:t>2. ruajtjen nivelit të cilësisë së ajrit në pjesën e ngelur të territorit.</w:t>
            </w:r>
          </w:p>
        </w:tc>
        <w:tc>
          <w:tcPr>
            <w:tcW w:w="58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Miraton Planin Kombëtar të Cilësisë së Ajrit </w:t>
            </w:r>
            <w:r w:rsidRPr="00B130BB">
              <w:rPr>
                <w:rFonts w:ascii="Garamond" w:eastAsia="Times New Roman" w:hAnsi="Garamond" w:cs="Times New Roman"/>
                <w:spacing w:val="-4"/>
                <w:sz w:val="18"/>
                <w:szCs w:val="18"/>
                <w:lang w:val="sq-AL"/>
              </w:rPr>
              <w:br/>
              <w:t>Akti lidhet me Strategjinë Kombëtare e Cilësisë së Ajrit në Mjedis, SNM 2017–2021</w:t>
            </w:r>
          </w:p>
        </w:tc>
        <w:tc>
          <w:tcPr>
            <w:tcW w:w="3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Po , kapitulli 27-Mjedisi </w:t>
            </w:r>
          </w:p>
        </w:tc>
        <w:tc>
          <w:tcPr>
            <w:tcW w:w="38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2.4. Mjedisi</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22</w:t>
            </w:r>
          </w:p>
        </w:tc>
        <w:tc>
          <w:tcPr>
            <w:tcW w:w="9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“Mbi masat që duhet të merren kundër ndotjes së ajrit nga shkarkimet e mjeteve motorike”</w:t>
            </w:r>
          </w:p>
        </w:tc>
        <w:tc>
          <w:tcPr>
            <w:tcW w:w="46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Turizmit dhe Mjedisit dhe ministri i Infrastrukturës dhe Energjisë</w:t>
            </w:r>
          </w:p>
        </w:tc>
        <w:tc>
          <w:tcPr>
            <w:tcW w:w="38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Ky akt del në zbatim të nenit 13, pika 1, e ligjit nr. 162/2014 “Për mbrojtjen e cilësisë së ajrit në mjedis” </w:t>
            </w:r>
          </w:p>
        </w:tc>
        <w:tc>
          <w:tcPr>
            <w:tcW w:w="47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ka si qellim të mbrojë shëndetin e njeriut dhe mjedisin nga shkarkimet e ndotësve të gaztë prej mjeteve motorike, të kategorisë M (M1, M2) dhe N (N1, N2), nëpërmjet përcaktim</w:t>
            </w:r>
            <w:r w:rsidRPr="00B130BB">
              <w:rPr>
                <w:rFonts w:ascii="Garamond" w:eastAsia="Times New Roman" w:hAnsi="Garamond" w:cs="Times New Roman"/>
                <w:spacing w:val="-4"/>
                <w:sz w:val="18"/>
                <w:szCs w:val="18"/>
                <w:lang w:val="sq-AL"/>
              </w:rPr>
              <w:lastRenderedPageBreak/>
              <w:t>it të kushteve të importit të tyre në Republikën e Shqipërisë dhe kushteve për mjetet ekzistuese në qarkullim;</w:t>
            </w:r>
          </w:p>
        </w:tc>
        <w:tc>
          <w:tcPr>
            <w:tcW w:w="6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Të përcaktojë kushtet e importit të mjeteve motorike në Republikën e Shqipërisë dhe kushtet për mjetet ekzistuese në qarkullim;</w:t>
            </w:r>
          </w:p>
        </w:tc>
        <w:tc>
          <w:tcPr>
            <w:tcW w:w="58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Transpozon shtojcën 1 të rregullores 715/2007 të Parlamentit dhe Këshillit të Evropës, datë 20 janar 2007, mbi aprovimin e tipit të mjetit në respekt të shkarkimeve nga mjetet motorike për transport njerëzish dhe transport mallrash (Euro 5 dhe Euro 6) me akses në informimin mbi riparimin dhe </w:t>
            </w:r>
            <w:r w:rsidRPr="00B130BB">
              <w:rPr>
                <w:rFonts w:ascii="Garamond" w:eastAsia="Times New Roman" w:hAnsi="Garamond" w:cs="Times New Roman"/>
                <w:spacing w:val="-4"/>
                <w:sz w:val="18"/>
                <w:szCs w:val="18"/>
                <w:lang w:val="sq-AL"/>
              </w:rPr>
              <w:lastRenderedPageBreak/>
              <w:t>mirëmbajtjen e mjeteve</w:t>
            </w:r>
            <w:r w:rsidRPr="00B130BB">
              <w:rPr>
                <w:rFonts w:ascii="Garamond" w:eastAsia="Times New Roman" w:hAnsi="Garamond" w:cs="Times New Roman"/>
                <w:spacing w:val="-4"/>
                <w:sz w:val="18"/>
                <w:szCs w:val="18"/>
                <w:lang w:val="sq-AL"/>
              </w:rPr>
              <w:br/>
              <w:t>Akti lidhet me Strategjinë Kombëtare e Cilësisë së Ajrit në Mjedis, SNM 2017–2021</w:t>
            </w:r>
          </w:p>
        </w:tc>
        <w:tc>
          <w:tcPr>
            <w:tcW w:w="3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38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2.4. Mjedisi</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23</w:t>
            </w:r>
          </w:p>
        </w:tc>
        <w:tc>
          <w:tcPr>
            <w:tcW w:w="9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miratimin e Dokumentit Strategjik dhe Planet e Veprimit për zbutjen e gazeve me efekt serrë dhe për përshtatjen ndaj ndryshimeve klimatike”</w:t>
            </w:r>
          </w:p>
        </w:tc>
        <w:tc>
          <w:tcPr>
            <w:tcW w:w="46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PVKM del në zbatim të pikës 4, të nenit 21, të ligjit nr. 10431, datë 9.6.2011, “Për mbrojtjen e mjedisit”, të ndryshuar.</w:t>
            </w:r>
          </w:p>
        </w:tc>
        <w:tc>
          <w:tcPr>
            <w:tcW w:w="47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Qëllimi i këtij projektakti është miratimi i dokumentit të Strategjisë Kombëtare dhe Planeve të Veprimit Për Zbutjen e Gazeve me Efekt Serrë (NMP) dhe Përshtatjen ndaj Ndryshimeve Klimatike (NAP), i cili mbështetet në tre komponentë: masat zbutëse, përshtatëse dhe zhvillimin e qëndrueshëm.</w:t>
            </w:r>
          </w:p>
        </w:tc>
        <w:tc>
          <w:tcPr>
            <w:tcW w:w="6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i dokumentit të Strategjisë Kombëtare dhe Planeve të Veprimit Për Zbutjen e Gazeve me Efekt Serrë (NMP) dhe Përshtatjen ndaj Ndryshimeve Klimatike (NAP),</w:t>
            </w:r>
          </w:p>
        </w:tc>
        <w:tc>
          <w:tcPr>
            <w:tcW w:w="58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Plani i veprimit për zbutjen ndaj gazeve me efekt serrë (NPM) identifikon objektivat kryesorë politikë dhe masat për adresimin e zbutjes së gazeve me efekt serrë dhe arritjen drejt një ekonomie me nivel të ulët karboni.</w:t>
            </w:r>
            <w:r w:rsidRPr="00B130BB">
              <w:rPr>
                <w:rFonts w:ascii="Garamond" w:eastAsia="Times New Roman" w:hAnsi="Garamond" w:cs="Times New Roman"/>
                <w:spacing w:val="-4"/>
                <w:sz w:val="18"/>
                <w:szCs w:val="18"/>
                <w:lang w:val="sq-AL"/>
              </w:rPr>
              <w:br/>
              <w:t xml:space="preserve">Plani Kombëtar për Përshtatje (NAP) ka për qëllim të reduktojë vulnerabilitetin, ndërtimin e kapaciteteve adaptuese (përshtatëse) dhe integrimin e përshtatjes ndaj ndryshimeve klimatike, në të gjitha proceset e planifikimit dhe zhvillimit të sektorëve specifikë. </w:t>
            </w:r>
            <w:r w:rsidRPr="00B130BB">
              <w:rPr>
                <w:rFonts w:ascii="Garamond" w:eastAsia="Times New Roman" w:hAnsi="Garamond" w:cs="Times New Roman"/>
                <w:spacing w:val="-4"/>
                <w:sz w:val="18"/>
                <w:szCs w:val="18"/>
                <w:lang w:val="sq-AL"/>
              </w:rPr>
              <w:br/>
              <w:t xml:space="preserve">Akti lidhet me Planin Kombëtar të Veprimeve për zbatimin </w:t>
            </w:r>
            <w:r w:rsidRPr="00B130BB">
              <w:rPr>
                <w:rFonts w:ascii="Garamond" w:eastAsia="Times New Roman" w:hAnsi="Garamond" w:cs="Times New Roman"/>
                <w:spacing w:val="-4"/>
                <w:sz w:val="18"/>
                <w:szCs w:val="18"/>
                <w:lang w:val="sq-AL"/>
              </w:rPr>
              <w:lastRenderedPageBreak/>
              <w:t>e Strategjisë Rajonale SEE 2014–2020.</w:t>
            </w:r>
          </w:p>
        </w:tc>
        <w:tc>
          <w:tcPr>
            <w:tcW w:w="3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Po, kapitulli 27 - Mjedisi </w:t>
            </w:r>
          </w:p>
        </w:tc>
        <w:tc>
          <w:tcPr>
            <w:tcW w:w="38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2.4. Mjedisi</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24</w:t>
            </w:r>
          </w:p>
        </w:tc>
        <w:tc>
          <w:tcPr>
            <w:tcW w:w="9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Projektligj “Për ndryshimet klimatike”</w:t>
            </w:r>
          </w:p>
        </w:tc>
        <w:tc>
          <w:tcPr>
            <w:tcW w:w="46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Hartimi i legjislacionit në këtë fushë është një kërkesë e kohës. Sot ka një thirrje të përgjithshme në nivel ndërkombëtar, për të përgatitur kuadrin ligjor për çështje të klimës, por edhe reagime nga një numër shumë i madh vendesh, të aneksit 1 dhe aneksit jo-1, të Konventës kuadër për ndryshimet klimatike, të cilat kanë miratuar dhe po vazhdojnë të miratojnë akte lidhur me ndryshimet klimatike.</w:t>
            </w:r>
          </w:p>
        </w:tc>
        <w:tc>
          <w:tcPr>
            <w:tcW w:w="47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Qëllimi i këtij ligji është:</w:t>
            </w:r>
            <w:r w:rsidRPr="00B130BB">
              <w:rPr>
                <w:rFonts w:ascii="Garamond" w:eastAsia="Times New Roman" w:hAnsi="Garamond" w:cs="Times New Roman"/>
                <w:spacing w:val="-4"/>
                <w:sz w:val="18"/>
                <w:szCs w:val="18"/>
                <w:lang w:val="sq-AL"/>
              </w:rPr>
              <w:br/>
              <w:t>1. Të kontribuojë në uljen e shkarkimeve të gazeve me efekt serrë.</w:t>
            </w:r>
            <w:r w:rsidRPr="00B130BB">
              <w:rPr>
                <w:rFonts w:ascii="Garamond" w:eastAsia="Times New Roman" w:hAnsi="Garamond" w:cs="Times New Roman"/>
                <w:spacing w:val="-4"/>
                <w:sz w:val="18"/>
                <w:szCs w:val="18"/>
                <w:lang w:val="sq-AL"/>
              </w:rPr>
              <w:br/>
              <w:t>2. Të përshpejtojë përshtatjen ndaj ndryshimeve klimatike me synim zbutjen e efekteve të dëmshme të ndryshimeve klimatike.</w:t>
            </w:r>
            <w:r w:rsidRPr="00B130BB">
              <w:rPr>
                <w:rFonts w:ascii="Garamond" w:eastAsia="Times New Roman" w:hAnsi="Garamond" w:cs="Times New Roman"/>
                <w:spacing w:val="-4"/>
                <w:sz w:val="18"/>
                <w:szCs w:val="18"/>
                <w:lang w:val="sq-AL"/>
              </w:rPr>
              <w:br/>
              <w:t>3. Të kontribuojë në përpjekjet globale ndaj ndryshimeve klimatike, nëpërmjet plotësimit të detyrimeve të Republikës së Shqipërisë ndaj Konventës.</w:t>
            </w:r>
            <w:r w:rsidRPr="00B130BB">
              <w:rPr>
                <w:rFonts w:ascii="Garamond" w:eastAsia="Times New Roman" w:hAnsi="Garamond" w:cs="Times New Roman"/>
                <w:spacing w:val="-4"/>
                <w:sz w:val="18"/>
                <w:szCs w:val="18"/>
                <w:lang w:val="sq-AL"/>
              </w:rPr>
              <w:br/>
              <w:t>4. Të krijojë një kuadër gjithëpërfshirës ligjor dhe ndërinstitucional për ndërmarrj</w:t>
            </w:r>
            <w:r w:rsidRPr="00B130BB">
              <w:rPr>
                <w:rFonts w:ascii="Garamond" w:eastAsia="Times New Roman" w:hAnsi="Garamond" w:cs="Times New Roman"/>
                <w:spacing w:val="-4"/>
                <w:sz w:val="18"/>
                <w:szCs w:val="18"/>
                <w:lang w:val="sq-AL"/>
              </w:rPr>
              <w:lastRenderedPageBreak/>
              <w:t>en e veprimeve ndaj klimës në nivel kombëtar, në përputhje me legjislacionin e BE-së për ndryshimet klimatike.</w:t>
            </w:r>
          </w:p>
        </w:tc>
        <w:tc>
          <w:tcPr>
            <w:tcW w:w="6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Ligji krijon bazën ligjore për hartimin e shumë akteve të tjera nënligjore në fushën e ndryshimeve klimatike që duhet të miratohen në vijim, për të përafruar direktiva e rregullore të tjera të BE-së në këtë fushë.</w:t>
            </w:r>
          </w:p>
        </w:tc>
        <w:tc>
          <w:tcPr>
            <w:tcW w:w="58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Projektligji përcakton objektivat kombëtarë me synim zvogëlimin e efekteve të dëmshme të ndryshimeve klimatike dhe për të kontribuar në përgjigjen globale ndaj tyre</w:t>
            </w:r>
            <w:r w:rsidRPr="00B130BB">
              <w:rPr>
                <w:rFonts w:ascii="Garamond" w:eastAsia="Times New Roman" w:hAnsi="Garamond" w:cs="Times New Roman"/>
                <w:spacing w:val="-4"/>
                <w:sz w:val="18"/>
                <w:szCs w:val="18"/>
                <w:lang w:val="sq-AL"/>
              </w:rPr>
              <w:br/>
              <w:t>Akti lidhet me SNM 2017–2021</w:t>
            </w:r>
          </w:p>
        </w:tc>
        <w:tc>
          <w:tcPr>
            <w:tcW w:w="3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Po, kapitulli 27 - Mjedisi </w:t>
            </w:r>
          </w:p>
        </w:tc>
        <w:tc>
          <w:tcPr>
            <w:tcW w:w="38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2.4 Mjedisi</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25</w:t>
            </w:r>
          </w:p>
        </w:tc>
        <w:tc>
          <w:tcPr>
            <w:tcW w:w="9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“Rregullat për prodhimin, importin, eksportin, vendosjen në treg dhe përdorimin e substancave ozonholluese, si dhe e produkteve e të pajisjeve, që përmbajnë këto substanca”</w:t>
            </w:r>
          </w:p>
        </w:tc>
        <w:tc>
          <w:tcPr>
            <w:tcW w:w="46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Ky PVKM përafron plotësisht “Rregulloren (EC) Nr. 1005/2009 të Parlamentit Evropian dhe të Këshillit të 16 shtator 2009 ‘Mbi substancat që hollojnë shtresën e ozonit”. Ky PVKM del në zbatim të Nenit 35 të Ligjit Nr. 10 431, datë 09.06.2011 “Për mbrojtjen e mjedisit”, </w:t>
            </w:r>
          </w:p>
        </w:tc>
        <w:tc>
          <w:tcPr>
            <w:tcW w:w="47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te përcaktojë rregullat për importin, eksportin, vendosjen në treg dhe përdorimin e produkteve dhe të pajisjeve që përmbajnë këto substanca, në përputhje me legjislacionin evropian.</w:t>
            </w:r>
          </w:p>
        </w:tc>
        <w:tc>
          <w:tcPr>
            <w:tcW w:w="6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24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Objekti i këtij vendimi është përcaktimi i rregullave për importin, eksportin, vendosjen në treg dhe përdorimin e produkteve dhe të pajisjeve që përmbajnë këto substanca.</w:t>
            </w:r>
          </w:p>
        </w:tc>
        <w:tc>
          <w:tcPr>
            <w:tcW w:w="58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PVKM rregullon rregullat për importin, eksportin, vendosjen në treg dhe përdorimin e produkteve dhe të pajisjeve që përmbajnë këto substanca në përputhje me legjislacionin evropian.</w:t>
            </w:r>
            <w:r w:rsidRPr="00B130BB">
              <w:rPr>
                <w:rFonts w:ascii="Garamond" w:eastAsia="Times New Roman" w:hAnsi="Garamond" w:cs="Times New Roman"/>
                <w:spacing w:val="-4"/>
                <w:sz w:val="18"/>
                <w:szCs w:val="18"/>
                <w:lang w:val="sq-AL"/>
              </w:rPr>
              <w:br/>
              <w:t>Akti lidhet me SNM 2017-2021</w:t>
            </w:r>
          </w:p>
        </w:tc>
        <w:tc>
          <w:tcPr>
            <w:tcW w:w="3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po, kapitulli 27-Mjedisi </w:t>
            </w:r>
          </w:p>
        </w:tc>
        <w:tc>
          <w:tcPr>
            <w:tcW w:w="38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2.4. Mjedisi</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26</w:t>
            </w:r>
          </w:p>
        </w:tc>
        <w:tc>
          <w:tcPr>
            <w:tcW w:w="9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“Mbi kufizimet në prodhimin, vendosjen në treg dhe përdorimin e disa kimikateve dhe artikujve të caktuar të rrezikshëm”</w:t>
            </w:r>
          </w:p>
        </w:tc>
        <w:tc>
          <w:tcPr>
            <w:tcW w:w="46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Turizmit dhe Mjedisit dhe Ministri i Shëndetësisë dhe Mbrojtjes Sociale</w:t>
            </w:r>
          </w:p>
        </w:tc>
        <w:tc>
          <w:tcPr>
            <w:tcW w:w="38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PVKM del në zbatim të pikës 2 të nenit 22 të ligjit nr. 27/2016, “Për menaxhimin e kimikateve”.</w:t>
            </w:r>
          </w:p>
        </w:tc>
        <w:tc>
          <w:tcPr>
            <w:tcW w:w="47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Ky projektakt synon të përcaktojë kufizimet në prodhimin, vendosjen në treg dhe përdorimin e disa kimikateve dhe artikujve të caktuar të rrezikshëm </w:t>
            </w:r>
          </w:p>
        </w:tc>
        <w:tc>
          <w:tcPr>
            <w:tcW w:w="6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Transpozimin në vend të legjislacionit të kimikateve dhe përcaktimin e kufizimeve në prodhim, vendosjen në treg dhe përdorimin e disa kimikateve dhe artikujve të caktuar të rrezikshëm </w:t>
            </w:r>
          </w:p>
        </w:tc>
        <w:tc>
          <w:tcPr>
            <w:tcW w:w="58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kufizon prodhimin, vendosjen në treg dhe përdorimin e disa kimikateve dhe artikujve të caktuar të rrezikshëm, në përputhje me dispozitat e legjislacionit Evropian për kimikatet.</w:t>
            </w:r>
            <w:r w:rsidRPr="00B130BB">
              <w:rPr>
                <w:rFonts w:ascii="Garamond" w:eastAsia="Times New Roman" w:hAnsi="Garamond" w:cs="Times New Roman"/>
                <w:spacing w:val="-4"/>
                <w:sz w:val="18"/>
                <w:szCs w:val="18"/>
                <w:lang w:val="sq-AL"/>
              </w:rPr>
              <w:br/>
              <w:t>Akti lidhet me SNM 2017-2021</w:t>
            </w:r>
          </w:p>
        </w:tc>
        <w:tc>
          <w:tcPr>
            <w:tcW w:w="3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po , kapitulli 27 -Mjedisi si dhe në kapitullin 1, lëvizja e lirë e mallrave </w:t>
            </w:r>
          </w:p>
        </w:tc>
        <w:tc>
          <w:tcPr>
            <w:tcW w:w="38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2.4 Mjedisi</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w:t>
            </w:r>
            <w:r w:rsidRPr="00B130BB">
              <w:rPr>
                <w:rFonts w:ascii="Garamond" w:eastAsia="Times New Roman" w:hAnsi="Garamond" w:cs="Times New Roman"/>
                <w:spacing w:val="-4"/>
                <w:sz w:val="18"/>
                <w:szCs w:val="18"/>
                <w:lang w:val="sq-AL"/>
              </w:rPr>
              <w:lastRenderedPageBreak/>
              <w:t>7</w:t>
            </w:r>
          </w:p>
        </w:tc>
        <w:tc>
          <w:tcPr>
            <w:tcW w:w="9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Projektvendim “Mbi </w:t>
            </w:r>
            <w:r w:rsidRPr="00B130BB">
              <w:rPr>
                <w:rFonts w:ascii="Garamond" w:eastAsia="Times New Roman" w:hAnsi="Garamond" w:cs="Times New Roman"/>
                <w:spacing w:val="-4"/>
                <w:sz w:val="18"/>
                <w:szCs w:val="18"/>
                <w:lang w:val="sq-AL"/>
              </w:rPr>
              <w:lastRenderedPageBreak/>
              <w:t>rregullat e detajuara dhe metodat për kryerjen e vlerësimit të sigurisë së kimikatit, si dhe kërkesat specifike, përmbajtja dhe formati i dokumentit me të dhënat e sigurisë (SDS)”</w:t>
            </w:r>
          </w:p>
        </w:tc>
        <w:tc>
          <w:tcPr>
            <w:tcW w:w="46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Ministri i </w:t>
            </w:r>
            <w:r w:rsidRPr="00B130BB">
              <w:rPr>
                <w:rFonts w:ascii="Garamond" w:eastAsia="Times New Roman" w:hAnsi="Garamond" w:cs="Times New Roman"/>
                <w:spacing w:val="-4"/>
                <w:sz w:val="18"/>
                <w:szCs w:val="18"/>
                <w:lang w:val="sq-AL"/>
              </w:rPr>
              <w:lastRenderedPageBreak/>
              <w:t>Turizmit dhe Mjedisit</w:t>
            </w:r>
          </w:p>
        </w:tc>
        <w:tc>
          <w:tcPr>
            <w:tcW w:w="38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Katërm</w:t>
            </w:r>
            <w:r w:rsidRPr="00B130BB">
              <w:rPr>
                <w:rFonts w:ascii="Garamond" w:eastAsia="Times New Roman" w:hAnsi="Garamond" w:cs="Times New Roman"/>
                <w:spacing w:val="-4"/>
                <w:sz w:val="18"/>
                <w:szCs w:val="18"/>
                <w:lang w:val="sq-AL"/>
              </w:rPr>
              <w:lastRenderedPageBreak/>
              <w:t>ujori III</w:t>
            </w:r>
          </w:p>
        </w:tc>
        <w:tc>
          <w:tcPr>
            <w:tcW w:w="5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Ky PVKM </w:t>
            </w:r>
            <w:r w:rsidRPr="00B130BB">
              <w:rPr>
                <w:rFonts w:ascii="Garamond" w:eastAsia="Times New Roman" w:hAnsi="Garamond" w:cs="Times New Roman"/>
                <w:spacing w:val="-4"/>
                <w:sz w:val="18"/>
                <w:szCs w:val="18"/>
                <w:lang w:val="sq-AL"/>
              </w:rPr>
              <w:lastRenderedPageBreak/>
              <w:t>del në zbatim të pikës 3, të nenit 13 dhe pikës 5 të nenit 15 të Ligjit nr. 27/ 2016, “Për menaxhimin e kimikateve”.</w:t>
            </w:r>
          </w:p>
        </w:tc>
        <w:tc>
          <w:tcPr>
            <w:tcW w:w="47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Qëllimi i </w:t>
            </w:r>
            <w:r w:rsidRPr="00B130BB">
              <w:rPr>
                <w:rFonts w:ascii="Garamond" w:eastAsia="Times New Roman" w:hAnsi="Garamond" w:cs="Times New Roman"/>
                <w:spacing w:val="-4"/>
                <w:sz w:val="18"/>
                <w:szCs w:val="18"/>
                <w:lang w:val="sq-AL"/>
              </w:rPr>
              <w:lastRenderedPageBreak/>
              <w:t xml:space="preserve">PVKM është të miratoje Kërkesat specifike, përmbajtja dhe formati i dokumentit me të dhënat e sigurisë </w:t>
            </w:r>
          </w:p>
        </w:tc>
        <w:tc>
          <w:tcPr>
            <w:tcW w:w="6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Ky </w:t>
            </w:r>
            <w:r w:rsidRPr="00B130BB">
              <w:rPr>
                <w:rFonts w:ascii="Garamond" w:eastAsia="Times New Roman" w:hAnsi="Garamond" w:cs="Times New Roman"/>
                <w:spacing w:val="-4"/>
                <w:sz w:val="18"/>
                <w:szCs w:val="18"/>
                <w:lang w:val="sq-AL"/>
              </w:rPr>
              <w:lastRenderedPageBreak/>
              <w:t xml:space="preserve">projektvendim ka si objektiv transpozimin e legjislacionit evropian lidhur me Kërkesat specifike, përmbajtjen dhe formatin e dokumentit me të dhënat e sigurisë </w:t>
            </w:r>
          </w:p>
        </w:tc>
        <w:tc>
          <w:tcPr>
            <w:tcW w:w="58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Përcakton </w:t>
            </w:r>
            <w:r w:rsidRPr="00B130BB">
              <w:rPr>
                <w:rFonts w:ascii="Garamond" w:eastAsia="Times New Roman" w:hAnsi="Garamond" w:cs="Times New Roman"/>
                <w:spacing w:val="-4"/>
                <w:sz w:val="18"/>
                <w:szCs w:val="18"/>
                <w:lang w:val="sq-AL"/>
              </w:rPr>
              <w:lastRenderedPageBreak/>
              <w:t>rregullat e detajuara dhe metodat për kryerjen e vlerësimit të sigurisë së kimikatit, si dhe kërkesat specifike, përmbajtja dhe formati i dokumentit me të dhënat e sigurisë (SDS)”</w:t>
            </w:r>
            <w:r w:rsidRPr="00B130BB">
              <w:rPr>
                <w:rFonts w:ascii="Garamond" w:eastAsia="Times New Roman" w:hAnsi="Garamond" w:cs="Times New Roman"/>
                <w:spacing w:val="-4"/>
                <w:sz w:val="18"/>
                <w:szCs w:val="18"/>
                <w:lang w:val="sq-AL"/>
              </w:rPr>
              <w:br/>
              <w:t>Akti lidhet me SNM 2017-2021</w:t>
            </w:r>
          </w:p>
        </w:tc>
        <w:tc>
          <w:tcPr>
            <w:tcW w:w="3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po , </w:t>
            </w:r>
            <w:r w:rsidRPr="00B130BB">
              <w:rPr>
                <w:rFonts w:ascii="Garamond" w:eastAsia="Times New Roman" w:hAnsi="Garamond" w:cs="Times New Roman"/>
                <w:spacing w:val="-4"/>
                <w:sz w:val="18"/>
                <w:szCs w:val="18"/>
                <w:lang w:val="sq-AL"/>
              </w:rPr>
              <w:lastRenderedPageBreak/>
              <w:t xml:space="preserve">kapitulli 27-Mjedisi si dhe në kapitullin 1, lëvizja e lirë e mallrave </w:t>
            </w:r>
          </w:p>
        </w:tc>
        <w:tc>
          <w:tcPr>
            <w:tcW w:w="38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 2.4 </w:t>
            </w:r>
            <w:r w:rsidRPr="00B130BB">
              <w:rPr>
                <w:rFonts w:ascii="Garamond" w:eastAsia="Times New Roman" w:hAnsi="Garamond" w:cs="Times New Roman"/>
                <w:spacing w:val="-4"/>
                <w:sz w:val="18"/>
                <w:szCs w:val="18"/>
                <w:lang w:val="sq-AL"/>
              </w:rPr>
              <w:lastRenderedPageBreak/>
              <w:t>Mjedisi</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28</w:t>
            </w:r>
          </w:p>
        </w:tc>
        <w:tc>
          <w:tcPr>
            <w:tcW w:w="9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miratimin e Planit Kombëtar të Veprimit për Heqjen nga Përdorimi dhe Eliminimin e Ndotësve Organikë të Qëndrueshëm (NOQ), të rishikuar dhe përditësuar”</w:t>
            </w:r>
          </w:p>
        </w:tc>
        <w:tc>
          <w:tcPr>
            <w:tcW w:w="46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Ky projektvendim hartohet në zbatim të pikës 4, të nenit 21, të ligjit nr. 10431, datë 09.06.2011 “Për mbrojtjen e Mjedisit”, të ndryshuar. PVKM synon të miratojë Planin Kombëtar të Veprimit për Heqjen nga Përdorimi dhe Eliminimin e Ndotësve Organikë të Qëndrueshëm (NOQ), i rishikuar dhe i përditësuar, duke përmbushur kërkesat e Konventës së Stokholmit dhe realizuar objektivat e vendit, për reduktimin, ndalimin </w:t>
            </w:r>
            <w:r w:rsidRPr="00B130BB">
              <w:rPr>
                <w:rFonts w:ascii="Garamond" w:eastAsia="Times New Roman" w:hAnsi="Garamond" w:cs="Times New Roman"/>
                <w:spacing w:val="-4"/>
                <w:sz w:val="18"/>
                <w:szCs w:val="18"/>
                <w:lang w:val="sq-AL"/>
              </w:rPr>
              <w:lastRenderedPageBreak/>
              <w:t>dhe eliminimin e NOQ-ve, si dhe të promovojë planifikimin strategjik për zhvillimin e qëndrueshëm.</w:t>
            </w:r>
          </w:p>
        </w:tc>
        <w:tc>
          <w:tcPr>
            <w:tcW w:w="47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Qëllimi i këtij projektakti është miratimi i Planit Kombëtar të Veprimit për Heqjen nga Përdorimi dhe Eliminimin e Ndotësve Organikë të Qëndrueshëm (NOQ), i rishikuar dhe i përditësuar, të realizuar në zbatim të Konventës së Stokholmit për Ndotësit Organik të Qëndrueshëm.</w:t>
            </w:r>
          </w:p>
        </w:tc>
        <w:tc>
          <w:tcPr>
            <w:tcW w:w="6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Objektivi i këtij projekakti është të finalizojë Planin Kombëtar të Veprimit për Heqjen nga Përdorimi dhe Eliminimin e Ndotësve Organikë të Qëndrueshëm (NOQ), i rishikuar dhe i përditësuar, duke e miratuar atë. Pas miratimit nga Qeveria Shqiptare, Plani Kombëtar do të raportohet në Sekretariatin e Konventës së Stokholmit.</w:t>
            </w:r>
          </w:p>
        </w:tc>
        <w:tc>
          <w:tcPr>
            <w:tcW w:w="58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ky projektakt: </w:t>
            </w:r>
          </w:p>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1. Miraton Planin Kombëtar të Veprimit për Heqjen nga Përdorimi dhe Eliminimin e Ndotësve Organikë të Qëndrueshëm (NOQ), i rishikuar dhe i përditësuar, realizuar në zbatim të Konventës së Stokholmit për Ndotësit Organik të Qëndrueshëm. </w:t>
            </w:r>
          </w:p>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2. I hap rrugë raportimit të Planit Kombëtar të Veprimit, pranë Sekretariatit të Konventës së Stokholmit. </w:t>
            </w:r>
          </w:p>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 Identifikon institucionet përgjegjëse që do angazhohen në zbatimin e këtij plani dhe masave të identifikuara në të.</w:t>
            </w:r>
            <w:r w:rsidRPr="00B130BB">
              <w:rPr>
                <w:rFonts w:ascii="Garamond" w:eastAsia="Times New Roman" w:hAnsi="Garamond" w:cs="Times New Roman"/>
                <w:spacing w:val="-4"/>
                <w:sz w:val="18"/>
                <w:szCs w:val="18"/>
                <w:lang w:val="sq-AL"/>
              </w:rPr>
              <w:br/>
              <w:t xml:space="preserve">Akti lidhet </w:t>
            </w:r>
            <w:r w:rsidRPr="00B130BB">
              <w:rPr>
                <w:rFonts w:ascii="Garamond" w:eastAsia="Times New Roman" w:hAnsi="Garamond" w:cs="Times New Roman"/>
                <w:spacing w:val="-4"/>
                <w:sz w:val="18"/>
                <w:szCs w:val="18"/>
                <w:lang w:val="sq-AL"/>
              </w:rPr>
              <w:lastRenderedPageBreak/>
              <w:t xml:space="preserve">me SNM 2017–2021 </w:t>
            </w:r>
          </w:p>
        </w:tc>
        <w:tc>
          <w:tcPr>
            <w:tcW w:w="3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po , kapitulli 27-Mjedisi si dhe në kapitullin 1, lëvizja e lire e mallrave </w:t>
            </w:r>
          </w:p>
        </w:tc>
        <w:tc>
          <w:tcPr>
            <w:tcW w:w="38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2.4. Mjedisi</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29</w:t>
            </w:r>
          </w:p>
        </w:tc>
        <w:tc>
          <w:tcPr>
            <w:tcW w:w="9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“Për një ndryshim në vendimin nr. 453, datë 23.6.2005, të Këshillit të Ministrave, “Për miratimin e listës së pajisjeve, që përdorin lëndë ozonholluese, të cilat ndalohen të prodhohen e të importohen, si dhe rregullat e procedurat e zëvendësimit të lëndëve ozonholluese në pajisjet ekzistuese”, të ndryshuar”, </w:t>
            </w:r>
          </w:p>
        </w:tc>
        <w:tc>
          <w:tcPr>
            <w:tcW w:w="46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Rishikimi i vendimit të Këshillit të Ministrave të sipërcituar bëhet në përputhje me Reformën e Deregulimit, e cila është një nismë e qeverisë për të thjeshtuar procedurat administrative për shërbimet e ofruara ndaj personave fizikë/juridikë. Baza ligjore për nxjerrjen e tij është neni 35, pika 1 dhe neni 72, pika 3 e ligjit nr. 10431, datë 09.06.2011 “Për mbrojtjen e mjedisit”, të ndryshuar.</w:t>
            </w:r>
          </w:p>
        </w:tc>
        <w:tc>
          <w:tcPr>
            <w:tcW w:w="47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Qëllimi i projektvendimit është të lehtësojë personat fizik/juridik nga procedurat administrative lidhur me dhënien e Licencës së Importit të Substancave Ozonholluese. </w:t>
            </w:r>
          </w:p>
        </w:tc>
        <w:tc>
          <w:tcPr>
            <w:tcW w:w="6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Objektivi i këtij projektvendimi është thjeshtimi i procedurës së aplikimit për personin fizik/juridik që kërkon të pajiset me Licencën e Importit të Substancave Ozonholluese.</w:t>
            </w:r>
          </w:p>
        </w:tc>
        <w:tc>
          <w:tcPr>
            <w:tcW w:w="58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24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Pas miratimit të këtij projektvendimi, personi fizik/juridik do të ketë një procedurë më të thjeshtuar, ku nevojiten më pak dokumente për t’u përgatitur dhe konkretisht hiqet kërkesa për NIPT ose sipas terminologjisë së re, Numri Unik i Identifikimit të Subjektit (NUIS).</w:t>
            </w:r>
            <w:r w:rsidRPr="00B130BB">
              <w:rPr>
                <w:rFonts w:ascii="Garamond" w:eastAsia="Times New Roman" w:hAnsi="Garamond" w:cs="Times New Roman"/>
                <w:spacing w:val="-4"/>
                <w:sz w:val="18"/>
                <w:szCs w:val="18"/>
                <w:lang w:val="sq-AL"/>
              </w:rPr>
              <w:br/>
              <w:t>Akti lidhet me SNM 2017-2021</w:t>
            </w:r>
          </w:p>
        </w:tc>
        <w:tc>
          <w:tcPr>
            <w:tcW w:w="3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38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projektakt është në përputhje me programin e qeverisë për të thjeshtuar procedurat administrative për shërbimet e ofruara ndaj personave fizikë/juridikë në fushën e Mjedisit.</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30</w:t>
            </w:r>
          </w:p>
        </w:tc>
        <w:tc>
          <w:tcPr>
            <w:tcW w:w="9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disa ndryshime në vendimin nr. 641, datë 01.10.2014, të Këshillit të Ministrave “Për miratimin e rregullave për eksportin e mbetjeve dhe kalimin transit të mbetjeve jo të rrezikshme e të mbetjeve inerte”</w:t>
            </w:r>
          </w:p>
        </w:tc>
        <w:tc>
          <w:tcPr>
            <w:tcW w:w="46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24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Rishikimi i Vendimit nr. 641, datë 1.10.2014, të Këshillit të Ministrave “Për miratimin e rregullave për eksportin e </w:t>
            </w:r>
            <w:r w:rsidRPr="00B130BB">
              <w:rPr>
                <w:rFonts w:ascii="Garamond" w:eastAsia="Times New Roman" w:hAnsi="Garamond" w:cs="Times New Roman"/>
                <w:spacing w:val="-4"/>
                <w:sz w:val="18"/>
                <w:szCs w:val="18"/>
                <w:lang w:val="sq-AL"/>
              </w:rPr>
              <w:lastRenderedPageBreak/>
              <w:t>mbetjeve dhe kalimin transit të mbetjeve jo të rrezikshme e të mbetjeve inerte”, bëhet në përputhje me reformën e deregulimit e cila është një nismë e qeverisë për të thjeshtuar procedurat administrative për shërbimet e ofruara ndaj personave fizikë/juridikë në fushën e mjedisit.</w:t>
            </w:r>
          </w:p>
        </w:tc>
        <w:tc>
          <w:tcPr>
            <w:tcW w:w="47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Qëllimi i projektvendimit është të lehtësojë personat fizik/juridik nga procedurat administrative lidhur me </w:t>
            </w:r>
            <w:r w:rsidRPr="00B130BB">
              <w:rPr>
                <w:rFonts w:ascii="Garamond" w:eastAsia="Times New Roman" w:hAnsi="Garamond" w:cs="Times New Roman"/>
                <w:spacing w:val="-4"/>
                <w:sz w:val="18"/>
                <w:szCs w:val="18"/>
                <w:lang w:val="sq-AL"/>
              </w:rPr>
              <w:lastRenderedPageBreak/>
              <w:t xml:space="preserve">dhënien e autorizimeve për eksport të mbetjeve. </w:t>
            </w:r>
          </w:p>
        </w:tc>
        <w:tc>
          <w:tcPr>
            <w:tcW w:w="6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Objektivi i këtij projektvendimi është thjeshtimi i procedurës së aplikimit për personin fizik/juridik që kërkon të pajiset me autorizim eksporti të mbetjeve, në kuadër të reformës së </w:t>
            </w:r>
            <w:r w:rsidRPr="00B130BB">
              <w:rPr>
                <w:rFonts w:ascii="Garamond" w:eastAsia="Times New Roman" w:hAnsi="Garamond" w:cs="Times New Roman"/>
                <w:spacing w:val="-4"/>
                <w:sz w:val="18"/>
                <w:szCs w:val="18"/>
                <w:lang w:val="sq-AL"/>
              </w:rPr>
              <w:lastRenderedPageBreak/>
              <w:t xml:space="preserve">deregulimit. </w:t>
            </w:r>
          </w:p>
        </w:tc>
        <w:tc>
          <w:tcPr>
            <w:tcW w:w="58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Pas miratimit të këtij projektvendimi, personi fizik/juridik do të ketë një procedurë më të thjeshtuar, ku nevojiten më pak dokumente për t’u </w:t>
            </w:r>
            <w:r w:rsidRPr="00B130BB">
              <w:rPr>
                <w:rFonts w:ascii="Garamond" w:eastAsia="Times New Roman" w:hAnsi="Garamond" w:cs="Times New Roman"/>
                <w:spacing w:val="-4"/>
                <w:sz w:val="18"/>
                <w:szCs w:val="18"/>
                <w:lang w:val="sq-AL"/>
              </w:rPr>
              <w:lastRenderedPageBreak/>
              <w:t>përgatitur dhe konkretisht hiqet kërkesa për NIPT dhe kërkesa për kopje të lejes së mjedisit dhe licencës III.2B</w:t>
            </w:r>
            <w:r w:rsidRPr="00B130BB">
              <w:rPr>
                <w:rFonts w:ascii="Garamond" w:eastAsia="Times New Roman" w:hAnsi="Garamond" w:cs="Times New Roman"/>
                <w:spacing w:val="-4"/>
                <w:sz w:val="18"/>
                <w:szCs w:val="18"/>
                <w:lang w:val="sq-AL"/>
              </w:rPr>
              <w:br/>
              <w:t>Akti lidhet me me strategjinë sektoriale të menaxhimit të mbetjeve</w:t>
            </w:r>
          </w:p>
        </w:tc>
        <w:tc>
          <w:tcPr>
            <w:tcW w:w="3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38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Rishikimi i Vendimit të Këshillit të Ministrave bëhet në përputhje me progra</w:t>
            </w:r>
            <w:r w:rsidRPr="00B130BB">
              <w:rPr>
                <w:rFonts w:ascii="Garamond" w:eastAsia="Times New Roman" w:hAnsi="Garamond" w:cs="Times New Roman"/>
                <w:spacing w:val="-4"/>
                <w:sz w:val="18"/>
                <w:szCs w:val="18"/>
                <w:lang w:val="sq-AL"/>
              </w:rPr>
              <w:lastRenderedPageBreak/>
              <w:t>min e qeverisë për të thjeshtuar procedurat administrative për shërbimet e ofruara ndaj personave fizikë/juridikë në fushën e mjedisit në kuadër të reformës së deregulimit.</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31</w:t>
            </w:r>
          </w:p>
        </w:tc>
        <w:tc>
          <w:tcPr>
            <w:tcW w:w="9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24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“Disa ndryshime në vendimin e Këshillit të Ministrave nr. 1353, datë 10.10.2008 “Për përcaktimin e rregullave për paraqitjen e kërkesës, mbajtjen dhe plotësimin e dokumentacionit teknik, si dhe të kritereve e të procedurave të zvogëlimit të sipërfaqes e të vëllimit të fondit pyjor” të ndryshuar</w:t>
            </w:r>
          </w:p>
        </w:tc>
        <w:tc>
          <w:tcPr>
            <w:tcW w:w="46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Rishikimi i Vendimit të Këshillit të Ministrave të sipërcituar bëhet në përputhje me Reformën e Deregulimit, e cila është një nismë e qeverisë për të thjeshtuar procedurat administrative për shërbimet e ofruara ndaj personave fizikë/juridikë.</w:t>
            </w:r>
          </w:p>
        </w:tc>
        <w:tc>
          <w:tcPr>
            <w:tcW w:w="47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Të reduktojë dokumentacionin e kërkuar për procedurën për bizneset dhe subjektet</w:t>
            </w:r>
          </w:p>
        </w:tc>
        <w:tc>
          <w:tcPr>
            <w:tcW w:w="6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Amendimi i këtij projektvendimi plotëson kuadrin nënligjor, i cili do të mundësojë lehtësimin e procedurave për subjektet e interesuara për heqje të fondit pyjor për shkak të ushtrimit të aktiviteteve ekonomike të miratuara paraprakisht nga një Ministri e linjës. </w:t>
            </w:r>
          </w:p>
        </w:tc>
        <w:tc>
          <w:tcPr>
            <w:tcW w:w="58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Projektakti rregullon procedurën e kërkesës të subjekteve që operojnë mbi fondin pyjor dhe redukton numrin e dokumenteve të kërkuar. Reduktimi i dokumentacionit lidhet ngushtë me reflektimin e Institucionit propozues për të digjitalizuar informacionin dhe për ta lëshuar atë </w:t>
            </w:r>
            <w:r w:rsidRPr="00B130BB">
              <w:rPr>
                <w:rFonts w:ascii="Garamond" w:eastAsia="Times New Roman" w:hAnsi="Garamond" w:cs="Times New Roman"/>
                <w:i/>
                <w:spacing w:val="-4"/>
                <w:sz w:val="18"/>
                <w:szCs w:val="18"/>
                <w:lang w:val="sq-AL"/>
              </w:rPr>
              <w:t>online</w:t>
            </w:r>
          </w:p>
        </w:tc>
        <w:tc>
          <w:tcPr>
            <w:tcW w:w="3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38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projektakt është në përputhje me programin e qeverisë për të thjeshtuar procedurat administrative për shërbimet e ofruara ndaj personave fizikë/juridikë në fushën e Mjedisit.</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w:t>
            </w:r>
            <w:r w:rsidRPr="00B130BB">
              <w:rPr>
                <w:rFonts w:ascii="Garamond" w:eastAsia="Times New Roman" w:hAnsi="Garamond" w:cs="Times New Roman"/>
                <w:spacing w:val="-4"/>
                <w:sz w:val="18"/>
                <w:szCs w:val="18"/>
                <w:lang w:val="sq-AL"/>
              </w:rPr>
              <w:lastRenderedPageBreak/>
              <w:t>2</w:t>
            </w:r>
          </w:p>
        </w:tc>
        <w:tc>
          <w:tcPr>
            <w:tcW w:w="9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Projektvendim “Disa </w:t>
            </w:r>
            <w:r w:rsidRPr="00B130BB">
              <w:rPr>
                <w:rFonts w:ascii="Garamond" w:eastAsia="Times New Roman" w:hAnsi="Garamond" w:cs="Times New Roman"/>
                <w:spacing w:val="-4"/>
                <w:sz w:val="18"/>
                <w:szCs w:val="18"/>
                <w:lang w:val="sq-AL"/>
              </w:rPr>
              <w:lastRenderedPageBreak/>
              <w:t>shtesa dhe ndryshime në vendimin e Këshillit të Ministrave nr. 1374, datë 10.10.2008 “Për përcaktimin e rregullave dhe të procedurave, që ndiqen për heqjen, shtimin dhe ndryshimin e destinacionit të fondit kullosor” të ndryshuar</w:t>
            </w:r>
          </w:p>
        </w:tc>
        <w:tc>
          <w:tcPr>
            <w:tcW w:w="46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Ministri i </w:t>
            </w:r>
            <w:r w:rsidRPr="00B130BB">
              <w:rPr>
                <w:rFonts w:ascii="Garamond" w:eastAsia="Times New Roman" w:hAnsi="Garamond" w:cs="Times New Roman"/>
                <w:spacing w:val="-4"/>
                <w:sz w:val="18"/>
                <w:szCs w:val="18"/>
                <w:lang w:val="sq-AL"/>
              </w:rPr>
              <w:lastRenderedPageBreak/>
              <w:t>Turizmit dhe Mjedisit</w:t>
            </w:r>
          </w:p>
        </w:tc>
        <w:tc>
          <w:tcPr>
            <w:tcW w:w="389"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Katërm</w:t>
            </w:r>
            <w:r w:rsidRPr="00B130BB">
              <w:rPr>
                <w:rFonts w:ascii="Garamond" w:eastAsia="Times New Roman" w:hAnsi="Garamond" w:cs="Times New Roman"/>
                <w:spacing w:val="-4"/>
                <w:sz w:val="18"/>
                <w:szCs w:val="18"/>
                <w:lang w:val="sq-AL"/>
              </w:rPr>
              <w:lastRenderedPageBreak/>
              <w:t>ujori I</w:t>
            </w:r>
          </w:p>
        </w:tc>
        <w:tc>
          <w:tcPr>
            <w:tcW w:w="5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Rishikimi i </w:t>
            </w:r>
            <w:r w:rsidRPr="00B130BB">
              <w:rPr>
                <w:rFonts w:ascii="Garamond" w:eastAsia="Times New Roman" w:hAnsi="Garamond" w:cs="Times New Roman"/>
                <w:spacing w:val="-4"/>
                <w:sz w:val="18"/>
                <w:szCs w:val="18"/>
                <w:lang w:val="sq-AL"/>
              </w:rPr>
              <w:lastRenderedPageBreak/>
              <w:t>Vendimit të Këshillit të Ministrave të sipërcituar bëhet në përputhje me Reformën e Deregulimit, e cila është një nismë e qeverisë për të thjeshtuar procedurat administrative për shërbimet e ofruara ndaj personave fizikë/juridikë.</w:t>
            </w:r>
          </w:p>
        </w:tc>
        <w:tc>
          <w:tcPr>
            <w:tcW w:w="47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Të </w:t>
            </w:r>
            <w:r w:rsidRPr="00B130BB">
              <w:rPr>
                <w:rFonts w:ascii="Garamond" w:eastAsia="Times New Roman" w:hAnsi="Garamond" w:cs="Times New Roman"/>
                <w:spacing w:val="-4"/>
                <w:sz w:val="18"/>
                <w:szCs w:val="18"/>
                <w:lang w:val="sq-AL"/>
              </w:rPr>
              <w:lastRenderedPageBreak/>
              <w:t>reduktojë dokumentacionin e kërkuar për procedurën për bizneset dhe subjektet</w:t>
            </w:r>
          </w:p>
        </w:tc>
        <w:tc>
          <w:tcPr>
            <w:tcW w:w="6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Amendimi i </w:t>
            </w:r>
            <w:r w:rsidRPr="00B130BB">
              <w:rPr>
                <w:rFonts w:ascii="Garamond" w:eastAsia="Times New Roman" w:hAnsi="Garamond" w:cs="Times New Roman"/>
                <w:spacing w:val="-4"/>
                <w:sz w:val="18"/>
                <w:szCs w:val="18"/>
                <w:lang w:val="sq-AL"/>
              </w:rPr>
              <w:lastRenderedPageBreak/>
              <w:t xml:space="preserve">këtij projektvendimi plotëson kuadrin nënligjor, i cili do të mundësojë lehtësimin e procedurave për subjektet e interesuara për heqje të fondit pyjor për shkak të ushtrimit të aktiviteteve ekonomike të miratuara paraprakisht nga një Ministri e linjës. </w:t>
            </w:r>
          </w:p>
        </w:tc>
        <w:tc>
          <w:tcPr>
            <w:tcW w:w="58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Projektakti </w:t>
            </w:r>
            <w:r w:rsidRPr="00B130BB">
              <w:rPr>
                <w:rFonts w:ascii="Garamond" w:eastAsia="Times New Roman" w:hAnsi="Garamond" w:cs="Times New Roman"/>
                <w:spacing w:val="-4"/>
                <w:sz w:val="18"/>
                <w:szCs w:val="18"/>
                <w:lang w:val="sq-AL"/>
              </w:rPr>
              <w:lastRenderedPageBreak/>
              <w:t xml:space="preserve">rregullon procedurën e kërkesës të subjekteve që operojnë mbi fondin Kullosor dhe redukton numrin e dokumenteve të kërkuar. Reduktimi i dokumentacionit lidhet ngushtë me reflektimin e Institucionit propozues për të digjitalizuar informacionin dhe për ta lëshuar atë </w:t>
            </w:r>
            <w:r w:rsidRPr="00B130BB">
              <w:rPr>
                <w:rFonts w:ascii="Garamond" w:eastAsia="Times New Roman" w:hAnsi="Garamond" w:cs="Times New Roman"/>
                <w:i/>
                <w:spacing w:val="-4"/>
                <w:sz w:val="18"/>
                <w:szCs w:val="18"/>
                <w:lang w:val="sq-AL"/>
              </w:rPr>
              <w:t>online</w:t>
            </w:r>
          </w:p>
        </w:tc>
        <w:tc>
          <w:tcPr>
            <w:tcW w:w="3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38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Ky </w:t>
            </w:r>
            <w:r w:rsidRPr="00B130BB">
              <w:rPr>
                <w:rFonts w:ascii="Garamond" w:eastAsia="Times New Roman" w:hAnsi="Garamond" w:cs="Times New Roman"/>
                <w:spacing w:val="-4"/>
                <w:sz w:val="18"/>
                <w:szCs w:val="18"/>
                <w:lang w:val="sq-AL"/>
              </w:rPr>
              <w:lastRenderedPageBreak/>
              <w:t>projektakt është në përputhje me programin e qeverisë për të thjeshtuar procedurat administrative për shërbimet e ofruara ndaj personave fizikë/juridikë në fushën e Mjedisit.</w:t>
            </w:r>
          </w:p>
        </w:tc>
      </w:tr>
      <w:tr w:rsidR="00B130BB" w:rsidRPr="00B130BB" w:rsidTr="00842C95">
        <w:trPr>
          <w:trHeight w:val="180"/>
        </w:trPr>
        <w:tc>
          <w:tcPr>
            <w:tcW w:w="153" w:type="pct"/>
            <w:tcBorders>
              <w:top w:val="nil"/>
              <w:left w:val="nil"/>
              <w:bottom w:val="nil"/>
              <w:right w:val="nil"/>
            </w:tcBorders>
            <w:shd w:val="clear" w:color="auto" w:fill="auto"/>
            <w:vAlign w:val="bottom"/>
            <w:hideMark/>
          </w:tcPr>
          <w:p w:rsidR="00B130BB" w:rsidRPr="00B130BB" w:rsidRDefault="00B130BB" w:rsidP="00B130BB">
            <w:pPr>
              <w:spacing w:after="0" w:line="240" w:lineRule="auto"/>
              <w:rPr>
                <w:rFonts w:ascii="Garamond" w:eastAsia="Times New Roman" w:hAnsi="Garamond" w:cs="Times New Roman"/>
                <w:color w:val="000000"/>
                <w:spacing w:val="-4"/>
                <w:sz w:val="18"/>
                <w:szCs w:val="18"/>
                <w:lang w:val="sq-AL"/>
              </w:rPr>
            </w:pPr>
          </w:p>
        </w:tc>
        <w:tc>
          <w:tcPr>
            <w:tcW w:w="998" w:type="pct"/>
            <w:tcBorders>
              <w:top w:val="nil"/>
              <w:left w:val="nil"/>
              <w:bottom w:val="nil"/>
              <w:right w:val="nil"/>
            </w:tcBorders>
            <w:shd w:val="clear" w:color="auto" w:fill="auto"/>
            <w:vAlign w:val="bottom"/>
            <w:hideMark/>
          </w:tcPr>
          <w:p w:rsidR="00B130BB" w:rsidRPr="00B130BB" w:rsidRDefault="00B130BB" w:rsidP="00B130BB">
            <w:pPr>
              <w:spacing w:after="0" w:line="240" w:lineRule="auto"/>
              <w:rPr>
                <w:rFonts w:ascii="Garamond" w:eastAsia="Times New Roman" w:hAnsi="Garamond" w:cs="Times New Roman"/>
                <w:color w:val="000000"/>
                <w:spacing w:val="-4"/>
                <w:sz w:val="18"/>
                <w:szCs w:val="18"/>
                <w:lang w:val="sq-AL"/>
              </w:rPr>
            </w:pPr>
          </w:p>
        </w:tc>
        <w:tc>
          <w:tcPr>
            <w:tcW w:w="469" w:type="pct"/>
            <w:tcBorders>
              <w:top w:val="nil"/>
              <w:left w:val="nil"/>
              <w:bottom w:val="nil"/>
              <w:right w:val="nil"/>
            </w:tcBorders>
            <w:shd w:val="clear" w:color="auto" w:fill="auto"/>
            <w:vAlign w:val="bottom"/>
            <w:hideMark/>
          </w:tcPr>
          <w:p w:rsidR="00B130BB" w:rsidRPr="00B130BB" w:rsidRDefault="00B130BB" w:rsidP="00B130BB">
            <w:pPr>
              <w:spacing w:after="0" w:line="240" w:lineRule="auto"/>
              <w:rPr>
                <w:rFonts w:ascii="Garamond" w:eastAsia="Times New Roman" w:hAnsi="Garamond" w:cs="Times New Roman"/>
                <w:color w:val="000000"/>
                <w:spacing w:val="-4"/>
                <w:sz w:val="18"/>
                <w:szCs w:val="18"/>
                <w:lang w:val="sq-AL"/>
              </w:rPr>
            </w:pPr>
          </w:p>
        </w:tc>
        <w:tc>
          <w:tcPr>
            <w:tcW w:w="389" w:type="pct"/>
            <w:tcBorders>
              <w:top w:val="nil"/>
              <w:left w:val="nil"/>
              <w:bottom w:val="nil"/>
              <w:right w:val="nil"/>
            </w:tcBorders>
            <w:shd w:val="clear" w:color="auto" w:fill="auto"/>
            <w:vAlign w:val="bottom"/>
            <w:hideMark/>
          </w:tcPr>
          <w:p w:rsidR="00B130BB" w:rsidRPr="00B130BB" w:rsidRDefault="00B130BB" w:rsidP="00B130BB">
            <w:pPr>
              <w:spacing w:after="0" w:line="240" w:lineRule="auto"/>
              <w:rPr>
                <w:rFonts w:ascii="Garamond" w:eastAsia="Times New Roman" w:hAnsi="Garamond" w:cs="Times New Roman"/>
                <w:color w:val="000000"/>
                <w:spacing w:val="-4"/>
                <w:sz w:val="18"/>
                <w:szCs w:val="18"/>
                <w:lang w:val="sq-AL"/>
              </w:rPr>
            </w:pPr>
          </w:p>
        </w:tc>
        <w:tc>
          <w:tcPr>
            <w:tcW w:w="525" w:type="pct"/>
            <w:tcBorders>
              <w:top w:val="nil"/>
              <w:left w:val="nil"/>
              <w:bottom w:val="nil"/>
              <w:right w:val="nil"/>
            </w:tcBorders>
            <w:shd w:val="clear" w:color="auto" w:fill="auto"/>
            <w:vAlign w:val="bottom"/>
            <w:hideMark/>
          </w:tcPr>
          <w:p w:rsidR="00B130BB" w:rsidRPr="00B130BB" w:rsidRDefault="00B130BB" w:rsidP="00B130BB">
            <w:pPr>
              <w:spacing w:after="0" w:line="240" w:lineRule="auto"/>
              <w:rPr>
                <w:rFonts w:ascii="Garamond" w:eastAsia="Times New Roman" w:hAnsi="Garamond" w:cs="Times New Roman"/>
                <w:color w:val="000000"/>
                <w:spacing w:val="-4"/>
                <w:sz w:val="18"/>
                <w:szCs w:val="18"/>
                <w:lang w:val="sq-AL"/>
              </w:rPr>
            </w:pPr>
          </w:p>
        </w:tc>
        <w:tc>
          <w:tcPr>
            <w:tcW w:w="471" w:type="pct"/>
            <w:tcBorders>
              <w:top w:val="nil"/>
              <w:left w:val="nil"/>
              <w:bottom w:val="nil"/>
              <w:right w:val="nil"/>
            </w:tcBorders>
            <w:shd w:val="clear" w:color="auto" w:fill="auto"/>
            <w:vAlign w:val="bottom"/>
            <w:hideMark/>
          </w:tcPr>
          <w:p w:rsidR="00B130BB" w:rsidRPr="00B130BB" w:rsidRDefault="00B130BB" w:rsidP="00B130BB">
            <w:pPr>
              <w:spacing w:after="0" w:line="240" w:lineRule="auto"/>
              <w:rPr>
                <w:rFonts w:ascii="Garamond" w:eastAsia="Times New Roman" w:hAnsi="Garamond" w:cs="Times New Roman"/>
                <w:color w:val="000000"/>
                <w:spacing w:val="-4"/>
                <w:sz w:val="18"/>
                <w:szCs w:val="18"/>
                <w:lang w:val="sq-AL"/>
              </w:rPr>
            </w:pPr>
          </w:p>
        </w:tc>
        <w:tc>
          <w:tcPr>
            <w:tcW w:w="684" w:type="pct"/>
            <w:tcBorders>
              <w:top w:val="nil"/>
              <w:left w:val="nil"/>
              <w:bottom w:val="nil"/>
              <w:right w:val="nil"/>
            </w:tcBorders>
            <w:shd w:val="clear" w:color="auto" w:fill="auto"/>
            <w:vAlign w:val="bottom"/>
            <w:hideMark/>
          </w:tcPr>
          <w:p w:rsidR="00B130BB" w:rsidRPr="00B130BB" w:rsidRDefault="00B130BB" w:rsidP="00B130BB">
            <w:pPr>
              <w:spacing w:after="0" w:line="240" w:lineRule="auto"/>
              <w:rPr>
                <w:rFonts w:ascii="Garamond" w:eastAsia="Times New Roman" w:hAnsi="Garamond" w:cs="Times New Roman"/>
                <w:color w:val="000000"/>
                <w:spacing w:val="-4"/>
                <w:sz w:val="18"/>
                <w:szCs w:val="18"/>
                <w:lang w:val="sq-AL"/>
              </w:rPr>
            </w:pPr>
          </w:p>
        </w:tc>
        <w:tc>
          <w:tcPr>
            <w:tcW w:w="588" w:type="pct"/>
            <w:tcBorders>
              <w:top w:val="nil"/>
              <w:left w:val="nil"/>
              <w:bottom w:val="nil"/>
              <w:right w:val="nil"/>
            </w:tcBorders>
            <w:shd w:val="clear" w:color="auto" w:fill="auto"/>
            <w:vAlign w:val="bottom"/>
            <w:hideMark/>
          </w:tcPr>
          <w:p w:rsidR="00B130BB" w:rsidRPr="00B130BB" w:rsidRDefault="00B130BB" w:rsidP="00B130BB">
            <w:pPr>
              <w:spacing w:after="0" w:line="240" w:lineRule="auto"/>
              <w:rPr>
                <w:rFonts w:ascii="Garamond" w:eastAsia="Times New Roman" w:hAnsi="Garamond" w:cs="Times New Roman"/>
                <w:color w:val="000000"/>
                <w:spacing w:val="-4"/>
                <w:sz w:val="18"/>
                <w:szCs w:val="18"/>
                <w:lang w:val="sq-AL"/>
              </w:rPr>
            </w:pPr>
          </w:p>
        </w:tc>
        <w:tc>
          <w:tcPr>
            <w:tcW w:w="340" w:type="pct"/>
            <w:tcBorders>
              <w:top w:val="nil"/>
              <w:left w:val="nil"/>
              <w:bottom w:val="nil"/>
              <w:right w:val="nil"/>
            </w:tcBorders>
            <w:shd w:val="clear" w:color="auto" w:fill="auto"/>
            <w:vAlign w:val="bottom"/>
            <w:hideMark/>
          </w:tcPr>
          <w:p w:rsidR="00B130BB" w:rsidRPr="00B130BB" w:rsidRDefault="00B130BB" w:rsidP="00B130BB">
            <w:pPr>
              <w:spacing w:after="0" w:line="240" w:lineRule="auto"/>
              <w:rPr>
                <w:rFonts w:ascii="Garamond" w:eastAsia="Times New Roman" w:hAnsi="Garamond" w:cs="Times New Roman"/>
                <w:color w:val="000000"/>
                <w:spacing w:val="-4"/>
                <w:sz w:val="18"/>
                <w:szCs w:val="18"/>
                <w:lang w:val="sq-AL"/>
              </w:rPr>
            </w:pPr>
          </w:p>
        </w:tc>
        <w:tc>
          <w:tcPr>
            <w:tcW w:w="383" w:type="pct"/>
            <w:tcBorders>
              <w:top w:val="nil"/>
              <w:left w:val="nil"/>
              <w:bottom w:val="nil"/>
              <w:right w:val="nil"/>
            </w:tcBorders>
            <w:shd w:val="clear" w:color="auto" w:fill="auto"/>
            <w:vAlign w:val="bottom"/>
            <w:hideMark/>
          </w:tcPr>
          <w:p w:rsidR="00B130BB" w:rsidRPr="00B130BB" w:rsidRDefault="00B130BB" w:rsidP="00B130BB">
            <w:pPr>
              <w:spacing w:after="0" w:line="240" w:lineRule="auto"/>
              <w:rPr>
                <w:rFonts w:ascii="Garamond" w:eastAsia="Times New Roman" w:hAnsi="Garamond" w:cs="Times New Roman"/>
                <w:color w:val="000000"/>
                <w:spacing w:val="-4"/>
                <w:sz w:val="18"/>
                <w:szCs w:val="18"/>
                <w:lang w:val="sq-AL"/>
              </w:rPr>
            </w:pPr>
          </w:p>
        </w:tc>
      </w:tr>
    </w:tbl>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tbl>
      <w:tblPr>
        <w:tblW w:w="5000" w:type="pct"/>
        <w:tblLook w:val="04A0" w:firstRow="1" w:lastRow="0" w:firstColumn="1" w:lastColumn="0" w:noHBand="0" w:noVBand="1"/>
      </w:tblPr>
      <w:tblGrid>
        <w:gridCol w:w="402"/>
        <w:gridCol w:w="1095"/>
        <w:gridCol w:w="1169"/>
        <w:gridCol w:w="869"/>
        <w:gridCol w:w="868"/>
        <w:gridCol w:w="1098"/>
        <w:gridCol w:w="1169"/>
        <w:gridCol w:w="1242"/>
        <w:gridCol w:w="808"/>
        <w:gridCol w:w="856"/>
      </w:tblGrid>
      <w:tr w:rsidR="00B130BB" w:rsidRPr="00B130BB" w:rsidTr="00842C95">
        <w:trPr>
          <w:trHeight w:val="180"/>
        </w:trPr>
        <w:tc>
          <w:tcPr>
            <w:tcW w:w="5000" w:type="pct"/>
            <w:gridSpan w:val="10"/>
            <w:tcBorders>
              <w:top w:val="nil"/>
              <w:left w:val="nil"/>
              <w:bottom w:val="nil"/>
              <w:right w:val="nil"/>
            </w:tcBorders>
            <w:shd w:val="clear" w:color="auto" w:fill="auto"/>
            <w:vAlign w:val="bottom"/>
            <w:hideMark/>
          </w:tcPr>
          <w:p w:rsidR="00B130BB" w:rsidRPr="00B130BB" w:rsidRDefault="00B130BB" w:rsidP="00B130BB">
            <w:pPr>
              <w:spacing w:after="0" w:line="240" w:lineRule="auto"/>
              <w:jc w:val="center"/>
              <w:rPr>
                <w:rFonts w:ascii="Garamond" w:eastAsia="Times New Roman" w:hAnsi="Garamond" w:cs="Times New Roman"/>
                <w:b/>
                <w:bCs/>
                <w:color w:val="000000"/>
                <w:spacing w:val="-4"/>
                <w:sz w:val="18"/>
                <w:szCs w:val="18"/>
                <w:lang w:val="sq-AL"/>
              </w:rPr>
            </w:pPr>
            <w:bookmarkStart w:id="4" w:name="RANGE!A1:J28"/>
          </w:p>
          <w:p w:rsidR="00B130BB" w:rsidRPr="00B130BB" w:rsidRDefault="00B130BB" w:rsidP="00B130BB">
            <w:pPr>
              <w:spacing w:after="0" w:line="240" w:lineRule="auto"/>
              <w:jc w:val="center"/>
              <w:rPr>
                <w:rFonts w:ascii="Garamond" w:eastAsia="Times New Roman" w:hAnsi="Garamond" w:cs="Times New Roman"/>
                <w:b/>
                <w:bCs/>
                <w:color w:val="000000"/>
                <w:spacing w:val="-4"/>
                <w:sz w:val="18"/>
                <w:szCs w:val="18"/>
                <w:lang w:val="sq-AL"/>
              </w:rPr>
            </w:pPr>
            <w:r w:rsidRPr="00B130BB">
              <w:rPr>
                <w:rFonts w:ascii="Garamond" w:eastAsia="Times New Roman" w:hAnsi="Garamond" w:cs="Times New Roman"/>
                <w:b/>
                <w:bCs/>
                <w:color w:val="000000"/>
                <w:spacing w:val="-4"/>
                <w:sz w:val="18"/>
                <w:szCs w:val="18"/>
                <w:lang w:val="sq-AL"/>
              </w:rPr>
              <w:t>PROGRAMI I PËRGJITHSHËM ANALITIK I PROJEKTAKTEVE PËR VITIN 2018</w:t>
            </w:r>
            <w:bookmarkEnd w:id="4"/>
          </w:p>
        </w:tc>
      </w:tr>
      <w:tr w:rsidR="00B130BB" w:rsidRPr="00B130BB" w:rsidTr="00842C95">
        <w:trPr>
          <w:trHeight w:val="180"/>
        </w:trPr>
        <w:tc>
          <w:tcPr>
            <w:tcW w:w="5000" w:type="pct"/>
            <w:gridSpan w:val="10"/>
            <w:tcBorders>
              <w:top w:val="nil"/>
              <w:left w:val="nil"/>
              <w:bottom w:val="nil"/>
              <w:right w:val="nil"/>
            </w:tcBorders>
            <w:shd w:val="clear" w:color="auto" w:fill="auto"/>
            <w:vAlign w:val="bottom"/>
            <w:hideMark/>
          </w:tcPr>
          <w:p w:rsidR="00B130BB" w:rsidRPr="00B130BB" w:rsidRDefault="00B130BB" w:rsidP="00B130BB">
            <w:pPr>
              <w:spacing w:after="0" w:line="240" w:lineRule="auto"/>
              <w:jc w:val="center"/>
              <w:rPr>
                <w:rFonts w:ascii="Garamond" w:eastAsia="Times New Roman" w:hAnsi="Garamond" w:cs="Times New Roman"/>
                <w:b/>
                <w:bCs/>
                <w:color w:val="000000"/>
                <w:spacing w:val="-4"/>
                <w:sz w:val="18"/>
                <w:szCs w:val="18"/>
                <w:lang w:val="sq-AL"/>
              </w:rPr>
            </w:pPr>
            <w:r w:rsidRPr="00B130BB">
              <w:rPr>
                <w:rFonts w:ascii="Garamond" w:eastAsia="Times New Roman" w:hAnsi="Garamond" w:cs="Times New Roman"/>
                <w:b/>
                <w:bCs/>
                <w:color w:val="000000"/>
                <w:spacing w:val="-4"/>
                <w:sz w:val="18"/>
                <w:szCs w:val="18"/>
                <w:lang w:val="sq-AL"/>
              </w:rPr>
              <w:t>MINISTRIA E SHËNDETËSISË DHE MBROJTJES SOCIALE</w:t>
            </w:r>
          </w:p>
        </w:tc>
      </w:tr>
      <w:tr w:rsidR="00B130BB" w:rsidRPr="00B130BB" w:rsidTr="00842C95">
        <w:trPr>
          <w:trHeight w:val="180"/>
        </w:trPr>
        <w:tc>
          <w:tcPr>
            <w:tcW w:w="153" w:type="pct"/>
            <w:tcBorders>
              <w:top w:val="single" w:sz="4" w:space="0" w:color="FFFFFF"/>
              <w:left w:val="single" w:sz="4" w:space="0" w:color="FFFFFF"/>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Nr.</w:t>
            </w:r>
          </w:p>
        </w:tc>
        <w:tc>
          <w:tcPr>
            <w:tcW w:w="1060"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Titulli i projektaktit</w:t>
            </w:r>
          </w:p>
        </w:tc>
        <w:tc>
          <w:tcPr>
            <w:tcW w:w="496"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Ministri propozues dhe bashkëpropo</w:t>
            </w:r>
            <w:r w:rsidRPr="00B130BB">
              <w:rPr>
                <w:rFonts w:ascii="Garamond" w:eastAsia="Times New Roman" w:hAnsi="Garamond" w:cs="Times New Roman"/>
                <w:b/>
                <w:bCs/>
                <w:color w:val="FFFFFF"/>
                <w:spacing w:val="-4"/>
                <w:sz w:val="18"/>
                <w:szCs w:val="18"/>
                <w:lang w:val="sq-AL"/>
              </w:rPr>
              <w:lastRenderedPageBreak/>
              <w:t xml:space="preserve">zues </w:t>
            </w:r>
          </w:p>
        </w:tc>
        <w:tc>
          <w:tcPr>
            <w:tcW w:w="231"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lastRenderedPageBreak/>
              <w:t>Katërmujori</w:t>
            </w:r>
          </w:p>
        </w:tc>
        <w:tc>
          <w:tcPr>
            <w:tcW w:w="500"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Arsyeja e nxjerrjes së projekta</w:t>
            </w:r>
            <w:r w:rsidRPr="00B130BB">
              <w:rPr>
                <w:rFonts w:ascii="Garamond" w:eastAsia="Times New Roman" w:hAnsi="Garamond" w:cs="Times New Roman"/>
                <w:b/>
                <w:bCs/>
                <w:color w:val="FFFFFF"/>
                <w:spacing w:val="-4"/>
                <w:sz w:val="18"/>
                <w:szCs w:val="18"/>
                <w:lang w:val="sq-AL"/>
              </w:rPr>
              <w:lastRenderedPageBreak/>
              <w:t>ktit</w:t>
            </w:r>
          </w:p>
        </w:tc>
        <w:tc>
          <w:tcPr>
            <w:tcW w:w="637"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lastRenderedPageBreak/>
              <w:t>Qëllimi i projektaktit</w:t>
            </w:r>
          </w:p>
        </w:tc>
        <w:tc>
          <w:tcPr>
            <w:tcW w:w="473"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Objektivat që kërkon të realizojë projektakti</w:t>
            </w:r>
          </w:p>
        </w:tc>
        <w:tc>
          <w:tcPr>
            <w:tcW w:w="568"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Çështjet që rregullon projektakti</w:t>
            </w:r>
          </w:p>
        </w:tc>
        <w:tc>
          <w:tcPr>
            <w:tcW w:w="487"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Lidhja me Planin Kombët</w:t>
            </w:r>
            <w:r w:rsidRPr="00B130BB">
              <w:rPr>
                <w:rFonts w:ascii="Garamond" w:eastAsia="Times New Roman" w:hAnsi="Garamond" w:cs="Times New Roman"/>
                <w:b/>
                <w:bCs/>
                <w:color w:val="FFFFFF"/>
                <w:spacing w:val="-4"/>
                <w:sz w:val="18"/>
                <w:szCs w:val="18"/>
                <w:lang w:val="sq-AL"/>
              </w:rPr>
              <w:lastRenderedPageBreak/>
              <w:t>ar për Integrimin Evropian</w:t>
            </w:r>
          </w:p>
        </w:tc>
        <w:tc>
          <w:tcPr>
            <w:tcW w:w="396"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lastRenderedPageBreak/>
              <w:t xml:space="preserve">Lidhja me programin </w:t>
            </w:r>
            <w:r w:rsidRPr="00B130BB">
              <w:rPr>
                <w:rFonts w:ascii="Garamond" w:eastAsia="Times New Roman" w:hAnsi="Garamond" w:cs="Times New Roman"/>
                <w:b/>
                <w:bCs/>
                <w:color w:val="FFFFFF"/>
                <w:spacing w:val="-4"/>
                <w:sz w:val="18"/>
                <w:szCs w:val="18"/>
                <w:lang w:val="sq-AL"/>
              </w:rPr>
              <w:lastRenderedPageBreak/>
              <w:t>qeverisës 2017-2021</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w:t>
            </w:r>
          </w:p>
        </w:tc>
        <w:tc>
          <w:tcPr>
            <w:tcW w:w="106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“Për disa shtesa dhe ndryshime në Ligjin nr. 9106, datë 17.03.2003 “Për shërbimin spitalor në RSH”, i ndryshuar</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Shëndetësisë dhe Mbrojtjes Sociale</w:t>
            </w:r>
          </w:p>
        </w:tc>
        <w:tc>
          <w:tcPr>
            <w:tcW w:w="2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0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Riorganizimi i shërbimit shëndetësor spitalor në Republikën e Shqipërisë. Ndryshimi i mënyrës së financimit është një arsye për të ndërmarrë ndryshimin e këtij projektligji.</w:t>
            </w:r>
          </w:p>
        </w:tc>
        <w:tc>
          <w:tcPr>
            <w:tcW w:w="6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rregullave për mënyrën e organizimit dhe funksionimit të shërbimit spitalor në Republikën e Shqipërisë parë edhe në këndvështrimin e ndryshimeve të legjislacionit për arsimin e lartë dhe mënyrës së financimit të spitaleve.</w:t>
            </w:r>
          </w:p>
        </w:tc>
        <w:tc>
          <w:tcPr>
            <w:tcW w:w="4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Përmirësimi i shërbimit shëndetësor spitalor në RSH</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rregullave për ndarjet e shërbimit spitalor në baze të niveleve, spitale në nivel terciar rajonal, bashkiak dhe ditor. Rritja e autonomisë se spitaleve</w:t>
            </w:r>
            <w:r w:rsidRPr="00B130BB">
              <w:rPr>
                <w:rFonts w:ascii="Garamond" w:eastAsia="Times New Roman" w:hAnsi="Garamond" w:cs="Times New Roman"/>
                <w:spacing w:val="-4"/>
                <w:sz w:val="18"/>
                <w:szCs w:val="18"/>
                <w:lang w:val="sq-AL"/>
              </w:rPr>
              <w:br/>
              <w:t xml:space="preserve">Akti lidhet me Strategjinë Kombëtare të shëndetësisë 2016–2020 </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396"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w:t>
            </w:r>
          </w:p>
        </w:tc>
        <w:tc>
          <w:tcPr>
            <w:tcW w:w="106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“Për disa shtesa dhe ndryshime në Ligjin nr. 10107, date 30.3.2009 “Për kujdesin shëndetësor në Republikën e Shqipërisë” i ndryshuar</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Shëndetësisë dhe Mbrojtjes Sociale</w:t>
            </w:r>
          </w:p>
        </w:tc>
        <w:tc>
          <w:tcPr>
            <w:tcW w:w="2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0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Riorganizimi i sistemit të licencimit të punonjësve të shëndetësisë dhe jo vetëm</w:t>
            </w:r>
          </w:p>
        </w:tc>
        <w:tc>
          <w:tcPr>
            <w:tcW w:w="6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Qëllimi i rishikimit të këtij projektligji lidhet me hartimin e një neni të ri për profesionistët shëndetësorë dhe mënyrën e ushtrimit të profesionit të tyre.</w:t>
            </w:r>
          </w:p>
        </w:tc>
        <w:tc>
          <w:tcPr>
            <w:tcW w:w="4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Objektivi është vendosja e disa rregullave për mënyrën e ushtrimit të profesionit për profesionistët e shëndetësisë</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Ndryshime që lidhen me sistemin e informacionit shëndetësor elektronik, auditin klinik, mbikëqyrjen e institucioneve</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3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w:t>
            </w:r>
          </w:p>
        </w:tc>
        <w:tc>
          <w:tcPr>
            <w:tcW w:w="106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Projektligj “Për disa shtesa dhe ndryshim në ligjin nr. 9942, datë 26.6.2008, “Për parandalimin e çrregullimeve të shkaktuara nga pamjaftueshmëria e jodit në organizmin e </w:t>
            </w:r>
            <w:r w:rsidRPr="00B130BB">
              <w:rPr>
                <w:rFonts w:ascii="Garamond" w:eastAsia="Times New Roman" w:hAnsi="Garamond" w:cs="Times New Roman"/>
                <w:spacing w:val="-4"/>
                <w:sz w:val="18"/>
                <w:szCs w:val="18"/>
                <w:lang w:val="sq-AL"/>
              </w:rPr>
              <w:lastRenderedPageBreak/>
              <w:t>njeriut”, të ndryshuar</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Shëndetësisë dhe Mbrojtjes Sociale</w:t>
            </w:r>
          </w:p>
        </w:tc>
        <w:tc>
          <w:tcPr>
            <w:tcW w:w="2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0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Ndryshimet në burimet e furnizimit me kripë të jodizuar në vend kërkojnë forcimin e monitorimit dhe inspektimit të fabrikave që prodhojn</w:t>
            </w:r>
            <w:r w:rsidRPr="00B130BB">
              <w:rPr>
                <w:rFonts w:ascii="Garamond" w:eastAsia="Times New Roman" w:hAnsi="Garamond" w:cs="Times New Roman"/>
                <w:spacing w:val="-4"/>
                <w:sz w:val="18"/>
                <w:szCs w:val="18"/>
                <w:lang w:val="sq-AL"/>
              </w:rPr>
              <w:lastRenderedPageBreak/>
              <w:t xml:space="preserve">ë dhe/ ose jodizojnë kripën. Zhvillimi i kapaciteteve të Inspektorëve të Shëndetit Shtetëror. </w:t>
            </w:r>
          </w:p>
        </w:tc>
        <w:tc>
          <w:tcPr>
            <w:tcW w:w="6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Forcimi i kapaciteteve institucionale në nivel kombëtar për të forcuar zbatimin e ligjit për jodizimin e përgjithshëm të kripës për parandalimin e çrregullimeve të shkaktuara nga </w:t>
            </w:r>
            <w:r w:rsidRPr="00B130BB">
              <w:rPr>
                <w:rFonts w:ascii="Garamond" w:eastAsia="Times New Roman" w:hAnsi="Garamond" w:cs="Times New Roman"/>
                <w:spacing w:val="-4"/>
                <w:sz w:val="18"/>
                <w:szCs w:val="18"/>
                <w:lang w:val="sq-AL"/>
              </w:rPr>
              <w:lastRenderedPageBreak/>
              <w:t>pamjaftueshmëria e jodit në organizmin e njeriut, nëpërmjet jodizimit të përgjithshëm të kripës, të destinuar për konsum njerëzor e shtazor dhe për përdorim në industrinë ushqimore.</w:t>
            </w:r>
          </w:p>
        </w:tc>
        <w:tc>
          <w:tcPr>
            <w:tcW w:w="4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Përmirësimi i Kuadrit rregullator për jodizimin e përgjithshëm të kripës (USI) përmes rishikimit të kornizës ekzistuese dhe propozimit të ndryshimeve të nevojshme, të formalizuara nëpërmjet një grupi ndërinstitucio</w:t>
            </w:r>
            <w:r w:rsidRPr="00B130BB">
              <w:rPr>
                <w:rFonts w:ascii="Garamond" w:eastAsia="Times New Roman" w:hAnsi="Garamond" w:cs="Times New Roman"/>
                <w:spacing w:val="-4"/>
                <w:sz w:val="18"/>
                <w:szCs w:val="18"/>
                <w:lang w:val="sq-AL"/>
              </w:rPr>
              <w:lastRenderedPageBreak/>
              <w:t>nal të punës;</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Ndryshimet në projektligj lidhem me krijimin e disa lehtësirave për bizneset kryesisht ata që e përdorin kripen vetëm për eksport dhe ata që tregtojnë kripe guri për të cilat ligji nuk ka parashikime. Vendosja e rregullave për monitorimin </w:t>
            </w:r>
            <w:r w:rsidRPr="00B130BB">
              <w:rPr>
                <w:rFonts w:ascii="Garamond" w:eastAsia="Times New Roman" w:hAnsi="Garamond" w:cs="Times New Roman"/>
                <w:spacing w:val="-4"/>
                <w:sz w:val="18"/>
                <w:szCs w:val="18"/>
                <w:lang w:val="sq-AL"/>
              </w:rPr>
              <w:lastRenderedPageBreak/>
              <w:t>dhe inspektimin e fabrikave që prodhojnë ose jonizojnë kripën.</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3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4</w:t>
            </w:r>
          </w:p>
        </w:tc>
        <w:tc>
          <w:tcPr>
            <w:tcW w:w="106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“Për miratimin e parimeve dhe udhëzimeve të praktikës së mirë të prodhimit të produkteve kozmetike </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Shëndetësisë dhe Mbrojtjes Sociale</w:t>
            </w:r>
          </w:p>
        </w:tc>
        <w:tc>
          <w:tcPr>
            <w:tcW w:w="2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0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projektakt ka për qëllim të përcaktojë rregullat e praktikës së mirë të prodhimit të produkteve kozmetike</w:t>
            </w:r>
          </w:p>
        </w:tc>
        <w:tc>
          <w:tcPr>
            <w:tcW w:w="4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Objektivi është miratimi i rregullave të praktikës së mirë të prodhimit të produkteve kozmetike</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Projektvendimi do të përcaktojë rregullat për prodhimin e produkteve kozmetike të tilla si kushtet e fabrikës , kushtet e mënyrës së prodhimit etj.</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1 “Lëvizja e lirë e mallrave” 2.4.</w:t>
            </w:r>
            <w:r w:rsidRPr="00B130BB">
              <w:rPr>
                <w:rFonts w:ascii="Garamond" w:eastAsia="Times New Roman" w:hAnsi="Garamond" w:cs="Times New Roman"/>
                <w:spacing w:val="-4"/>
                <w:sz w:val="18"/>
                <w:szCs w:val="18"/>
                <w:lang w:val="sq-AL"/>
              </w:rPr>
              <w:br/>
              <w:t>Produktet kozmetike</w:t>
            </w:r>
          </w:p>
        </w:tc>
        <w:tc>
          <w:tcPr>
            <w:tcW w:w="3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5</w:t>
            </w:r>
          </w:p>
        </w:tc>
        <w:tc>
          <w:tcPr>
            <w:tcW w:w="106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miratimin e listës së substancave të ndaluara ose me përdorim të kufizuar për produktet kozmetike”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Shëndetësisë dhe Mbrojtjes Sociale</w:t>
            </w:r>
          </w:p>
        </w:tc>
        <w:tc>
          <w:tcPr>
            <w:tcW w:w="2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0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Ky projektligj ka për qëllim të miratojë listën e substancave të ndaluara ose me përdorim të kufizuar për produktet kozmetike </w:t>
            </w:r>
          </w:p>
        </w:tc>
        <w:tc>
          <w:tcPr>
            <w:tcW w:w="4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Objektivi është miratimi I listës se substancave të ndaluara ose me përdorim të kufizuar për produktet kozmetike </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Miratimi i listës së substancave të ndaluara ose me përdorim të kufizuar për produktet kozmetike </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1 “Lëvizja e lirë e mallrave” 2.4 Produktet kozmetike</w:t>
            </w:r>
          </w:p>
        </w:tc>
        <w:tc>
          <w:tcPr>
            <w:tcW w:w="3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6</w:t>
            </w:r>
          </w:p>
        </w:tc>
        <w:tc>
          <w:tcPr>
            <w:tcW w:w="106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përcaktimin e listës së barnave në rimbursim për vitin 2018”</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Shëndetësisë dhe Mbrojtjes Sociale</w:t>
            </w:r>
          </w:p>
        </w:tc>
        <w:tc>
          <w:tcPr>
            <w:tcW w:w="2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0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Miraton listën e barnave të rimbursueshme për vitin 2018</w:t>
            </w:r>
          </w:p>
        </w:tc>
        <w:tc>
          <w:tcPr>
            <w:tcW w:w="4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ka për qëllim të miratojë listën e barnave të rimbursueshme nga skema e Fondit të Sigurimit të Detyrueshëm të Kujdesit Shëndetësor.</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I listës së barnave të rimbursueshme nga Fondi I Sigurimeve të Detyrueshme të Kujdesit Shëndetësor</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19 “Politikat Sociale dhe Punësimi” 6.3 Sigurimi shëndetësor</w:t>
            </w:r>
          </w:p>
        </w:tc>
        <w:tc>
          <w:tcPr>
            <w:tcW w:w="3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3.3 Shëndetësia dhe Kujdesi social</w:t>
            </w:r>
            <w:r w:rsidRPr="00B130BB">
              <w:rPr>
                <w:rFonts w:ascii="Garamond" w:eastAsia="Times New Roman" w:hAnsi="Garamond" w:cs="Times New Roman"/>
                <w:spacing w:val="-4"/>
                <w:sz w:val="18"/>
                <w:szCs w:val="18"/>
                <w:lang w:val="sq-AL"/>
              </w:rPr>
              <w:br/>
              <w:t>Mbulimi shëndetësor universal</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7</w:t>
            </w:r>
          </w:p>
        </w:tc>
        <w:tc>
          <w:tcPr>
            <w:tcW w:w="106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“Për disa shtesa dhe ndryshime në VKM nr. 538, datë 26.5.2009 “Për licencat dhe lejet që trajtohen nga </w:t>
            </w:r>
            <w:r w:rsidRPr="00B130BB">
              <w:rPr>
                <w:rFonts w:ascii="Garamond" w:eastAsia="Times New Roman" w:hAnsi="Garamond" w:cs="Times New Roman"/>
                <w:spacing w:val="-4"/>
                <w:sz w:val="18"/>
                <w:szCs w:val="18"/>
                <w:lang w:val="sq-AL"/>
              </w:rPr>
              <w:lastRenderedPageBreak/>
              <w:t>apo nëpërmjet qendrës kombëtare të licencimit”</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Shëndetësisë dhe Mbrojtjes Sociale</w:t>
            </w:r>
          </w:p>
        </w:tc>
        <w:tc>
          <w:tcPr>
            <w:tcW w:w="2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0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Në kuadër të deregulimit për fushën e shëndetësisë kërkohet të reflektohen ndryshime te disa licenca me qëllim lehtësimin e </w:t>
            </w:r>
            <w:r w:rsidRPr="00B130BB">
              <w:rPr>
                <w:rFonts w:ascii="Garamond" w:eastAsia="Times New Roman" w:hAnsi="Garamond" w:cs="Times New Roman"/>
                <w:spacing w:val="-4"/>
                <w:sz w:val="18"/>
                <w:szCs w:val="18"/>
                <w:lang w:val="sq-AL"/>
              </w:rPr>
              <w:lastRenderedPageBreak/>
              <w:t>procedurave</w:t>
            </w:r>
          </w:p>
        </w:tc>
        <w:tc>
          <w:tcPr>
            <w:tcW w:w="4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Objektivi është ulja e numrit të dokumenteve dhe lehtësimi i procedurave në kuadër të procesit të deregulimit</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Ndryshimet e mundshme lidhen me procesin e deregulimit, duke thjeshtuar disa nga dokumentet që kërkohen për disa licenca në </w:t>
            </w:r>
            <w:r w:rsidRPr="00B130BB">
              <w:rPr>
                <w:rFonts w:ascii="Garamond" w:eastAsia="Times New Roman" w:hAnsi="Garamond" w:cs="Times New Roman"/>
                <w:spacing w:val="-4"/>
                <w:sz w:val="18"/>
                <w:szCs w:val="18"/>
                <w:lang w:val="sq-AL"/>
              </w:rPr>
              <w:lastRenderedPageBreak/>
              <w:t>fushën e shëndetësisë</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3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Pika 3.1.1 Administrata publike dhe digjitalizimi</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8</w:t>
            </w:r>
          </w:p>
        </w:tc>
        <w:tc>
          <w:tcPr>
            <w:tcW w:w="106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miratimin e rregullores “Për mbrojtjen e publikut, punëmarrësve të ekspozuar profesionalisht dhe sigurinë ndaj ekspozimeve mjekësore me burime të rrezatimit jonizues”</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Shëndetësisë dhe Mbrojtjes Sociale</w:t>
            </w:r>
          </w:p>
        </w:tc>
        <w:tc>
          <w:tcPr>
            <w:tcW w:w="2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0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rregullave për mbrojtjen e publikut, punëmarrësve si dhe pacientit nga rrezatimet jonizuese.</w:t>
            </w:r>
          </w:p>
        </w:tc>
        <w:tc>
          <w:tcPr>
            <w:tcW w:w="4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Objektivi i këtij projektvendimi është mbrojtja e publikut ndaj ekspozimeve, të planifikuara, emergjente dhe ato ekzistuese që shkaktohen nga burimet e rrezatimeve jonizuese.</w:t>
            </w:r>
            <w:r w:rsidRPr="00B130BB">
              <w:rPr>
                <w:rFonts w:ascii="Garamond" w:eastAsia="Times New Roman" w:hAnsi="Garamond" w:cs="Times New Roman"/>
                <w:spacing w:val="-4"/>
                <w:sz w:val="18"/>
                <w:szCs w:val="18"/>
                <w:lang w:val="sq-AL"/>
              </w:rPr>
              <w:br/>
              <w:t>Mbrojtja e punëmarrësve të ekspozuar profesionalisht nga rrezatimet jonizuese</w:t>
            </w:r>
            <w:r w:rsidRPr="00B130BB">
              <w:rPr>
                <w:rFonts w:ascii="Garamond" w:eastAsia="Times New Roman" w:hAnsi="Garamond" w:cs="Times New Roman"/>
                <w:spacing w:val="-4"/>
                <w:sz w:val="18"/>
                <w:szCs w:val="18"/>
                <w:lang w:val="sq-AL"/>
              </w:rPr>
              <w:br/>
              <w:t>Siguria ndaj ekspozimeve mjekësore me burime të rrezatimit jonizues</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Çështjet që do të rregullohen lidhen me mbrojtjen e publikut ndaj ekspozimeve, të planifikuara, emergjente dhe ato ekzistuese që shkaktohen nga burimet e rrezatimeve jonizuese.</w:t>
            </w:r>
            <w:r w:rsidRPr="00B130BB">
              <w:rPr>
                <w:rFonts w:ascii="Garamond" w:eastAsia="Times New Roman" w:hAnsi="Garamond" w:cs="Times New Roman"/>
                <w:spacing w:val="-4"/>
                <w:sz w:val="18"/>
                <w:szCs w:val="18"/>
                <w:lang w:val="sq-AL"/>
              </w:rPr>
              <w:br/>
              <w:t>Mbrojtja e punëmarrësve të ekspozuar profesionalisht nga rrezatimet jonizuese</w:t>
            </w:r>
            <w:r w:rsidRPr="00B130BB">
              <w:rPr>
                <w:rFonts w:ascii="Garamond" w:eastAsia="Times New Roman" w:hAnsi="Garamond" w:cs="Times New Roman"/>
                <w:spacing w:val="-4"/>
                <w:sz w:val="18"/>
                <w:szCs w:val="18"/>
                <w:lang w:val="sq-AL"/>
              </w:rPr>
              <w:br/>
              <w:t>Siguria ndaj ekspozimeve mjekësore me burime të rrezatimit jonizues</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15 “Energjia”, IV.4 Siguria bërthamore dhe mbrojtja nga rrezatimet</w:t>
            </w:r>
          </w:p>
        </w:tc>
        <w:tc>
          <w:tcPr>
            <w:tcW w:w="3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9</w:t>
            </w:r>
          </w:p>
        </w:tc>
        <w:tc>
          <w:tcPr>
            <w:tcW w:w="106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disa shtesa dhe ndryshime në VKM-së nr. 24 datë 14.1.2015 “Për miratimin e strukturës dhe mënyrës së funksionimit dhe organizimit të Agjencisë Kombëtare të Barnave dhe Pajisjeve Mjekësore”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Shëndetësisë dhe Mbrojtjes Sociale</w:t>
            </w:r>
          </w:p>
        </w:tc>
        <w:tc>
          <w:tcPr>
            <w:tcW w:w="2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0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Qëllimi është riorganizimi i AKBPM-së duke ngritur sektorë të rinj që do të ndikojnë në mirëfunksionimin e saj</w:t>
            </w:r>
          </w:p>
        </w:tc>
        <w:tc>
          <w:tcPr>
            <w:tcW w:w="4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Organizimi i ri i punës nëpërmjet ngritjes se sektorëve të rinj që ndikojnë në mirëfunksionimin e AKBPM-së</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Krijimi i strukturës së re brenda asaj ekzistuese për laboratorët e sigurisë se barnave </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3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10</w:t>
            </w:r>
          </w:p>
        </w:tc>
        <w:tc>
          <w:tcPr>
            <w:tcW w:w="106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“Mbi zbatimin e masave të përgjithshme për mbrojtjen nga sëmundjet </w:t>
            </w:r>
            <w:r w:rsidRPr="00B130BB">
              <w:rPr>
                <w:rFonts w:ascii="Garamond" w:eastAsia="Times New Roman" w:hAnsi="Garamond" w:cs="Times New Roman"/>
                <w:spacing w:val="-4"/>
                <w:sz w:val="18"/>
                <w:szCs w:val="18"/>
                <w:lang w:val="sq-AL"/>
              </w:rPr>
              <w:lastRenderedPageBreak/>
              <w:t xml:space="preserve">infektive nga pushteti lokal, komunitetet, subjektet private dhe individët” </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Shëndetësisë dhe Mbrojtjes Sociale</w:t>
            </w:r>
          </w:p>
        </w:tc>
        <w:tc>
          <w:tcPr>
            <w:tcW w:w="2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0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Detyrim ligjor </w:t>
            </w:r>
          </w:p>
        </w:tc>
        <w:tc>
          <w:tcPr>
            <w:tcW w:w="6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Përcakton mënyrat e zbatimit të masave të përgjithshme për mbrojtjen nga sëmundjet </w:t>
            </w:r>
            <w:r w:rsidRPr="00B130BB">
              <w:rPr>
                <w:rFonts w:ascii="Garamond" w:eastAsia="Times New Roman" w:hAnsi="Garamond" w:cs="Times New Roman"/>
                <w:spacing w:val="-4"/>
                <w:sz w:val="18"/>
                <w:szCs w:val="18"/>
                <w:lang w:val="sq-AL"/>
              </w:rPr>
              <w:lastRenderedPageBreak/>
              <w:t>infektive nga pushteti lokal, komunitetet, subjektet private dhe individët.</w:t>
            </w:r>
          </w:p>
        </w:tc>
        <w:tc>
          <w:tcPr>
            <w:tcW w:w="4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Objektivi është përcaktimi I masave të përgjithshme për mbrojtjen nga sëmundjet infektive nga </w:t>
            </w:r>
            <w:r w:rsidRPr="00B130BB">
              <w:rPr>
                <w:rFonts w:ascii="Garamond" w:eastAsia="Times New Roman" w:hAnsi="Garamond" w:cs="Times New Roman"/>
                <w:spacing w:val="-4"/>
                <w:sz w:val="18"/>
                <w:szCs w:val="18"/>
                <w:lang w:val="sq-AL"/>
              </w:rPr>
              <w:lastRenderedPageBreak/>
              <w:t xml:space="preserve">pushteti lokal, komunitetet, subjektet private dhe individët </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Përcaktimi i masave të përgjithshme për mbrojtjen nga sëmundjet infektive nga pushteti lokal, komunitetet, subjektet </w:t>
            </w:r>
            <w:r w:rsidRPr="00B130BB">
              <w:rPr>
                <w:rFonts w:ascii="Garamond" w:eastAsia="Times New Roman" w:hAnsi="Garamond" w:cs="Times New Roman"/>
                <w:spacing w:val="-4"/>
                <w:sz w:val="18"/>
                <w:szCs w:val="18"/>
                <w:lang w:val="sq-AL"/>
              </w:rPr>
              <w:lastRenderedPageBreak/>
              <w:t>private dhe individët të ndryshme nga ato që janë në ligj</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3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11</w:t>
            </w:r>
          </w:p>
        </w:tc>
        <w:tc>
          <w:tcPr>
            <w:tcW w:w="106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shërbimin social shtetëror”</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Shëndetësisë dhe Mbrojtjes Sociale</w:t>
            </w:r>
          </w:p>
        </w:tc>
        <w:tc>
          <w:tcPr>
            <w:tcW w:w="2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0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Qëllimi i rishikimit është përshtatja e veprimtarisë së SHSSH-së me objektivat ligjorë</w:t>
            </w:r>
          </w:p>
        </w:tc>
        <w:tc>
          <w:tcPr>
            <w:tcW w:w="4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Mirepërcaktimi i misionit dhe funksioneve sipas ndryshimeve ligjore të ligjit 9355 “Për ndihmën ekonomike” dhe ligjit të ri të shërbimeve 121/2016</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Përcakton detyrat e SHSSH-së në nivel qendror dhe rajonal për ndihmën ekonomike, aftësinë e kufizuar dhe shërbimet shoqërore, kompetencat dhe mënyrën e administrimit të përgjithshëm. </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3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 Kujdesi Social”, f. 20</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12</w:t>
            </w:r>
          </w:p>
        </w:tc>
        <w:tc>
          <w:tcPr>
            <w:tcW w:w="106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kompensimin e ujit të pijshëm për shtresat në nevojë”</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Shëndetësisë dhe Mbrojtjes Sociale dhe Ministri i Infrastrukturës dhe Energjisë</w:t>
            </w:r>
          </w:p>
        </w:tc>
        <w:tc>
          <w:tcPr>
            <w:tcW w:w="2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0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masës së kompensimit të ujit të pijshëm për shtresat në nevojë.</w:t>
            </w:r>
          </w:p>
        </w:tc>
        <w:tc>
          <w:tcPr>
            <w:tcW w:w="6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Subvencionimi i shtresave në nevojë për të përmbushur nivelin jetik për çdo përfitues.</w:t>
            </w:r>
          </w:p>
        </w:tc>
        <w:tc>
          <w:tcPr>
            <w:tcW w:w="4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masës së kompensimit të ujit të pijshëm për shtresat në nevojë.</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Kompensimin e ujit të pijshëm për shtresat në nevojë për të garantuar normën minimale jetike. </w:t>
            </w:r>
            <w:r w:rsidRPr="00B130BB">
              <w:rPr>
                <w:rFonts w:ascii="Garamond" w:eastAsia="Times New Roman" w:hAnsi="Garamond" w:cs="Times New Roman"/>
                <w:spacing w:val="-4"/>
                <w:sz w:val="18"/>
                <w:szCs w:val="18"/>
                <w:lang w:val="sq-AL"/>
              </w:rPr>
              <w:br/>
              <w:t>Akti lidhet me Strategjinë Kombëtare për Mbrojtjen Sociale 2015–2020</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3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 Kujdesi Social” f. 20</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13</w:t>
            </w:r>
          </w:p>
        </w:tc>
        <w:tc>
          <w:tcPr>
            <w:tcW w:w="106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Procedurat e Kryerjes së kontrollit të pagesave të ndihmës ekonomike dhe aftësisë së kufizuar”</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Shëndetësisë dhe Mbrojtjes Sociale</w:t>
            </w:r>
          </w:p>
        </w:tc>
        <w:tc>
          <w:tcPr>
            <w:tcW w:w="2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0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Përshtatja e metodologjisë se re të kontrollit me ndryshimet ligjore lidhur me Skemën e re të Ndihmës ekonomike dhe aftësisë se kufizuar</w:t>
            </w:r>
          </w:p>
        </w:tc>
        <w:tc>
          <w:tcPr>
            <w:tcW w:w="4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procedurave të kryerjes së kontrollit të pagesave të në dhe PAK sipas ndryshimeve ligjore lidhur me skemën e re të në dhe PAK</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Përcakton procedurat e kryerjes se kontrollit të pagesave të ndihmës ekonomike dhe aftësisë së kufizuar. </w:t>
            </w:r>
            <w:r w:rsidRPr="00B130BB">
              <w:rPr>
                <w:rFonts w:ascii="Garamond" w:eastAsia="Times New Roman" w:hAnsi="Garamond" w:cs="Times New Roman"/>
                <w:spacing w:val="-4"/>
                <w:sz w:val="18"/>
                <w:szCs w:val="18"/>
                <w:lang w:val="sq-AL"/>
              </w:rPr>
              <w:br/>
              <w:t>Akti lidhet me Strategjinë Kombëtare për Mbrojtjen Sociale 2015–2020</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3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“Kujdesi social”, f. 20</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14</w:t>
            </w:r>
          </w:p>
        </w:tc>
        <w:tc>
          <w:tcPr>
            <w:tcW w:w="106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“Për përcaktimin e shportës së shërbimeve dhe kriteret dhe procedurat e pranimit në qendrat </w:t>
            </w:r>
            <w:r w:rsidRPr="00B130BB">
              <w:rPr>
                <w:rFonts w:ascii="Garamond" w:eastAsia="Times New Roman" w:hAnsi="Garamond" w:cs="Times New Roman"/>
                <w:spacing w:val="-4"/>
                <w:sz w:val="18"/>
                <w:szCs w:val="18"/>
                <w:lang w:val="sq-AL"/>
              </w:rPr>
              <w:lastRenderedPageBreak/>
              <w:t>rezidenciale”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Shëndetësisë dhe Mbrojtjes Sociale</w:t>
            </w:r>
          </w:p>
        </w:tc>
        <w:tc>
          <w:tcPr>
            <w:tcW w:w="2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0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Projektvendimi ka për qellim ofrimin e tipologjive të reja të shërbimeve të përkujdesjes shoqërore </w:t>
            </w:r>
            <w:r w:rsidRPr="00B130BB">
              <w:rPr>
                <w:rFonts w:ascii="Garamond" w:eastAsia="Times New Roman" w:hAnsi="Garamond" w:cs="Times New Roman"/>
                <w:spacing w:val="-4"/>
                <w:sz w:val="18"/>
                <w:szCs w:val="18"/>
                <w:lang w:val="sq-AL"/>
              </w:rPr>
              <w:lastRenderedPageBreak/>
              <w:t>rezidencial për fëmijë, gra, PAK dhe të moshuar.</w:t>
            </w:r>
          </w:p>
        </w:tc>
        <w:tc>
          <w:tcPr>
            <w:tcW w:w="4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Përcaktimi i shportës së shërbimeve sipas tipologjive të reja të përcaktuara në ligj dhe përcaktimi i kritereve të </w:t>
            </w:r>
            <w:r w:rsidRPr="00B130BB">
              <w:rPr>
                <w:rFonts w:ascii="Garamond" w:eastAsia="Times New Roman" w:hAnsi="Garamond" w:cs="Times New Roman"/>
                <w:spacing w:val="-4"/>
                <w:sz w:val="18"/>
                <w:szCs w:val="18"/>
                <w:lang w:val="sq-AL"/>
              </w:rPr>
              <w:lastRenderedPageBreak/>
              <w:t>reja dhe procedurave të lehtësuara për vendosjen në institucion.</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Përcakton shportën e shërbimeve sipas tipologjive të reja të përcaktuara në ligj dhe kriteret e reja të lehtësuara për </w:t>
            </w:r>
            <w:r w:rsidRPr="00B130BB">
              <w:rPr>
                <w:rFonts w:ascii="Garamond" w:eastAsia="Times New Roman" w:hAnsi="Garamond" w:cs="Times New Roman"/>
                <w:spacing w:val="-4"/>
                <w:sz w:val="18"/>
                <w:szCs w:val="18"/>
                <w:lang w:val="sq-AL"/>
              </w:rPr>
              <w:lastRenderedPageBreak/>
              <w:t>vendosjen në institucion.</w:t>
            </w:r>
            <w:r w:rsidRPr="00B130BB">
              <w:rPr>
                <w:rFonts w:ascii="Garamond" w:eastAsia="Times New Roman" w:hAnsi="Garamond" w:cs="Times New Roman"/>
                <w:spacing w:val="-4"/>
                <w:sz w:val="18"/>
                <w:szCs w:val="18"/>
                <w:lang w:val="sq-AL"/>
              </w:rPr>
              <w:br/>
              <w:t>Akti lidhet me Strategjinë Kombëtare për Mbrojtjen Sociale 2015–2020</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3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3 Shërbimet Publike, 3.3 “Shëndetësia dhe Kujdesi Social”</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15</w:t>
            </w:r>
          </w:p>
        </w:tc>
        <w:tc>
          <w:tcPr>
            <w:tcW w:w="106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kriteret, dokumentacionin dhe procedurat për evidentimin e familjes kujdestare për fëmijët pa kujdes prindëror dhe masës së financimit për shpenzimet e fëmijës së vendosur në familje kujdestare”.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Shëndetësisë dhe Mbrojtjes Sociale</w:t>
            </w:r>
          </w:p>
        </w:tc>
        <w:tc>
          <w:tcPr>
            <w:tcW w:w="2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0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synon formalizimin e procedurës se ofrimit të shërbimit të kujdestarisë, nga familje kujdestare të përgatitura për të marrë fëmijë pa kujdes prindëror në kujdestari.</w:t>
            </w:r>
          </w:p>
        </w:tc>
        <w:tc>
          <w:tcPr>
            <w:tcW w:w="4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Garantimi i se drejtës për familje të fëmijëve pa kujdes prindëror dhe deinstitucionalizimi i fëmijëve të cilët janë të vendosur në institucione rezidenciale.</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Përcaktimin e procedurave konkrete që duhen ndjekur për të ofruar shërbim si familje kujdestare, përcaktimin e detyrave dhe rolit të administratorit shoqëror/punonjësit social të pushtetit vendor që do të asistojë këto familje dhe fëmijët që do të vendosen në kujdestari. </w:t>
            </w:r>
            <w:r w:rsidRPr="00B130BB">
              <w:rPr>
                <w:rFonts w:ascii="Garamond" w:eastAsia="Times New Roman" w:hAnsi="Garamond" w:cs="Times New Roman"/>
                <w:spacing w:val="-4"/>
                <w:sz w:val="18"/>
                <w:szCs w:val="18"/>
                <w:lang w:val="sq-AL"/>
              </w:rPr>
              <w:br/>
              <w:t>Akti lidhet me Strategjinë Kombëtare për Mbrojtjen Sociale 2015–2020</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3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 Kujdesi Social”, f. 20</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16</w:t>
            </w:r>
          </w:p>
        </w:tc>
        <w:tc>
          <w:tcPr>
            <w:tcW w:w="106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funksionimin dhe administrimin e Regjistrit Elektronik Kombëtar të shërbimeve të kujdesit shoqëror”.</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Shëndetësisë dhe Mbrojtjes Sociale</w:t>
            </w:r>
          </w:p>
        </w:tc>
        <w:tc>
          <w:tcPr>
            <w:tcW w:w="2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0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Ngritja e Regjistrit Elektronik Kombëtar dhe përcaktimi i rregullave të përdorimit të tij.</w:t>
            </w:r>
          </w:p>
        </w:tc>
        <w:tc>
          <w:tcPr>
            <w:tcW w:w="4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Digjitalizimi i të dhënave të çdo përfituesi të shërbimeve shoqërore dhe nxjerrja e raporteve në kohë reale.</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Mënyrën e përdorimit dhe të funksionimit të Regjistrit Elektronik Kombëtar dhe rolet e përdoruesve.</w:t>
            </w:r>
            <w:r w:rsidRPr="00B130BB">
              <w:rPr>
                <w:rFonts w:ascii="Garamond" w:eastAsia="Times New Roman" w:hAnsi="Garamond" w:cs="Times New Roman"/>
                <w:spacing w:val="-4"/>
                <w:sz w:val="18"/>
                <w:szCs w:val="18"/>
                <w:lang w:val="sq-AL"/>
              </w:rPr>
              <w:br/>
              <w:t>Akti lidhet me Strategjinë Kombëtare për Mbrojtjen Sociale 2015–2020</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3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 Kujdesi Social”, f. 20</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17</w:t>
            </w:r>
          </w:p>
        </w:tc>
        <w:tc>
          <w:tcPr>
            <w:tcW w:w="106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kriteret e përcaktimit të tarifave për shërbimet e kujdesit shoqëror që ofrohen nivel vendor”</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Shëndetësisë dhe Mbrojtjes Sociale</w:t>
            </w:r>
          </w:p>
        </w:tc>
        <w:tc>
          <w:tcPr>
            <w:tcW w:w="2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0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Përcaktimin e tarifave që do të paguhen nga përfituesi i shërbimit të kujdesit shoqëror të cilat do të shkojnë për mbulimin e një pjese të shpenzimeve korrente për </w:t>
            </w:r>
            <w:r w:rsidRPr="00B130BB">
              <w:rPr>
                <w:rFonts w:ascii="Garamond" w:eastAsia="Times New Roman" w:hAnsi="Garamond" w:cs="Times New Roman"/>
                <w:spacing w:val="-4"/>
                <w:sz w:val="18"/>
                <w:szCs w:val="18"/>
                <w:lang w:val="sq-AL"/>
              </w:rPr>
              <w:lastRenderedPageBreak/>
              <w:t>njësitë e shërbimit në fjalë dhe të përcaktojë për pushtetin vendor mënyrën e financimit të shërbimeve të kujdesit shoqëror si pjesë e paketës fiskale dhe buxhetit vjetor të bashkisë.</w:t>
            </w:r>
          </w:p>
        </w:tc>
        <w:tc>
          <w:tcPr>
            <w:tcW w:w="4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Garantimi i ngritjes, administrimit dhe mirëmbajtjes periodike të shërbimeve të kujdesit shoqëror të ofruara brenda territorit të bashkisë nëpërmjet </w:t>
            </w:r>
            <w:r w:rsidRPr="00B130BB">
              <w:rPr>
                <w:rFonts w:ascii="Garamond" w:eastAsia="Times New Roman" w:hAnsi="Garamond" w:cs="Times New Roman"/>
                <w:spacing w:val="-4"/>
                <w:sz w:val="18"/>
                <w:szCs w:val="18"/>
                <w:lang w:val="sq-AL"/>
              </w:rPr>
              <w:lastRenderedPageBreak/>
              <w:t>buxhetit të njësisë së qeverisjes vendore.</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Përcakton masën e pagesave që do të përfitojnë kategoritë në nevojë të vendosura në institucionet e përkujdesjes në përputhje me statusin që ata kanë (fëmijë, PAK, të moshuar, </w:t>
            </w:r>
            <w:r w:rsidRPr="00B130BB">
              <w:rPr>
                <w:rFonts w:ascii="Garamond" w:eastAsia="Times New Roman" w:hAnsi="Garamond" w:cs="Times New Roman"/>
                <w:spacing w:val="-4"/>
                <w:sz w:val="18"/>
                <w:szCs w:val="18"/>
                <w:lang w:val="sq-AL"/>
              </w:rPr>
              <w:lastRenderedPageBreak/>
              <w:t xml:space="preserve">viktima dhune, viktima trafikimi). </w:t>
            </w:r>
            <w:r w:rsidRPr="00B130BB">
              <w:rPr>
                <w:rFonts w:ascii="Garamond" w:eastAsia="Times New Roman" w:hAnsi="Garamond" w:cs="Times New Roman"/>
                <w:spacing w:val="-4"/>
                <w:sz w:val="18"/>
                <w:szCs w:val="18"/>
                <w:lang w:val="sq-AL"/>
              </w:rPr>
              <w:br/>
              <w:t>Akti lidhet me Strategjinë Kombëtare për Mbrojtjen Sociale 2015–2020</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3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 Kujdesi Social”, f. 20</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18</w:t>
            </w:r>
          </w:p>
        </w:tc>
        <w:tc>
          <w:tcPr>
            <w:tcW w:w="106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përcaktimin e listës se veprimtarive që ushtrojnë ndërmarrjet sociale”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Shëndetësisë dhe Mbrojtjes Sociale</w:t>
            </w:r>
          </w:p>
        </w:tc>
        <w:tc>
          <w:tcPr>
            <w:tcW w:w="2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0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Projektvendimi ka për qellim të përcaktojë listën konkrete të aktiviteteve sipas fushës se veprimtarisë ku mund të ushtrojnë aktivitetin ndërmarrjet sociale.</w:t>
            </w:r>
          </w:p>
        </w:tc>
        <w:tc>
          <w:tcPr>
            <w:tcW w:w="4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Ndërmarrje sociale që ushtrojnë aktivitet në përputhje me kërkesat e legjislacionit në fuqi.</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Aktivitetet e ndërmarrjeve sociale</w:t>
            </w:r>
            <w:r w:rsidRPr="00B130BB">
              <w:rPr>
                <w:rFonts w:ascii="Garamond" w:eastAsia="Times New Roman" w:hAnsi="Garamond" w:cs="Times New Roman"/>
                <w:spacing w:val="-4"/>
                <w:sz w:val="18"/>
                <w:szCs w:val="18"/>
                <w:lang w:val="sq-AL"/>
              </w:rPr>
              <w:br/>
              <w:t>Akti lidhet me Strategjinë Kombëtare për Mbrojtjen Sociale 2015–2020</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3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 Kujdesi Social”, f. 20</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19</w:t>
            </w:r>
          </w:p>
        </w:tc>
        <w:tc>
          <w:tcPr>
            <w:tcW w:w="106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format e mbështetjes nëpërmjet subvencionit”</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Shëndetësisë dhe Mbrojtjes Sociale</w:t>
            </w:r>
          </w:p>
        </w:tc>
        <w:tc>
          <w:tcPr>
            <w:tcW w:w="2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0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Projektvendimi ka për qellim mbështetjen nga shteti të ndërmarrjeve sociale nëpërmjet subvencionimit të ndërmarrjeve ose punonjësve në këto subjekte.</w:t>
            </w:r>
          </w:p>
        </w:tc>
        <w:tc>
          <w:tcPr>
            <w:tcW w:w="4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Punësimi i grupeve të pafavorizuara </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Rregullat e subvencionimit të ndërmarrjeve sociale</w:t>
            </w:r>
            <w:r w:rsidRPr="00B130BB">
              <w:rPr>
                <w:rFonts w:ascii="Garamond" w:eastAsia="Times New Roman" w:hAnsi="Garamond" w:cs="Times New Roman"/>
                <w:spacing w:val="-4"/>
                <w:sz w:val="18"/>
                <w:szCs w:val="18"/>
                <w:lang w:val="sq-AL"/>
              </w:rPr>
              <w:br/>
              <w:t>Akti lidhet me Strategjinë Kombëtare për Mbrojtjen Sociale 2015–2020</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3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 Kujdesi Social”, f. 20</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20</w:t>
            </w:r>
          </w:p>
        </w:tc>
        <w:tc>
          <w:tcPr>
            <w:tcW w:w="106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“Për miratimin e rregullores së funksionimit të Këshillit Kombëtar për të Drejtat dhe Mbrojtjen e Fëmijës” </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Shëndetësisë dhe Mbrojtjes Sociale</w:t>
            </w:r>
          </w:p>
        </w:tc>
        <w:tc>
          <w:tcPr>
            <w:tcW w:w="2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0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Ky vendim synon të përcaktojë rregullat në lidhje me funksionimin e Këshillit Kombëtar për të Drejtat dhe Mbrojtjen e Fëmijës. </w:t>
            </w:r>
          </w:p>
        </w:tc>
        <w:tc>
          <w:tcPr>
            <w:tcW w:w="4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vendim përcakton mënyrën sesi zgjidhen anëtarët, kohëzgjatjen e mandatit të tyre, organizimin dhe mbledhjet e Këshillit Kombëtar për të Drejtat dhe Mbrojtjen e Fëmijës</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Zgjedhja e anëtarëve të Këshillit Kombëtar për të Drejtat dhe Mbrojtjen e Fëmijës mandati dhe organizimi i mbledhjeve</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3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 Kujdesi Social”, f. 20</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21</w:t>
            </w:r>
          </w:p>
        </w:tc>
        <w:tc>
          <w:tcPr>
            <w:tcW w:w="106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w:t>
            </w:r>
            <w:r w:rsidRPr="00B130BB">
              <w:rPr>
                <w:rFonts w:ascii="Garamond" w:eastAsia="Times New Roman" w:hAnsi="Garamond" w:cs="Times New Roman"/>
                <w:spacing w:val="-4"/>
                <w:sz w:val="18"/>
                <w:szCs w:val="18"/>
                <w:lang w:val="sq-AL"/>
              </w:rPr>
              <w:lastRenderedPageBreak/>
              <w:t>m “Për procedurat e kryerjes së kontrollit dhe vendosjes së sanksioneve nga Agjencia Shtetërore për të Drejtat dhe Mbrojtjen e Fëmijës “</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Ministri i </w:t>
            </w:r>
            <w:r w:rsidRPr="00B130BB">
              <w:rPr>
                <w:rFonts w:ascii="Garamond" w:eastAsia="Times New Roman" w:hAnsi="Garamond" w:cs="Times New Roman"/>
                <w:spacing w:val="-4"/>
                <w:sz w:val="18"/>
                <w:szCs w:val="18"/>
                <w:lang w:val="sq-AL"/>
              </w:rPr>
              <w:lastRenderedPageBreak/>
              <w:t>Shëndetësisë dhe Mbrojtjes Sociale</w:t>
            </w:r>
          </w:p>
        </w:tc>
        <w:tc>
          <w:tcPr>
            <w:tcW w:w="2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Katërmuj</w:t>
            </w:r>
            <w:r w:rsidRPr="00B130BB">
              <w:rPr>
                <w:rFonts w:ascii="Garamond" w:eastAsia="Times New Roman" w:hAnsi="Garamond" w:cs="Times New Roman"/>
                <w:spacing w:val="-4"/>
                <w:sz w:val="18"/>
                <w:szCs w:val="18"/>
                <w:lang w:val="sq-AL"/>
              </w:rPr>
              <w:lastRenderedPageBreak/>
              <w:t>ori I</w:t>
            </w:r>
          </w:p>
        </w:tc>
        <w:tc>
          <w:tcPr>
            <w:tcW w:w="50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Detyrim </w:t>
            </w:r>
            <w:r w:rsidRPr="00B130BB">
              <w:rPr>
                <w:rFonts w:ascii="Garamond" w:eastAsia="Times New Roman" w:hAnsi="Garamond" w:cs="Times New Roman"/>
                <w:spacing w:val="-4"/>
                <w:sz w:val="18"/>
                <w:szCs w:val="18"/>
                <w:lang w:val="sq-AL"/>
              </w:rPr>
              <w:lastRenderedPageBreak/>
              <w:t>ligjor</w:t>
            </w:r>
          </w:p>
        </w:tc>
        <w:tc>
          <w:tcPr>
            <w:tcW w:w="6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Ky vendim </w:t>
            </w:r>
            <w:r w:rsidRPr="00B130BB">
              <w:rPr>
                <w:rFonts w:ascii="Garamond" w:eastAsia="Times New Roman" w:hAnsi="Garamond" w:cs="Times New Roman"/>
                <w:spacing w:val="-4"/>
                <w:sz w:val="18"/>
                <w:szCs w:val="18"/>
                <w:lang w:val="sq-AL"/>
              </w:rPr>
              <w:lastRenderedPageBreak/>
              <w:t>përcakton rregullat në lidhje me procedurën e kryerjes së kontrollit dhe vendosjes së sanksioneve nga ana e Agjencisë Shtetërore për të Drejtat dhe Mbrojtjen e Fëmijës</w:t>
            </w:r>
          </w:p>
        </w:tc>
        <w:tc>
          <w:tcPr>
            <w:tcW w:w="4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Ky vendim ka </w:t>
            </w:r>
            <w:r w:rsidRPr="00B130BB">
              <w:rPr>
                <w:rFonts w:ascii="Garamond" w:eastAsia="Times New Roman" w:hAnsi="Garamond" w:cs="Times New Roman"/>
                <w:spacing w:val="-4"/>
                <w:sz w:val="18"/>
                <w:szCs w:val="18"/>
                <w:lang w:val="sq-AL"/>
              </w:rPr>
              <w:lastRenderedPageBreak/>
              <w:t>si objektiv vendosjen e sanksioneve nga ana e Agjencisë Shtetërore për të Drejtat dhe Mbrojtjen e Fëmijës në rastet kur vëren ose dyshon se ka ndodhur një shkelje e të drejtave të fëmijës dhe nuk është realizuar mbrojtja e fëmijës në nevojë për mbrojtje, pasi strukturat përkatëse nuk kanë përmbushur detyrimet ligjore të vendosura nga ligji nr. 18/2017, “Për të drejtat dhe mbrojtjen e fëmijës”</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Vendosja e </w:t>
            </w:r>
            <w:r w:rsidRPr="00B130BB">
              <w:rPr>
                <w:rFonts w:ascii="Garamond" w:eastAsia="Times New Roman" w:hAnsi="Garamond" w:cs="Times New Roman"/>
                <w:spacing w:val="-4"/>
                <w:sz w:val="18"/>
                <w:szCs w:val="18"/>
                <w:lang w:val="sq-AL"/>
              </w:rPr>
              <w:lastRenderedPageBreak/>
              <w:t xml:space="preserve">rregullave për mënyrën e ushtrimit të kontrollit nga Agjencia Shtetërore për të Drejtat dhe Mbrojtjen e Fëmijës </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3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Kapitulli </w:t>
            </w:r>
            <w:r w:rsidRPr="00B130BB">
              <w:rPr>
                <w:rFonts w:ascii="Garamond" w:eastAsia="Times New Roman" w:hAnsi="Garamond" w:cs="Times New Roman"/>
                <w:spacing w:val="-4"/>
                <w:sz w:val="18"/>
                <w:szCs w:val="18"/>
                <w:lang w:val="sq-AL"/>
              </w:rPr>
              <w:lastRenderedPageBreak/>
              <w:t>3 Shërbimet Publike, 3.3 “Shëndetësia dhe Kujdesi Social”</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22</w:t>
            </w:r>
          </w:p>
        </w:tc>
        <w:tc>
          <w:tcPr>
            <w:tcW w:w="106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përcaktimin e rregullave të bashkëpunimit midis mekanizmave institucionale, strukturave për mbrojtjen e fëmijëve në nivel vendor dhe organizatave joftimprurëse për realizimin e politikave kombëtare dhe vendore, si dhe për shërbimet e nevojshme për mbrojtjen e fëmijëve”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Shëndetësisë dhe Mbrojtjes Sociale</w:t>
            </w:r>
          </w:p>
        </w:tc>
        <w:tc>
          <w:tcPr>
            <w:tcW w:w="2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0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vendim synon të përcaktojë rregullat e bashkëpunimit mes mekanizmave institucionalë, strukturave për mbrojtjen e fëmijëve në nivel qendror dhe vendor dhe organizatave jofitimprurëse si dhe ofrimin e shërbimeve të nevojshme për mbrojtjen e fëmijëve</w:t>
            </w:r>
          </w:p>
        </w:tc>
        <w:tc>
          <w:tcPr>
            <w:tcW w:w="4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Ky vendim ka si objektiv angazhimet konkrete që ndërmarrin mekanizmat për të drejtat dhe mbrojtjen e fëmijës në nivel qendror e vendor në kuadër të këtij bashkëpunimi. , si edhe nga ana tjetër organizatat jofitimprurëse sipas legjislacionit në fuqi për të realizuar këtë bashkëpunim. </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Vendosja e rregullave për përcaktimin e mekanizmave institucionale, strukturave për mbrojtjen e fëmijëve në nivel vendor dhe organizatave joftimprurëse për realizimin e politikave kombëtare dhe vendore, si dhe për shërbimet e nevojshme për mbrojtjen e fëmijëve</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3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3 Shërbimet publike, 3.3 “Shëndetësia dhe kujdesi social”</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23</w:t>
            </w:r>
          </w:p>
        </w:tc>
        <w:tc>
          <w:tcPr>
            <w:tcW w:w="106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bashkërendimin e veprimtarisë së mekanizmave dhe strukturave në nivel qendror dhe vendor për çështjet që lidhen me të drejtat dhe mbrojtjen e fëmijës”</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Shëndetësisë dhe Mbrojtjes Sociale</w:t>
            </w:r>
          </w:p>
        </w:tc>
        <w:tc>
          <w:tcPr>
            <w:tcW w:w="2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0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vendim përcakton bashkëpunimin mes Ministrit të Shëndetësisë dhe Mbrojtjes Sociale dhe</w:t>
            </w:r>
            <w:r w:rsidRPr="00B130BB">
              <w:rPr>
                <w:rFonts w:ascii="Garamond" w:eastAsia="Times New Roman" w:hAnsi="Garamond" w:cs="Times New Roman"/>
                <w:spacing w:val="-4"/>
                <w:sz w:val="18"/>
                <w:szCs w:val="18"/>
                <w:lang w:val="sq-AL"/>
              </w:rPr>
              <w:br/>
              <w:t>Ministrive përgjegjëse, Agjencisë Shtetërore për të Drejtat dhe Mbrojtjen e Fëmijës me ministritë përgjegjëse, Agjencisë dhe Bashkive dhe strukturave të Mbrojtjes së Fëmijëve në nivel vendor dhe grupit teknik ndërsektorial, strukturave të ministrive përgjegjëse në nivel vendor, me strukturat e mbrojtjes së fëmijëve në bashki/njësi administrative lidhur me çështjet që kanë të bëjnë me të drejtat dhe mbrojtjen e fëmijës.</w:t>
            </w:r>
          </w:p>
        </w:tc>
        <w:tc>
          <w:tcPr>
            <w:tcW w:w="4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vendim ka si objektiv në kuadër të këtij bashkëpunimi hartimin dhe zbatimin e politikave, akteve ligjore/nënligjore, studimeve dhe projekteve të përbashkëta, udhëzimeve për realizimin e të drejtave dhe mbrojtjes së fëmijës vendor.</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Vendosen rregulla për bashkërendimin e veprimtarisë së mekanizmave dhe strukturave në nivel qendror dhe vendor për çështjet që lidhen me të drejtat dhe mbrojtjen e fëmijës</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3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24</w:t>
            </w:r>
          </w:p>
        </w:tc>
        <w:tc>
          <w:tcPr>
            <w:tcW w:w="106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ngritjen dhe mënyrën e funksionimit të institucionit mjekësor të posaçëm”</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Shëndetësisë dhe Mbrojtjes Sociale</w:t>
            </w:r>
          </w:p>
        </w:tc>
        <w:tc>
          <w:tcPr>
            <w:tcW w:w="2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0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Ky vendim përcakton mënyrat dhe rregullat e ngritjes dhe funksionimit të institucioneve mjekësore të posaçme. Institucionet mjekësore të posaçme janë institucione, që shërbejnë për trajtimin </w:t>
            </w:r>
            <w:r w:rsidRPr="00B130BB">
              <w:rPr>
                <w:rFonts w:ascii="Garamond" w:eastAsia="Times New Roman" w:hAnsi="Garamond" w:cs="Times New Roman"/>
                <w:spacing w:val="-4"/>
                <w:sz w:val="18"/>
                <w:szCs w:val="18"/>
                <w:lang w:val="sq-AL"/>
              </w:rPr>
              <w:lastRenderedPageBreak/>
              <w:t xml:space="preserve">e </w:t>
            </w:r>
            <w:r w:rsidRPr="00B130BB">
              <w:rPr>
                <w:rFonts w:ascii="Garamond" w:eastAsia="Times New Roman" w:hAnsi="Garamond" w:cs="Times New Roman"/>
                <w:spacing w:val="-4"/>
                <w:sz w:val="18"/>
                <w:szCs w:val="18"/>
                <w:lang w:val="sq-AL"/>
              </w:rPr>
              <w:br/>
              <w:t>personave me çrregullime të shëndetit mendor, që kanë kryer një vepër penale, për të cilët gjykata kompetente ka vendosur mjekimin e detyruar në një institucion mjekësor të të paraburgosurve apo të të dënuarve që shfaqin çrregullime të shëndetit mendor gjatë vuajtjes së dënimit, si dhe për trajtimin e personave, për të cilët gjykata ka vendosur shtrimin e përkohshëm në një institucion mjekësor të posaçëm, sipas nenit 239 të KPRP.</w:t>
            </w:r>
          </w:p>
        </w:tc>
        <w:tc>
          <w:tcPr>
            <w:tcW w:w="4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Ngritjen dhe funksionimin e institucioneve mjekësore të posaçme, si pjesë e sistemit shëndetësor të integruar </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do të përcaktojë rregullat si infrastrukturore ashtu edhe të shërbimit që lidhen me standardet e ofrimit të shërbimit, standarde mjekësore por edhe të personelit</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3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3.3 Shëndetësia dhe Kujdesi social</w:t>
            </w:r>
            <w:r w:rsidRPr="00B130BB">
              <w:rPr>
                <w:rFonts w:ascii="Garamond" w:eastAsia="Times New Roman" w:hAnsi="Garamond" w:cs="Times New Roman"/>
                <w:spacing w:val="-4"/>
                <w:sz w:val="18"/>
                <w:szCs w:val="18"/>
                <w:lang w:val="sq-AL"/>
              </w:rPr>
              <w:br/>
              <w:t>Mbulimi shëndetësor universal</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25</w:t>
            </w:r>
          </w:p>
        </w:tc>
        <w:tc>
          <w:tcPr>
            <w:tcW w:w="106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“Për disa ndryshime në VKM-së </w:t>
            </w:r>
            <w:r w:rsidRPr="00B130BB">
              <w:rPr>
                <w:rFonts w:ascii="Garamond" w:eastAsia="Times New Roman" w:hAnsi="Garamond" w:cs="Times New Roman"/>
                <w:color w:val="000000"/>
                <w:spacing w:val="-4"/>
                <w:sz w:val="18"/>
                <w:szCs w:val="18"/>
                <w:lang w:val="sq-AL"/>
              </w:rPr>
              <w:t>nr. 787, datë 22.9.2015, “Për përbërjen e komisioneve eprore të caktimit të aftësisë për punë”</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Shëndetësisë dhe Mbrojtjes Sociale; Ministri i Financave dhe Ekonomisë dhe Ministri i Drejtësisë</w:t>
            </w:r>
          </w:p>
        </w:tc>
        <w:tc>
          <w:tcPr>
            <w:tcW w:w="2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0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projektakt ka për qellim të përcaktojë mandatin dhe rotacionin e anëtarëve të Komisioneve Eprore të caktimit të aftësisë për pune</w:t>
            </w:r>
          </w:p>
        </w:tc>
        <w:tc>
          <w:tcPr>
            <w:tcW w:w="4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Vendosja e mënyrës se rotacionit të anëtarëve të Komisioneve Eprore të caktimit të aftësisë për pune</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Vendosja e e afatit të qëndrimit dhe rotacioni i anëtarëve të komisioneve eprore të caktimit të aftësisë për pune</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3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bl>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tbl>
      <w:tblPr>
        <w:tblW w:w="5000" w:type="pct"/>
        <w:jc w:val="center"/>
        <w:tblLayout w:type="fixed"/>
        <w:tblLook w:val="04A0" w:firstRow="1" w:lastRow="0" w:firstColumn="1" w:lastColumn="0" w:noHBand="0" w:noVBand="1"/>
      </w:tblPr>
      <w:tblGrid>
        <w:gridCol w:w="293"/>
        <w:gridCol w:w="1496"/>
        <w:gridCol w:w="871"/>
        <w:gridCol w:w="772"/>
        <w:gridCol w:w="1151"/>
        <w:gridCol w:w="1130"/>
        <w:gridCol w:w="1203"/>
        <w:gridCol w:w="1055"/>
        <w:gridCol w:w="638"/>
        <w:gridCol w:w="967"/>
      </w:tblGrid>
      <w:tr w:rsidR="00B130BB" w:rsidRPr="00B130BB" w:rsidTr="00842C95">
        <w:trPr>
          <w:trHeight w:val="180"/>
          <w:jc w:val="center"/>
        </w:trPr>
        <w:tc>
          <w:tcPr>
            <w:tcW w:w="5000" w:type="pct"/>
            <w:gridSpan w:val="10"/>
            <w:tcBorders>
              <w:top w:val="nil"/>
              <w:left w:val="nil"/>
              <w:bottom w:val="nil"/>
              <w:right w:val="nil"/>
            </w:tcBorders>
            <w:shd w:val="clear" w:color="auto" w:fill="auto"/>
            <w:vAlign w:val="bottom"/>
            <w:hideMark/>
          </w:tcPr>
          <w:p w:rsidR="00B130BB" w:rsidRPr="00B130BB" w:rsidRDefault="00B130BB" w:rsidP="00B130BB">
            <w:pPr>
              <w:spacing w:after="0" w:line="240" w:lineRule="auto"/>
              <w:jc w:val="center"/>
              <w:rPr>
                <w:rFonts w:ascii="Garamond" w:eastAsia="Times New Roman" w:hAnsi="Garamond" w:cs="Times New Roman"/>
                <w:b/>
                <w:bCs/>
                <w:color w:val="000000"/>
                <w:spacing w:val="-4"/>
                <w:sz w:val="18"/>
                <w:szCs w:val="18"/>
                <w:lang w:val="sq-AL"/>
              </w:rPr>
            </w:pPr>
            <w:bookmarkStart w:id="5" w:name="RANGE!A1:J60"/>
            <w:r w:rsidRPr="00B130BB">
              <w:rPr>
                <w:rFonts w:ascii="Garamond" w:eastAsia="Times New Roman" w:hAnsi="Garamond" w:cs="Times New Roman"/>
                <w:b/>
                <w:bCs/>
                <w:color w:val="000000"/>
                <w:spacing w:val="-4"/>
                <w:sz w:val="18"/>
                <w:szCs w:val="18"/>
                <w:lang w:val="sq-AL"/>
              </w:rPr>
              <w:t>PROGRAMI I PËRGJITHSHËM ANALITIK I PROJEKTAKTEVE PËR VITIN 2018</w:t>
            </w:r>
            <w:bookmarkEnd w:id="5"/>
          </w:p>
        </w:tc>
      </w:tr>
      <w:tr w:rsidR="00B130BB" w:rsidRPr="00B130BB" w:rsidTr="00842C95">
        <w:trPr>
          <w:trHeight w:val="180"/>
          <w:jc w:val="center"/>
        </w:trPr>
        <w:tc>
          <w:tcPr>
            <w:tcW w:w="5000" w:type="pct"/>
            <w:gridSpan w:val="10"/>
            <w:tcBorders>
              <w:top w:val="nil"/>
              <w:left w:val="nil"/>
              <w:bottom w:val="single" w:sz="4" w:space="0" w:color="auto"/>
              <w:right w:val="nil"/>
            </w:tcBorders>
            <w:shd w:val="clear" w:color="auto" w:fill="auto"/>
            <w:vAlign w:val="bottom"/>
            <w:hideMark/>
          </w:tcPr>
          <w:p w:rsidR="00B130BB" w:rsidRPr="00B130BB" w:rsidRDefault="00B130BB" w:rsidP="00B130BB">
            <w:pPr>
              <w:spacing w:after="0" w:line="240" w:lineRule="auto"/>
              <w:jc w:val="center"/>
              <w:rPr>
                <w:rFonts w:ascii="Garamond" w:eastAsia="Times New Roman" w:hAnsi="Garamond" w:cs="Times New Roman"/>
                <w:b/>
                <w:bCs/>
                <w:color w:val="000000"/>
                <w:spacing w:val="-4"/>
                <w:sz w:val="18"/>
                <w:szCs w:val="18"/>
                <w:lang w:val="sq-AL"/>
              </w:rPr>
            </w:pPr>
            <w:r w:rsidRPr="00B130BB">
              <w:rPr>
                <w:rFonts w:ascii="Garamond" w:eastAsia="Times New Roman" w:hAnsi="Garamond" w:cs="Times New Roman"/>
                <w:b/>
                <w:bCs/>
                <w:color w:val="000000"/>
                <w:spacing w:val="-4"/>
                <w:sz w:val="18"/>
                <w:szCs w:val="18"/>
                <w:lang w:val="sq-AL"/>
              </w:rPr>
              <w:t>MINISTRIA E BRENDSHME</w:t>
            </w:r>
          </w:p>
        </w:tc>
      </w:tr>
      <w:tr w:rsidR="00B130BB" w:rsidRPr="00B130BB" w:rsidTr="00842C95">
        <w:trPr>
          <w:trHeight w:val="180"/>
          <w:jc w:val="center"/>
        </w:trPr>
        <w:tc>
          <w:tcPr>
            <w:tcW w:w="153" w:type="pct"/>
            <w:tcBorders>
              <w:top w:val="single" w:sz="4" w:space="0" w:color="auto"/>
              <w:left w:val="single" w:sz="4" w:space="0" w:color="auto"/>
              <w:bottom w:val="single" w:sz="4" w:space="0" w:color="auto"/>
              <w:right w:val="single" w:sz="4" w:space="0" w:color="auto"/>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Nr.</w:t>
            </w:r>
          </w:p>
        </w:tc>
        <w:tc>
          <w:tcPr>
            <w:tcW w:w="781" w:type="pct"/>
            <w:tcBorders>
              <w:top w:val="single" w:sz="4" w:space="0" w:color="auto"/>
              <w:left w:val="single" w:sz="4" w:space="0" w:color="auto"/>
              <w:bottom w:val="single" w:sz="4" w:space="0" w:color="auto"/>
              <w:right w:val="single" w:sz="4" w:space="0" w:color="auto"/>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Titulli i projektaktit</w:t>
            </w:r>
          </w:p>
        </w:tc>
        <w:tc>
          <w:tcPr>
            <w:tcW w:w="455" w:type="pct"/>
            <w:tcBorders>
              <w:top w:val="single" w:sz="4" w:space="0" w:color="auto"/>
              <w:left w:val="single" w:sz="4" w:space="0" w:color="auto"/>
              <w:bottom w:val="single" w:sz="4" w:space="0" w:color="auto"/>
              <w:right w:val="single" w:sz="4" w:space="0" w:color="auto"/>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Ministri propozues dhe bashkëpropozue</w:t>
            </w:r>
            <w:r w:rsidRPr="00B130BB">
              <w:rPr>
                <w:rFonts w:ascii="Garamond" w:eastAsia="Times New Roman" w:hAnsi="Garamond" w:cs="Times New Roman"/>
                <w:b/>
                <w:bCs/>
                <w:color w:val="FFFFFF"/>
                <w:spacing w:val="-4"/>
                <w:sz w:val="18"/>
                <w:szCs w:val="18"/>
                <w:lang w:val="sq-AL"/>
              </w:rPr>
              <w:lastRenderedPageBreak/>
              <w:t xml:space="preserve">s </w:t>
            </w:r>
          </w:p>
        </w:tc>
        <w:tc>
          <w:tcPr>
            <w:tcW w:w="403" w:type="pct"/>
            <w:tcBorders>
              <w:top w:val="single" w:sz="4" w:space="0" w:color="auto"/>
              <w:left w:val="single" w:sz="4" w:space="0" w:color="auto"/>
              <w:bottom w:val="single" w:sz="4" w:space="0" w:color="auto"/>
              <w:right w:val="single" w:sz="4" w:space="0" w:color="auto"/>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lastRenderedPageBreak/>
              <w:t>Katërmujori</w:t>
            </w:r>
          </w:p>
        </w:tc>
        <w:tc>
          <w:tcPr>
            <w:tcW w:w="601" w:type="pct"/>
            <w:tcBorders>
              <w:top w:val="single" w:sz="4" w:space="0" w:color="auto"/>
              <w:left w:val="single" w:sz="4" w:space="0" w:color="auto"/>
              <w:bottom w:val="single" w:sz="4" w:space="0" w:color="auto"/>
              <w:right w:val="single" w:sz="4" w:space="0" w:color="auto"/>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Arsyeja e nxjerrjes së projektaktit</w:t>
            </w:r>
          </w:p>
        </w:tc>
        <w:tc>
          <w:tcPr>
            <w:tcW w:w="590" w:type="pct"/>
            <w:tcBorders>
              <w:top w:val="single" w:sz="4" w:space="0" w:color="auto"/>
              <w:left w:val="single" w:sz="4" w:space="0" w:color="auto"/>
              <w:bottom w:val="single" w:sz="4" w:space="0" w:color="auto"/>
              <w:right w:val="single" w:sz="4" w:space="0" w:color="auto"/>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Qëllimi i projektaktit</w:t>
            </w:r>
          </w:p>
        </w:tc>
        <w:tc>
          <w:tcPr>
            <w:tcW w:w="628" w:type="pct"/>
            <w:tcBorders>
              <w:top w:val="single" w:sz="4" w:space="0" w:color="auto"/>
              <w:left w:val="single" w:sz="4" w:space="0" w:color="auto"/>
              <w:bottom w:val="single" w:sz="4" w:space="0" w:color="auto"/>
              <w:right w:val="single" w:sz="4" w:space="0" w:color="auto"/>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Objektivat që kërkon të realizojë projektakti</w:t>
            </w:r>
          </w:p>
        </w:tc>
        <w:tc>
          <w:tcPr>
            <w:tcW w:w="551" w:type="pct"/>
            <w:tcBorders>
              <w:top w:val="single" w:sz="4" w:space="0" w:color="auto"/>
              <w:left w:val="single" w:sz="4" w:space="0" w:color="auto"/>
              <w:bottom w:val="single" w:sz="4" w:space="0" w:color="auto"/>
              <w:right w:val="single" w:sz="4" w:space="0" w:color="auto"/>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Çështjet që rregullon projektakti</w:t>
            </w:r>
          </w:p>
        </w:tc>
        <w:tc>
          <w:tcPr>
            <w:tcW w:w="333" w:type="pct"/>
            <w:tcBorders>
              <w:top w:val="single" w:sz="4" w:space="0" w:color="auto"/>
              <w:left w:val="single" w:sz="4" w:space="0" w:color="auto"/>
              <w:bottom w:val="single" w:sz="4" w:space="0" w:color="auto"/>
              <w:right w:val="single" w:sz="4" w:space="0" w:color="auto"/>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Lidhja me Planin Kom</w:t>
            </w:r>
            <w:r w:rsidRPr="00B130BB">
              <w:rPr>
                <w:rFonts w:ascii="Garamond" w:eastAsia="Times New Roman" w:hAnsi="Garamond" w:cs="Times New Roman"/>
                <w:b/>
                <w:bCs/>
                <w:color w:val="FFFFFF"/>
                <w:spacing w:val="-4"/>
                <w:sz w:val="18"/>
                <w:szCs w:val="18"/>
                <w:lang w:val="sq-AL"/>
              </w:rPr>
              <w:lastRenderedPageBreak/>
              <w:t>bëtar për Integrimin Evropian</w:t>
            </w:r>
          </w:p>
        </w:tc>
        <w:tc>
          <w:tcPr>
            <w:tcW w:w="505" w:type="pct"/>
            <w:tcBorders>
              <w:top w:val="single" w:sz="4" w:space="0" w:color="auto"/>
              <w:left w:val="single" w:sz="4" w:space="0" w:color="auto"/>
              <w:bottom w:val="single" w:sz="4" w:space="0" w:color="auto"/>
              <w:right w:val="single" w:sz="4" w:space="0" w:color="auto"/>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lastRenderedPageBreak/>
              <w:t>Lidhja me programin qeverisës 2017-2021</w:t>
            </w:r>
          </w:p>
        </w:tc>
      </w:tr>
      <w:tr w:rsidR="00B130BB" w:rsidRPr="00B130BB" w:rsidTr="00842C95">
        <w:trPr>
          <w:trHeight w:val="180"/>
          <w:jc w:val="center"/>
        </w:trPr>
        <w:tc>
          <w:tcPr>
            <w:tcW w:w="153"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w:t>
            </w:r>
          </w:p>
        </w:tc>
        <w:tc>
          <w:tcPr>
            <w:tcW w:w="781"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disa shtesa dhe ndryshime në vendimin Nr. 256, datë 25. 3. 2015, të Këshillit të Ministrave “Për kompensimin për privacionet dhe humbjet që i shkaktohen punonjësit të Policisë së Shtetit, për shkak të nevojave të punës dhe të shërbimit”</w:t>
            </w:r>
          </w:p>
        </w:tc>
        <w:tc>
          <w:tcPr>
            <w:tcW w:w="455"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01"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i këtij projektvendimi është diktuar nga ndryshimet që solli ligji nr. 58/2017 “Për disa shtesa dhe ndryshime në ligjin nr. 108/2014 “Për Policinë e Shtetit”, të ndryshuar.</w:t>
            </w:r>
          </w:p>
        </w:tc>
        <w:tc>
          <w:tcPr>
            <w:tcW w:w="590"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Projektvendimi ka për qëllim të përcaktojë përfitimet e punonjësve të policisë për kompensim për udhëtim dhe pagesë për bashkëshorten/in, në rast të humbjes së marrëdhënieve të punës, të cilët në bazë të ligjit nr. 58/2017 “Për disa shtesa dhe ndryshime në ligjin nr. 108/2014 “Për Policinë e Shtetit”, marrin gradat “Inspektor i dytë” dhe “Inspektor i parë”. </w:t>
            </w:r>
          </w:p>
        </w:tc>
        <w:tc>
          <w:tcPr>
            <w:tcW w:w="628"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Ky projektvendim ka për objektiv të përcaktojë pagesën për kompensim udhëtimi dhe pagesën që i jepet bashkëshortes/it, në rast të humbjes së marrëdhënieve të punës, për punonjësit e policisë që për nevoja pune transferohen jashtë vendbanimit të tij dhe që në bazë të nenit 16, të ligjit 58/2017 “Për disa shtesa dhe ndryshime në ligjin nr. 108/2014 “Për Policinë e Shtetit” marrin gradat “Inspektor i dytë” dhe “Inspektor i parë”. </w:t>
            </w:r>
          </w:p>
        </w:tc>
        <w:tc>
          <w:tcPr>
            <w:tcW w:w="551"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Projektvendimi përcakton kriteret e përfitimin të kompensimeve pagesën për kompensim udhëtimi dhe pagesën që i jepet bashkëshortes/it, në rast të humbjes së marrëdhënieve të punës, për punonjësit e policisë me gradat “Inspektor i parë” dhe “Inspektor i dytë”</w:t>
            </w:r>
          </w:p>
        </w:tc>
        <w:tc>
          <w:tcPr>
            <w:tcW w:w="333"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miratimin e Planit të Veprimit 2018–2020, të Strategjisë së Rendit Publik 2015–2020.</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Në zbatim të Strategjisë së Rendit Publik 2015–2020.</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Materializon Strategjinë e Rendit Publik 2015–2020 e cila synon reformimin e Policisë së Shtetit sipas standardeve të BE.</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Realizimi i reformës në Policinë e Shtetit.</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Vazhdimi i reformës së nisur në Policinë e Shtetit dhe përmirësimi i mëtejshëm nëpërmjet zbatimit të legjislacionit të miratuar dhe ndërmarrjes së nismave të reja ligjore dhe nënligjore. </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organizimin, funksionimin dhe fushën e veprimit të policimit </w:t>
            </w:r>
            <w:r w:rsidRPr="00B130BB">
              <w:rPr>
                <w:rFonts w:ascii="Garamond" w:eastAsia="Times New Roman" w:hAnsi="Garamond" w:cs="Times New Roman"/>
                <w:spacing w:val="-4"/>
                <w:sz w:val="18"/>
                <w:szCs w:val="18"/>
                <w:lang w:val="sq-AL"/>
              </w:rPr>
              <w:lastRenderedPageBreak/>
              <w:t>vullnetar</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Në zbatim të ligjit nr. 108/2014 “Për Policinë e Shtetit, i </w:t>
            </w:r>
            <w:r w:rsidRPr="00B130BB">
              <w:rPr>
                <w:rFonts w:ascii="Garamond" w:eastAsia="Times New Roman" w:hAnsi="Garamond" w:cs="Times New Roman"/>
                <w:spacing w:val="-4"/>
                <w:sz w:val="18"/>
                <w:szCs w:val="18"/>
                <w:lang w:val="sq-AL"/>
              </w:rPr>
              <w:lastRenderedPageBreak/>
              <w:t>ndryshuar, në zbatim të nenit 76 pika 3.</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Përcaktimi i rregullave për organizimin, funksionimin dhe fushën e </w:t>
            </w:r>
            <w:r w:rsidRPr="00B130BB">
              <w:rPr>
                <w:rFonts w:ascii="Garamond" w:eastAsia="Times New Roman" w:hAnsi="Garamond" w:cs="Times New Roman"/>
                <w:spacing w:val="-4"/>
                <w:sz w:val="18"/>
                <w:szCs w:val="18"/>
                <w:lang w:val="sq-AL"/>
              </w:rPr>
              <w:lastRenderedPageBreak/>
              <w:t>veprimit për policimin vullnetar.</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Përfshirja e komunitetit në policim. Rritja e standardeve të sigurisë në </w:t>
            </w:r>
            <w:r w:rsidRPr="00B130BB">
              <w:rPr>
                <w:rFonts w:ascii="Garamond" w:eastAsia="Times New Roman" w:hAnsi="Garamond" w:cs="Times New Roman"/>
                <w:spacing w:val="-4"/>
                <w:sz w:val="18"/>
                <w:szCs w:val="18"/>
                <w:lang w:val="sq-AL"/>
              </w:rPr>
              <w:lastRenderedPageBreak/>
              <w:t>komunitet.</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Bashkëpunimi i Policisë së Shteti me komunitetin për ruajtjen </w:t>
            </w:r>
            <w:r w:rsidRPr="00B130BB">
              <w:rPr>
                <w:rFonts w:ascii="Garamond" w:eastAsia="Times New Roman" w:hAnsi="Garamond" w:cs="Times New Roman"/>
                <w:spacing w:val="-4"/>
                <w:sz w:val="18"/>
                <w:szCs w:val="18"/>
                <w:lang w:val="sq-AL"/>
              </w:rPr>
              <w:lastRenderedPageBreak/>
              <w:t>e rendit dhe qetësisë publike, parandalimin e krimit dhe përballimin e situatave të emergjencave civile. Organizimi, funksionimi dhe fusha e veprimit të policimit vullnetar.</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w:t>
            </w:r>
            <w:r w:rsidRPr="00B130BB">
              <w:rPr>
                <w:rFonts w:ascii="Garamond" w:eastAsia="Times New Roman" w:hAnsi="Garamond" w:cs="Times New Roman"/>
                <w:spacing w:val="-4"/>
                <w:sz w:val="18"/>
                <w:szCs w:val="18"/>
                <w:lang w:val="sq-AL"/>
              </w:rPr>
              <w:lastRenderedPageBreak/>
              <w:t xml:space="preserve">publike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4</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një ndryshim në vendimin nr. 55, datë 27.01.2016, të Këshillit të Ministrave “Për miratimin e paraqitjes, formës dhe specifikimeve teknike të gradave, simboleve, uniformave dhe shenjave të Policisë së Shtetit”</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Ky projektakt është i nevojshëm pasi me ndryshimet e bëra në ligjin nr. 108/2014 “Për Policinë e Shtetit”, i ndryshuar, duhen miratuar parashikimet e nevojshme për paraqitjen, formën dhe specifikimet teknike të gradës Inspektor i I dhe II. Gjithashtu, ky ndryshim do të shoqërohet edhe me uniformat e këtyre gradave. </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Në zbatim të ligjit nr. 58/2017 “Për disa ndryshime dhe shtesa në ligjin nr. 108/2014, “Për Policinë e Shtetit”, të ndryshuar, Neni 14, janë shtuar gradat e reja Inspektor i Dytë dhe Inspektor i Parë, që përfaqësojnë nivelin bazë të veprimit policor, sipas ndarjes së hierarkisë së menaxhimit policor në Policinë e Shtetit. Gjithashtu, do të bëhet unifikimi i uniformave e cila do të sjelle ulje të kostove për shkak të lëvizjeve në organikë dhe ulje kostosh në menaxhim e prodhim. </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Shtim i gradave të reja Inspektor i Dytë dhe Inspektor i Parë. Përgatitja e dokumentacionit për prokurim të tyre. Unifikim i uniformave të veçanta të Policisë se Shtetit, ulje të kostos së uniformes për shkak të transferimeve, si dhe ulje të kostos për prodhimin e uniformës.</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Realizim të Gradave të reja sipas ndarjes së hierarkisë. Unifikim i uniformave të veçanta të strukturave të veçanta.</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1.3 “Përmirësimi i kushteve të punës dhe të teknologjisë”, pika 2. Miratimi i normave të reja të furnizimit.</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5</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disa shtesa dhe ndryshime në vendimin nr. 248, datë 29.03.2017 , të </w:t>
            </w:r>
            <w:r w:rsidRPr="00B130BB">
              <w:rPr>
                <w:rFonts w:ascii="Garamond" w:eastAsia="Times New Roman" w:hAnsi="Garamond" w:cs="Times New Roman"/>
                <w:spacing w:val="-4"/>
                <w:sz w:val="18"/>
                <w:szCs w:val="18"/>
                <w:lang w:val="sq-AL"/>
              </w:rPr>
              <w:lastRenderedPageBreak/>
              <w:t>Këshillit të Ministrave “Për miratimin e Planit të Veprimit kundër Kultivimit dhe Trafikimit të Kanabisit 2017 -2020”</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Nevoja për rishikimin e këtij projektakti, lindi si </w:t>
            </w:r>
            <w:r w:rsidRPr="00B130BB">
              <w:rPr>
                <w:rFonts w:ascii="Garamond" w:eastAsia="Times New Roman" w:hAnsi="Garamond" w:cs="Times New Roman"/>
                <w:spacing w:val="-4"/>
                <w:sz w:val="18"/>
                <w:szCs w:val="18"/>
                <w:lang w:val="sq-AL"/>
              </w:rPr>
              <w:lastRenderedPageBreak/>
              <w:t>rrjedhojë e mosparashikimit të efekteve financiare të masave të përcaktuara në Planin Aktual, si dhe në kuadër të ndryshimit të fushës së përgjegjësisë shtetërore të ministrive.</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Ky projektvendim synon të përcaktojë efektet </w:t>
            </w:r>
            <w:r w:rsidRPr="00B130BB">
              <w:rPr>
                <w:rFonts w:ascii="Garamond" w:eastAsia="Times New Roman" w:hAnsi="Garamond" w:cs="Times New Roman"/>
                <w:spacing w:val="-4"/>
                <w:sz w:val="18"/>
                <w:szCs w:val="18"/>
                <w:lang w:val="sq-AL"/>
              </w:rPr>
              <w:lastRenderedPageBreak/>
              <w:t>financiare të masave të përcaktuara në Planin e Veprimit të miratuar, si dhe të reflektojë ndryshimin e fushës së përgjegjësisë shtetërore të ministrive.</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Përcaktimi më i qartë i masave dhe planifikimi i efekteve </w:t>
            </w:r>
            <w:r w:rsidRPr="00B130BB">
              <w:rPr>
                <w:rFonts w:ascii="Garamond" w:eastAsia="Times New Roman" w:hAnsi="Garamond" w:cs="Times New Roman"/>
                <w:spacing w:val="-4"/>
                <w:sz w:val="18"/>
                <w:szCs w:val="18"/>
                <w:lang w:val="sq-AL"/>
              </w:rPr>
              <w:lastRenderedPageBreak/>
              <w:t>financiare për çdo masë.</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Përcaktimi i objektivave strategjikë dhe masave për luftën </w:t>
            </w:r>
            <w:r w:rsidRPr="00B130BB">
              <w:rPr>
                <w:rFonts w:ascii="Garamond" w:eastAsia="Times New Roman" w:hAnsi="Garamond" w:cs="Times New Roman"/>
                <w:spacing w:val="-4"/>
                <w:sz w:val="18"/>
                <w:szCs w:val="18"/>
                <w:lang w:val="sq-AL"/>
              </w:rPr>
              <w:lastRenderedPageBreak/>
              <w:t>kundër kultivimit dhe trafikimit të kanabisit. Forcimi i bashkëpunimit ndërmjet institucioneve ligjzbatuese nëpërmjet masave të planifikuara në këtë Plan, për luftën kundër kultivimit dhe trafikimit të kanabisit.</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w:t>
            </w:r>
            <w:r w:rsidRPr="00B130BB">
              <w:rPr>
                <w:rFonts w:ascii="Garamond" w:eastAsia="Times New Roman" w:hAnsi="Garamond" w:cs="Times New Roman"/>
                <w:spacing w:val="-4"/>
                <w:sz w:val="18"/>
                <w:szCs w:val="18"/>
                <w:lang w:val="sq-AL"/>
              </w:rPr>
              <w:lastRenderedPageBreak/>
              <w:t xml:space="preserve">publike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6</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përcaktimin e rregullave të bashkëpunimit midis administratorëve të ndërtesave të banimit, njësive të vetëqeverisjes vendore dhe Policisë së Shtetit</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Në zbatim të Ligjit nr. 19/2016 “Për masat shtesë të sigurisë publike”.</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Të bëjë të mundur përcaktimin e rregullave për bashkëpunimin midis administratorëve të ndërtesave të banimit, njësive të vetëqeverisjes vendore dhe Policisë së Shtetit për përcaktimin e masave shtesë të sigurisë në ndërtesat e banimit.</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Parandalimin e veprave të ndryshme penale që shqetësojnë qytetaret. Rritja e bashkëpunimit ndërmjet policisë, qeverisjes vendore dhe komunitetit.</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Bashkëpunimin midis administratoreve të ndërtesave të banimit, njësive të qeverisjes vendore dhe Policisë se Shtetit për masat shtese të sigurisë në ambientet e përbashkëta të banimit.</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7</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disa shtesa dhe ndryshime në vendimin Nr. 892, datë 21. 12. 2016, të Këshillit të Ministrave “Për përcaktimin e funksioneve korresponduese dhe kategorizimi për gradat në Policinë e Shtetit” </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i këtij projektvendimi është diktuar nga ndryshimet që solli Ligji nr. 58/2017 “Për disa shtesa dhe ndryshime në ligjin nr. 108/2014 “Për Policinë e Shtetit”, i ndryshuar.</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Ky projektvendim ka për qëllim të përcaktojë funksionet korresponduese për gradë dhe kategorizimin e tyre në Policinë e Shtetit, për punonjësit e policisë që në bazë të nenit 16, të ligjit 58/2017 “Për disa shtesa dhe </w:t>
            </w:r>
            <w:r w:rsidRPr="00B130BB">
              <w:rPr>
                <w:rFonts w:ascii="Garamond" w:eastAsia="Times New Roman" w:hAnsi="Garamond" w:cs="Times New Roman"/>
                <w:spacing w:val="-4"/>
                <w:sz w:val="18"/>
                <w:szCs w:val="18"/>
                <w:lang w:val="sq-AL"/>
              </w:rPr>
              <w:lastRenderedPageBreak/>
              <w:t xml:space="preserve">ndryshime në ligjin nr. 108/2014 “Për Policinë e Shtetit” marrin gradat “Inspektor i dytë” dhe “Inspektor i parë”. </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Ky projektvendim ka objektiv motivimin e punonjësve të policisë për ecurinë në karrierë nëpërmjet sistemit të gradave.</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Parashikohet që tabela e funksioneve korresponduese dhe kategorizimi për çdo gradë”, bashkëlidhur vendimin nr. 892, datë 21.12.2016, të Këshillit të Ministrave, për të përcaktuar funksionet korresponduese edhe </w:t>
            </w:r>
            <w:r w:rsidRPr="00B130BB">
              <w:rPr>
                <w:rFonts w:ascii="Garamond" w:eastAsia="Times New Roman" w:hAnsi="Garamond" w:cs="Times New Roman"/>
                <w:spacing w:val="-4"/>
                <w:sz w:val="18"/>
                <w:szCs w:val="18"/>
                <w:lang w:val="sq-AL"/>
              </w:rPr>
              <w:lastRenderedPageBreak/>
              <w:t>për gradat “Inspektor i dytë” dhe “Inspektor i parë” dhe për të rishikuar funksionet korresponduese për gradën “Inspektor” .</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8</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disa shtesa dhe ndryshime në vendimin Nr. 200, datë 15.3.2017, të Këshillit të Ministrave “Për trajtimin me pagë dhe shtesat mbi pagë të punonjësve të Policisë së Shtetit” </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i këtij projektvendimi është diktuar nga ndryshimet që solli ligji nr. 58/2017 “Për disa shtesa dhe ndryshime në ligjin nr. 108/2014 “Për Policinë e Shtetit”.</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Ky projektvendim ka si qëllim miratimin e strukturës dhe të niveleve të pagave për gradë për punonjësit e Policisë së Shtetit, që në bazë të nenit 16, të ligjit 58/2017 “Për disa shtesa dhe ndryshime në ligjin nr. 108/2014 “Për Policinë e Shtetit” marrin gradat “Inspektor i dytë” dhe “Inspektor i parë”. </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Shtimi i gradave “Inspektor i dytë” dhe “Inspektor i parë”, dhe përcaktimi i pagës bazë për gradë për secilën gradë, i motivon punonjësit e policisë me gradën “Inspektor”, që pas plotësimit të kohës së qëndrimit në këtë gradë, të trajnohen dhe kualifikohen për të fituar këto grada.</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Në projektvendim parashikohet ndryshimi i lidhjes nr. 1, bashkëlidhur vendimit Nr. 200, datë 15.3.2017, të Këshillit të Ministrave “Për trajtimin financiar gjatë qëndrimit në punë të punonjësi të Policisë së Shteti”, në të cilin janë shtuar pagat bazë për gradë, për gradat policore “Inspektor i dytë” dhe “Inspektor i parë”. </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9</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24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disa ndryshime në vendimin nr. 702, datë 21.8.2013, të Këshillit të Ministrave “Për trajtimin me ushqim të punonjësve të Gardës së Republikës”</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 dhe Ministri i Financave dhe Ekonomisë</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Nevojë e institucionit.</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synon të përmirësojë standardet e trajtimit me ushqim të punonjësve të Gardës së Republikës.</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Trajtimin me ushqim të punonjësve të Gardës së Republikës sipas kategorive që do të përcaktohen në këtë projektakt.</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Trajtimi me ushqim pa pagesë dhe kategoritë brenda shërbimit që e përfitojnë.</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10</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Projektligj - Për vlerësimin kalimtar të punonjësve të Policisë së Shtetit, të Gardës së </w:t>
            </w:r>
            <w:r w:rsidRPr="00B130BB">
              <w:rPr>
                <w:rFonts w:ascii="Garamond" w:eastAsia="Times New Roman" w:hAnsi="Garamond" w:cs="Times New Roman"/>
                <w:spacing w:val="-4"/>
                <w:sz w:val="18"/>
                <w:szCs w:val="18"/>
                <w:lang w:val="sq-AL"/>
              </w:rPr>
              <w:lastRenderedPageBreak/>
              <w:t>Republikës dhe të Shërbimit për Çështjet e Brendshme dhe Ankesat, në Ministrinë e Brendshme</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projektligji, është iniciuar si rezultat i problematika</w:t>
            </w:r>
            <w:r w:rsidRPr="00B130BB">
              <w:rPr>
                <w:rFonts w:ascii="Garamond" w:eastAsia="Times New Roman" w:hAnsi="Garamond" w:cs="Times New Roman"/>
                <w:spacing w:val="-4"/>
                <w:sz w:val="18"/>
                <w:szCs w:val="18"/>
                <w:lang w:val="sq-AL"/>
              </w:rPr>
              <w:lastRenderedPageBreak/>
              <w:t xml:space="preserve">ve të identifikuara nga analiza e situatës aktuale në Policinë e Shtetit, në Gardën e Republikës dhe në Shërbimin për Çështjet e Brendshme dhe Ankesat, të cilat mundësuan përcaktimin e objektivave specifikë, si dhe identifikimin e nevojave për ndryshime ligjore, strukturore dhe procedurale të kryerjes së kontrollit të figurës, profesionalizmit dhe pasurisë së punonjësve. </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Ky ligj përcakton parimet, kriteret, procedurat </w:t>
            </w:r>
            <w:r w:rsidRPr="00B130BB">
              <w:rPr>
                <w:rFonts w:ascii="Garamond" w:eastAsia="Times New Roman" w:hAnsi="Garamond" w:cs="Times New Roman"/>
                <w:spacing w:val="-4"/>
                <w:sz w:val="18"/>
                <w:szCs w:val="18"/>
                <w:lang w:val="sq-AL"/>
              </w:rPr>
              <w:lastRenderedPageBreak/>
              <w:t>dhe standardet për organizimin dhe funksionimin e organeve të vlerësimit kalimtar për të gjithë punonjësit e Policisë së Shtetit, Gardës së Republikës dhe Shërbimit të Çështjeve të Brendshme dhe Ankesave në Ministrinë e Brendshme.</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Procesi i vlerësimit kalimtar për punonjësit që i nënshtrohen </w:t>
            </w:r>
            <w:r w:rsidRPr="00B130BB">
              <w:rPr>
                <w:rFonts w:ascii="Garamond" w:eastAsia="Times New Roman" w:hAnsi="Garamond" w:cs="Times New Roman"/>
                <w:spacing w:val="-4"/>
                <w:sz w:val="18"/>
                <w:szCs w:val="18"/>
                <w:lang w:val="sq-AL"/>
              </w:rPr>
              <w:lastRenderedPageBreak/>
              <w:t xml:space="preserve">vlerësimit, sipas këtij projektligji, synon të minimizojë korrupsionin në strukturat, punonjësit e të cilave janë objekt vlerësimi, të garantojë zbatimin e parimit të integritetit, rritjen e profesionalizmit dhe garantimin e një karriere të drejtë dhe të bazuar në meritokracinë e punonjësve të këtyre strukturave, duke krijuar kështu institucione të forta dhe të besueshme me profesionistë me integritet. </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Rregullat për vlerësimin kalimtar të punonjësve, </w:t>
            </w:r>
            <w:r w:rsidRPr="00B130BB">
              <w:rPr>
                <w:rFonts w:ascii="Garamond" w:eastAsia="Times New Roman" w:hAnsi="Garamond" w:cs="Times New Roman"/>
                <w:spacing w:val="-4"/>
                <w:sz w:val="18"/>
                <w:szCs w:val="18"/>
                <w:lang w:val="sq-AL"/>
              </w:rPr>
              <w:lastRenderedPageBreak/>
              <w:t>subjekt vlerësimi sipas këtij projektligji; kategoritë e punonjësve që do të vlerësohen, llojet e vlerësimit kalimtar; krijimi, funksionimi dhe kompetencat e organeve të vlerësimit, objekti dhe procedura e vlerësimit, vendimi i komisioneve në përfundim të procedurës, rregullat përkatëse dhe e drejta e ankimit.</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w:t>
            </w:r>
            <w:r w:rsidRPr="00B130BB">
              <w:rPr>
                <w:rFonts w:ascii="Garamond" w:eastAsia="Times New Roman" w:hAnsi="Garamond" w:cs="Times New Roman"/>
                <w:spacing w:val="-4"/>
                <w:sz w:val="18"/>
                <w:szCs w:val="18"/>
                <w:lang w:val="sq-AL"/>
              </w:rPr>
              <w:lastRenderedPageBreak/>
              <w:t xml:space="preserve">publike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11</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miratimin e llojeve të shërbimeve shtesë që ofron policia e shtetit, për personat juridikë e fizikë, publikë ose privatë dhe tarifave të pagesës për këto shërbime</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Në zbatim të ligjit nr. 108/2014 “Për policinë e shtetit”, të ndryshuar.</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synon të miratojë llojet e shërbimeve shtesë që ofron policia e shtetit, për personat juridikë e fizikë, publikë ose privatë dhe të tarifave të pagesës për këto shërbime</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shërbimeve që ofron Policia e Shtetit ndaj të tretëve dhe përcaktimi i tarifave të pagesës për shërbimet e ofruara.</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shërbimeve që ofron Policia e Shtetit ndaj të tretëve dhe përcaktimi i tarifave të pagesës për shërbimet e ofruara.</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 Shërbimet publike</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12</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miratimin e Marrëveshjes së Bashkëpunimit ndërmjet Këshillit të Ministrave të Republikës së Shqipërisë dhe Qeverisë së Shteteve të Bashkuara të </w:t>
            </w:r>
            <w:r w:rsidRPr="00B130BB">
              <w:rPr>
                <w:rFonts w:ascii="Garamond" w:eastAsia="Times New Roman" w:hAnsi="Garamond" w:cs="Times New Roman"/>
                <w:spacing w:val="-4"/>
                <w:sz w:val="18"/>
                <w:szCs w:val="18"/>
                <w:lang w:val="sq-AL"/>
              </w:rPr>
              <w:lastRenderedPageBreak/>
              <w:t>Amerikës mbi “Parandalimin e Trafikimit të Paligjshëm të Materialeve Bërthamore dhe Materialeve të tjera Radioaktive”</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Rritja e bashkëpunimit ndërmjet Republikës së Shqipërisë dhe SHBA, në fushën përkatëse.</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Ky projektakt synon të vendosë një nivel të lartë sigurie bërthamore, duke realizuar zbulimin dhe parandalimin e trafikut të </w:t>
            </w:r>
            <w:r w:rsidRPr="00B130BB">
              <w:rPr>
                <w:rFonts w:ascii="Garamond" w:eastAsia="Times New Roman" w:hAnsi="Garamond" w:cs="Times New Roman"/>
                <w:spacing w:val="-4"/>
                <w:sz w:val="18"/>
                <w:szCs w:val="18"/>
                <w:lang w:val="sq-AL"/>
              </w:rPr>
              <w:lastRenderedPageBreak/>
              <w:t>paligjshëm të materialeve të veçanta bërthamore dhe atyre radioaktive në pikat e kontrollit kufitar, me anë të bashkëpunimit teknik dhe metodik, konkretisht disa mjeteve të zbulimit të rrezatimit, të dhuruara nga Qeveria e SHBA.</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Zbulimi dhe parandalimi i trafikut të paligjshëm të materialeve të veçanta bërthamore dhe atyre radioaktive në pikat e kontrollit </w:t>
            </w:r>
            <w:r w:rsidRPr="00B130BB">
              <w:rPr>
                <w:rFonts w:ascii="Garamond" w:eastAsia="Times New Roman" w:hAnsi="Garamond" w:cs="Times New Roman"/>
                <w:spacing w:val="-4"/>
                <w:sz w:val="18"/>
                <w:szCs w:val="18"/>
                <w:lang w:val="sq-AL"/>
              </w:rPr>
              <w:lastRenderedPageBreak/>
              <w:t>kufitar.</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Vendosja e një nivel të lartë sigurie bërthamore, duke realizuar zbulimin dhe parandalimin e trafikut të </w:t>
            </w:r>
            <w:r w:rsidRPr="00B130BB">
              <w:rPr>
                <w:rFonts w:ascii="Garamond" w:eastAsia="Times New Roman" w:hAnsi="Garamond" w:cs="Times New Roman"/>
                <w:spacing w:val="-4"/>
                <w:sz w:val="18"/>
                <w:szCs w:val="18"/>
                <w:lang w:val="sq-AL"/>
              </w:rPr>
              <w:lastRenderedPageBreak/>
              <w:t>paligjshëm të materialeve të veçanta bërthamore dhe atyre radioaktive në pikat e kontrollit kufitar, me anë të bashkëpunimit teknik dhe metodik.</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 Politika e jashtme dhe e sigurisë, integrimi evropian dhe shqiptarët në botë.</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13</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 Për trajtimin financiar të punonjësve të Policisë së Shtetit pas ndërprerjes së marrëdhënieve të punës</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bookmarkStart w:id="6" w:name="RANGE!D16"/>
            <w:r w:rsidRPr="00B130BB">
              <w:rPr>
                <w:rFonts w:ascii="Garamond" w:eastAsia="Times New Roman" w:hAnsi="Garamond" w:cs="Times New Roman"/>
                <w:spacing w:val="-4"/>
                <w:sz w:val="18"/>
                <w:szCs w:val="18"/>
                <w:lang w:val="sq-AL"/>
              </w:rPr>
              <w:t>Katërmujori I</w:t>
            </w:r>
            <w:bookmarkEnd w:id="6"/>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 i përcaktuar në nenin 73 të ligjit nr. 108/2014 “Për Policinë e Shtetit”, të ndryshuar.</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Qëllimi i këtij projektligji është t'u garantojë punonjësve të Policisë së Shtetit, trajtim financiar pas ndërprerjes së marrëdhënieve të punës, në përputhje me nenin 73 të ligjit nr. 108/2014 “Për Policinë e Shtetit”, të ndryshuar.</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Përmirësimin e masës së trajtimeve suplementare, në përputhje me kontributin që jep punonjësi i policisë, për rendin dhe sigurinë publike dhe t'i japë zgjidhje për trajtimin financiar të punonjësve të Policisë së Shtetit edhe me “pension shërbimi”, si përfitim suplementar i parashikuar për herë të parë në ligjit nr. 108/2014 “Për Policinë e Shtetit”.</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Rregullon përfitimet suplementare të punonjësit të policisë, pas ndërprerjes së marrëdhënieve të punës, të përcaktuara në pikën 1, të nenit 73, të ligjit nr. 108/2014, “Për Policinë e Shtetit”, për: a) pagesë kalimtare; b) pension të parakohshëm suplementar; c) pension shërbimi; dhe ç) pension suplementar pleqërie.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3.3 Shëndetësia dhe kujdesi social.</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14</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disa shtesa dhe ndryshime në vendimin nr. 750, datë 16.9.2015, të Këshillit të Ministrave “Për miratimin e Rregullores së Policisë së Shtetit” </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Miratimi i këtij projektvendimi është diktuar nga ndryshimet që solli Ligji nr. 58/2017 “Për disa shtesa dhe ndryshime në </w:t>
            </w:r>
            <w:r w:rsidRPr="00B130BB">
              <w:rPr>
                <w:rFonts w:ascii="Garamond" w:eastAsia="Times New Roman" w:hAnsi="Garamond" w:cs="Times New Roman"/>
                <w:spacing w:val="-4"/>
                <w:sz w:val="18"/>
                <w:szCs w:val="18"/>
                <w:lang w:val="sq-AL"/>
              </w:rPr>
              <w:lastRenderedPageBreak/>
              <w:t>ligjin nr. 108/2014 “Për Policinë e Shtetit”.</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Projektvendimi ka për qëllim, të përshtatë rregullat e përcaktuara në Rregulloren e Policisë, me ndryshimet ligjore që solli </w:t>
            </w:r>
            <w:r w:rsidRPr="00B130BB">
              <w:rPr>
                <w:rFonts w:ascii="Garamond" w:eastAsia="Times New Roman" w:hAnsi="Garamond" w:cs="Times New Roman"/>
                <w:spacing w:val="-4"/>
                <w:sz w:val="18"/>
                <w:szCs w:val="18"/>
                <w:lang w:val="sq-AL"/>
              </w:rPr>
              <w:lastRenderedPageBreak/>
              <w:t>ligjit nr. 58/2017 “Për disa shtesa dhe ndryshime në ligjin nr. 108/2014 “Për Policinë e Shtetit”, të ndryshuar</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Projektvendimi përcakton afatin e qëndrimin në gradë për punonjësit e policisë me gradat policore “Inspektor i dytë” dhe “Inspektor i </w:t>
            </w:r>
            <w:r w:rsidRPr="00B130BB">
              <w:rPr>
                <w:rFonts w:ascii="Garamond" w:eastAsia="Times New Roman" w:hAnsi="Garamond" w:cs="Times New Roman"/>
                <w:spacing w:val="-4"/>
                <w:sz w:val="18"/>
                <w:szCs w:val="18"/>
                <w:lang w:val="sq-AL"/>
              </w:rPr>
              <w:lastRenderedPageBreak/>
              <w:t>parë”, po ashtu rregullimi i emërtimeve të funksioneve dhe strukturave në përputhje me ndryshimet që solli ligji nr. 58/2017.</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Të përmirësohet mënyra e funksionimit të sistemeve kompjuterike dhe rrjetit informatik të Policisë së Shtetit; të normohet </w:t>
            </w:r>
            <w:r w:rsidRPr="00B130BB">
              <w:rPr>
                <w:rFonts w:ascii="Garamond" w:eastAsia="Times New Roman" w:hAnsi="Garamond" w:cs="Times New Roman"/>
                <w:spacing w:val="-4"/>
                <w:sz w:val="18"/>
                <w:szCs w:val="18"/>
                <w:lang w:val="sq-AL"/>
              </w:rPr>
              <w:lastRenderedPageBreak/>
              <w:t>procedura e dhënies së gradës “Inspektor i parë” dhe “Inspektor i dytë”; të rregullohen procedurat e pranimit në Akademinë e Sigurisë për fëmijët e punonjësve të policisë, të cilët kanë humbur jetën në krye apo për shkak të detyrës dhe të rregullohen emërtimet e strukturave dhe funksioneve në Policinë e Shtetit në përputhje me ligjin 58/2017.</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15</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miratimin e Marrëveshjes ndërmjet Këshillit të Ministrave të Republikës së Shqipërisë dhe Qeverisë së Republikës së Greqisë “Mbi ngritjen dhe funksionimin e një qendre kontakti të përbashkët për bashkëpunim policor dhe doganor”</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Në kuadër të bashkëpunimit policor dhe doganor ndërmjet dy vendeve.</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Projektmarrëveshja ka për qëllim forcimin e bashkëpunimit dhe përmirësimit të shkëmbimit të informacionit ndërmjet Qeverisë së Republikës së Greqisë dhe Këshillit të Ministrave të Republikës së Shqipërisë, për të rritur efikasitetin në luftën kundër krimit të organizuar dhe lidhjeve të tij, migracionin e paligjshëm, trafikimin e drogave, ekstremizmin </w:t>
            </w:r>
            <w:r w:rsidRPr="00B130BB">
              <w:rPr>
                <w:rFonts w:ascii="Garamond" w:eastAsia="Times New Roman" w:hAnsi="Garamond" w:cs="Times New Roman"/>
                <w:spacing w:val="-4"/>
                <w:sz w:val="18"/>
                <w:szCs w:val="18"/>
                <w:lang w:val="sq-AL"/>
              </w:rPr>
              <w:lastRenderedPageBreak/>
              <w:t>e dhunshëm, radikalizmin, si dhe krimet e rënda</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 Ngritja dhe funksionimi i një qendre të përbashkët kontakti për bashkëpunimin policor dhe doganor me Republikën e Greqisë.</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Ngritja e qendrës së përbashkët të kontaktit dhe përcaktimi i rregullave për funksionimin e saj.</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16</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miratimin e Planit të Veprimit “Për zbatimin e Strategjisë Ndërsektoriale të Krimit të Organizuar, Trafiqeve të Paligjshme dhe Terrorizmit 2017-2020. </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Duke qenë se Plani i Veprimit 2013-2016, në zbatim të kësaj Strategjie, ka përfunduar, bazuar në detyrimet e Strategjisë, është i nevojshëm hartimi i Planit të Veprimit për periudhën 2017-2020. </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Projektakti ka për qëllim organizimin dhe koordinimin e veprimtarisë në luftën kundër krimit të organizuar, trafiqeve të paligjshme, pastrimit të parave duke synuar ndërtimin e një shoqërie, pa kërcënime nga krimi i organizuar, në paqe e në përmirësim të vazhdueshëm të cilësisë së jetës së qytetareve, nëpërmjet zbatimit të objektivave, nënobjektivave dhe masave që janë parashikuar në projektakt.</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Objektivat strategjikë të Planit të Veprimit janë të përcaktuara në VKM-në nr. 663, datë 17.7.2013, duke detajuar në këtë Plan masa për realizimin e objektivave për periudhën 2017–2020.</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Koordinimi ndërinstitucional për luftën kundër krimit të organizuar, trafiqeve të paligjshme dhe pastrimit të parave.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17</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miratimin e normave të trajtimit me ushqim të punonjësve të Gardës së Republikës</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 dhe Ministri i Shëndetësisë dhe Mbrojtjes Sociale</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Nevojë e institucionit.</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do të përcaktojë normat e ushqimit, të punonjësve të Gardës së Republikës.</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normave të ushqimit, të punonjësve të Gardës së Republikës.</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normave të ushqimit, të punonjësve të Gardës së Republikës.</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18</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disa shtesa dhe ndryshime në vendimin e Këshillit të Ministrave nr. 513, datë 13.06.2013 “Për përcaktimin e kritereve, procedurave e të dokumentacionit për hyrjen, qëndrimin, dhe trajtimin e të huajve në </w:t>
            </w:r>
            <w:r w:rsidRPr="00B130BB">
              <w:rPr>
                <w:rFonts w:ascii="Garamond" w:eastAsia="Times New Roman" w:hAnsi="Garamond" w:cs="Times New Roman"/>
                <w:spacing w:val="-4"/>
                <w:sz w:val="18"/>
                <w:szCs w:val="18"/>
                <w:lang w:val="sq-AL"/>
              </w:rPr>
              <w:lastRenderedPageBreak/>
              <w:t>Republikën e Shqipërisë”</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Brendshëm dhe Ministri për Evropën dhe Punët e Jashtme</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Përafrimi i mëtejshëm i akteve nënligjore në zbatim të ligjit “Për të huajt”, me </w:t>
            </w:r>
            <w:r w:rsidRPr="00B130BB">
              <w:rPr>
                <w:rFonts w:ascii="Garamond" w:eastAsia="Times New Roman" w:hAnsi="Garamond" w:cs="Times New Roman"/>
                <w:i/>
                <w:spacing w:val="-4"/>
                <w:sz w:val="18"/>
                <w:szCs w:val="18"/>
                <w:lang w:val="sq-AL"/>
              </w:rPr>
              <w:t>acquis</w:t>
            </w:r>
            <w:r w:rsidRPr="00B130BB">
              <w:rPr>
                <w:rFonts w:ascii="Garamond" w:eastAsia="Times New Roman" w:hAnsi="Garamond" w:cs="Times New Roman"/>
                <w:spacing w:val="-4"/>
                <w:sz w:val="18"/>
                <w:szCs w:val="18"/>
                <w:lang w:val="sq-AL"/>
              </w:rPr>
              <w:t xml:space="preserve"> të BE-së në lidhje me trajtimin e të huajve në territorin e Republikës së Shqipërisë.</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Miratimi i këtij projektvendimi synon zgjidhjen e problematikave të ndeshura gjatë zbatimit të ligjit për të huajt dhe vendimit nr. 513, datë 13.6.32013, përafrimin e </w:t>
            </w:r>
            <w:r w:rsidRPr="00B130BB">
              <w:rPr>
                <w:rFonts w:ascii="Garamond" w:eastAsia="Times New Roman" w:hAnsi="Garamond" w:cs="Times New Roman"/>
                <w:spacing w:val="-4"/>
                <w:sz w:val="18"/>
                <w:szCs w:val="18"/>
                <w:lang w:val="sq-AL"/>
              </w:rPr>
              <w:lastRenderedPageBreak/>
              <w:t xml:space="preserve">mëtejshëm me </w:t>
            </w:r>
            <w:r w:rsidRPr="00B130BB">
              <w:rPr>
                <w:rFonts w:ascii="Garamond" w:eastAsia="Times New Roman" w:hAnsi="Garamond" w:cs="Times New Roman"/>
                <w:i/>
                <w:spacing w:val="-4"/>
                <w:sz w:val="18"/>
                <w:szCs w:val="18"/>
                <w:lang w:val="sq-AL"/>
              </w:rPr>
              <w:t>acquis</w:t>
            </w:r>
            <w:r w:rsidRPr="00B130BB">
              <w:rPr>
                <w:rFonts w:ascii="Garamond" w:eastAsia="Times New Roman" w:hAnsi="Garamond" w:cs="Times New Roman"/>
                <w:spacing w:val="-4"/>
                <w:sz w:val="18"/>
                <w:szCs w:val="18"/>
                <w:lang w:val="sq-AL"/>
              </w:rPr>
              <w:t xml:space="preserve"> të Bashkimit Evropian dhe konkretisht të dispozitave që rregullojnë regjimin e hyrjes, të qëndrimit për motive të ndryshme dhe të daljes së të huajve në/nga Republika e Shqipërisë, si dhe të ndryshimeve e zhvillimeve që kanë ndodhur në fushën e imigracionit. </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Ndryshimet e propozuara synojnë përmirësimin e disa aspekteve të procedurave dhe të kritereve të trajtimit të të huajve në Republikën e Shqipërisë, përfshirë kategoritë e ndryshme të të </w:t>
            </w:r>
            <w:r w:rsidRPr="00B130BB">
              <w:rPr>
                <w:rFonts w:ascii="Garamond" w:eastAsia="Times New Roman" w:hAnsi="Garamond" w:cs="Times New Roman"/>
                <w:spacing w:val="-4"/>
                <w:sz w:val="18"/>
                <w:szCs w:val="18"/>
                <w:lang w:val="sq-AL"/>
              </w:rPr>
              <w:lastRenderedPageBreak/>
              <w:t>huajve që qëndrojnë në territorin e Republikës së Shqipërisë për motive studimi, bashkimi familjar, si të punësuar apo të vetëpunësuar.</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Përafrimi i mëtejshëm me </w:t>
            </w:r>
            <w:r w:rsidRPr="00B130BB">
              <w:rPr>
                <w:rFonts w:ascii="Garamond" w:eastAsia="Times New Roman" w:hAnsi="Garamond" w:cs="Times New Roman"/>
                <w:i/>
                <w:spacing w:val="-4"/>
                <w:sz w:val="18"/>
                <w:szCs w:val="18"/>
                <w:lang w:val="sq-AL"/>
              </w:rPr>
              <w:t>acquis</w:t>
            </w:r>
            <w:r w:rsidRPr="00B130BB">
              <w:rPr>
                <w:rFonts w:ascii="Garamond" w:eastAsia="Times New Roman" w:hAnsi="Garamond" w:cs="Times New Roman"/>
                <w:spacing w:val="-4"/>
                <w:sz w:val="18"/>
                <w:szCs w:val="18"/>
                <w:lang w:val="sq-AL"/>
              </w:rPr>
              <w:t xml:space="preserve"> të Bashkimit Evropian të dispozitave që rregullojnë regjimin e hyrjes, të qëndrimit për motive të ndryshme dhe të daljes së të huajve </w:t>
            </w:r>
            <w:r w:rsidRPr="00B130BB">
              <w:rPr>
                <w:rFonts w:ascii="Garamond" w:eastAsia="Times New Roman" w:hAnsi="Garamond" w:cs="Times New Roman"/>
                <w:spacing w:val="-4"/>
                <w:sz w:val="18"/>
                <w:szCs w:val="18"/>
                <w:lang w:val="sq-AL"/>
              </w:rPr>
              <w:lastRenderedPageBreak/>
              <w:t xml:space="preserve">në/nga Republika e Shqipërisë, si dhe të ndryshimeve e zhvillimeve që kanë ndodhur në fushën e imigracionit. </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Po. Është parashikuar si masë ligjore në Planin Kombëtar për Integrimin Evro</w:t>
            </w:r>
            <w:r w:rsidRPr="00B130BB">
              <w:rPr>
                <w:rFonts w:ascii="Garamond" w:eastAsia="Times New Roman" w:hAnsi="Garamond" w:cs="Times New Roman"/>
                <w:spacing w:val="-4"/>
                <w:sz w:val="18"/>
                <w:szCs w:val="18"/>
                <w:lang w:val="sq-AL"/>
              </w:rPr>
              <w:lastRenderedPageBreak/>
              <w:t>pian, në kapitullin 24 “Drejtësia, liria dhe siguria”</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4. Politika e jashtme dhe e sigurisë, integrimi evropian dhe shqiptarët në botë.</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19</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miratimin e Procedurave Standarde të Veprimit për Mbrojtjen e Viktimave dhe Viktimave të Mundshme të Trafikimit</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24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Procedurat qartësojnë rolin, detyrat dhe përgjegjësitë që kanë të gjitha institucionet dhe agjencitë e përfshira në procesin e identifikimit, referimit, mbrojtjes dhe riintegrimit të viktimave të trafikimit.</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Procedurat kanë për qëllim kryesor mbrojtjen, përfshirë identifikimin në kohën dhe mënyrën e duhur të viktimave/viktimave të mundshme të trafikimit, të rritur apo të mitur, shqiptarë, të huaj apo persona pa shtetësi, për të gjithë llojet e shfrytëzimit, të trafikimit të brendshëm apo ndërkombëtar, të lidhur apo jo me krimin e organizuar. </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1. Do të përcaktohen qartë detyrimet specifike për çdo strukturë; </w:t>
            </w:r>
            <w:r w:rsidRPr="00B130BB">
              <w:rPr>
                <w:rFonts w:ascii="Garamond" w:eastAsia="Times New Roman" w:hAnsi="Garamond" w:cs="Times New Roman"/>
                <w:spacing w:val="-4"/>
                <w:sz w:val="18"/>
                <w:szCs w:val="18"/>
                <w:lang w:val="sq-AL"/>
              </w:rPr>
              <w:br/>
              <w:t>2. Do të përcaktohen qartë indikatorët për secilin sektor. Pra, nuk do të jetë një dokument i vetëm ku të ketë përfshirë strukturat përgjegjëse për identifikimin fillestar dhe formal, por secila strukturë/entitet do ketë indikatorët e saj/tij.</w:t>
            </w:r>
            <w:r w:rsidRPr="00B130BB">
              <w:rPr>
                <w:rFonts w:ascii="Garamond" w:eastAsia="Times New Roman" w:hAnsi="Garamond" w:cs="Times New Roman"/>
                <w:spacing w:val="-4"/>
                <w:sz w:val="18"/>
                <w:szCs w:val="18"/>
                <w:lang w:val="sq-AL"/>
              </w:rPr>
              <w:br/>
              <w:t xml:space="preserve">3. Rëndësi më të madhe riintegrimit të viktimave/viktimave të mundshme të trafikimit. </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“Mbrojtjen e personave të trafikuar”, e cila përfshin të gjitha veprimet e kryera nga punonjës të institucioneve shtetërore qendrore dhe vendore dhe të institucioneve joshtetërore-anëtare të Mekanizmit Kombëtar të Referimit për pritjen, identifikimin, ndihmën e menjëhershme dhe ndihmën për rehabilitimin dhe ri-integrimin e sigurt të personave të trafikuar në përputhje me këto procedura. </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w:t>
            </w:r>
            <w:r w:rsidRPr="00B130BB">
              <w:rPr>
                <w:rFonts w:ascii="Garamond" w:eastAsia="Times New Roman" w:hAnsi="Garamond" w:cs="Times New Roman"/>
                <w:spacing w:val="-4"/>
                <w:sz w:val="18"/>
                <w:szCs w:val="18"/>
                <w:lang w:val="sq-AL"/>
              </w:rPr>
              <w:lastRenderedPageBreak/>
              <w:t>0</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Projektvendim - </w:t>
            </w:r>
            <w:r w:rsidRPr="00B130BB">
              <w:rPr>
                <w:rFonts w:ascii="Garamond" w:eastAsia="Times New Roman" w:hAnsi="Garamond" w:cs="Times New Roman"/>
                <w:spacing w:val="-4"/>
                <w:sz w:val="18"/>
                <w:szCs w:val="18"/>
                <w:lang w:val="sq-AL"/>
              </w:rPr>
              <w:lastRenderedPageBreak/>
              <w:t>Për miratimin e Planit Kombëtar të Veprimit për Luftën kundër Trafikimit të Personave 2018–2020</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Ministri i </w:t>
            </w:r>
            <w:r w:rsidRPr="00B130BB">
              <w:rPr>
                <w:rFonts w:ascii="Garamond" w:eastAsia="Times New Roman" w:hAnsi="Garamond" w:cs="Times New Roman"/>
                <w:spacing w:val="-4"/>
                <w:sz w:val="18"/>
                <w:szCs w:val="18"/>
                <w:lang w:val="sq-AL"/>
              </w:rPr>
              <w:lastRenderedPageBreak/>
              <w:t>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Katërm</w:t>
            </w:r>
            <w:r w:rsidRPr="00B130BB">
              <w:rPr>
                <w:rFonts w:ascii="Garamond" w:eastAsia="Times New Roman" w:hAnsi="Garamond" w:cs="Times New Roman"/>
                <w:spacing w:val="-4"/>
                <w:sz w:val="18"/>
                <w:szCs w:val="18"/>
                <w:lang w:val="sq-AL"/>
              </w:rPr>
              <w:lastRenderedPageBreak/>
              <w:t>ujori I</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Në zbatim të </w:t>
            </w:r>
            <w:r w:rsidRPr="00B130BB">
              <w:rPr>
                <w:rFonts w:ascii="Garamond" w:eastAsia="Times New Roman" w:hAnsi="Garamond" w:cs="Times New Roman"/>
                <w:spacing w:val="-4"/>
                <w:sz w:val="18"/>
                <w:szCs w:val="18"/>
                <w:lang w:val="sq-AL"/>
              </w:rPr>
              <w:lastRenderedPageBreak/>
              <w:t>VKM-së nr. 663 datë 17.7.2013 “Për miratimin e Strategjisë Ndërsektoriale për Luftën kundër Krimit të Organizuar, Trafiqeve të Paligjshme dhe Terrorizmit, si dhe në zbatim të ligjit nr. 8920, datë 11.7.2002, “Mbi ratifikimin e Konventës së Kombeve të Bashkuara kundër Krimit të Organizuar Ndërkombëtar dhe dy protokollet e saj shtesë”, qeveria harton një strategji/plan veprimi të veçantë për luftën kundër trafikimit të personave. Në këtë dokument harmonizohen në një instrument të vetëm të gjitha politikat dhe masat për luftën kundër trafikimit të personave.</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Plani i </w:t>
            </w:r>
            <w:r w:rsidRPr="00B130BB">
              <w:rPr>
                <w:rFonts w:ascii="Garamond" w:eastAsia="Times New Roman" w:hAnsi="Garamond" w:cs="Times New Roman"/>
                <w:spacing w:val="-4"/>
                <w:sz w:val="18"/>
                <w:szCs w:val="18"/>
                <w:lang w:val="sq-AL"/>
              </w:rPr>
              <w:lastRenderedPageBreak/>
              <w:t>Veprimit ka qëllim të japë një përgjigje të qëndrueshme, të koordinuar dhe të institucionalizuar ndaj trafikimit të personave.</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Plani synon të </w:t>
            </w:r>
            <w:r w:rsidRPr="00B130BB">
              <w:rPr>
                <w:rFonts w:ascii="Garamond" w:eastAsia="Times New Roman" w:hAnsi="Garamond" w:cs="Times New Roman"/>
                <w:spacing w:val="-4"/>
                <w:sz w:val="18"/>
                <w:szCs w:val="18"/>
                <w:lang w:val="sq-AL"/>
              </w:rPr>
              <w:lastRenderedPageBreak/>
              <w:t xml:space="preserve">përmirësojë funksionimin e një sistemi gjithëpërfshirës nëpërmjet forcimit të mekanizmit të identifikimit, mbrojtjes dhe riintegrimit të viktimave të trafikimit. </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Plani i </w:t>
            </w:r>
            <w:r w:rsidRPr="00B130BB">
              <w:rPr>
                <w:rFonts w:ascii="Garamond" w:eastAsia="Times New Roman" w:hAnsi="Garamond" w:cs="Times New Roman"/>
                <w:spacing w:val="-4"/>
                <w:sz w:val="18"/>
                <w:szCs w:val="18"/>
                <w:lang w:val="sq-AL"/>
              </w:rPr>
              <w:lastRenderedPageBreak/>
              <w:t xml:space="preserve">Veprimit ndahet në katër fusha kryesore që janë: </w:t>
            </w:r>
            <w:r w:rsidRPr="00B130BB">
              <w:rPr>
                <w:rFonts w:ascii="Garamond" w:eastAsia="Times New Roman" w:hAnsi="Garamond" w:cs="Times New Roman"/>
                <w:spacing w:val="-4"/>
                <w:sz w:val="18"/>
                <w:szCs w:val="18"/>
                <w:lang w:val="sq-AL"/>
              </w:rPr>
              <w:br/>
              <w:t xml:space="preserve">1. Ndjekja penale </w:t>
            </w:r>
            <w:r w:rsidRPr="00B130BB">
              <w:rPr>
                <w:rFonts w:ascii="Garamond" w:eastAsia="Times New Roman" w:hAnsi="Garamond" w:cs="Times New Roman"/>
                <w:spacing w:val="-4"/>
                <w:sz w:val="18"/>
                <w:szCs w:val="18"/>
                <w:lang w:val="sq-AL"/>
              </w:rPr>
              <w:br/>
              <w:t xml:space="preserve">2. Mbrojtja </w:t>
            </w:r>
            <w:r w:rsidRPr="00B130BB">
              <w:rPr>
                <w:rFonts w:ascii="Garamond" w:eastAsia="Times New Roman" w:hAnsi="Garamond" w:cs="Times New Roman"/>
                <w:spacing w:val="-4"/>
                <w:sz w:val="18"/>
                <w:szCs w:val="18"/>
                <w:lang w:val="sq-AL"/>
              </w:rPr>
              <w:br/>
              <w:t>3. Parandalimi</w:t>
            </w:r>
            <w:r w:rsidRPr="00B130BB">
              <w:rPr>
                <w:rFonts w:ascii="Garamond" w:eastAsia="Times New Roman" w:hAnsi="Garamond" w:cs="Times New Roman"/>
                <w:spacing w:val="-4"/>
                <w:sz w:val="18"/>
                <w:szCs w:val="18"/>
                <w:lang w:val="sq-AL"/>
              </w:rPr>
              <w:br/>
              <w:t xml:space="preserve">4. Bashkërendimi </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Po. </w:t>
            </w:r>
            <w:r w:rsidRPr="00B130BB">
              <w:rPr>
                <w:rFonts w:ascii="Garamond" w:eastAsia="Times New Roman" w:hAnsi="Garamond" w:cs="Times New Roman"/>
                <w:spacing w:val="-4"/>
                <w:sz w:val="18"/>
                <w:szCs w:val="18"/>
                <w:lang w:val="sq-AL"/>
              </w:rPr>
              <w:lastRenderedPageBreak/>
              <w:t>Është parashikuar si masë ligjore në Planin Kombëtar për Integrimin Evropian, në kapitullin 24 “Drejtësia, liria dhe siguria”</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3.1 Shteti </w:t>
            </w:r>
            <w:r w:rsidRPr="00B130BB">
              <w:rPr>
                <w:rFonts w:ascii="Garamond" w:eastAsia="Times New Roman" w:hAnsi="Garamond" w:cs="Times New Roman"/>
                <w:spacing w:val="-4"/>
                <w:sz w:val="18"/>
                <w:szCs w:val="18"/>
                <w:lang w:val="sq-AL"/>
              </w:rPr>
              <w:lastRenderedPageBreak/>
              <w:t xml:space="preserve">ligjor dhe drejtësia e re - Rendi dhe siguria publike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21</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përcaktimin e rregullave “Për verifikimin e realizimit të funksioneve e të përgjegjësive të deleguara nga pushteti qendror dhe përdorimin e fondeve të parashikuara për këto funksione”.</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Në zbatim të nenit 18 të ligjit “Për prefektin e qarkut”</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Rritja e rolit të Prefektit të qarkut</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Implementimi i ligjit për Prefektin e qarkut</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Përcakton rregullat për verifikimin e realizimit të funksioneve e të përgjegjësive të deleguara nga pushteti qendror dhe përdorimin e fondeve të parashikuara </w:t>
            </w:r>
            <w:r w:rsidRPr="00B130BB">
              <w:rPr>
                <w:rFonts w:ascii="Garamond" w:eastAsia="Times New Roman" w:hAnsi="Garamond" w:cs="Times New Roman"/>
                <w:spacing w:val="-4"/>
                <w:sz w:val="18"/>
                <w:szCs w:val="18"/>
                <w:lang w:val="sq-AL"/>
              </w:rPr>
              <w:lastRenderedPageBreak/>
              <w:t>për këto funksione.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 Shërbimet publike</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22</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funksionimin dhe përdorimin e TIMS (Total Information Management System)</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Vendosja e autoritetit ligjor për të marrë informacionin e nevojshëm nga struktura të tjera nëpërmjet teknologjisë</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Rregullimi i përdorimin dhe mirëfunksionimi i TIMS ndërmjet ministrive/strukturave të ndryshme</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Unifikimin dhe sanksionimin përdorimit të sistemit TIMS </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Krijim e një baze ligjore që do të mundësojë krijimin dhe implementimin e një sistemi kërkimi të TIMS të vlefshëm për të gjitha strukturat/ministritë</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23</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Miratimi në parim i “Marrëveshjes mes Republikës së Shqipërisë dhe Bashkimit Evropian për bashkëpunimin me Agjencinë Evropiane të Rojës Kufitare dhe Bregdetare”</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Në kuadër të bashkëpunimit ndërmjet Republikës së Shqipërisë dhe Bashkimit Evropian.</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Vendosja e trupave dhe pajisjeve të BE-së në kufijtë që Shqipëria ndan me BE, në në rast të ndonjë fluksi të mundshëm refugjatësh.</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Forcimi i kufirit shtetëror të Republikës së Shqipërisë dhe kufijve të BE-së, në rast të flukseve të mundshme të refugjatëve.</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Vendosja e trupave dhe pajisjeve të BE-së në kufijtë që Shqipëria ndan me BE, në në rast të ndonjë fluksi të mundshëm refugjatësh dhe përcaktimi i rregullave përkatëse të bashkëpunimit.</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24</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disa ndryshime në vendimin nr. 350, datë 19.4.2017, të Këshillit të Ministrave “Për trajtimin me pagë dhe shtesa mbi page të punonjësve të MZSH-së”</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 dhe Ministri i Financave dhe Ekonomisë</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 të saktësuar llogaritjen e pagës në bazë të elementit të vjetërsisë.</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Saktësimi dhe korrigjimi i llogaritjes së pagës në bazë të elementit të vjetërsisë.</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Llogaritja e saktë e pagës në bazë të elementit të vjetërsisë.</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Trajtimi me pagë në bazë të vjetërsisë në punë të punonjësit të MZSH-së.</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25</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Projektligj - Për disa ndryshime në ligjin nr. 108/2013 “Për të huajt”, të ndryshuar </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Aplikimi i sistemit për Informacionin e Avancuar për Pasagjerët (API), në përputhje me Direktivën 2004/82 të BE për API, Rezolutave 2178 dhe 2309 të Këshillit të Sigurisë të Kombeve të Bashkuara </w:t>
            </w:r>
            <w:r w:rsidRPr="00B130BB">
              <w:rPr>
                <w:rFonts w:ascii="Garamond" w:eastAsia="Times New Roman" w:hAnsi="Garamond" w:cs="Times New Roman"/>
                <w:spacing w:val="-4"/>
                <w:sz w:val="18"/>
                <w:szCs w:val="18"/>
                <w:lang w:val="sq-AL"/>
              </w:rPr>
              <w:lastRenderedPageBreak/>
              <w:t xml:space="preserve">dhe Standardit të ri 9.5 të ICAO </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Ndryshimi i nenit 135, pika 1 në Ligjin 108/2013 “Për të huajt”, për të “detyruar” shoqëritë e transportuese për transmetimin e të dhënave paraprake të pasagjerëve sipas kërkesave </w:t>
            </w:r>
            <w:r w:rsidRPr="00B130BB">
              <w:rPr>
                <w:rFonts w:ascii="Garamond" w:eastAsia="Times New Roman" w:hAnsi="Garamond" w:cs="Times New Roman"/>
                <w:spacing w:val="-4"/>
                <w:sz w:val="18"/>
                <w:szCs w:val="18"/>
                <w:lang w:val="sq-AL"/>
              </w:rPr>
              <w:lastRenderedPageBreak/>
              <w:t>standarde të ICAO dhe Direktivës së BE për API</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Përshtatja e legjislacionit shqiptar për sigurinë në kufi me </w:t>
            </w:r>
            <w:r w:rsidRPr="00B130BB">
              <w:rPr>
                <w:rFonts w:ascii="Garamond" w:eastAsia="Times New Roman" w:hAnsi="Garamond" w:cs="Times New Roman"/>
                <w:i/>
                <w:spacing w:val="-4"/>
                <w:sz w:val="18"/>
                <w:szCs w:val="18"/>
                <w:lang w:val="sq-AL"/>
              </w:rPr>
              <w:t>Acquis</w:t>
            </w:r>
            <w:r w:rsidRPr="00B130BB">
              <w:rPr>
                <w:rFonts w:ascii="Garamond" w:eastAsia="Times New Roman" w:hAnsi="Garamond" w:cs="Times New Roman"/>
                <w:spacing w:val="-4"/>
                <w:sz w:val="18"/>
                <w:szCs w:val="18"/>
                <w:lang w:val="sq-AL"/>
              </w:rPr>
              <w:t xml:space="preserve"> të </w:t>
            </w:r>
            <w:r w:rsidRPr="00B130BB">
              <w:rPr>
                <w:rFonts w:ascii="Garamond" w:eastAsia="Times New Roman" w:hAnsi="Garamond" w:cs="Times New Roman"/>
                <w:i/>
                <w:spacing w:val="-4"/>
                <w:sz w:val="18"/>
                <w:szCs w:val="18"/>
                <w:lang w:val="sq-AL"/>
              </w:rPr>
              <w:t>Schengen</w:t>
            </w:r>
            <w:r w:rsidRPr="00B130BB">
              <w:rPr>
                <w:rFonts w:ascii="Garamond" w:eastAsia="Times New Roman" w:hAnsi="Garamond" w:cs="Times New Roman"/>
                <w:spacing w:val="-4"/>
                <w:sz w:val="18"/>
                <w:szCs w:val="18"/>
                <w:lang w:val="sq-AL"/>
              </w:rPr>
              <w:t>-it</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Normimin e modaliteteve të transmetimit të të dhënave paraprake të pasagjereve, standardizuar me Direktivën 2004/82 të BE dhe Standardin 9.5 të ICAO</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Po. Është parashikuar si masë ligjore në Planin Kombëtar për Integrimin Evropian, në </w:t>
            </w:r>
            <w:r w:rsidRPr="00B130BB">
              <w:rPr>
                <w:rFonts w:ascii="Garamond" w:eastAsia="Times New Roman" w:hAnsi="Garamond" w:cs="Times New Roman"/>
                <w:spacing w:val="-4"/>
                <w:sz w:val="18"/>
                <w:szCs w:val="18"/>
                <w:lang w:val="sq-AL"/>
              </w:rPr>
              <w:lastRenderedPageBreak/>
              <w:t>kapitullin 24 “Drejtësia, Liria dhe Siguria”</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3.1 Shteti ligjor dhe drejtësia e re - Rendi dhe siguria publike - Forcimi i kontrollit në kufij.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26</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 Për disa ndryshime dhe shtesa në ligjin nr. 8663, datë 18.09.2000 “Për regjistrimin, klasifikimin, mënyrën e përdorimit dhe kontrollin e mjeteve lundruese me motor, me tonazh nën 20 NT”, të ndryshuar</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Disa nene të aktit në fuqi janë shfuqizuar nga Gjykata Kushtetuese e Republikës së Shqipërisë dhe si i tillë duhet ndryshuar në tërësinë e tij.</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Përputhshmëria e aktit me vendimet e Gjykatës Kushtetuese të Republikës së Shqipërisë dhe me Kodin Penal të Republikës së Shqipërisë</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Përputhshmëria me ndryshimet në legjislacionin shqiptar dhe disiplinimin e regjistrimit dhe aktivitetit të mjeteve lundruese nën 20 NT, në këtë kuadër edhe të mjeteve lundruese argëtuese</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Përputhshmëria me vendimet e Gjykatës Kushtetuese dhe me Kodin Penal të Republikës së Shqipërisë.</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27</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 Për disa shtesa dhe ndryshime në ligjin nr. 70/2014 për “Shërbimin për Çështjet e Brendshme dhe Ankesat, në Ministrinë e Punëve të Brendshme</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Përshtatshmëria dhe përputhshmëria e ligjit aktual me ndryshimet e sjella nga legjislacioni në fuqi për sigurimin e personelit, procesin e </w:t>
            </w:r>
            <w:r w:rsidRPr="00B130BB">
              <w:rPr>
                <w:rFonts w:ascii="Garamond" w:eastAsia="Times New Roman" w:hAnsi="Garamond" w:cs="Times New Roman"/>
                <w:i/>
                <w:spacing w:val="-4"/>
                <w:sz w:val="18"/>
                <w:szCs w:val="18"/>
                <w:lang w:val="sq-AL"/>
              </w:rPr>
              <w:t>vetting</w:t>
            </w:r>
            <w:r w:rsidRPr="00B130BB">
              <w:rPr>
                <w:rFonts w:ascii="Garamond" w:eastAsia="Times New Roman" w:hAnsi="Garamond" w:cs="Times New Roman"/>
                <w:spacing w:val="-4"/>
                <w:sz w:val="18"/>
                <w:szCs w:val="18"/>
                <w:lang w:val="sq-AL"/>
              </w:rPr>
              <w:t xml:space="preserve">-ut në strukturat, objekt i veprimtarisë së Shërbimit, si dhe rregullimin e disa problematikave të hasura gjatë implementimit të ligjit aktual të Shërbimit. </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Nëpërmjet këtij projektligji për disa shtesa dhe ndryshime në ligjin aktual të Shërbimit, synohet të përshtatet dhe përmirësohet ky ligj që në objektin e tij në lidhje me detyrimet ligjore që rrjedhin nga fakti që Shërbimi është një prej tre autoriteteve verifikuese për sigurimin e personelit në vend. Gjithashtu, synohet përcaktimi dhe parashikimi i kornizës ligjore të procedurave të </w:t>
            </w:r>
            <w:r w:rsidRPr="00B130BB">
              <w:rPr>
                <w:rFonts w:ascii="Garamond" w:eastAsia="Times New Roman" w:hAnsi="Garamond" w:cs="Times New Roman"/>
                <w:i/>
                <w:spacing w:val="-4"/>
                <w:sz w:val="18"/>
                <w:szCs w:val="18"/>
                <w:lang w:val="sq-AL"/>
              </w:rPr>
              <w:t>vetting</w:t>
            </w:r>
            <w:r w:rsidRPr="00B130BB">
              <w:rPr>
                <w:rFonts w:ascii="Garamond" w:eastAsia="Times New Roman" w:hAnsi="Garamond" w:cs="Times New Roman"/>
                <w:spacing w:val="-4"/>
                <w:sz w:val="18"/>
                <w:szCs w:val="18"/>
                <w:lang w:val="sq-AL"/>
              </w:rPr>
              <w:t xml:space="preserve">-ut në strukturat e Policisë së Shtetit dhe të </w:t>
            </w:r>
            <w:r w:rsidRPr="00B130BB">
              <w:rPr>
                <w:rFonts w:ascii="Garamond" w:eastAsia="Times New Roman" w:hAnsi="Garamond" w:cs="Times New Roman"/>
                <w:spacing w:val="-4"/>
                <w:sz w:val="18"/>
                <w:szCs w:val="18"/>
                <w:lang w:val="sq-AL"/>
              </w:rPr>
              <w:lastRenderedPageBreak/>
              <w:t xml:space="preserve">gjitha strukturave të tjera, objekt i veprimtarisë së Shërbimit, në kuadër të parandalimit dhe luftës kundër korrupsionit dhe shkeljeve të tjera ligjore të kryera nga punonjësit e strukturave. </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Për të përmbushur standardet më të larta të funksionimit demokratik, transparent, të kontrollueshëm dhe llogaridhënës ndaj qytetarëve;</w:t>
            </w:r>
            <w:r w:rsidRPr="00B130BB">
              <w:rPr>
                <w:rFonts w:ascii="Garamond" w:eastAsia="Times New Roman" w:hAnsi="Garamond" w:cs="Times New Roman"/>
                <w:spacing w:val="-4"/>
                <w:sz w:val="18"/>
                <w:szCs w:val="18"/>
                <w:lang w:val="sq-AL"/>
              </w:rPr>
              <w:br/>
              <w:t>ii) për të vënë në zbatim një model pune të bazuar rigorozisht në zbatimin e ligjit, përgjegjësitë, kompetencat, procedurat e veprimtarisë së SHÇBA-së; si dhe</w:t>
            </w:r>
            <w:r w:rsidRPr="00B130BB">
              <w:rPr>
                <w:rFonts w:ascii="Garamond" w:eastAsia="Times New Roman" w:hAnsi="Garamond" w:cs="Times New Roman"/>
                <w:spacing w:val="-4"/>
                <w:sz w:val="18"/>
                <w:szCs w:val="18"/>
                <w:lang w:val="sq-AL"/>
              </w:rPr>
              <w:br/>
              <w:t>iii) për të konsoliduar marrëdhëniet me institucionet e pavarura dhe bashkëpunimin intensiv me partnerët ndërkombëtarë e rajonal.</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Fushën e zbatimit të ligjit; Objektin e veprimtarisë së Shërbimit; Çështje që lidhen me organizimin, funksionimin dhe veprimtaritë që kryejnë strukturat e Shërbimit; Çështje që lidhen me personelin e Shërbimit, si ecuria në gradë e karrierë, trajtimi në pagë dhe përfitime të tjera sipas legjislacionit për sigurimet shoqërore dhe suplementare në vendin tonë. </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“Forcimi i institucioneve përgjegjëse për rendin dhe sigurinë publike. I gjithë efektivi i Policisë së Shtetit do t’i nënshtrohen procesit të </w:t>
            </w:r>
            <w:r w:rsidRPr="00B130BB">
              <w:rPr>
                <w:rFonts w:ascii="Garamond" w:eastAsia="Times New Roman" w:hAnsi="Garamond" w:cs="Times New Roman"/>
                <w:i/>
                <w:spacing w:val="-4"/>
                <w:sz w:val="18"/>
                <w:szCs w:val="18"/>
                <w:lang w:val="sq-AL"/>
              </w:rPr>
              <w:t>vetting</w:t>
            </w:r>
            <w:r w:rsidRPr="00B130BB">
              <w:rPr>
                <w:rFonts w:ascii="Garamond" w:eastAsia="Times New Roman" w:hAnsi="Garamond" w:cs="Times New Roman"/>
                <w:spacing w:val="-4"/>
                <w:sz w:val="18"/>
                <w:szCs w:val="18"/>
                <w:lang w:val="sq-AL"/>
              </w:rPr>
              <w:t xml:space="preserve">-ut mbështetur në një kuadër ligjor të posaçëm të hartuar dhe monitoruar ngushtësisht dhe drejtpërdrejtë nga partnerët ndërkombëtarë. Procesi do të përfshijë edhe një rikonceptim të plotë të sistemit të rekrutimit </w:t>
            </w:r>
            <w:r w:rsidRPr="00B130BB">
              <w:rPr>
                <w:rFonts w:ascii="Garamond" w:eastAsia="Times New Roman" w:hAnsi="Garamond" w:cs="Times New Roman"/>
                <w:spacing w:val="-4"/>
                <w:sz w:val="18"/>
                <w:szCs w:val="18"/>
                <w:lang w:val="sq-AL"/>
              </w:rPr>
              <w:lastRenderedPageBreak/>
              <w:t>dhe promovimit bazuar tërësisht në meritë dhe me karakteristikë themelore transparencën”.</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28</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 Për disa shtesa dhe ndryshime në ligjin nr. 8389, datë 5.8.1998, “Për shtetësinë shqiptare”, të ndryshuar”</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Problematikat e ndeshura gjatë zbatimit të këtij ligji dhe harmonizimit të tij me konventat ndërkombëtare ku aderon Republika e Shqipërisë dhe me kuadrin e brendshëm ligjor.</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Hartimi i ndryshimeve dhe shtesave në këtë projektligj për të zgjidhur problematikat që janë ndeshur gjatë zbatimit të tij, si dhe harmonizimi me kuadrin ligjor të lidhur me çështjen e shtetësisë shqiptare të ndryshuar që nga hyrja në fuqi e këtij ligji.</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më i qartë i përkufizimeve dhe parimeve në përputhje me Konventën përkatëse, të rasteve të fitimit të shtetësisë, të kompetencave të autoriteteve përgjegjëse, rregullat procedurale, trajtimi i çështjeve të pashtetësisë dhe i disa çështjeve që lidhen me fëmijët.</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më i qartë i përkufizimeve dhe parimeve në përputhje me Konventën përkatëse, të rasteve të fitimit të shtetësisë, të kompetencave të autoriteteve përgjegjëse, rregullat procedurale, trajtimi i çështjeve të pashtetësisë dhe i disa çështjeve që lidhen me fëmijët.</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29</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 Për Shërbimin e Sigurisë së Personaliteteve të Larta Shtetërore</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Nevojë e institucionit për përmirësimin e shërbimit të sigurisë së personaliteteve të larta shtetërore.</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Rregullimi me ligj i organizimit të Shërbimit të Sigurisë së Personaliteteve të Larta Shtetërore dhe të sistemit të gradave.</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rregullave për organizimin dhe funksionimin e këtij Shërbimi dhe përcaktimi i sistemit të ri të gradave.</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Përcaktimi me ligj të veçantë dhe të integruar i organizimit dhe funksionimit të Shërbimit të Sigurisë së Personaliteteve dhe të Objekteve të Rëndësisë së Veçantë, i sistemit të gradave dhe të karrierës së punonjësve të këtij Shërbimi, trajtimi i </w:t>
            </w:r>
            <w:r w:rsidRPr="00B130BB">
              <w:rPr>
                <w:rFonts w:ascii="Garamond" w:eastAsia="Times New Roman" w:hAnsi="Garamond" w:cs="Times New Roman"/>
                <w:spacing w:val="-4"/>
                <w:sz w:val="18"/>
                <w:szCs w:val="18"/>
                <w:lang w:val="sq-AL"/>
              </w:rPr>
              <w:lastRenderedPageBreak/>
              <w:t>punonjësve të këtij shërbimi, trajnimet, kriteret për ecurinë në karrierë.</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30</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sigurimin e jetës së punonjësve të Shërbimit të Mbrojtjes nga Zjarri dhe Shpëtimit</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 nënligjor në zbatim të ligjit nr. 152/2015 “Për shërbimin e mbrojtjes nga zjarri dhe shpëtimin”.</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kategorisë së punonjësve të MZSH-së që përfitojnë sigurimin e jetës, rregullave dhe procedurave që do të ndiqen për sigurimin e tyre</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Sigurimi i jetës së punonjësve të MZSH dhe rregullave për përfitimin.</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kategorisë së punonjësve të MZSH-së që përfitojnë sigurimin e jetës, rregullave dhe procedurave që do të ndiqen për sigurimin e tyre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31</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dhënien e ndihmës së menjëhershme financiare për punonjësit e MZSH në rastet e dëmtimit të rëndë të pronës për shkak të detyrës</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 nënligjor në zbatim të ligjit nr. 152/2015 “Për shërbimin e mbrojtjes nga zjarri dhe shpëtimin”.</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ndihmës së menjëhershme financiare për punonjësit e MZSH në rastet e dëmtimit të rëndë të pronës për shkak të detyrës</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Dhënia e ndihmës së menjëhershme financiare për punonjësit e MZSH në rastet e dëmtimit të rëndë të pronës për shkak të detyrës</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ndihmës së menjëhershme financiare për punonjësit e MZSH në rastet e dëmtimit të rëndë të pronës për shkak të detyrës</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32</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 Për disa shtesa dhe ndryshime në ligjin nr. 10129, datë 11.5.2009 “Për gjendjen civile”, të ndryshuar</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Nevojë e institucionit për riorganizimin e Drejtorisë së Përgjithshme të Gjendjes Civile.</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Riorganizimi i Drejtorisë së Përgjithshme të Gjendjes Civile si institucion varësie i Ministrisë së Brendshme.</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Riorganizimi i Drejtorisë së Përgjithshme të Gjendjes Civile si institucion varësie i Ministrisë së Brendshme.</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Riorganizimi i Drejtorisë së Përgjithshme të Gjendjes Civile si institucion varësie i Ministrisë së Brendshme.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 Shërbimet publike</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33</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standardizimin dhe rregullat për vendosjen e emrave të bulevardeve, rrugëve, rrugicave, shesheve dhe parqeve në Republikën e Shqipërisë</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 nënligjor në zbatim të ligjit nr. 9270, datë 29.07.2004 “Për sistemin e adresave”, të ndryshuar.</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Miratimi i rregullave standarde për vendosjen e emrave të bulevardeve, rrugëve, rrugicave, shesheve dhe parqeve në Republikën e Shqipërisë, në zbatim të ligjit nr. 9270, datë 29.7.2004 “Për sistemin </w:t>
            </w:r>
            <w:r w:rsidRPr="00B130BB">
              <w:rPr>
                <w:rFonts w:ascii="Garamond" w:eastAsia="Times New Roman" w:hAnsi="Garamond" w:cs="Times New Roman"/>
                <w:spacing w:val="-4"/>
                <w:sz w:val="18"/>
                <w:szCs w:val="18"/>
                <w:lang w:val="sq-AL"/>
              </w:rPr>
              <w:lastRenderedPageBreak/>
              <w:t>e adresave”, të ndryshuar</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Miratimi i rregullave standarde për vendosjen e emrave të bulevardeve, rrugëve, rrugicave, shesheve dhe parqeve në Republikën e Shqipërisë, në zbatim të ligjit nr. 9270, datë 29.7.2004 “Për sistemin e adresave”, të </w:t>
            </w:r>
            <w:r w:rsidRPr="00B130BB">
              <w:rPr>
                <w:rFonts w:ascii="Garamond" w:eastAsia="Times New Roman" w:hAnsi="Garamond" w:cs="Times New Roman"/>
                <w:spacing w:val="-4"/>
                <w:sz w:val="18"/>
                <w:szCs w:val="18"/>
                <w:lang w:val="sq-AL"/>
              </w:rPr>
              <w:lastRenderedPageBreak/>
              <w:t>ndryshuar</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Standardizimi në emërtimin e bulevardeve, rrugëve, rrugicave, shesheve dhe parqeve në Republikën e Shqipërisë, në zbatim të ligjit nr. 9270, datë 29.7.2004 “Për sistemin e </w:t>
            </w:r>
            <w:r w:rsidRPr="00B130BB">
              <w:rPr>
                <w:rFonts w:ascii="Garamond" w:eastAsia="Times New Roman" w:hAnsi="Garamond" w:cs="Times New Roman"/>
                <w:spacing w:val="-4"/>
                <w:sz w:val="18"/>
                <w:szCs w:val="18"/>
                <w:lang w:val="sq-AL"/>
              </w:rPr>
              <w:lastRenderedPageBreak/>
              <w:t>adresave”, të ndryshuar</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 Shërbimet publike</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34</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miratimin e Rregullores së Shërbimit të MZSH</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 nënligjor në zbatim të ligjit nr. 152/2015 “Për shërbimin e mbrojtjes nga zjarri dhe shpëtimin”.</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i rregullave për disiplinën, etikën, marrëdhënien e punës dhe çështje të tjera të parashikuara në ligj</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i rregullave për disiplinën, etikën, marrëdhënien e punës dhe çështje të tjera të parashikuara në ligj</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Disiplina, etika, marrëdhëniet e punës dhe çështje të tjera, sipas autorizimit ligjor.</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35</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miratimin e rregullave dhe procedurave që ndiqen nga Prefekti i Qarkut, në rast mospërmbushjeje nga strukturat përgjegjëse të njësive të vetëqeverisjes vendore të detyrimeve të përcaktuara në nenin 29, të ligjit nr. 9270, datë 29.07.2004 “Për sistemin e adresave, të ndryshuar” </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 nënligjor në zbatim të ligjit nr. 9270, datë 29.07.2004 “Për sistemin e adresave”, të ndryshuar.</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i rregullave dhe procedurave që do të ndiqen nga Prefekti i Qarkut, në rast mospërmbushjeje nga njësitë e vetëqeverisjes vendore të detyrimeve të përcaktuara në nenin 29 të ligjit nr. 9270, datë 29.7.2004 “Për sistemin e adresave”, të ndryshuar, të lidhura me: 1. emërtimet e bulevardeve, të rrugëve, rrugicave, shesheve dhe parqeve ekzistuese të paemërtuara, brenda datës 31 dhjetor 2016 nga këshillat e njësive të vetëqeverisjes vendore;</w:t>
            </w:r>
            <w:r w:rsidRPr="00B130BB">
              <w:rPr>
                <w:rFonts w:ascii="Garamond" w:eastAsia="Times New Roman" w:hAnsi="Garamond" w:cs="Times New Roman"/>
                <w:spacing w:val="-4"/>
                <w:sz w:val="18"/>
                <w:szCs w:val="18"/>
                <w:lang w:val="sq-AL"/>
              </w:rPr>
              <w:br/>
              <w:t xml:space="preserve">2. adresimin numerik të brendshëm e të jashtëm të objekteve ekzistuese, brenda datës 31 .12. 2016, nga seksionet/zyrat e </w:t>
            </w:r>
            <w:r w:rsidRPr="00B130BB">
              <w:rPr>
                <w:rFonts w:ascii="Garamond" w:eastAsia="Times New Roman" w:hAnsi="Garamond" w:cs="Times New Roman"/>
                <w:spacing w:val="-4"/>
                <w:sz w:val="18"/>
                <w:szCs w:val="18"/>
                <w:lang w:val="sq-AL"/>
              </w:rPr>
              <w:lastRenderedPageBreak/>
              <w:t>urbanistikës në njësitë e v.q.v.</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Miratimi i rregullave dhe procedurave që do të ndiqen nga Prefekti i Qarkut, në rast mospërmbushjeje nga njësitë e vetëqeverisjes vendore të detyrimeve të përcaktuara në nenin 29 të ligjit nr. 9270, datë 29.07.2004 “Për sistemin e adresave”, të ndryshuar, të lidhura me: 1. emërtimet e bulevardeve, të rrugëve, rrugicave, shesheve dhe parqeve ekzistuese të paemërtuara, brenda datës 31 dhjetor 2016 nga këshillat e njësive të vetëqeverisjes vendore;</w:t>
            </w:r>
            <w:r w:rsidRPr="00B130BB">
              <w:rPr>
                <w:rFonts w:ascii="Garamond" w:eastAsia="Times New Roman" w:hAnsi="Garamond" w:cs="Times New Roman"/>
                <w:spacing w:val="-4"/>
                <w:sz w:val="18"/>
                <w:szCs w:val="18"/>
                <w:lang w:val="sq-AL"/>
              </w:rPr>
              <w:br/>
              <w:t>2. adresimin numerik të brendshëm e të jashtëm të objekteve ekzistuese, brenda datës 31 dhjetor 2016, nga seksionet/zyrat e urbanistikës në njësitë e vetëqeverisjes vendore.</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rregullave për emërtimet e bulevardeve, të rrugëve, rrugicave, shesheve dhe parqeve ekzistuese të paemërtuara, brenda datës 31 dhjetor 2016 nga këshillat e njësive të vetëqeverisjes vendore dhe i adresimit numerik të brendshëm e të jashtëm të objekteve ekzistuese, brenda datës 31 dhjetor 2016, nga seksionet/zyrat e urbanistikës në njësitë e vetëqeverisjes vendore.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 Shërbimet publike</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36</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krijimin e Institutit të formimit dhe kualifikimit të Shërbimit të Sigurisë së Personaliteteve të Larta Shtetërore</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 nënligjor në zbatim të projektligjit “Për Shërbimin e Sigurisë së Personaliteteve të Larta Shtetërore”</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synon përgatitjen profesionale dhe fizike të punonjësve të këtij shërbimi.</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Përcaktimi i rregullave për krijimin dhe funksionimin e Institutit të formimit dhe kualifikimit të Shërbimit të Sigurisë së Personaliteteve të Larta Shtetërore. </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Përcaktimi i rregullave për krijimin dhe funksionimin e Institutit të formimit dhe kualifikimit të Shërbimit të Sigurisë së Personaliteteve të Larta Shtetërore. </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37</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përcaktimin e Personaliteteve të tjera që do të sigurohen nga Shërbimi i Sigurisë së Personaliteteve të Larta Shtetërore</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 nënligjor në zbatim të projektligjit “Për Shërbimin e Sigurisë së Personaliteteve të Larta Shtetërore”</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synon përcaktimin e Personaliteteve të Larta Shtetërore të tjera, që do të sigurohen nga Shërbimi i Sigurisë së Personaliteteve të Larta Shtetërore</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synon përcaktimin e Personaliteteve të Larta Shtetërore të tjera, që do të sigurohen nga Shërbimi i Sigurisë së Personaliteteve të Larta Shtetërore</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Personaliteteve të Larta Shtetërore të tjera, që do të sigurohen nga Shërbimi i Sigurisë së Personaliteteve të Larta Shtetërore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38</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përcaktimin e objekteve dhe rezidencave që do të sigurohen nga Shërbimi i Sigurisë së Personaliteteve të Larta Shtetërore</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 nënligjor në zbatim të projektligjit “Për Shërbimin e Sigurisë së Personaliteteve të Larta Shtetërore”</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synon të përcaktojë objektet dhe rezidencat që do të sigurohen nga Shërbimi i Sigurisë së Personaliteteve të Larta Shtetërore, të ndryshme nga ato të përcaktuar me ligj.</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synon të përcaktojë objektet dhe rezidencat që do të sigurohen nga Shërbimi i Sigurisë së Personaliteteve të Larta Shtetërore, të ndryshme nga ato të përcaktuar me ligj.</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objekteve dhe rezidencave që do të sigurohen nga Shërbimi i Sigurisë së Personaliteteve të Larta Shtetërore, të ndryshme nga ato të përcaktuar me ligj.</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39</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miratimin e uniformës dhe simboleve të Shërbimit të Sigurisë së Personaliteteve të Larta Shtetërore</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 nënligjor në zbatim të projektligjit “Për Shërbimin e Sigurisë së Personaliteteve të Larta Shtetërore”</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Ky projektvendim synon të përcaktojë uniformën dhe simbolet, si rrjedhojë e ndryshimeve në ligjin organik të këtij Shërbimi, si dhe përmirësimin </w:t>
            </w:r>
            <w:r w:rsidRPr="00B130BB">
              <w:rPr>
                <w:rFonts w:ascii="Garamond" w:eastAsia="Times New Roman" w:hAnsi="Garamond" w:cs="Times New Roman"/>
                <w:spacing w:val="-4"/>
                <w:sz w:val="18"/>
                <w:szCs w:val="18"/>
                <w:lang w:val="sq-AL"/>
              </w:rPr>
              <w:lastRenderedPageBreak/>
              <w:t>e tyre.</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Përcaktimi i uniformës dhe simboleve, si rrjedhojë e ndryshimeve në ligjin organik të këtij Shërbimi, si dhe përmirësimin e tyre.</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uniformës dhe simboleve, si rrjedhojë e ndryshimeve në ligjin organik të këtij Shërbimi, si dhe përmirësimin e tyre.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40</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përcaktimin e armatimit dhe mjeteve teknike të posaçme për punonjësit e Shërbimit të Sigurisë së Personaliteteve të Larta Shtetërore</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 nënligjor në zbatim të projektligjit “Për Shërbimin e Sigurisë së Personaliteteve të Larta Shtetërore”</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synon të përcaktojë armatimin dhe mjetet teknike të posaçme për punonjësit e Shërbimit të Sigurisë së Personaliteteve të Larta Shtetërore, në qasje me ato të shërbimeve homologe.</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armatimit dhe mjeteve teknike të posaçme për punonjësit e Shërbimit të Sigurisë së Personaliteteve të Larta Shtetërore, në qasje me ato të shërbimeve homologe.</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armatimit dhe mjeteve teknike të posaçme për punonjësit e Shërbimit të Sigurisë së Personaliteteve të Larta Shtetërore, në qasje me ato të shërbimeve homologe.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41</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përcaktimin e automjeteve të posaçme për transportin e Personaliteteve të Larta Shtetërore</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 nënligjor në zbatim të projektligjit “Për Shërbimin e Sigurisë së Personaliteteve të Larta Shtetërore”</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synon të standardizojë automjetet e posaçme për transportin e Personaliteteve të Larta Shtetërore</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Standardizimi i automjeteve të posaçme për transportin e Personaliteteve të Larta Shtetërore</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automjeteve të posaçme për transportin e Personaliteteve të Larta Shtetërore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42</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përcaktimin e simboleve, emblemave të personelit të Shërbimit të Sigurisë së Personaliteteve të Larta Shtetërore</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 nënligjor në zbatim të projektligjit “Për Shërbimin e Sigurisë së Personaliteteve të Larta Shtetërore”</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synon përcaktimin e simboleve, emblemave të personelit, në Shërbimin e Sigurisë, rrjedhojë e ndryshimit të ligjit organik</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simboleve, emblemave të personelit, në Shërbimin e Sigurisë, në zbatim të projektligjit të ri për këtë shërbim.</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simboleve, emblemave të personelit, në Shërbimin e Sigurisë, në zbatim të projektligjit të ri për këtë shërbim.</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43</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 Për disa shtesa dhe ndryshime në ligjin nr.121/2014 “Për azilin në Republikën e Shqipërisë”</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Përafrimi i mëtejshëm me </w:t>
            </w:r>
            <w:r w:rsidRPr="00B130BB">
              <w:rPr>
                <w:rFonts w:ascii="Garamond" w:eastAsia="Times New Roman" w:hAnsi="Garamond" w:cs="Times New Roman"/>
                <w:i/>
                <w:spacing w:val="-4"/>
                <w:sz w:val="18"/>
                <w:szCs w:val="18"/>
                <w:lang w:val="sq-AL"/>
              </w:rPr>
              <w:t>acuqis</w:t>
            </w:r>
            <w:r w:rsidRPr="00B130BB">
              <w:rPr>
                <w:rFonts w:ascii="Garamond" w:eastAsia="Times New Roman" w:hAnsi="Garamond" w:cs="Times New Roman"/>
                <w:spacing w:val="-4"/>
                <w:sz w:val="18"/>
                <w:szCs w:val="18"/>
                <w:lang w:val="sq-AL"/>
              </w:rPr>
              <w:t xml:space="preserve"> e fushës së Azilit të kapitulli 24 “Drejtësia, Liria dhe Siguria” të Bashkimit Evropian</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Ky projektligj synon të përafrojë më tej procedurat në kuadër të mbrojtjes ndërkombëtare në Republikën e Shqipërisë me </w:t>
            </w:r>
            <w:r w:rsidRPr="00B130BB">
              <w:rPr>
                <w:rFonts w:ascii="Garamond" w:eastAsia="Times New Roman" w:hAnsi="Garamond" w:cs="Times New Roman"/>
                <w:i/>
                <w:spacing w:val="-4"/>
                <w:sz w:val="18"/>
                <w:szCs w:val="18"/>
                <w:lang w:val="sq-AL"/>
              </w:rPr>
              <w:t>acquis</w:t>
            </w:r>
            <w:r w:rsidRPr="00B130BB">
              <w:rPr>
                <w:rFonts w:ascii="Garamond" w:eastAsia="Times New Roman" w:hAnsi="Garamond" w:cs="Times New Roman"/>
                <w:spacing w:val="-4"/>
                <w:sz w:val="18"/>
                <w:szCs w:val="18"/>
                <w:lang w:val="sq-AL"/>
              </w:rPr>
              <w:t xml:space="preserve"> të Bashkimit Evropian dhe të fuqizojë sistemin e azilit në vend në përputhje me këto standarde.</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Përafrimi i mëtejshëm i procedurave për dhënien e statusit të refugjatit dhe të mbrojtjes plotësuese në Republikën e Shqipërisë me </w:t>
            </w:r>
            <w:r w:rsidRPr="00B130BB">
              <w:rPr>
                <w:rFonts w:ascii="Garamond" w:eastAsia="Times New Roman" w:hAnsi="Garamond" w:cs="Times New Roman"/>
                <w:i/>
                <w:spacing w:val="-4"/>
                <w:sz w:val="18"/>
                <w:szCs w:val="18"/>
                <w:lang w:val="sq-AL"/>
              </w:rPr>
              <w:t>acquis</w:t>
            </w:r>
            <w:r w:rsidRPr="00B130BB">
              <w:rPr>
                <w:rFonts w:ascii="Garamond" w:eastAsia="Times New Roman" w:hAnsi="Garamond" w:cs="Times New Roman"/>
                <w:spacing w:val="-4"/>
                <w:sz w:val="18"/>
                <w:szCs w:val="18"/>
                <w:lang w:val="sq-AL"/>
              </w:rPr>
              <w:t xml:space="preserve"> të Bashkimit Evropian, i procedurave për kategori të veçanta dhe vulnerabël, si dhe fuqizimi i sistemit të azilit në vend në përputhje me këto </w:t>
            </w:r>
            <w:r w:rsidRPr="00B130BB">
              <w:rPr>
                <w:rFonts w:ascii="Garamond" w:eastAsia="Times New Roman" w:hAnsi="Garamond" w:cs="Times New Roman"/>
                <w:spacing w:val="-4"/>
                <w:sz w:val="18"/>
                <w:szCs w:val="18"/>
                <w:lang w:val="sq-AL"/>
              </w:rPr>
              <w:lastRenderedPageBreak/>
              <w:t>standarde.</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Përafrimi i mëtejshëm i procedurave për dhënien e statusit të refugjatit dhe të mbrojtjes plotësuese në Republikën e Shqipërisë me </w:t>
            </w:r>
            <w:r w:rsidRPr="00B130BB">
              <w:rPr>
                <w:rFonts w:ascii="Garamond" w:eastAsia="Times New Roman" w:hAnsi="Garamond" w:cs="Times New Roman"/>
                <w:i/>
                <w:spacing w:val="-4"/>
                <w:sz w:val="18"/>
                <w:szCs w:val="18"/>
                <w:lang w:val="sq-AL"/>
              </w:rPr>
              <w:t>acquis</w:t>
            </w:r>
            <w:r w:rsidRPr="00B130BB">
              <w:rPr>
                <w:rFonts w:ascii="Garamond" w:eastAsia="Times New Roman" w:hAnsi="Garamond" w:cs="Times New Roman"/>
                <w:spacing w:val="-4"/>
                <w:sz w:val="18"/>
                <w:szCs w:val="18"/>
                <w:lang w:val="sq-AL"/>
              </w:rPr>
              <w:t xml:space="preserve"> të Bashkimit Evropian, i procedurave për kategori të veçanta dhe vulnerabël, si dhe fuqizimi i </w:t>
            </w:r>
            <w:r w:rsidRPr="00B130BB">
              <w:rPr>
                <w:rFonts w:ascii="Garamond" w:eastAsia="Times New Roman" w:hAnsi="Garamond" w:cs="Times New Roman"/>
                <w:spacing w:val="-4"/>
                <w:sz w:val="18"/>
                <w:szCs w:val="18"/>
                <w:lang w:val="sq-AL"/>
              </w:rPr>
              <w:lastRenderedPageBreak/>
              <w:t>sistemit të azilit në vend në përputhje me këto standarde.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Po. Është parashikuar si masë ligjore në Planin Kombëtar për Integrimin Evropian, në kapitullin 24 “Drejtësia, liria </w:t>
            </w:r>
            <w:r w:rsidRPr="00B130BB">
              <w:rPr>
                <w:rFonts w:ascii="Garamond" w:eastAsia="Times New Roman" w:hAnsi="Garamond" w:cs="Times New Roman"/>
                <w:spacing w:val="-4"/>
                <w:sz w:val="18"/>
                <w:szCs w:val="18"/>
                <w:lang w:val="sq-AL"/>
              </w:rPr>
              <w:lastRenderedPageBreak/>
              <w:t>dhe siguria”</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4. Politika e jashtme dhe e sigurisë, integrimi evropian dhe shqiptarët në botë.</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44</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 Për terrorizmin</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Mungesa e parashikimeve ligjore për kryerjen e veprimeve të ngutshme policore, në fushën e luftës kundër terrorizmit.</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Të rriten kapacitetet dhe instrumentet ligjore në dispozicion të strukturave Antiterror në Policinë e Shtetit për të reaguar në kohë në parandalimin, zbulimin dhe goditjen e çdo aktiviteti apo veprimtarie të dyshuar terroriste.</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Plotësimi dhe përafrimi i legjislacionit në fushën e luftës kundër terrorizmit me legjislacionin e BE</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Ligji përcakton kompetencën lëndore të hetimit të këtyre veprave nga strukturat e Drejtorisë së Antiterrorit, objektin e punës, kompetencat, përgjegjësitë dhe lehtësimin gjatë veprimtarisë policorë/hetimore.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 Është parashikuar si masë ligjore në Planin Kombëtar për Integrimin Evropian, në kapitullin 24 “Drejtësia, Liria dhe Siguria”</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45</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miratimin e Planit Kombëtar Zhvillimor për Migracionin </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Nevojë e institucionit.</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Miratimi i këtij Plani synon përcaktimin e reformave në fushën e migrimit për menaxhimin e suksesshëm të kësaj dukurie, si dhe të përcaktojë, me hollësi, objektivat, veprimtaritë, rolet e përgjegjësitë institucionale dhe efektin financiar për zbatimin e këtij plani. </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Përcaktimi i reformave në fushën e migrimit për menaxhimin e suksesshëm të kësaj dukurie, si dhe të përcaktojë, me hollësi, objektivat, veprimtaritë, rolet e përgjegjësitë institucionale dhe efektin financiar për zbatimin e këtij plani. </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Përcaktimi i reformave në fushën e migrimit për menaxhimin e suksesshëm të kësaj dukurie, si dhe të përcaktojë, me hollësi, objektivat, veprimtaritë, rolet e përgjegjësitë institucionale dhe efektin financiar për zbatimin e këtij plani. </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46</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miratimin e Rregullores së Shërbimit të Sigurisë</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 nënligjor në zbatim të projektligjit “Për Shërbimin e Sigurisë së Personaliteteve të Larta Shtetërore”</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rregullave mbi etikën, disiplinën dhe trajtimin e personelit të Shërbimit të Sigurisë së Personalitete</w:t>
            </w:r>
            <w:r w:rsidRPr="00B130BB">
              <w:rPr>
                <w:rFonts w:ascii="Garamond" w:eastAsia="Times New Roman" w:hAnsi="Garamond" w:cs="Times New Roman"/>
                <w:spacing w:val="-4"/>
                <w:sz w:val="18"/>
                <w:szCs w:val="18"/>
                <w:lang w:val="sq-AL"/>
              </w:rPr>
              <w:lastRenderedPageBreak/>
              <w:t>ve të Larta Shtetërore.</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Përcaktimi i rregullave mbi etikën, disiplinën dhe trajtimin e personelit të Shërbimit të Sigurisë së Personalitetev</w:t>
            </w:r>
            <w:r w:rsidRPr="00B130BB">
              <w:rPr>
                <w:rFonts w:ascii="Garamond" w:eastAsia="Times New Roman" w:hAnsi="Garamond" w:cs="Times New Roman"/>
                <w:spacing w:val="-4"/>
                <w:sz w:val="18"/>
                <w:szCs w:val="18"/>
                <w:lang w:val="sq-AL"/>
              </w:rPr>
              <w:lastRenderedPageBreak/>
              <w:t>e të Larta Shtetërore, sipas çështjeve që delegon ligji dhe në përputhje me parashikimet e projektligjit të ri për këtë shërbim.</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Etika, disiplina dhe çështje të tjera të trajtimit të personelit sipas autorizimit ligjor.</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47</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miratimin e stemës, uniformës, flamurit, gradave dhe shenjave dalluese të shërbimit të MZSH-së</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 nënligjor në zbatim të ligjit nr. 152/2015 “Për shërbimin e mbrojtjes nga zjarri dhe shpëtimin”.</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i stemës, uniformës, flamurit, gradave dhe shenjave dalluese të shërbimit të MZSH-së</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i stemës, uniformës, flamurit, gradave dhe shenjave dalluese të shërbimit të MZSH-së</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i stemës, uniformës, flamurit, gradave dhe shenjave dalluese të shërbimit të MZSH-së</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48</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përcaktimin e detyrimeve të transportuesit për transmetimin paraprak të listës së pasagjerëve sipas standardeve API</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Detyrimi për ngritjen e sistemit API, si angazhim i Republikës së Shqipërisë për përafrimin e mëtejshëm më </w:t>
            </w:r>
            <w:r w:rsidRPr="00B130BB">
              <w:rPr>
                <w:rFonts w:ascii="Garamond" w:eastAsia="Times New Roman" w:hAnsi="Garamond" w:cs="Times New Roman"/>
                <w:i/>
                <w:spacing w:val="-4"/>
                <w:sz w:val="18"/>
                <w:szCs w:val="18"/>
                <w:lang w:val="sq-AL"/>
              </w:rPr>
              <w:t>acquis</w:t>
            </w:r>
            <w:r w:rsidRPr="00B130BB">
              <w:rPr>
                <w:rFonts w:ascii="Garamond" w:eastAsia="Times New Roman" w:hAnsi="Garamond" w:cs="Times New Roman"/>
                <w:spacing w:val="-4"/>
                <w:sz w:val="18"/>
                <w:szCs w:val="18"/>
                <w:lang w:val="sq-AL"/>
              </w:rPr>
              <w:t xml:space="preserve"> të BE, me Direktivën 2004/82 për API, Rezolutave 2178 dhe 2309 të Këshillit të Sigurisë të Kombeve të Bashkuara dhe Standardit të ri 9.5 të ICAO </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modaliteteve të transmetimit të të dhënave paraprake të pasagjerëve nga Transportuesi tek Autoriteti Shtetëror, ngarkuar për përpunimin dhe konsultimin e këtyre të dhënave</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Përputhshmëria me Direktivën 2004/82 të BE-së dhe Standardin 9.5 të ICAO për API (Informacionin e Avancuar për Pasagjerë)</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Normon ngritjen e sistemit API </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 Është parashikuar si masë ligjore në Planin Kombëtar për Integrimin Evropian, në kapitullin 24 “Drejtësia, Liria dhe Siguria”</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49</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miratimin në parim të “Marrëveshjes ndërmjet Këshillit të Ministrave të Republikës së Shqipërisë dhe Qeverise Greke, për rindërtimin, riparimin, dhe mirëmbajtjen e vijës kufitare dhe shenjave kufitare në kufirin shqiptaro-grek”.</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Forcimi i bashkëpunimit ndërkufitar ndërmjet Republikës së Shqipërisë dhe Qeverise Greke.</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Rindërtimi, riparimi dhe mirëmbajtja e vijës kufitare ndërmjet Republikës së Shqipërisë dhe Qeverisë Greke.</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Forcimi i bashkëpunimit ndërkufitar ndërmjet Republikës së Shqipërisë dhe Qeverise Greke.</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ndërmjet palëve i rregullave për rindërtimin, riparimin dhe mirëmbajtjen e vijës kufitare ndërmjet dy shteteve.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 Politika e jashtme dhe e sigurisë, integrimi evropian dhe shqiptarët në botë.</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50</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miratimin në parim të </w:t>
            </w:r>
            <w:r w:rsidRPr="00B130BB">
              <w:rPr>
                <w:rFonts w:ascii="Garamond" w:eastAsia="Times New Roman" w:hAnsi="Garamond" w:cs="Times New Roman"/>
                <w:spacing w:val="-4"/>
                <w:sz w:val="18"/>
                <w:szCs w:val="18"/>
                <w:lang w:val="sq-AL"/>
              </w:rPr>
              <w:lastRenderedPageBreak/>
              <w:t>“Marrëveshjes ndërmjet “Këshillit të Ministrave të Republikës së Shqipërisë dhe Qeverise Greke, për masat për parandalimin dhe zgjidhjen e incidenteve në kufirin shtetëror shqiptaro-grek”.</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Forcimi i bashkëpunimit ndërkufitar </w:t>
            </w:r>
            <w:r w:rsidRPr="00B130BB">
              <w:rPr>
                <w:rFonts w:ascii="Garamond" w:eastAsia="Times New Roman" w:hAnsi="Garamond" w:cs="Times New Roman"/>
                <w:spacing w:val="-4"/>
                <w:sz w:val="18"/>
                <w:szCs w:val="18"/>
                <w:lang w:val="sq-AL"/>
              </w:rPr>
              <w:lastRenderedPageBreak/>
              <w:t>ndërmjet Republikës së Shqipërisë dhe Qeverise Greke.</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Parandalimi dhe zgjidhja e incidenteve të </w:t>
            </w:r>
            <w:r w:rsidRPr="00B130BB">
              <w:rPr>
                <w:rFonts w:ascii="Garamond" w:eastAsia="Times New Roman" w:hAnsi="Garamond" w:cs="Times New Roman"/>
                <w:spacing w:val="-4"/>
                <w:sz w:val="18"/>
                <w:szCs w:val="18"/>
                <w:lang w:val="sq-AL"/>
              </w:rPr>
              <w:lastRenderedPageBreak/>
              <w:t>mundshme në kufirin shtetëror shqiptaro-grek”.</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Forcimi i bashkëpunimit ndërkufitar </w:t>
            </w:r>
            <w:r w:rsidRPr="00B130BB">
              <w:rPr>
                <w:rFonts w:ascii="Garamond" w:eastAsia="Times New Roman" w:hAnsi="Garamond" w:cs="Times New Roman"/>
                <w:spacing w:val="-4"/>
                <w:sz w:val="18"/>
                <w:szCs w:val="18"/>
                <w:lang w:val="sq-AL"/>
              </w:rPr>
              <w:lastRenderedPageBreak/>
              <w:t>ndërmjet Republikës së Shqipërisë dhe Qeverise Greke.</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Përcaktimi ndërmjet palëve I </w:t>
            </w:r>
            <w:r w:rsidRPr="00B130BB">
              <w:rPr>
                <w:rFonts w:ascii="Garamond" w:eastAsia="Times New Roman" w:hAnsi="Garamond" w:cs="Times New Roman"/>
                <w:spacing w:val="-4"/>
                <w:sz w:val="18"/>
                <w:szCs w:val="18"/>
                <w:lang w:val="sq-AL"/>
              </w:rPr>
              <w:lastRenderedPageBreak/>
              <w:t>rregullave për parandalimin dhe zgjidhjen e incidenteve të mundshme në kufirin ndërmjet dy shteteve.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4. Politika e jashtme dhe e </w:t>
            </w:r>
            <w:r w:rsidRPr="00B130BB">
              <w:rPr>
                <w:rFonts w:ascii="Garamond" w:eastAsia="Times New Roman" w:hAnsi="Garamond" w:cs="Times New Roman"/>
                <w:spacing w:val="-4"/>
                <w:sz w:val="18"/>
                <w:szCs w:val="18"/>
                <w:lang w:val="sq-AL"/>
              </w:rPr>
              <w:lastRenderedPageBreak/>
              <w:t>sigurisë, integrimi evropian dhe shqiptarët në botë.</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51</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miratimin në parim të “Marrëveshjes ndërmjet Republikës së Shqipërisë, Republikës së Austrisë, Bosnjë dhe Hercegovinës Republikës së Bullgarisë, Hungarisë, Republikës së Maqedonisë, Republikës së Moldavisë, Malit të Zi, Rumanisë, Republikës së Serbisë, Republikës së Sllovenisë, për shkëmbimin e automatizuar të të dhënave të ADN-së, daktiloskopike dhe regjistrimit të të dhënave të automjeteve”. </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Rritja e bashkëpunimit me qëllim shkëmbimin e të dhënave.</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Shkëmbimi i automatizuar të të dhënave të ADN-së, daktiloskopike dhe regjistrimit të të dhënave të automjeteve. </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Forcimi i bashkëpunimit në fushën e shkëmbimit të automatizuar të të dhënave të ADN-së, daktiloskopike dhe regjistrimit të të dhënave të automjeteve, ndërmjet Republikës së Shqipërisë, Republikës së Austrisë, Bosnje dhe Hercegovinës Republikës së Bullgarisë, Hungarisë, Republikës së Maqedonisë, Republikës së Moldavisë, Malit të Zi, Rumanisë, Republikës së Serbisë, Republikës së Sllovenisë.</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rregullave të bashkëpunimit në fushën e shkëmbimit të automatizuar të të dhënave të ADN-së, daktiloskopike dhe e regjistrimit të të dhënave të automjeteve, ndërmjet shteteve palë të kësaj marrëveshjeje.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 Politika e jashtme dhe e sigurisë, integrimi evropian dhe shqiptarët në botë.</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52</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miratimin në parim të “Marrëveshjes ndërmjet Këshillit të Ministrave të Republikës së Shqipërisë dhe Qeverisë së Republikës Islamike të Afganistanit mbi ripranimin e personave me qëndrim të paautorizuar” dhe “Protokollit ndërmjet Këshillit të Ministrave të </w:t>
            </w:r>
            <w:r w:rsidRPr="00B130BB">
              <w:rPr>
                <w:rFonts w:ascii="Garamond" w:eastAsia="Times New Roman" w:hAnsi="Garamond" w:cs="Times New Roman"/>
                <w:spacing w:val="-4"/>
                <w:sz w:val="18"/>
                <w:szCs w:val="18"/>
                <w:lang w:val="sq-AL"/>
              </w:rPr>
              <w:lastRenderedPageBreak/>
              <w:t xml:space="preserve">Republikës së Shqipërisë dhe Qeverisë së Republikës Islamike të Afganistanit mbi zbatimin e Marrëveshjes ndërmjet Këshillit të Ministrave të Republikës së Shqipërisë dhe Qeverisë së Republikës Islamike të Afganistanit mbi ripranimin e personave me qëndrim të paautorizuar”. </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që buron nga zbatimi i Marrëveshjes së Stabilizim- Asociimit.</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Ripranimi i personave me qëndrim të paautorizuar në vendet respektive</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Ripranimi i personave me qëndrim të paautorizuar në vendet respektive</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rregullave për ripranimin e personave më qëndrim të paautorizuar.</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 Politika e jashtme dhe e sigurisë, integrimi evropian dhe shqiptarët në botë.</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53</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miratimin në parim të “Marrëveshjes ndërmjet Këshillit të Ministrave të Republikës së Shqipërisë dhe Qeverisë së Republikës së Irakut mbi ripranimin e personave me qëndrim të paautorizuar” dhe “Protokollit ndërmjet Këshillit të Ministrave të Republikës së Shqipërisë dhe Qeverisë së Republikës së Irakut mbi zbatimin e Marrëveshjes ndërmjet Këshillit të Ministrave të Republikës së Shqipërisë dhe Qeverisë së Republikës së Irakut mbi ripranimin e personave me qëndrim të paautorizuar”. </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që buron nga zbatimi i Marrëveshjes së Stabilizim- Asociimit.</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Ripranimi i personave me qëndrim të paautorizuar në vendet respektive</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Ripranimi i personave me qëndrim të paautorizuar në vendet respektive</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rregullave për ripranimin e personave më qëndrim të paautorizuar.</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 Politika e jashtme dhe e sigurisë, integrimi evropian dhe shqiptarët në botë.</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54</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miratimin në parim të “Marrëveshjes ndërmjet Këshillit të Ministrave të Republikës së </w:t>
            </w:r>
            <w:r w:rsidRPr="00B130BB">
              <w:rPr>
                <w:rFonts w:ascii="Garamond" w:eastAsia="Times New Roman" w:hAnsi="Garamond" w:cs="Times New Roman"/>
                <w:spacing w:val="-4"/>
                <w:sz w:val="18"/>
                <w:szCs w:val="18"/>
                <w:lang w:val="sq-AL"/>
              </w:rPr>
              <w:lastRenderedPageBreak/>
              <w:t xml:space="preserve">Shqipërisë dhe Qeverisë së Republikës Islamike të Iranit mbi ripranimin e personave me qëndrim të paautorizuar” dhe “Protokollit ndërmjet Këshillit të Ministrave të Republikës së Shqipërisë dhe Qeverisë së Republikës Islamike të Iranit mbi zbatimin e Marrëveshjes ndërmjet Këshillit të Ministrave të Republikës së Shqipërisë dhe Qeverisë së Republikës Islamike të Iranit mbi ripranimin e personave me qëndrim të paautorizuar”. </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që buron nga zbatimi i Marrëveshjes së Stabilizim- Asociimit.</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Ripranimi i personave me qëndrim të paautorizuar në vendet respektive</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Ripranimi i personave me qëndrim të paautorizuar në vendet respektive</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Përcaktimi i rregullave për ripranimin e personave më qëndrim të </w:t>
            </w:r>
            <w:r w:rsidRPr="00B130BB">
              <w:rPr>
                <w:rFonts w:ascii="Garamond" w:eastAsia="Times New Roman" w:hAnsi="Garamond" w:cs="Times New Roman"/>
                <w:spacing w:val="-4"/>
                <w:sz w:val="18"/>
                <w:szCs w:val="18"/>
                <w:lang w:val="sq-AL"/>
              </w:rPr>
              <w:lastRenderedPageBreak/>
              <w:t>paautorizuar.</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4. Politika e jashtme dhe e sigurisë, integrimi evropian dhe </w:t>
            </w:r>
            <w:r w:rsidRPr="00B130BB">
              <w:rPr>
                <w:rFonts w:ascii="Garamond" w:eastAsia="Times New Roman" w:hAnsi="Garamond" w:cs="Times New Roman"/>
                <w:spacing w:val="-4"/>
                <w:sz w:val="18"/>
                <w:szCs w:val="18"/>
                <w:lang w:val="sq-AL"/>
              </w:rPr>
              <w:lastRenderedPageBreak/>
              <w:t>shqiptarët në botë.</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55</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miratimin në parim të “Marrëveshjes ndërmjet Këshillit të Ministrave të Republikës së Shqipërisë dhe Qeverisë së Mbretërisë së Marokut mbi ripranimin e personave me qëndrim të paautorizuar” dhe “Protokollit ndërmjet Këshillit të Ministrave të Republikës së Shqipërisë dhe Qeverisë së Mbretërisë së Marokut mbi zbatimin e Marrëveshjes ndërmjet Këshillit të Ministrave të Republikës së Shqipërisë dhe Qeverisë së Mbretërisë së Marokut mbi ripranimin e personave me </w:t>
            </w:r>
            <w:r w:rsidRPr="00B130BB">
              <w:rPr>
                <w:rFonts w:ascii="Garamond" w:eastAsia="Times New Roman" w:hAnsi="Garamond" w:cs="Times New Roman"/>
                <w:spacing w:val="-4"/>
                <w:sz w:val="18"/>
                <w:szCs w:val="18"/>
                <w:lang w:val="sq-AL"/>
              </w:rPr>
              <w:lastRenderedPageBreak/>
              <w:t xml:space="preserve">qëndrim të paautorizuar”. </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që buron nga zbatimi i Marrëveshjes së Stabilizim- Asociimit.</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Ripranimi i personave me qëndrim të paautorizuar në vendet respektive</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Ripranimi i personave me qëndrim të paautorizuar në vendet respektive</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rregullave për ripranimin e personave më qëndrim të paautorizuar.</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 Politika e jashtme dhe e sigurisë, integrimi evropian dhe shqiptarët në botë.</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56</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propozimin e projektligjit për aderimin e Republikës së Shqipërisë në “Protokollin 2005 të Konventës për ndalimin e akteve të paligjshme kundër sigurisë së lundrimit detar” dhe “Protokollin 2005, të Protokollit të Konventës për ndalimin e akteve të paligjshme kundër sigurisë së platformave fikse të vendosura në shelfin kontinental”.</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Aderimi i Republikës së Shqipërisë në këto dy Protokolle.</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Aderimi në këto organizma synon të forcojë bashkëpunimin dhe përmirësimin e shkëmbimit të informacionit ndërmjet Republikës së Shqipërisë dhe Organizatës Ndërkombëtare Detare (IMO), për të rritur efikasitetin në luftën kundër krimit të organizuar, terrorizmit, në aspektin e sigurisë detare duke bashkëvepruar me organet kompetente. </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Rritja e efikasitetit në luftën kundër krimit të organizuar, terrorizmit, në aspektin e sigurisë detare, duke bashkëvepruar me organet kompetente. </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rregullave për ripranimin e personave më qëndrim të paautorizuar.</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 Politika e jashtme dhe e sigurisë, integrimi evropian dhe shqiptarët në botë.</w:t>
            </w:r>
          </w:p>
        </w:tc>
      </w:tr>
      <w:tr w:rsidR="00B130BB" w:rsidRPr="00B130BB" w:rsidTr="00842C95">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57</w:t>
            </w:r>
          </w:p>
        </w:tc>
        <w:tc>
          <w:tcPr>
            <w:tcW w:w="78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 Për miratimin e Marrëveshjes së Bashkëpunimit ndërmjet Këshillit të Ministrave të Republikës së Shqipërisë dhe Komisionit Ndërkombëtar për Personat e Humbur (ICMP).</w:t>
            </w:r>
          </w:p>
        </w:tc>
        <w:tc>
          <w:tcPr>
            <w:tcW w:w="45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0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Nevojë ndërinstitucionale.</w:t>
            </w:r>
          </w:p>
        </w:tc>
        <w:tc>
          <w:tcPr>
            <w:tcW w:w="59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Nëpërmjet kësaj Marrëveshjeje synohet të sigurohet gjetja dhe identifikimi i personave të zhdukur, në Republikën e Shqipërisë, si pasojë e periudhës komuniste të viteve 1945–1991. </w:t>
            </w:r>
          </w:p>
        </w:tc>
        <w:tc>
          <w:tcPr>
            <w:tcW w:w="62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Gjetja dhe identifikimi i personave të zhdukur, në Republikën e Shqipërisë, si pasojë e periudhës komuniste të viteve 1945–1991. </w:t>
            </w:r>
          </w:p>
        </w:tc>
        <w:tc>
          <w:tcPr>
            <w:tcW w:w="55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Njohja e Statusit të Komisionit Ndërkombëtar për Personat e Humbur, përcaktimi i rregullave të funksionimit të kësaj organizate dhe personelit të saj në territorin e Republikës së Shqipërisë, bashkëpunimi me institucionet shqiptare për gjetjen dhe identifikimin e personave të zhdukur, në Republikën </w:t>
            </w:r>
            <w:r w:rsidRPr="00B130BB">
              <w:rPr>
                <w:rFonts w:ascii="Garamond" w:eastAsia="Times New Roman" w:hAnsi="Garamond" w:cs="Times New Roman"/>
                <w:spacing w:val="-4"/>
                <w:sz w:val="18"/>
                <w:szCs w:val="18"/>
                <w:lang w:val="sq-AL"/>
              </w:rPr>
              <w:lastRenderedPageBreak/>
              <w:t xml:space="preserve">e Shqipërisë, si pasojë e periudhës komuniste të viteve 1945–1991. </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50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 Politika e jashtme dhe e sigurisë, integrimi evropian dhe shqiptarët në botë.</w:t>
            </w:r>
          </w:p>
        </w:tc>
      </w:tr>
    </w:tbl>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tbl>
      <w:tblPr>
        <w:tblW w:w="5000" w:type="pct"/>
        <w:tblLook w:val="04A0" w:firstRow="1" w:lastRow="0" w:firstColumn="1" w:lastColumn="0" w:noHBand="0" w:noVBand="1"/>
      </w:tblPr>
      <w:tblGrid>
        <w:gridCol w:w="394"/>
        <w:gridCol w:w="1048"/>
        <w:gridCol w:w="1127"/>
        <w:gridCol w:w="841"/>
        <w:gridCol w:w="1042"/>
        <w:gridCol w:w="1402"/>
        <w:gridCol w:w="972"/>
        <w:gridCol w:w="1052"/>
        <w:gridCol w:w="778"/>
        <w:gridCol w:w="920"/>
      </w:tblGrid>
      <w:tr w:rsidR="00B130BB" w:rsidRPr="00B130BB" w:rsidTr="00842C95">
        <w:trPr>
          <w:trHeight w:val="180"/>
        </w:trPr>
        <w:tc>
          <w:tcPr>
            <w:tcW w:w="5000" w:type="pct"/>
            <w:gridSpan w:val="10"/>
            <w:tcBorders>
              <w:top w:val="nil"/>
              <w:left w:val="nil"/>
              <w:bottom w:val="nil"/>
              <w:right w:val="nil"/>
            </w:tcBorders>
            <w:shd w:val="clear" w:color="auto" w:fill="auto"/>
            <w:vAlign w:val="bottom"/>
            <w:hideMark/>
          </w:tcPr>
          <w:p w:rsidR="00B130BB" w:rsidRPr="00B130BB" w:rsidRDefault="00B130BB" w:rsidP="00B130BB">
            <w:pPr>
              <w:spacing w:after="0" w:line="240" w:lineRule="auto"/>
              <w:jc w:val="center"/>
              <w:rPr>
                <w:rFonts w:ascii="Garamond" w:eastAsia="Times New Roman" w:hAnsi="Garamond" w:cs="Times New Roman"/>
                <w:b/>
                <w:bCs/>
                <w:color w:val="000000"/>
                <w:spacing w:val="-4"/>
                <w:sz w:val="18"/>
                <w:szCs w:val="18"/>
                <w:lang w:val="sq-AL"/>
              </w:rPr>
            </w:pPr>
            <w:bookmarkStart w:id="7" w:name="RANGE!A1:J39"/>
            <w:r w:rsidRPr="00B130BB">
              <w:rPr>
                <w:rFonts w:ascii="Garamond" w:eastAsia="Times New Roman" w:hAnsi="Garamond" w:cs="Times New Roman"/>
                <w:b/>
                <w:bCs/>
                <w:color w:val="000000"/>
                <w:spacing w:val="-4"/>
                <w:sz w:val="18"/>
                <w:szCs w:val="18"/>
                <w:lang w:val="sq-AL"/>
              </w:rPr>
              <w:t>PROGRAMI I PËRGJITHSHËM ANALITIK I PROJEKTAKTEVE PËR VITIN 2018</w:t>
            </w:r>
            <w:bookmarkEnd w:id="7"/>
          </w:p>
        </w:tc>
      </w:tr>
      <w:tr w:rsidR="00B130BB" w:rsidRPr="00B130BB" w:rsidTr="00842C95">
        <w:trPr>
          <w:trHeight w:val="180"/>
        </w:trPr>
        <w:tc>
          <w:tcPr>
            <w:tcW w:w="5000" w:type="pct"/>
            <w:gridSpan w:val="10"/>
            <w:tcBorders>
              <w:top w:val="nil"/>
              <w:left w:val="nil"/>
              <w:bottom w:val="nil"/>
              <w:right w:val="nil"/>
            </w:tcBorders>
            <w:shd w:val="clear" w:color="auto" w:fill="auto"/>
            <w:vAlign w:val="bottom"/>
            <w:hideMark/>
          </w:tcPr>
          <w:p w:rsidR="00B130BB" w:rsidRPr="00B130BB" w:rsidRDefault="00B130BB" w:rsidP="00B130BB">
            <w:pPr>
              <w:spacing w:after="0" w:line="240" w:lineRule="auto"/>
              <w:jc w:val="center"/>
              <w:rPr>
                <w:rFonts w:ascii="Garamond" w:eastAsia="Times New Roman" w:hAnsi="Garamond" w:cs="Times New Roman"/>
                <w:b/>
                <w:bCs/>
                <w:color w:val="000000"/>
                <w:spacing w:val="-4"/>
                <w:sz w:val="18"/>
                <w:szCs w:val="18"/>
                <w:lang w:val="sq-AL"/>
              </w:rPr>
            </w:pPr>
            <w:r w:rsidRPr="00B130BB">
              <w:rPr>
                <w:rFonts w:ascii="Garamond" w:eastAsia="Times New Roman" w:hAnsi="Garamond" w:cs="Times New Roman"/>
                <w:b/>
                <w:bCs/>
                <w:color w:val="000000"/>
                <w:spacing w:val="-4"/>
                <w:sz w:val="18"/>
                <w:szCs w:val="18"/>
                <w:lang w:val="sq-AL"/>
              </w:rPr>
              <w:t>MINISTRIA PËR EVROPËN DHE PUNËT E JASHTME</w:t>
            </w:r>
          </w:p>
        </w:tc>
      </w:tr>
      <w:tr w:rsidR="00B130BB" w:rsidRPr="00B130BB" w:rsidTr="00842C95">
        <w:trPr>
          <w:trHeight w:val="180"/>
        </w:trPr>
        <w:tc>
          <w:tcPr>
            <w:tcW w:w="153" w:type="pct"/>
            <w:tcBorders>
              <w:top w:val="single" w:sz="4" w:space="0" w:color="FFFFFF"/>
              <w:left w:val="single" w:sz="4" w:space="0" w:color="FFFFFF"/>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Nr.</w:t>
            </w:r>
          </w:p>
        </w:tc>
        <w:tc>
          <w:tcPr>
            <w:tcW w:w="932"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Titulli i projektaktit</w:t>
            </w:r>
          </w:p>
        </w:tc>
        <w:tc>
          <w:tcPr>
            <w:tcW w:w="496"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 xml:space="preserve">Ministri propozues dhe bashkëpropozues </w:t>
            </w:r>
          </w:p>
        </w:tc>
        <w:tc>
          <w:tcPr>
            <w:tcW w:w="362"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Katërmujori</w:t>
            </w:r>
          </w:p>
        </w:tc>
        <w:tc>
          <w:tcPr>
            <w:tcW w:w="527"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Arsyeja e nxjerrjes së projektaktit</w:t>
            </w:r>
          </w:p>
        </w:tc>
        <w:tc>
          <w:tcPr>
            <w:tcW w:w="634"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Qëllimi i projektaktit</w:t>
            </w:r>
          </w:p>
        </w:tc>
        <w:tc>
          <w:tcPr>
            <w:tcW w:w="694"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Objektivat që kërkon të realizojë projektakti</w:t>
            </w:r>
          </w:p>
        </w:tc>
        <w:tc>
          <w:tcPr>
            <w:tcW w:w="461"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Çështjet që rregullon projektakti</w:t>
            </w:r>
          </w:p>
        </w:tc>
        <w:tc>
          <w:tcPr>
            <w:tcW w:w="333"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Lidhja me Planin Kombëtar për Integrimin Evropian</w:t>
            </w:r>
          </w:p>
        </w:tc>
        <w:tc>
          <w:tcPr>
            <w:tcW w:w="408"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Lidhja me programin qeverisës 2017-2021</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w:t>
            </w:r>
          </w:p>
        </w:tc>
        <w:tc>
          <w:tcPr>
            <w:tcW w:w="93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Projektligj - Për zbatimin e masave shtrënguese ndërkombëtare </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Mungesa e kuadrit ligjor që rregullon procedurën e vendosjes, zbatimit dhe heqjes së sanksioneve ndërkombëtare nga ana e Republikës së Shqipërisë.</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Qëllimi i këtij ligji është zbatimi i masave shtrënguese ndërkombëtare që rrjedhin nga e drejta ndërkombëtare e detyrueshme për Republikën e Shqipërisë dhe anëtarësimi i saj në organizatat ndërkombëtare.</w:t>
            </w:r>
          </w:p>
        </w:tc>
        <w:tc>
          <w:tcPr>
            <w:tcW w:w="6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Plotësimi i kuadrit ligjor mbi zbatimin efektiv të masave shtrënguese ndërkombëtare që vendosen nga Këshilli i Sigurimit të Organizatës së Kombeve të Bashkuara dhe ato të Bashkimit Evropian.</w:t>
            </w:r>
          </w:p>
        </w:tc>
        <w:tc>
          <w:tcPr>
            <w:tcW w:w="4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Projektligji synon të përcaktojë autoritetet kompetente të zbatimit të masave shtrënguese, procedurat e zbatimit, si dhe të përcaktojë llojet e masave shtrënguese ndërkombëtare.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w:t>
            </w:r>
          </w:p>
        </w:tc>
        <w:tc>
          <w:tcPr>
            <w:tcW w:w="40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w:t>
            </w:r>
          </w:p>
        </w:tc>
        <w:tc>
          <w:tcPr>
            <w:tcW w:w="93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Vendim - Për miratimin në parim të “Marrëveshjes me vendin pritës dhe Fondit të Ballkanit Perëndimor”</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Nënshkrimi i Marrëveshjes me Vendin pritës kërkon miratimin në parim të saj.</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Projektvendimi synon miratimin në parim të tekstit të “Marrëveshjes me vendin pritës ndërmjet Republikës së Shqipërisë dhe Fondit të Ballkanit Perëndimor”, me qëllim nënshkrimin e saj</w:t>
            </w:r>
          </w:p>
        </w:tc>
        <w:tc>
          <w:tcPr>
            <w:tcW w:w="6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synon hapjen e rrugës për nënshkrimin e Marrëveshjes me vendin pritës.</w:t>
            </w:r>
          </w:p>
        </w:tc>
        <w:tc>
          <w:tcPr>
            <w:tcW w:w="4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rregullave të funksionimit të Fondit, statusin ligjor si dhe privilegjet dhe imunitetet e stafit që do të ushtrojë aktivitetin në këtë strukturë.</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w:t>
            </w:r>
          </w:p>
        </w:tc>
        <w:tc>
          <w:tcPr>
            <w:tcW w:w="40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3</w:t>
            </w:r>
          </w:p>
        </w:tc>
        <w:tc>
          <w:tcPr>
            <w:tcW w:w="93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Vendim - Për miratimin në parim të “Marrëveshjes me vendin pritës dhe Zyrën Rajonale për bashkëpunimin Rinor”</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Nënshkrimi i Marrëveshjes me Vendin pritës kërkon miratimin në parim të saj.</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Projektvendimi synon miratimin në parim të tekstit të “Marrëveshjes me Vendin Pritës ndërmjet Republikës së Shqipërisë dhe Zyrës Rajonale për bashkëpunimin rinor” me qëllim nënshkrimin e saj</w:t>
            </w:r>
          </w:p>
        </w:tc>
        <w:tc>
          <w:tcPr>
            <w:tcW w:w="6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synon hapjen e rrugës për nënshkrimin e Marrëveshjes me vendin pritës.</w:t>
            </w:r>
          </w:p>
        </w:tc>
        <w:tc>
          <w:tcPr>
            <w:tcW w:w="4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rregullave të funksionimit të Fondit, statusin ligjor si dhe privilegjet dhe imunitetet e stafit që do të ushtrojë aktivitetin në këtë strukturë.</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w:t>
            </w:r>
          </w:p>
        </w:tc>
        <w:tc>
          <w:tcPr>
            <w:tcW w:w="40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w:t>
            </w:r>
          </w:p>
        </w:tc>
        <w:tc>
          <w:tcPr>
            <w:tcW w:w="93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Vendim - Për disa shtesa në VKM nr. 332, datë 17.3.2010 “Për përcaktimin e formës, elementeve përbërëse, mënyrës së mbajtjes së afatit të përdorimit të dokumenteve bazë, që mbahen dhe lëshohen nga shërbimi i gjendjes civile.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për Evropën dhe Punët e Jashtme dhe 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Plotësimi i kërkesave të shtetasve shqiptarë që jetojnë jashtë vendit për dokumente certifikata të gjendjes civile</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Projektvendimi synon dhënien e aksesit konsujve të përfaqësive diplomatike në Regjistrin Kombëtar të Gjendjes Civile, duke iu mundësuar lëshimi i dokumentacionit të gjendjes civile, për shtetasit shqiptarë që jetojnë jashtë territorit të Republikës së Shqipërisë.</w:t>
            </w:r>
          </w:p>
        </w:tc>
        <w:tc>
          <w:tcPr>
            <w:tcW w:w="6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Ofrimi i shërbimit të lëshimit të certifikatave të gjendjes civile edhe nga përfaqësitë e RSH jashtë vendit, duke krijuar kështu lehtësira për emigrantët shqiptarë. </w:t>
            </w:r>
          </w:p>
        </w:tc>
        <w:tc>
          <w:tcPr>
            <w:tcW w:w="4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Hapja e kodeve dhe dhënia e aksesit për lëshimin e certifikatave të gjendjes civile edhe për përfaqësitë diplomatike jashtë vendit. </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w:t>
            </w:r>
          </w:p>
        </w:tc>
        <w:tc>
          <w:tcPr>
            <w:tcW w:w="40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5</w:t>
            </w:r>
          </w:p>
        </w:tc>
        <w:tc>
          <w:tcPr>
            <w:tcW w:w="93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Vendim - Për miratimin në parim të “Marrëveshjes ndërmjet Këshillit të Ministrave të Republikës së Shqipërisë dhe Qeverisë së Republikës së Polonisë për punësimin në punë fitimprurëse të familjarëve të anëtarit të misioneve diplomatik </w:t>
            </w:r>
            <w:r w:rsidRPr="00B130BB">
              <w:rPr>
                <w:rFonts w:ascii="Garamond" w:eastAsia="Times New Roman" w:hAnsi="Garamond" w:cs="Times New Roman"/>
                <w:spacing w:val="-4"/>
                <w:sz w:val="18"/>
                <w:szCs w:val="18"/>
                <w:lang w:val="sq-AL"/>
              </w:rPr>
              <w:lastRenderedPageBreak/>
              <w:t>dhe postit konsullor”“</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Nënshkrimi i Marrëveshjes “Për punësimin e familjarëve të anëtarit të misioneve diplomatike dhe postit konsullor” kërkon miratimin në parim të saj.</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Projektvendimi synon miratimin në parim të </w:t>
            </w:r>
            <w:r w:rsidRPr="00B130BB">
              <w:rPr>
                <w:rFonts w:ascii="Garamond" w:eastAsia="Times New Roman" w:hAnsi="Garamond" w:cs="Times New Roman"/>
                <w:color w:val="000000"/>
                <w:spacing w:val="-4"/>
                <w:sz w:val="18"/>
                <w:szCs w:val="18"/>
                <w:lang w:val="sq-AL"/>
              </w:rPr>
              <w:t>Marrëveshjes “Për punësimin e familjarëve të anëtarit të misioneve diplomatik dhe postit konsullor”.</w:t>
            </w:r>
          </w:p>
        </w:tc>
        <w:tc>
          <w:tcPr>
            <w:tcW w:w="6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synon hapjen e rrugës për nënshkrimin e Marrëveshjes “Për punësimin e familjarëve të anëtarit të misioneve diplomatik dhe postit konsullor”.</w:t>
            </w:r>
          </w:p>
        </w:tc>
        <w:tc>
          <w:tcPr>
            <w:tcW w:w="4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Punësimi konform rregullave të vendit akreditues të familjarëve të anëtarëve të misioneve diplomatike. </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6</w:t>
            </w:r>
          </w:p>
        </w:tc>
        <w:tc>
          <w:tcPr>
            <w:tcW w:w="93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Vendim - Për hapjen e ambasadës së Republikës së Shqipërisë në Kamberra, Australi</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Nevojat e shumta të qytetarëve shqiptarë rezidentë të ligjshëm në Australi për legalizim dokumentesh, lëshim lejë kalimi, asistencë për të ndaluarit, aplikime për heqje dorë nga shtetësia, verifikime të ndryshme etj.</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Intensifikimi dhe rritja e marrëdhënieve politike, diplomatike, kulturore dhe ekonomike me Australinë dhe vendet e rajonit të Paqësorit dhe Azisë. Forcimi i lidhjeve të shtetasve shqiptarë që jetojnë në këtë shtet kontinent me shtetin amë. Ofrimi i shërbimeve konsullore për shtetasit shqiptarë që jetojnë në këtë shtet dhe atyre që ndodhen në udhëtim dhe kanë nevojë për asistencë konsullore, si dhe për shtetasit e huaj të vendeve që janë nën juridiksionin e këtij misioni.</w:t>
            </w:r>
          </w:p>
        </w:tc>
        <w:tc>
          <w:tcPr>
            <w:tcW w:w="6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Hapja e Ambasadës sonë do të mundësojë një projektim sa më efikas dhe efektiv të Shqipërisë, në funksion të njohjes, promovimit, vizibilitetit dhe publicitetit të imazhit dhe interesave ekonomike dhe tregtare të Shqipërisë, duke maksimizuar dhe intensifikuar bashkëpunimin dhe marrëdhëniet ekonomike në fusha me interes dhe përfitim të ndërsjellë, sensibilizuar dhe tërhequr investime australiane si dhe nxitur shkëmbimet tregtare. </w:t>
            </w:r>
          </w:p>
        </w:tc>
        <w:tc>
          <w:tcPr>
            <w:tcW w:w="4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Hapjen e Ambasadës së Republikës së Shqipërisë në Kanberra, Australi dhe shpenzimet që nevojiten për hapjen e saj të cilat do përballohen nga buxheti i Ministrisë për Evropën dhe Punët e Jashtme, i miratuar për vitin 2018.</w:t>
            </w:r>
            <w:r w:rsidRPr="00B130BB">
              <w:rPr>
                <w:rFonts w:ascii="Garamond" w:eastAsia="Times New Roman" w:hAnsi="Garamond" w:cs="Times New Roman"/>
                <w:spacing w:val="-4"/>
                <w:sz w:val="18"/>
                <w:szCs w:val="18"/>
                <w:lang w:val="sq-AL"/>
              </w:rPr>
              <w:br/>
              <w:t xml:space="preserve"> </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7</w:t>
            </w:r>
          </w:p>
        </w:tc>
        <w:tc>
          <w:tcPr>
            <w:tcW w:w="93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Vendim - Për disa shtesa në vendimin nr. 513, datë 13.6.2013 të Këshillit të Ministrave “Për përcaktimin e kritereve, </w:t>
            </w:r>
            <w:r w:rsidRPr="00B130BB">
              <w:rPr>
                <w:rFonts w:ascii="Garamond" w:eastAsia="Times New Roman" w:hAnsi="Garamond" w:cs="Times New Roman"/>
                <w:spacing w:val="-4"/>
                <w:sz w:val="18"/>
                <w:szCs w:val="18"/>
                <w:lang w:val="sq-AL"/>
              </w:rPr>
              <w:lastRenderedPageBreak/>
              <w:t>procedurave dhe të dokumentecionit për hyrjen, qëndrimin dhe trajtimin e të huajve në Republikën e Shqipërisë”, të ndryshuar”</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për Evropën dhe Punët e Jashtme dhe 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Nxitja e ardhjes në Shqipëri për motive turizmi, të qytetarëve të disa vendeve(lista e të cilave do të përcaktohet </w:t>
            </w:r>
            <w:r w:rsidRPr="00B130BB">
              <w:rPr>
                <w:rFonts w:ascii="Garamond" w:eastAsia="Times New Roman" w:hAnsi="Garamond" w:cs="Times New Roman"/>
                <w:spacing w:val="-4"/>
                <w:sz w:val="18"/>
                <w:szCs w:val="18"/>
                <w:lang w:val="sq-AL"/>
              </w:rPr>
              <w:lastRenderedPageBreak/>
              <w:t>në VKM), si mundësi për ofrimin e një potencial të rëndësishëm turistik</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Projektvendimi synon lehtësimin e procedurave të lëvizjes për kategorinë e shtetasve të huaj të cilët hyjnë për qëllime turistike në Shqipëri</w:t>
            </w:r>
          </w:p>
        </w:tc>
        <w:tc>
          <w:tcPr>
            <w:tcW w:w="6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Krijimi i lehtësirave për hyrjen e qytetarëve të disa shteteve në Shqipëri, si dhe përmirësimin e </w:t>
            </w:r>
            <w:r w:rsidRPr="00B130BB">
              <w:rPr>
                <w:rFonts w:ascii="Garamond" w:eastAsia="Times New Roman" w:hAnsi="Garamond" w:cs="Times New Roman"/>
                <w:spacing w:val="-4"/>
                <w:sz w:val="18"/>
                <w:szCs w:val="18"/>
                <w:lang w:val="sq-AL"/>
              </w:rPr>
              <w:lastRenderedPageBreak/>
              <w:t>marrëdhënieve ndërmjet këtyre vendeve.</w:t>
            </w:r>
          </w:p>
        </w:tc>
        <w:tc>
          <w:tcPr>
            <w:tcW w:w="4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Nxitja e ardhjes në Shqipëri për motive turizmi, të qytetarëve të disa vendeve(lista e të cilave do të përcaktohet </w:t>
            </w:r>
            <w:r w:rsidRPr="00B130BB">
              <w:rPr>
                <w:rFonts w:ascii="Garamond" w:eastAsia="Times New Roman" w:hAnsi="Garamond" w:cs="Times New Roman"/>
                <w:spacing w:val="-4"/>
                <w:sz w:val="18"/>
                <w:szCs w:val="18"/>
                <w:lang w:val="sq-AL"/>
              </w:rPr>
              <w:lastRenderedPageBreak/>
              <w:t>në VKM), si mundësi për ofrimin e një potencial të rëndësishëm turistik</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w:t>
            </w:r>
          </w:p>
        </w:tc>
        <w:tc>
          <w:tcPr>
            <w:tcW w:w="40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8</w:t>
            </w:r>
          </w:p>
        </w:tc>
        <w:tc>
          <w:tcPr>
            <w:tcW w:w="93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Vendim - Për miratimin e Marrëveshjes ndërmjet Këshillit të Ministrave të Republikës së Shqipërisë dhe Qeverisë së Republikës së Argjentinës për heqjen e vizave për mbajtësit e pasaportave të zakonshme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Shmangia e detyrimit për t’u pajisur me vizë e shtetasve të vendeve të cilët janë mbajtës të pasaportave të zakonshme.</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Lehtësimi i qarkullimit ndërmjet dy vendeve për personat, të cilët janë mbajtës të pasaportave të zakonshme.</w:t>
            </w:r>
          </w:p>
        </w:tc>
        <w:tc>
          <w:tcPr>
            <w:tcW w:w="6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Mbajtësit e pasaportave të zakonshme në fuqi kanë të drejtë të hyjnë dhe të qëndrojnë në territorin e palës tjetër pa vizë për një periudhë deri në 90 ditë, brenda një periudhe 6 mujore për qëllime turizmi, biznesi dhe aktivitete të tjera të natyrës sportive, artistike apo shkencore, që nuk kanë qëllime fitimi për palën tjetër.</w:t>
            </w:r>
          </w:p>
        </w:tc>
        <w:tc>
          <w:tcPr>
            <w:tcW w:w="4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Miraton marrëveshjen me synim hyrjen në fuqi të saj dhe për të mundësuar zbatimin nga palët.</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9</w:t>
            </w:r>
          </w:p>
        </w:tc>
        <w:tc>
          <w:tcPr>
            <w:tcW w:w="93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Vendim - Për miratimin e Marrëveshjes ndërmjet Këshillit të Ministrave të Republikës së Shqipërisë dhe </w:t>
            </w:r>
            <w:r w:rsidRPr="00B130BB">
              <w:rPr>
                <w:rFonts w:ascii="Garamond" w:eastAsia="Times New Roman" w:hAnsi="Garamond" w:cs="Times New Roman"/>
                <w:spacing w:val="-4"/>
                <w:sz w:val="18"/>
                <w:szCs w:val="18"/>
                <w:lang w:val="sq-AL"/>
              </w:rPr>
              <w:lastRenderedPageBreak/>
              <w:t>Qeverisë së Sulltanatit të Omanit për heqjen e ndërsjellë të vizave për mbajtësit e pasaportave diplomatike, të posaçme dhe të shërbimit</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Shmangia e detyrimit për t’u pajisur me vizë e shtetasve të vendeve të cilët janë mbajtës të pasaportave të vlefshme diplomatike, </w:t>
            </w:r>
            <w:r w:rsidRPr="00B130BB">
              <w:rPr>
                <w:rFonts w:ascii="Garamond" w:eastAsia="Times New Roman" w:hAnsi="Garamond" w:cs="Times New Roman"/>
                <w:spacing w:val="-4"/>
                <w:sz w:val="18"/>
                <w:szCs w:val="18"/>
                <w:lang w:val="sq-AL"/>
              </w:rPr>
              <w:lastRenderedPageBreak/>
              <w:t>të posaçme dhe të shërbimit.</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Lehtësimi i qarkullimit të lëvizjes ndërmjet të dy shteteve, për personat të cilët janë mbajtës të pasaportave të vlefshme diplomatike, të posaçme dhe të shërbimit.</w:t>
            </w:r>
          </w:p>
        </w:tc>
        <w:tc>
          <w:tcPr>
            <w:tcW w:w="6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Marrëveshja do të ndikojë pozitivisht në lehtësimin e lëvizjes dhe rritjen e kontakteve ndërmjet shtetasve </w:t>
            </w:r>
            <w:r w:rsidRPr="00B130BB">
              <w:rPr>
                <w:rFonts w:ascii="Garamond" w:eastAsia="Times New Roman" w:hAnsi="Garamond" w:cs="Times New Roman"/>
                <w:spacing w:val="-4"/>
                <w:sz w:val="18"/>
                <w:szCs w:val="18"/>
                <w:lang w:val="sq-AL"/>
              </w:rPr>
              <w:lastRenderedPageBreak/>
              <w:t xml:space="preserve">të të dy vendeve, si dhe do të shërbejë si një nxitje e mëtejshme për forcimin e marrëdhënieve ndërmjet dy shteteve në të gjitha fushat me interes të përbashkët. </w:t>
            </w:r>
          </w:p>
        </w:tc>
        <w:tc>
          <w:tcPr>
            <w:tcW w:w="4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Miraton marrëveshjen me synim hyrjen në fuqi të saj dhe për të mundësuar zbatimin nga palët.</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10</w:t>
            </w:r>
          </w:p>
        </w:tc>
        <w:tc>
          <w:tcPr>
            <w:tcW w:w="93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Vendim - Për miratimin në parim të Marrëveshjes ndërmjet Këshillit të Ministrave të Republikës së Shqipërisë dhe Qeverisë së Republikës së El Salvadorit për heqjen e vizave për të gjitha llojet e pasaportave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Shmangia e detyrimit për t’u pajisur me vizë e shtetasve të vendeve të cilët janë mbajtës të pasaportave të vlefshme diplomatike ose të shërbimit dhe/ose zyrtare apo të zakonshme.</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Lehtësimi i qarkullimit të lëvizjes ndërmjet të dy shteteve, për personat të cilët janë mbajtës të pasaportave të vlefshme diplomatike ose të shërbimit dhe/ose zyrtare apo të zakonshme, rritjen e kontakteve ndërmjet shtetasve të të dy vendeve, si dhe do të shërbejë si një nxitje e mëtejshme për forcimin e marrëdhënieve ndërmjet dy shteteve në të gjitha fushat me interes të përbashkët. </w:t>
            </w:r>
          </w:p>
        </w:tc>
        <w:tc>
          <w:tcPr>
            <w:tcW w:w="6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Shtetasit e palëve mbajtës të mbajtës të pasaportave diplomatike ose të shërbimit dhe/ose zyrtare apo të zakonshme, kanë të drejtë të hyjnë, të qëndrojnë dhe të dalin pa vizë për një periudhë jo më shumë se 90 (nëntëdhjetë) ditë nga data e hyrjes, të rinovueshme, në përputhje me ligjet përkatëse dhe nuk mund të angazhohen në ndonjë aktivitet punësimi, qoftë vetë, apo në ndonjë aktivitet privat në territorin e palës tjetër.</w:t>
            </w:r>
          </w:p>
        </w:tc>
        <w:tc>
          <w:tcPr>
            <w:tcW w:w="4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Miraton në parim marrëveshjen për të legjitimuar nënshkrimin e saj.</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11</w:t>
            </w:r>
          </w:p>
        </w:tc>
        <w:tc>
          <w:tcPr>
            <w:tcW w:w="93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Vendim - Për disa ndryshime në Vendimin nr. 718, datë 29.10.2004 të Këshillit të Ministrave “Mbi listën e personave të shpallur financues të terrorizmit, të ndryshuar” </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Rinovimi i listës së personave të shpallur si financues të terrorizmit të organizatës terroriste ISIL (Da’esh) dhe Al-Qaida.</w:t>
            </w:r>
          </w:p>
        </w:tc>
        <w:tc>
          <w:tcPr>
            <w:tcW w:w="6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Materializimi i përpjekjeve dhe angazhimeve të qeverisë Shqiptare në respektimin e Standardeve Ndërkombëtare të Luftës kundër Financimit të Terrorizmit, rekomandimet e FATF-së dhe përmbushjen e detyrimeve të Republikës së Shqipërisë në proceset integruese si një angazhim në kuadër të Planit Kombëtar për zbatimin e MSA-së.</w:t>
            </w:r>
          </w:p>
        </w:tc>
        <w:tc>
          <w:tcPr>
            <w:tcW w:w="4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Projektvendimi konsiston në përditësimin e listës së sanksioneve të shpallur nga Komiteti i Këshillit të Sigurimit të Kombeve të Bashkuara.</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w:t>
            </w:r>
          </w:p>
        </w:tc>
        <w:tc>
          <w:tcPr>
            <w:tcW w:w="40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12</w:t>
            </w:r>
          </w:p>
        </w:tc>
        <w:tc>
          <w:tcPr>
            <w:tcW w:w="93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Vendim - Për një shtesë në Vendimin nr. 718, datë 29.10.2004 të Këshillit të Ministrave “Mbi listën e personave të shpallur financues të terrorizmit, të ndryshuar” </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Rinovimi i listës së personave të shpallur si financues të terrorizmit të organizatës terroriste ISIL (Da’esh) dhe Al-Qaida.</w:t>
            </w:r>
          </w:p>
        </w:tc>
        <w:tc>
          <w:tcPr>
            <w:tcW w:w="6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Materializimi i përpjekjeve dhe angazhimeve të qeverisë Shqiptare në respektimin e Standardeve Ndërkombëtare të Luftës kundër Financimit të Terrorizmit, </w:t>
            </w:r>
            <w:r w:rsidRPr="00B130BB">
              <w:rPr>
                <w:rFonts w:ascii="Garamond" w:eastAsia="Times New Roman" w:hAnsi="Garamond" w:cs="Times New Roman"/>
                <w:spacing w:val="-4"/>
                <w:sz w:val="18"/>
                <w:szCs w:val="18"/>
                <w:lang w:val="sq-AL"/>
              </w:rPr>
              <w:lastRenderedPageBreak/>
              <w:t>rekomandimet e FATF-së dhe përmbushjen e detyrimeve të Republikës së Shqipërisë në proceset integruese si një angazhim në kuadër të Planit Kombëtar për zbatimin e MSA-së.</w:t>
            </w:r>
          </w:p>
        </w:tc>
        <w:tc>
          <w:tcPr>
            <w:tcW w:w="4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Projektvendimi konsiston në përditësimin e listës së sanksioneve të shpallur nga Komiteti i Këshillit të Sigurimit të Kombeve të Bashkuara.</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w:t>
            </w:r>
          </w:p>
        </w:tc>
        <w:tc>
          <w:tcPr>
            <w:tcW w:w="40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13</w:t>
            </w:r>
          </w:p>
        </w:tc>
        <w:tc>
          <w:tcPr>
            <w:tcW w:w="93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Vendim - Për disa shtesa në vendimin nr. 718, datë 29.10.2004 të Këshillit të Ministrave “Mbi listën e personave të shpallur financues të terrorizmit, të ndryshuar” </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Rinovimi i listës së personave të shpallur si financues të terrorizmit të organizatës terroriste ISIL (Da’esh) dhe Al-Qaida.</w:t>
            </w:r>
          </w:p>
        </w:tc>
        <w:tc>
          <w:tcPr>
            <w:tcW w:w="6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Materializimi i përpjekjeve dhe angazhimeve të qeverisë Shqiptare në respektimin e Standardeve Ndërkombëtare të Luftës kundër Financimit të Terrorizmit, rekomandimet e FATF-së dhe përmbushjen e detyrimeve të Republikës së Shqipërisë në proceset integruese si një angazhim në kuadër të Planit Kombëtar për zbatimin e MSA-së.</w:t>
            </w:r>
          </w:p>
        </w:tc>
        <w:tc>
          <w:tcPr>
            <w:tcW w:w="4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Projektvendimi konsiston në përditësimin e listës së sanksioneve të shpallur nga Komiteti i Këshillit të Sigurimit të Kombeve të Bashkuara.</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w:t>
            </w:r>
          </w:p>
        </w:tc>
        <w:tc>
          <w:tcPr>
            <w:tcW w:w="40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14</w:t>
            </w:r>
          </w:p>
        </w:tc>
        <w:tc>
          <w:tcPr>
            <w:tcW w:w="93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Vendim - Për një ndryshim në Vendimin nr. 718, datë 29.10.2004 të Këshillit të Ministrave “Mbi listën e personave të shpallur financues të terrorizmit, të ndryshuar” </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Rinovimi i listës së personave të shpallur si financues të terrorizmit të organizatës terroriste ISIL (Da’esh) dhe Al-Qaida.</w:t>
            </w:r>
          </w:p>
        </w:tc>
        <w:tc>
          <w:tcPr>
            <w:tcW w:w="6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Materializimi i përpjekjeve dhe angazhimeve të qeverisë Shqiptare në respektimin e Standardeve Ndërkombëtare të Luftës kundër Financimit të Terrorizmit, rekomandimet e FATF-së dhe përmbushjen e detyrimeve të Republikës së Shqipërisë në proceset integruese si një angazhim në kuadër të Planit Kombëtar për zbatimin e MSA-së.</w:t>
            </w:r>
          </w:p>
        </w:tc>
        <w:tc>
          <w:tcPr>
            <w:tcW w:w="4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Projektvendimi konsiston në përditësimin e listës së sanksioneve të shpallur nga Komiteti i Këshillit të Sigurimit të Kombeve të Bashkuara.</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w:t>
            </w:r>
          </w:p>
        </w:tc>
        <w:tc>
          <w:tcPr>
            <w:tcW w:w="40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15</w:t>
            </w:r>
          </w:p>
        </w:tc>
        <w:tc>
          <w:tcPr>
            <w:tcW w:w="93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Vendim - Për miratimin e Marrëveshjes ndërmjet Këshillit të Ministrave të Republikës së Shqipërisë dhe Qeverisë së Republikës së Serbisë për mundësimin mbi baza të ndërsjella të familjarëve të anëtarëve </w:t>
            </w:r>
            <w:r w:rsidRPr="00B130BB">
              <w:rPr>
                <w:rFonts w:ascii="Garamond" w:eastAsia="Times New Roman" w:hAnsi="Garamond" w:cs="Times New Roman"/>
                <w:spacing w:val="-4"/>
                <w:sz w:val="18"/>
                <w:szCs w:val="18"/>
                <w:lang w:val="sq-AL"/>
              </w:rPr>
              <w:lastRenderedPageBreak/>
              <w:t>të misioneve diplomatike apo posteve konsullore për t’u angazhuar në veprimtari fitimprurëse.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Nënshkrimi i Marrëveshjes “Për punësimin e familjarëve të anëtarit të misioneve diplomatike dhe postit konsullor” kërkon miratimin në parim të saj.</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Projektvendimi synon miratimin në parim të Marrëveshjes “Për punësimin e familjarëve të anëtarit të misioneve diplomatik dhe postit konsullor”.</w:t>
            </w:r>
          </w:p>
        </w:tc>
        <w:tc>
          <w:tcPr>
            <w:tcW w:w="6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synon hapjen e rrugës për nënshkrimin e Marrëveshjes “Për punësimin e familjarëve të anëtarit të misioneve diplomatik dhe postit konsullor”.</w:t>
            </w:r>
          </w:p>
        </w:tc>
        <w:tc>
          <w:tcPr>
            <w:tcW w:w="4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Punësimi konform rregullave të vendit akreditues të familjarëve të anëtarëve të misioneve diplomatike. </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16</w:t>
            </w:r>
          </w:p>
        </w:tc>
        <w:tc>
          <w:tcPr>
            <w:tcW w:w="93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Vendim - për miratimin e Marrëveshjes se Bashkëpunimi ndërmjet Këshillit të Ministrave të Republikës së Shqipërisë dhe Qeverisë së Republikës së Serbisë në kontekst të anëtarësimit në Bashkimin Evropian.</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Nënshkrimi i Marrëveshjes kërkon miratimin e saj në parim</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Rritja e bashkëpunimit midis dy vendeve në kuadër të procesit të integrimit në BE</w:t>
            </w:r>
          </w:p>
        </w:tc>
        <w:tc>
          <w:tcPr>
            <w:tcW w:w="6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Përmbushja e obligimeve që rrjedhin nga MSA-ja</w:t>
            </w:r>
          </w:p>
        </w:tc>
        <w:tc>
          <w:tcPr>
            <w:tcW w:w="4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Miraton marrëveshjen me synim hyrjen në fuqi të saj dhe për të mundësuar zbatimin nga palët.</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17</w:t>
            </w:r>
          </w:p>
        </w:tc>
        <w:tc>
          <w:tcPr>
            <w:tcW w:w="93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Vendim - Për miratim të Marrëveshjes së Financimit ndërmjet Këshillit të Ministrave të Republikës së Shqipërisë dhe Komisionit të Bashkimit Evropian mbi Programin e Veprimit IPA për vitin 2017 për Shqipërinë</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Detyrimet e parashikuara në Nenin 10 të Ligjit nr. 43/2016 “Për marrëveshjet ndërkombëtare në Republikën e Shqipërisë</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Qëllimi i projektaktit është miratimi i Marrëveshjes Financiare për të mundësuar kontraktimin e projekteve Grant të gjeneruara nga ky Program</w:t>
            </w:r>
          </w:p>
        </w:tc>
        <w:tc>
          <w:tcPr>
            <w:tcW w:w="6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Kontraktimi i projekteve sipas Marrëveshjes</w:t>
            </w:r>
          </w:p>
        </w:tc>
        <w:tc>
          <w:tcPr>
            <w:tcW w:w="4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Objektivat që kërkon të arrijë secili projekt i paketës financiare.</w:t>
            </w:r>
            <w:r w:rsidRPr="00B130BB">
              <w:rPr>
                <w:rFonts w:ascii="Garamond" w:eastAsia="Times New Roman" w:hAnsi="Garamond" w:cs="Times New Roman"/>
                <w:spacing w:val="-4"/>
                <w:sz w:val="18"/>
                <w:szCs w:val="18"/>
                <w:lang w:val="sq-AL"/>
              </w:rPr>
              <w:br/>
              <w:t xml:space="preserve">Programi është në përputhje me Strategjinë Kombëtare për Zhvillim dhe Integrim 2015 -2020 dhe Programin e Qeverisë së Integrimit Evropian. </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Kreu 4 i Programit të Qeverisë, më konkretisht paragrafi si më poshtë: Cilësia e procesit të integrimit lidhet drejtpërsëdrejti me projektet</w:t>
            </w:r>
            <w:r w:rsidRPr="00B130BB">
              <w:rPr>
                <w:rFonts w:ascii="Garamond" w:eastAsia="Times New Roman" w:hAnsi="Garamond" w:cs="Times New Roman"/>
                <w:spacing w:val="-4"/>
                <w:sz w:val="18"/>
                <w:szCs w:val="18"/>
                <w:lang w:val="sq-AL"/>
              </w:rPr>
              <w:br/>
              <w:t>e bashkëpunimit rajonal, ku do të synojmë një përputhje më të</w:t>
            </w:r>
            <w:r w:rsidRPr="00B130BB">
              <w:rPr>
                <w:rFonts w:ascii="Garamond" w:eastAsia="Times New Roman" w:hAnsi="Garamond" w:cs="Times New Roman"/>
                <w:spacing w:val="-4"/>
                <w:sz w:val="18"/>
                <w:szCs w:val="18"/>
                <w:lang w:val="sq-AL"/>
              </w:rPr>
              <w:br/>
              <w:t>mirë të prioriteteve politike të përcaktuar</w:t>
            </w:r>
            <w:r w:rsidRPr="00B130BB">
              <w:rPr>
                <w:rFonts w:ascii="Garamond" w:eastAsia="Times New Roman" w:hAnsi="Garamond" w:cs="Times New Roman"/>
                <w:spacing w:val="-4"/>
                <w:sz w:val="18"/>
                <w:szCs w:val="18"/>
                <w:lang w:val="sq-AL"/>
              </w:rPr>
              <w:lastRenderedPageBreak/>
              <w:t>a dhe instrumenteve financiarë</w:t>
            </w:r>
            <w:r w:rsidRPr="00B130BB">
              <w:rPr>
                <w:rFonts w:ascii="Garamond" w:eastAsia="Times New Roman" w:hAnsi="Garamond" w:cs="Times New Roman"/>
                <w:spacing w:val="-4"/>
                <w:sz w:val="18"/>
                <w:szCs w:val="18"/>
                <w:lang w:val="sq-AL"/>
              </w:rPr>
              <w:br/>
              <w:t xml:space="preserve">që Shqipëria ka në dispozicion.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18</w:t>
            </w:r>
          </w:p>
        </w:tc>
        <w:tc>
          <w:tcPr>
            <w:tcW w:w="93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Vendim - “Për propozimin e projektligjit për ratifikimin e marrëveshjes së financimit ndërmjet Republikës së Shqipërisë, ish-Republikës Jugosllave të Maqedonisë dhe Komisionit Evropian për Programin e Bashkëpunimit Ndërkufitar IPA II, ish-Republika Jugosllave e Maqedonisë-Republika e Shqipërisë 2014–2020, alokimet për vitin 2016”</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Në përputhje me nenin 121, pika 1/ç e Kushtetutës, marrëveshjet që parashikojnë marrjen përsipër të detyrimeve financiare nga ana e vendit tonë duhet të ratifikohen nga Kuvendi i Republikës së Shqipërisë. </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Miratimi i Projektligjit për ratifikimin e Marrëveshjes Financiare nga Kuvendi i Republikës së Shqipërisë </w:t>
            </w:r>
          </w:p>
        </w:tc>
        <w:tc>
          <w:tcPr>
            <w:tcW w:w="6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Zhvillimi social, ekonomik dhe mjedisor i zonave përfituese nëpërmjet zbatimit të projekteve të financuara nga programi</w:t>
            </w:r>
          </w:p>
        </w:tc>
        <w:tc>
          <w:tcPr>
            <w:tcW w:w="4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Prioritetet tematike të programit, strukturat, autoritetet, palët, mënyrat e financimit të projekteve, alokimet dhe kushtet financiare të marrëveshjes.</w:t>
            </w:r>
            <w:r w:rsidRPr="00B130BB">
              <w:rPr>
                <w:rFonts w:ascii="Garamond" w:eastAsia="Times New Roman" w:hAnsi="Garamond" w:cs="Times New Roman"/>
                <w:spacing w:val="-4"/>
                <w:sz w:val="18"/>
                <w:szCs w:val="18"/>
                <w:lang w:val="sq-AL"/>
              </w:rPr>
              <w:br/>
              <w:t>Ky projektakt është në përputhje me Planin Kombëtar për Integrimin Evropian 2017– 2020, Strategjinë Kombëtare për Zhvillim dhe Integrim 2015– 2020 dhe Programin Qeverisës 2017– 2021.</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Kreu 4 i Programit të Qeverisë, më konkretisht paragrafi si më poshtë: Cilësia e procesit të integrimit lidhet drejtpërsëdrejti me projektet</w:t>
            </w:r>
            <w:r w:rsidRPr="00B130BB">
              <w:rPr>
                <w:rFonts w:ascii="Garamond" w:eastAsia="Times New Roman" w:hAnsi="Garamond" w:cs="Times New Roman"/>
                <w:spacing w:val="-4"/>
                <w:sz w:val="18"/>
                <w:szCs w:val="18"/>
                <w:lang w:val="sq-AL"/>
              </w:rPr>
              <w:br/>
              <w:t>e bashkëpunimit rajonal, ku do të synojmë një përputhje më të</w:t>
            </w:r>
            <w:r w:rsidRPr="00B130BB">
              <w:rPr>
                <w:rFonts w:ascii="Garamond" w:eastAsia="Times New Roman" w:hAnsi="Garamond" w:cs="Times New Roman"/>
                <w:spacing w:val="-4"/>
                <w:sz w:val="18"/>
                <w:szCs w:val="18"/>
                <w:lang w:val="sq-AL"/>
              </w:rPr>
              <w:br/>
              <w:t>mirë të prioriteteve politike të përcaktuara dhe instrumenteve financiarë</w:t>
            </w:r>
            <w:r w:rsidRPr="00B130BB">
              <w:rPr>
                <w:rFonts w:ascii="Garamond" w:eastAsia="Times New Roman" w:hAnsi="Garamond" w:cs="Times New Roman"/>
                <w:spacing w:val="-4"/>
                <w:sz w:val="18"/>
                <w:szCs w:val="18"/>
                <w:lang w:val="sq-AL"/>
              </w:rPr>
              <w:br/>
              <w:t xml:space="preserve">që Shqipëria ka në dispozicion.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19</w:t>
            </w:r>
          </w:p>
        </w:tc>
        <w:tc>
          <w:tcPr>
            <w:tcW w:w="93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Vendim - “Për miratimin në parim të marrëveshjes së financimit, ndërmjet Republikës së Shqipërisë, ish Republikës Jugosllave të Maqedonisë </w:t>
            </w:r>
            <w:r w:rsidRPr="00B130BB">
              <w:rPr>
                <w:rFonts w:ascii="Garamond" w:eastAsia="Times New Roman" w:hAnsi="Garamond" w:cs="Times New Roman"/>
                <w:spacing w:val="-4"/>
                <w:sz w:val="18"/>
                <w:szCs w:val="18"/>
                <w:lang w:val="sq-AL"/>
              </w:rPr>
              <w:lastRenderedPageBreak/>
              <w:t>dhe Komisionit Evropian, për Programin e Veprimit të Bashkëpunimit Ndërkufitar IPA II, ish Republika Jugosllave e Maqedonisë-Republika e Shqipërisë 2014–2020, alokimet për vitin 2017”</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Detyrimet e parashikuara në nenin 10 të ligjit nr. 43/2016, “Për marrëveshjet ndërkombëtare në Republikën e Shqipërisë” </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Qëllimi i këtij projektvendimi është të miratojë në parim Marrëveshjen e Financimit për vitin 2017 për këtë program</w:t>
            </w:r>
          </w:p>
        </w:tc>
        <w:tc>
          <w:tcPr>
            <w:tcW w:w="6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Zhvillimi social, ekonomik dhe mjedisor i zonave përfituese nëpërmjet zbatimit të projekteve të financuara nga programi</w:t>
            </w:r>
          </w:p>
        </w:tc>
        <w:tc>
          <w:tcPr>
            <w:tcW w:w="4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Prioritetet tematike të programit, strukturat, autoritetet, palët, mënyrat e financimit të projekteve, alokimet dhe kushtet financiare të marrëveshjes.</w:t>
            </w:r>
            <w:r w:rsidRPr="00B130BB">
              <w:rPr>
                <w:rFonts w:ascii="Garamond" w:eastAsia="Times New Roman" w:hAnsi="Garamond" w:cs="Times New Roman"/>
                <w:spacing w:val="-4"/>
                <w:sz w:val="18"/>
                <w:szCs w:val="18"/>
                <w:lang w:val="sq-AL"/>
              </w:rPr>
              <w:br/>
              <w:t xml:space="preserve">Ky </w:t>
            </w:r>
            <w:r w:rsidRPr="00B130BB">
              <w:rPr>
                <w:rFonts w:ascii="Garamond" w:eastAsia="Times New Roman" w:hAnsi="Garamond" w:cs="Times New Roman"/>
                <w:spacing w:val="-4"/>
                <w:sz w:val="18"/>
                <w:szCs w:val="18"/>
                <w:lang w:val="sq-AL"/>
              </w:rPr>
              <w:lastRenderedPageBreak/>
              <w:t>projektakt është në përputhje me Planin Kombëtar për Integrimin Evropian 2017– 2020, Strategjinë Kombëtare për Zhvillim dhe Integrim 2015– 2020 dhe Programin Qeverisës 2017– 2021.</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0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Kreu 4 i Programit të Qeverisë, më konkretisht paragrafi si më poshtë: Cilësia e procesit të integrimit lidhet drejtpërsëdrejti me </w:t>
            </w:r>
            <w:r w:rsidRPr="00B130BB">
              <w:rPr>
                <w:rFonts w:ascii="Garamond" w:eastAsia="Times New Roman" w:hAnsi="Garamond" w:cs="Times New Roman"/>
                <w:spacing w:val="-4"/>
                <w:sz w:val="18"/>
                <w:szCs w:val="18"/>
                <w:lang w:val="sq-AL"/>
              </w:rPr>
              <w:lastRenderedPageBreak/>
              <w:t>projektet</w:t>
            </w:r>
            <w:r w:rsidRPr="00B130BB">
              <w:rPr>
                <w:rFonts w:ascii="Garamond" w:eastAsia="Times New Roman" w:hAnsi="Garamond" w:cs="Times New Roman"/>
                <w:spacing w:val="-4"/>
                <w:sz w:val="18"/>
                <w:szCs w:val="18"/>
                <w:lang w:val="sq-AL"/>
              </w:rPr>
              <w:br/>
              <w:t>e bashkëpunimit rajonal, ku do të synojmë një përputhje më të</w:t>
            </w:r>
            <w:r w:rsidRPr="00B130BB">
              <w:rPr>
                <w:rFonts w:ascii="Garamond" w:eastAsia="Times New Roman" w:hAnsi="Garamond" w:cs="Times New Roman"/>
                <w:spacing w:val="-4"/>
                <w:sz w:val="18"/>
                <w:szCs w:val="18"/>
                <w:lang w:val="sq-AL"/>
              </w:rPr>
              <w:br/>
              <w:t>mirë të prioriteteve politike të përcaktuara dhe instrumenteve financiarë</w:t>
            </w:r>
            <w:r w:rsidRPr="00B130BB">
              <w:rPr>
                <w:rFonts w:ascii="Garamond" w:eastAsia="Times New Roman" w:hAnsi="Garamond" w:cs="Times New Roman"/>
                <w:spacing w:val="-4"/>
                <w:sz w:val="18"/>
                <w:szCs w:val="18"/>
                <w:lang w:val="sq-AL"/>
              </w:rPr>
              <w:br/>
              <w:t xml:space="preserve">që Shqipëria ka në dispozicion.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20</w:t>
            </w:r>
          </w:p>
        </w:tc>
        <w:tc>
          <w:tcPr>
            <w:tcW w:w="93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Vendim, “Për propozimin e projektligjit për ratifikimin e marrëveshjes së financimit ndërmjet Republikës së Shqipërisë, ish-Republikës Jugosllave të Maqedonisë dhe Komisionit Evropian për Programin e Bashkëpunimit Ndërkufitar IPA II, ish-Republika Jugosllave e Maqedonisë-Republika e Shqipërisë 2014–2020, alokimet për vitin 2017”</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Në përputhje me nenin 121, pika 1/ç e Kushtetutës, marrëveshjet që parashikojnë marrjen përsipër të detyrimeve financiare nga ana e vendit tonë duhet të ratifikohen nga Kuvendi i Republikës së Shqipërisë. </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Miratimi i projektligjit për ratifikimin e Marrëveshjes Financiare nga Kuvendi i Republikës së Shqipërisë </w:t>
            </w:r>
          </w:p>
        </w:tc>
        <w:tc>
          <w:tcPr>
            <w:tcW w:w="6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Zhvillimi social, ekonomik dhe mjedisor i zonave përfituese nëpërmjet zbatimit të projekteve të financuara nga programi</w:t>
            </w:r>
          </w:p>
        </w:tc>
        <w:tc>
          <w:tcPr>
            <w:tcW w:w="4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Prioritetet tematike të programit, strukturat, autoritetet, palët, mënyrat e financimit të projekteve, alokimet dhe kushtet financiare të marrëveshjes.</w:t>
            </w:r>
            <w:r w:rsidRPr="00B130BB">
              <w:rPr>
                <w:rFonts w:ascii="Garamond" w:eastAsia="Times New Roman" w:hAnsi="Garamond" w:cs="Times New Roman"/>
                <w:spacing w:val="-4"/>
                <w:sz w:val="18"/>
                <w:szCs w:val="18"/>
                <w:lang w:val="sq-AL"/>
              </w:rPr>
              <w:br/>
              <w:t>Ky projektakt është në përputhje me Planin Kombëtar për Integrimin Evropian 2017– 2020, Strategjinë Kombëtare për Zhvillim dhe Integrim 2015– 2020 dhe Programin Qeverisës 2017– 2021.</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Kreu 4 i Programit të Qeverisë, më konkretisht paragrafi si më poshtë: Cilësia e procesit të integrimit lidhet drejtpërsëdrejti me projektet</w:t>
            </w:r>
            <w:r w:rsidRPr="00B130BB">
              <w:rPr>
                <w:rFonts w:ascii="Garamond" w:eastAsia="Times New Roman" w:hAnsi="Garamond" w:cs="Times New Roman"/>
                <w:spacing w:val="-4"/>
                <w:sz w:val="18"/>
                <w:szCs w:val="18"/>
                <w:lang w:val="sq-AL"/>
              </w:rPr>
              <w:br/>
              <w:t>e bashkëpunimit rajonal, ku do të synojmë një përputhje më të</w:t>
            </w:r>
            <w:r w:rsidRPr="00B130BB">
              <w:rPr>
                <w:rFonts w:ascii="Garamond" w:eastAsia="Times New Roman" w:hAnsi="Garamond" w:cs="Times New Roman"/>
                <w:spacing w:val="-4"/>
                <w:sz w:val="18"/>
                <w:szCs w:val="18"/>
                <w:lang w:val="sq-AL"/>
              </w:rPr>
              <w:br/>
              <w:t>mirë të prioriteteve politike të përcaktuara dhe instrumenteve financiarë</w:t>
            </w:r>
            <w:r w:rsidRPr="00B130BB">
              <w:rPr>
                <w:rFonts w:ascii="Garamond" w:eastAsia="Times New Roman" w:hAnsi="Garamond" w:cs="Times New Roman"/>
                <w:spacing w:val="-4"/>
                <w:sz w:val="18"/>
                <w:szCs w:val="18"/>
                <w:lang w:val="sq-AL"/>
              </w:rPr>
              <w:br/>
              <w:t xml:space="preserve">që Shqipëria ka në dispozicion.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21</w:t>
            </w:r>
          </w:p>
        </w:tc>
        <w:tc>
          <w:tcPr>
            <w:tcW w:w="93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Vendim - “Për propozimin e projektligjit për ratifikimin e marrëveshjes së financimit ndërmjet Këshillit të Ministrave të Republikës së Shqipërisë, Republikës së Greqisë dhe Komisionit Evropian për Programin Interreg V-B Ballkan-Mesdhe 2014–2020”</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Në përputhje me nenin 121, pika 1/ç e Kushtetutës, marrëveshjet që parashikojnë marrjen përsipër të detyrimeve financiare nga ana e vendit tonë duhet të ratifikohen nga Kuvendi i Republikës së Shqipërisë. </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Miratimi i Projektligjit për ratifikimin e Marrëveshjes Financiare nga Kuvendi i Republikës së Shqipërisë </w:t>
            </w:r>
          </w:p>
        </w:tc>
        <w:tc>
          <w:tcPr>
            <w:tcW w:w="6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Zhvillimi social, ekonomik dhe mjedisor i zonave përfituese nëpërmjet zbatimit të projekteve të financuara nga programi</w:t>
            </w:r>
          </w:p>
        </w:tc>
        <w:tc>
          <w:tcPr>
            <w:tcW w:w="4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Prioritetet tematike të programit, strukturat, autoritetet, palët, mënyrat e financimit të projekteve, alokimet dhe kushtet financiare të marrëveshjes.</w:t>
            </w:r>
            <w:r w:rsidRPr="00B130BB">
              <w:rPr>
                <w:rFonts w:ascii="Garamond" w:eastAsia="Times New Roman" w:hAnsi="Garamond" w:cs="Times New Roman"/>
                <w:spacing w:val="-4"/>
                <w:sz w:val="18"/>
                <w:szCs w:val="18"/>
                <w:lang w:val="sq-AL"/>
              </w:rPr>
              <w:br/>
              <w:t>Ky projektakt është në përputhje me Planin Kombëtar për Integrimin Evropian 2017 –2020, Strategjinë Kombëtare për Zhvillim dhe Integrim 2015–2020 dhe Programin Qeverisës 2017 –2021.</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Kreu 4 i Programit të Qeverisë, më konkretisht paragrafi si më poshtë: Cilësia e procesit të integrimit lidhet drejtpërsëdrejti me projektet</w:t>
            </w:r>
            <w:r w:rsidRPr="00B130BB">
              <w:rPr>
                <w:rFonts w:ascii="Garamond" w:eastAsia="Times New Roman" w:hAnsi="Garamond" w:cs="Times New Roman"/>
                <w:spacing w:val="-4"/>
                <w:sz w:val="18"/>
                <w:szCs w:val="18"/>
                <w:lang w:val="sq-AL"/>
              </w:rPr>
              <w:br/>
              <w:t>e bashkëpunimit rajonal, ku do të synojmë një përputhje më të</w:t>
            </w:r>
            <w:r w:rsidRPr="00B130BB">
              <w:rPr>
                <w:rFonts w:ascii="Garamond" w:eastAsia="Times New Roman" w:hAnsi="Garamond" w:cs="Times New Roman"/>
                <w:spacing w:val="-4"/>
                <w:sz w:val="18"/>
                <w:szCs w:val="18"/>
                <w:lang w:val="sq-AL"/>
              </w:rPr>
              <w:br/>
              <w:t>mirë të prioriteteve politike të përcaktuara dhe instrumenteve financiarë</w:t>
            </w:r>
            <w:r w:rsidRPr="00B130BB">
              <w:rPr>
                <w:rFonts w:ascii="Garamond" w:eastAsia="Times New Roman" w:hAnsi="Garamond" w:cs="Times New Roman"/>
                <w:spacing w:val="-4"/>
                <w:sz w:val="18"/>
                <w:szCs w:val="18"/>
                <w:lang w:val="sq-AL"/>
              </w:rPr>
              <w:br/>
              <w:t xml:space="preserve">që Shqipëria ka në dispozicion.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22</w:t>
            </w:r>
          </w:p>
        </w:tc>
        <w:tc>
          <w:tcPr>
            <w:tcW w:w="93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Vendim - “Për propozimin e projektligjit për ratifikimin e marrëveshjes së financimit ndërmjet Këshillit të Ministrave të Republikës së Shqipërisë, Qeverisë së Republikës së Kosovës dhe Komisionit Evropian për </w:t>
            </w:r>
            <w:r w:rsidRPr="00B130BB">
              <w:rPr>
                <w:rFonts w:ascii="Garamond" w:eastAsia="Times New Roman" w:hAnsi="Garamond" w:cs="Times New Roman"/>
                <w:spacing w:val="-4"/>
                <w:sz w:val="18"/>
                <w:szCs w:val="18"/>
                <w:lang w:val="sq-AL"/>
              </w:rPr>
              <w:lastRenderedPageBreak/>
              <w:t>Programin e Veprimit të Bashkëpunimit Ndërkufitar IPA II, Shqipëri - Kosovë 2014–2020, alokimet për vitin 2016”</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Në përputhje me nenin 121, pika 1/ç e Kushtetutës, marrëveshjet që parashikojnë marrjen përsipër të detyrimeve financiare nga ana e vendit tonë duhet të ratifikohen nga Kuvendi i Republikës së Shqipërisë. </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Miratimi i Projektligjit për ratifikimin e Marrëveshjes Financiare nga Kuvendi i Republikës së Shqipërisë </w:t>
            </w:r>
          </w:p>
        </w:tc>
        <w:tc>
          <w:tcPr>
            <w:tcW w:w="6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Zhvillimi social, ekonomik dhe mjedisor i zonave përfituese nëpërmjet zbatimit të projekteve të financuara nga programi</w:t>
            </w:r>
          </w:p>
        </w:tc>
        <w:tc>
          <w:tcPr>
            <w:tcW w:w="4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Prioritetet tematike të programit, strukturat, autoritetet, palët, mënyrat e financimit të projekteve, alokimet dhe kushtet financiare të marrëveshjes.</w:t>
            </w:r>
            <w:r w:rsidRPr="00B130BB">
              <w:rPr>
                <w:rFonts w:ascii="Garamond" w:eastAsia="Times New Roman" w:hAnsi="Garamond" w:cs="Times New Roman"/>
                <w:spacing w:val="-4"/>
                <w:sz w:val="18"/>
                <w:szCs w:val="18"/>
                <w:lang w:val="sq-AL"/>
              </w:rPr>
              <w:br/>
              <w:t xml:space="preserve">Ky projektakt është në përputhje me Planin Kombëtar për Integrimin Evropian 2017– 2020, </w:t>
            </w:r>
            <w:r w:rsidRPr="00B130BB">
              <w:rPr>
                <w:rFonts w:ascii="Garamond" w:eastAsia="Times New Roman" w:hAnsi="Garamond" w:cs="Times New Roman"/>
                <w:spacing w:val="-4"/>
                <w:sz w:val="18"/>
                <w:szCs w:val="18"/>
                <w:lang w:val="sq-AL"/>
              </w:rPr>
              <w:lastRenderedPageBreak/>
              <w:t>Strategjinë Kombëtare për Zhvillim dhe Integrim 2015– 2020 dhe Programin Qeverisës 2017– 2021.</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0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Kreu 4 i Programit të Qeverisë, më konkretisht paragrafi si më poshtë: Cilësia e procesit të integrimit lidhet drejtpërsëdrejti me projektet</w:t>
            </w:r>
            <w:r w:rsidRPr="00B130BB">
              <w:rPr>
                <w:rFonts w:ascii="Garamond" w:eastAsia="Times New Roman" w:hAnsi="Garamond" w:cs="Times New Roman"/>
                <w:spacing w:val="-4"/>
                <w:sz w:val="18"/>
                <w:szCs w:val="18"/>
                <w:lang w:val="sq-AL"/>
              </w:rPr>
              <w:br/>
              <w:t xml:space="preserve">e bashkëpunimit rajonal, ku do të synojmë një përputhje </w:t>
            </w:r>
            <w:r w:rsidRPr="00B130BB">
              <w:rPr>
                <w:rFonts w:ascii="Garamond" w:eastAsia="Times New Roman" w:hAnsi="Garamond" w:cs="Times New Roman"/>
                <w:spacing w:val="-4"/>
                <w:sz w:val="18"/>
                <w:szCs w:val="18"/>
                <w:lang w:val="sq-AL"/>
              </w:rPr>
              <w:lastRenderedPageBreak/>
              <w:t>më të</w:t>
            </w:r>
            <w:r w:rsidRPr="00B130BB">
              <w:rPr>
                <w:rFonts w:ascii="Garamond" w:eastAsia="Times New Roman" w:hAnsi="Garamond" w:cs="Times New Roman"/>
                <w:spacing w:val="-4"/>
                <w:sz w:val="18"/>
                <w:szCs w:val="18"/>
                <w:lang w:val="sq-AL"/>
              </w:rPr>
              <w:br/>
              <w:t>mirë të prioriteteve politike të përcaktuara dhe instrumenteve financiarë</w:t>
            </w:r>
            <w:r w:rsidRPr="00B130BB">
              <w:rPr>
                <w:rFonts w:ascii="Garamond" w:eastAsia="Times New Roman" w:hAnsi="Garamond" w:cs="Times New Roman"/>
                <w:spacing w:val="-4"/>
                <w:sz w:val="18"/>
                <w:szCs w:val="18"/>
                <w:lang w:val="sq-AL"/>
              </w:rPr>
              <w:br/>
              <w:t xml:space="preserve">që Shqipëria ka në dispozicion.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23</w:t>
            </w:r>
          </w:p>
        </w:tc>
        <w:tc>
          <w:tcPr>
            <w:tcW w:w="93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Vendim - “Për miratimin në parim të marrëveshjes së financimit, ndërmjet Këshillit të Ministrave të Republikës së Shqipërisë, Qeverisë së Republikës së Kosovës dhe Komisionit Evropian, për Programin e Veprimit të Bashkëpunimit Ndërkufitar IPA II Shqipëri - Kosovë 2014–2020, alokimet për vitin 2017”</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Detyrimet e parashikuara në Nenin 10 të Ligjit nr. 43/2016 “Për marrëveshjet ndërkombëtare në Republikën e Shqipërisë” </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Qëllimi i këtij projektvendimi është të miratojë në parim Marrëveshjen e Financimit për vitin 2017 për këtë program</w:t>
            </w:r>
          </w:p>
        </w:tc>
        <w:tc>
          <w:tcPr>
            <w:tcW w:w="6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Zhvillimi social, ekonomik dhe mjedisor i zonave përfituese nëpërmjet zbatimit të projekteve të financuara nga programi</w:t>
            </w:r>
          </w:p>
        </w:tc>
        <w:tc>
          <w:tcPr>
            <w:tcW w:w="4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Prioritetet tematike të programit, strukturat, autoritetet, palët, mënyrat e financimit të projekteve, alokimet dhe kushtet financiare të marrëveshjes.</w:t>
            </w:r>
            <w:r w:rsidRPr="00B130BB">
              <w:rPr>
                <w:rFonts w:ascii="Garamond" w:eastAsia="Times New Roman" w:hAnsi="Garamond" w:cs="Times New Roman"/>
                <w:spacing w:val="-4"/>
                <w:sz w:val="18"/>
                <w:szCs w:val="18"/>
                <w:lang w:val="sq-AL"/>
              </w:rPr>
              <w:br/>
              <w:t>Ky projektakt është në përputhje me Planin Kombëtar për Integrimin Evropian 2017 –2020, Strategjinë Kombëtare për Zhvillim dhe Integrim 2015 –2020 dhe Programin Qeverisës 2017 –2021.</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Kreu 4 i Programit të Qeverisë, më konkretisht paragrafi si më poshtë: Cilësia e procesit të integrimit lidhet drejtpërsëdrejti me projektet</w:t>
            </w:r>
            <w:r w:rsidRPr="00B130BB">
              <w:rPr>
                <w:rFonts w:ascii="Garamond" w:eastAsia="Times New Roman" w:hAnsi="Garamond" w:cs="Times New Roman"/>
                <w:spacing w:val="-4"/>
                <w:sz w:val="18"/>
                <w:szCs w:val="18"/>
                <w:lang w:val="sq-AL"/>
              </w:rPr>
              <w:br/>
              <w:t>e bashkëpunimit rajonal, ku do të synojmë një përputhje më të</w:t>
            </w:r>
            <w:r w:rsidRPr="00B130BB">
              <w:rPr>
                <w:rFonts w:ascii="Garamond" w:eastAsia="Times New Roman" w:hAnsi="Garamond" w:cs="Times New Roman"/>
                <w:spacing w:val="-4"/>
                <w:sz w:val="18"/>
                <w:szCs w:val="18"/>
                <w:lang w:val="sq-AL"/>
              </w:rPr>
              <w:br/>
              <w:t>mirë të prioriteteve politike të përcaktuara dhe instrumenteve financiarë</w:t>
            </w:r>
            <w:r w:rsidRPr="00B130BB">
              <w:rPr>
                <w:rFonts w:ascii="Garamond" w:eastAsia="Times New Roman" w:hAnsi="Garamond" w:cs="Times New Roman"/>
                <w:spacing w:val="-4"/>
                <w:sz w:val="18"/>
                <w:szCs w:val="18"/>
                <w:lang w:val="sq-AL"/>
              </w:rPr>
              <w:br/>
              <w:t xml:space="preserve">që Shqipëria ka në dispozicion.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24</w:t>
            </w:r>
          </w:p>
        </w:tc>
        <w:tc>
          <w:tcPr>
            <w:tcW w:w="93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Vendim - “Për propozimin e projektligjit për ratifikimin e marrëveshjes së </w:t>
            </w:r>
            <w:r w:rsidRPr="00B130BB">
              <w:rPr>
                <w:rFonts w:ascii="Garamond" w:eastAsia="Times New Roman" w:hAnsi="Garamond" w:cs="Times New Roman"/>
                <w:spacing w:val="-4"/>
                <w:sz w:val="18"/>
                <w:szCs w:val="18"/>
                <w:lang w:val="sq-AL"/>
              </w:rPr>
              <w:lastRenderedPageBreak/>
              <w:t>financimit ndërmjet Këshillit të Ministrave të Republikës së Shqipërisë, Qeverisë së Republikës së Kosovës dhe Komisionit Evropian për Programin e Veprimit të Bashkëpunimit Ndërkufitar IPA II, Shqipëri - Kosovë 2014–2020, alokimet për vitin 2017”</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Në përputhje me nenin 121, pika 1/ç e Kushtetutës, marrëveshjet që </w:t>
            </w:r>
            <w:r w:rsidRPr="00B130BB">
              <w:rPr>
                <w:rFonts w:ascii="Garamond" w:eastAsia="Times New Roman" w:hAnsi="Garamond" w:cs="Times New Roman"/>
                <w:spacing w:val="-4"/>
                <w:sz w:val="18"/>
                <w:szCs w:val="18"/>
                <w:lang w:val="sq-AL"/>
              </w:rPr>
              <w:lastRenderedPageBreak/>
              <w:t xml:space="preserve">parashikojnë marrjen përsipër të detyrimeve financiare nga ana e vendit tonë duhet të ratifikohen nga Kuvendi i Republikës së Shqipërisë. </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Miratimi i projektligjit për ratifikimin e Marrëveshjes Financiare nga Kuvendi i Republikës së Shqipërisë </w:t>
            </w:r>
          </w:p>
        </w:tc>
        <w:tc>
          <w:tcPr>
            <w:tcW w:w="6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Zhvillimi social, ekonomik dhe mjedisor i zonave përfituese nëpërmjet zbatimit të </w:t>
            </w:r>
            <w:r w:rsidRPr="00B130BB">
              <w:rPr>
                <w:rFonts w:ascii="Garamond" w:eastAsia="Times New Roman" w:hAnsi="Garamond" w:cs="Times New Roman"/>
                <w:spacing w:val="-4"/>
                <w:sz w:val="18"/>
                <w:szCs w:val="18"/>
                <w:lang w:val="sq-AL"/>
              </w:rPr>
              <w:lastRenderedPageBreak/>
              <w:t>projekteve të financuara nga programi</w:t>
            </w:r>
          </w:p>
        </w:tc>
        <w:tc>
          <w:tcPr>
            <w:tcW w:w="4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Prioritetet tematike të programit, strukturat, autoritetet, palët, mënyrat e financimit të projekteve, </w:t>
            </w:r>
            <w:r w:rsidRPr="00B130BB">
              <w:rPr>
                <w:rFonts w:ascii="Garamond" w:eastAsia="Times New Roman" w:hAnsi="Garamond" w:cs="Times New Roman"/>
                <w:spacing w:val="-4"/>
                <w:sz w:val="18"/>
                <w:szCs w:val="18"/>
                <w:lang w:val="sq-AL"/>
              </w:rPr>
              <w:lastRenderedPageBreak/>
              <w:t>alokimet dhe kushtet financiare të marrëveshjes.</w:t>
            </w:r>
            <w:r w:rsidRPr="00B130BB">
              <w:rPr>
                <w:rFonts w:ascii="Garamond" w:eastAsia="Times New Roman" w:hAnsi="Garamond" w:cs="Times New Roman"/>
                <w:spacing w:val="-4"/>
                <w:sz w:val="18"/>
                <w:szCs w:val="18"/>
                <w:lang w:val="sq-AL"/>
              </w:rPr>
              <w:br/>
              <w:t>Ky projektakt është në përputhje me Planin Kombëtar për Integrimin Evropian 2017–2020, Strategjinë Kombëtare për Zhvillim dhe Integrim 2015 –2020 dhe Programin Qeverisës 2017–2021.</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0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Kreu 4 i Programit të Qeverisë, më konkretisht paragrafi si më poshtë: </w:t>
            </w:r>
            <w:r w:rsidRPr="00B130BB">
              <w:rPr>
                <w:rFonts w:ascii="Garamond" w:eastAsia="Times New Roman" w:hAnsi="Garamond" w:cs="Times New Roman"/>
                <w:spacing w:val="-4"/>
                <w:sz w:val="18"/>
                <w:szCs w:val="18"/>
                <w:lang w:val="sq-AL"/>
              </w:rPr>
              <w:lastRenderedPageBreak/>
              <w:t>Cilësia e procesit të integrimit lidhet drejtpërsëdrejti me projektet</w:t>
            </w:r>
            <w:r w:rsidRPr="00B130BB">
              <w:rPr>
                <w:rFonts w:ascii="Garamond" w:eastAsia="Times New Roman" w:hAnsi="Garamond" w:cs="Times New Roman"/>
                <w:spacing w:val="-4"/>
                <w:sz w:val="18"/>
                <w:szCs w:val="18"/>
                <w:lang w:val="sq-AL"/>
              </w:rPr>
              <w:br/>
              <w:t>e bashkëpunimit rajonal, ku do të synojmë një përputhje më të</w:t>
            </w:r>
            <w:r w:rsidRPr="00B130BB">
              <w:rPr>
                <w:rFonts w:ascii="Garamond" w:eastAsia="Times New Roman" w:hAnsi="Garamond" w:cs="Times New Roman"/>
                <w:spacing w:val="-4"/>
                <w:sz w:val="18"/>
                <w:szCs w:val="18"/>
                <w:lang w:val="sq-AL"/>
              </w:rPr>
              <w:br/>
              <w:t>mirë të prioriteteve politike të përcaktuara dhe instrumenteve financiarë</w:t>
            </w:r>
            <w:r w:rsidRPr="00B130BB">
              <w:rPr>
                <w:rFonts w:ascii="Garamond" w:eastAsia="Times New Roman" w:hAnsi="Garamond" w:cs="Times New Roman"/>
                <w:spacing w:val="-4"/>
                <w:sz w:val="18"/>
                <w:szCs w:val="18"/>
                <w:lang w:val="sq-AL"/>
              </w:rPr>
              <w:br/>
              <w:t xml:space="preserve">që Shqipëria ka në dispozicion.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25</w:t>
            </w:r>
          </w:p>
        </w:tc>
        <w:tc>
          <w:tcPr>
            <w:tcW w:w="93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Vendim - “Për propozimin e projektligjit për ratifikimin e marrëveshjes së financimit ndërmjet Republikës së Shqipërisë, Republikës së Francës dhe Komisionit Evropian, për Programin Interreg V-B Mesdhe (MED) 2014–2020”</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Në përputhje me nenin 121, pika 1/ç e Kushtetutës, marrëveshjet që parashikojnë marrjen përsipër të detyrimeve financiare nga ana e vendit tonë duhet të ratifikohen nga Kuvendi i Republikës së Shqipërisë. </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Miratimi i Projektligjit për ratifikimin e Marrëveshjes Financiare nga Kuvendi i Republikës së Shqipërisë </w:t>
            </w:r>
          </w:p>
        </w:tc>
        <w:tc>
          <w:tcPr>
            <w:tcW w:w="6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Zhvillimi social, ekonomik dhe mjedisor i zonave përfituese nëpërmjet zbatimit të projekteve të financuara nga programi</w:t>
            </w:r>
          </w:p>
        </w:tc>
        <w:tc>
          <w:tcPr>
            <w:tcW w:w="4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Prioritetet tematike të programit, strukturat, autoritetet, palët, mënyrat e financimit të projekteve, alokimet dhe kushtet financiare të marrëveshjes.</w:t>
            </w:r>
            <w:r w:rsidRPr="00B130BB">
              <w:rPr>
                <w:rFonts w:ascii="Garamond" w:eastAsia="Times New Roman" w:hAnsi="Garamond" w:cs="Times New Roman"/>
                <w:spacing w:val="-4"/>
                <w:sz w:val="18"/>
                <w:szCs w:val="18"/>
                <w:lang w:val="sq-AL"/>
              </w:rPr>
              <w:br/>
              <w:t xml:space="preserve">Ky projektakt është në përputhje me Planin Kombëtar për Integrimin Evropian 2017 –2020, Strategjinë Kombëtare për Zhvillim dhe Integrim 2015 –2020 dhe Programin Qeverisës </w:t>
            </w:r>
            <w:r w:rsidRPr="00B130BB">
              <w:rPr>
                <w:rFonts w:ascii="Garamond" w:eastAsia="Times New Roman" w:hAnsi="Garamond" w:cs="Times New Roman"/>
                <w:spacing w:val="-4"/>
                <w:sz w:val="18"/>
                <w:szCs w:val="18"/>
                <w:lang w:val="sq-AL"/>
              </w:rPr>
              <w:lastRenderedPageBreak/>
              <w:t>2017–2021.</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0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Kreu 4 i Programit të Qeverisë, më konkretisht paragrafi si më poshtë: Cilësia e procesit të integrimit lidhet drejtpërsëdrejti me projektet</w:t>
            </w:r>
            <w:r w:rsidRPr="00B130BB">
              <w:rPr>
                <w:rFonts w:ascii="Garamond" w:eastAsia="Times New Roman" w:hAnsi="Garamond" w:cs="Times New Roman"/>
                <w:spacing w:val="-4"/>
                <w:sz w:val="18"/>
                <w:szCs w:val="18"/>
                <w:lang w:val="sq-AL"/>
              </w:rPr>
              <w:br/>
              <w:t>e bashkëpunimit rajonal, ku do të synojmë një përputhje më të</w:t>
            </w:r>
            <w:r w:rsidRPr="00B130BB">
              <w:rPr>
                <w:rFonts w:ascii="Garamond" w:eastAsia="Times New Roman" w:hAnsi="Garamond" w:cs="Times New Roman"/>
                <w:spacing w:val="-4"/>
                <w:sz w:val="18"/>
                <w:szCs w:val="18"/>
                <w:lang w:val="sq-AL"/>
              </w:rPr>
              <w:br/>
              <w:t xml:space="preserve">mirë të prioriteteve politike të përcaktuara dhe instrumenteve </w:t>
            </w:r>
            <w:r w:rsidRPr="00B130BB">
              <w:rPr>
                <w:rFonts w:ascii="Garamond" w:eastAsia="Times New Roman" w:hAnsi="Garamond" w:cs="Times New Roman"/>
                <w:spacing w:val="-4"/>
                <w:sz w:val="18"/>
                <w:szCs w:val="18"/>
                <w:lang w:val="sq-AL"/>
              </w:rPr>
              <w:lastRenderedPageBreak/>
              <w:t>financiarë</w:t>
            </w:r>
            <w:r w:rsidRPr="00B130BB">
              <w:rPr>
                <w:rFonts w:ascii="Garamond" w:eastAsia="Times New Roman" w:hAnsi="Garamond" w:cs="Times New Roman"/>
                <w:spacing w:val="-4"/>
                <w:sz w:val="18"/>
                <w:szCs w:val="18"/>
                <w:lang w:val="sq-AL"/>
              </w:rPr>
              <w:br/>
              <w:t xml:space="preserve">që Shqipëria ka në dispozicion.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26</w:t>
            </w:r>
          </w:p>
        </w:tc>
        <w:tc>
          <w:tcPr>
            <w:tcW w:w="93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Vendim - “Për propozimin e projektligjit për ratifikimin e marrëveshjes së financimit ndërmjet Republikës së Shqipërisë, Republikës së Italisë dhe Komisionit Evropian për Programin Interreg V-B Adriatiko-Jonian (ADRION) 2014–2020”</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Në përputhje me nenin 121, pika 1/ç e Kushtetutës, marrëveshjet që parashikojnë marrjen përsipër të detyrimeve financiare nga ana e vendit tonë duhet të ratifikohen nga Kuvendi i Republikës së Shqipërisë. </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Miratimi i Projektligjit për ratifikimin e Marrëveshjes Financiare nga Kuvendi i Republikës së Shqipërisë </w:t>
            </w:r>
          </w:p>
        </w:tc>
        <w:tc>
          <w:tcPr>
            <w:tcW w:w="6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Zhvillimi social, ekonomik dhe mjedisor i zonave përfituese nëpërmjet zbatimit të projekteve të financuara nga programi</w:t>
            </w:r>
          </w:p>
        </w:tc>
        <w:tc>
          <w:tcPr>
            <w:tcW w:w="4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Prioritetet tematike të programit, strukturat, autoritetet, palët, mënyrat e financimit të projekteve, alokimet dhe kushtet financiare të marrëveshjes.</w:t>
            </w:r>
            <w:r w:rsidRPr="00B130BB">
              <w:rPr>
                <w:rFonts w:ascii="Garamond" w:eastAsia="Times New Roman" w:hAnsi="Garamond" w:cs="Times New Roman"/>
                <w:spacing w:val="-4"/>
                <w:sz w:val="18"/>
                <w:szCs w:val="18"/>
                <w:lang w:val="sq-AL"/>
              </w:rPr>
              <w:br/>
              <w:t>Ky projektakt është në përputhje me Planin Kombëtar për Integrimin Evropian 2017-2020, Strategjinë Kombëtare për Zhvillim dhe Integrim 2015–2020 dhe Programin Qeverisës 2017–2021.</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Kreu 4 i Programit të Qeverisë, më konkretisht paragrafi si më poshtë: Cilësia e procesit të integrimit lidhet drejtpërsëdrejti me projektet</w:t>
            </w:r>
            <w:r w:rsidRPr="00B130BB">
              <w:rPr>
                <w:rFonts w:ascii="Garamond" w:eastAsia="Times New Roman" w:hAnsi="Garamond" w:cs="Times New Roman"/>
                <w:spacing w:val="-4"/>
                <w:sz w:val="18"/>
                <w:szCs w:val="18"/>
                <w:lang w:val="sq-AL"/>
              </w:rPr>
              <w:br/>
              <w:t>e bashkëpunimit rajonal, ku do të synojmë një përputhje më të</w:t>
            </w:r>
            <w:r w:rsidRPr="00B130BB">
              <w:rPr>
                <w:rFonts w:ascii="Garamond" w:eastAsia="Times New Roman" w:hAnsi="Garamond" w:cs="Times New Roman"/>
                <w:spacing w:val="-4"/>
                <w:sz w:val="18"/>
                <w:szCs w:val="18"/>
                <w:lang w:val="sq-AL"/>
              </w:rPr>
              <w:br/>
              <w:t>mirë të prioriteteve politike të përcaktuara dhe instrumenteve financiarë</w:t>
            </w:r>
            <w:r w:rsidRPr="00B130BB">
              <w:rPr>
                <w:rFonts w:ascii="Garamond" w:eastAsia="Times New Roman" w:hAnsi="Garamond" w:cs="Times New Roman"/>
                <w:spacing w:val="-4"/>
                <w:sz w:val="18"/>
                <w:szCs w:val="18"/>
                <w:lang w:val="sq-AL"/>
              </w:rPr>
              <w:br/>
              <w:t xml:space="preserve">që Shqipëria ka në dispozicion.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27</w:t>
            </w:r>
          </w:p>
        </w:tc>
        <w:tc>
          <w:tcPr>
            <w:tcW w:w="93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Vendim - “Për propozimin e projektligjit për ratifikimin e marrëveshjes së financimit ndërmjet Këshillit të Ministrave të Republikës së Shqipërisë, Republikës </w:t>
            </w:r>
            <w:r w:rsidRPr="00B130BB">
              <w:rPr>
                <w:rFonts w:ascii="Garamond" w:eastAsia="Times New Roman" w:hAnsi="Garamond" w:cs="Times New Roman"/>
                <w:spacing w:val="-4"/>
                <w:sz w:val="18"/>
                <w:szCs w:val="18"/>
                <w:lang w:val="sq-AL"/>
              </w:rPr>
              <w:lastRenderedPageBreak/>
              <w:t>së Malit të Zi dhe Komisionit Evropian, për Programin e Veprimit të Bashkëpunimit Ndërkufitar IPA II, Mali i Zi - Shqipëri 2014–2020, alokimet për vitin 2016”</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Në përputhje me nenin 121, pika 1/ç e Kushtetutës, marrëveshjet që parashikojnë marrjen përsipër të detyrimeve financiare nga ana e vendit tonë duhet të ratifikohen </w:t>
            </w:r>
            <w:r w:rsidRPr="00B130BB">
              <w:rPr>
                <w:rFonts w:ascii="Garamond" w:eastAsia="Times New Roman" w:hAnsi="Garamond" w:cs="Times New Roman"/>
                <w:spacing w:val="-4"/>
                <w:sz w:val="18"/>
                <w:szCs w:val="18"/>
                <w:lang w:val="sq-AL"/>
              </w:rPr>
              <w:lastRenderedPageBreak/>
              <w:t xml:space="preserve">nga Kuvendi i Republikës së Shqipërisë. </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Miratimi i Projektligjit për ratifikimin e Marrëveshjes Financiare nga Kuvendi i Republikës së Shqipërisë </w:t>
            </w:r>
          </w:p>
        </w:tc>
        <w:tc>
          <w:tcPr>
            <w:tcW w:w="6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Zhvillimi social, ekonomik dhe mjedisor i zonave përfituese nëpërmjet zbatimit të projekteve të financuara nga programi</w:t>
            </w:r>
          </w:p>
        </w:tc>
        <w:tc>
          <w:tcPr>
            <w:tcW w:w="4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Prioritetet tematike të programit, strukturat, autoritetet, palët, mënyrat e financimit të projekteve, alokimet dhe kushtet financiare të marrëveshjes.</w:t>
            </w:r>
            <w:r w:rsidRPr="00B130BB">
              <w:rPr>
                <w:rFonts w:ascii="Garamond" w:eastAsia="Times New Roman" w:hAnsi="Garamond" w:cs="Times New Roman"/>
                <w:spacing w:val="-4"/>
                <w:sz w:val="18"/>
                <w:szCs w:val="18"/>
                <w:lang w:val="sq-AL"/>
              </w:rPr>
              <w:br/>
              <w:t xml:space="preserve">Ky projektakt është në përputhje </w:t>
            </w:r>
            <w:r w:rsidRPr="00B130BB">
              <w:rPr>
                <w:rFonts w:ascii="Garamond" w:eastAsia="Times New Roman" w:hAnsi="Garamond" w:cs="Times New Roman"/>
                <w:spacing w:val="-4"/>
                <w:sz w:val="18"/>
                <w:szCs w:val="18"/>
                <w:lang w:val="sq-AL"/>
              </w:rPr>
              <w:lastRenderedPageBreak/>
              <w:t>me Planin Kombëtar për Integrimin Evropian 2017–2020, Strategjinë Kombëtare për Zhvillim dhe Integrim 2015 -2020 dhe Programin Qeverisës 2017–2021.</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0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Kreu 4 i Programit të Qeverisë, më konkretisht paragrafi si më poshtë: Cilësia e procesit të integrimit lidhet drejtpërsëdrejti me projektet</w:t>
            </w:r>
            <w:r w:rsidRPr="00B130BB">
              <w:rPr>
                <w:rFonts w:ascii="Garamond" w:eastAsia="Times New Roman" w:hAnsi="Garamond" w:cs="Times New Roman"/>
                <w:spacing w:val="-4"/>
                <w:sz w:val="18"/>
                <w:szCs w:val="18"/>
                <w:lang w:val="sq-AL"/>
              </w:rPr>
              <w:br/>
              <w:t>e bashkëpu</w:t>
            </w:r>
            <w:r w:rsidRPr="00B130BB">
              <w:rPr>
                <w:rFonts w:ascii="Garamond" w:eastAsia="Times New Roman" w:hAnsi="Garamond" w:cs="Times New Roman"/>
                <w:spacing w:val="-4"/>
                <w:sz w:val="18"/>
                <w:szCs w:val="18"/>
                <w:lang w:val="sq-AL"/>
              </w:rPr>
              <w:lastRenderedPageBreak/>
              <w:t>nimit rajonal, ku do të synojmë një përputhje më të</w:t>
            </w:r>
            <w:r w:rsidRPr="00B130BB">
              <w:rPr>
                <w:rFonts w:ascii="Garamond" w:eastAsia="Times New Roman" w:hAnsi="Garamond" w:cs="Times New Roman"/>
                <w:spacing w:val="-4"/>
                <w:sz w:val="18"/>
                <w:szCs w:val="18"/>
                <w:lang w:val="sq-AL"/>
              </w:rPr>
              <w:br/>
              <w:t>mirë të prioriteteve politike të përcaktuara dhe instrumenteve financiarë</w:t>
            </w:r>
            <w:r w:rsidRPr="00B130BB">
              <w:rPr>
                <w:rFonts w:ascii="Garamond" w:eastAsia="Times New Roman" w:hAnsi="Garamond" w:cs="Times New Roman"/>
                <w:spacing w:val="-4"/>
                <w:sz w:val="18"/>
                <w:szCs w:val="18"/>
                <w:lang w:val="sq-AL"/>
              </w:rPr>
              <w:br/>
              <w:t xml:space="preserve">që Shqipëria ka në dispozicion.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28</w:t>
            </w:r>
          </w:p>
        </w:tc>
        <w:tc>
          <w:tcPr>
            <w:tcW w:w="93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Vendim - “Për miratimin në parim të marrëveshjes së financimit, ndërmjet Këshillit të Ministrave të Republikës së Shqipërisë, Republikës së Malit të Zi dhe Komisionit Evropian, për Programin e Veprimit të Bashkëpunimit Ndërkufitar IPA II, Mali i Zi - Shqipëri 2014–2020, alokimet për vitin 2017”</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Detyrimet e parashikuara në Nenin 10 të Ligjit nr. 43/2016 “Për marrëveshjet ndërkombëtare në Republikën e Shqipërisë” </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Qëllimi i këtij projektvendimi është të miratojë në parim Marrëveshjen e Financimit për vitin 2017 për këtë program</w:t>
            </w:r>
          </w:p>
        </w:tc>
        <w:tc>
          <w:tcPr>
            <w:tcW w:w="6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Zhvillimi social, ekonomik dhe mjedisor i zonave përfituese nëpërmjet zbatimit të projekteve të financuara nga programi</w:t>
            </w:r>
          </w:p>
        </w:tc>
        <w:tc>
          <w:tcPr>
            <w:tcW w:w="4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Prioritetet tematike të programit, strukturat, autoritetet, palët, mënyrat e financimit të projekteve, alokimet dhe kushtet financiare të marrëveshjes.</w:t>
            </w:r>
            <w:r w:rsidRPr="00B130BB">
              <w:rPr>
                <w:rFonts w:ascii="Garamond" w:eastAsia="Times New Roman" w:hAnsi="Garamond" w:cs="Times New Roman"/>
                <w:spacing w:val="-4"/>
                <w:sz w:val="18"/>
                <w:szCs w:val="18"/>
                <w:lang w:val="sq-AL"/>
              </w:rPr>
              <w:br/>
              <w:t>Ky projektakt është në përputhje me Planin Kombëtar për Integrimin Evropian 2017–2020, Strategjinë Kombëtare për Zhvillim dhe Integrim 2015–2020 dhe Programin Qeverisës 2017–2021.</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Kreu 4 i Programit të Qeverisë, më konkretisht paragrafi si më poshtë: Cilësia e procesit të integrimit lidhet drejtpërsëdrejti me projektet</w:t>
            </w:r>
            <w:r w:rsidRPr="00B130BB">
              <w:rPr>
                <w:rFonts w:ascii="Garamond" w:eastAsia="Times New Roman" w:hAnsi="Garamond" w:cs="Times New Roman"/>
                <w:spacing w:val="-4"/>
                <w:sz w:val="18"/>
                <w:szCs w:val="18"/>
                <w:lang w:val="sq-AL"/>
              </w:rPr>
              <w:br/>
              <w:t>e bashkëpunimit rajonal, ku do të synojmë një përputhje më të</w:t>
            </w:r>
            <w:r w:rsidRPr="00B130BB">
              <w:rPr>
                <w:rFonts w:ascii="Garamond" w:eastAsia="Times New Roman" w:hAnsi="Garamond" w:cs="Times New Roman"/>
                <w:spacing w:val="-4"/>
                <w:sz w:val="18"/>
                <w:szCs w:val="18"/>
                <w:lang w:val="sq-AL"/>
              </w:rPr>
              <w:br/>
              <w:t>mirë të prioriteteve politike të përcaktuara dhe instrumenteve financiarë</w:t>
            </w:r>
            <w:r w:rsidRPr="00B130BB">
              <w:rPr>
                <w:rFonts w:ascii="Garamond" w:eastAsia="Times New Roman" w:hAnsi="Garamond" w:cs="Times New Roman"/>
                <w:spacing w:val="-4"/>
                <w:sz w:val="18"/>
                <w:szCs w:val="18"/>
                <w:lang w:val="sq-AL"/>
              </w:rPr>
              <w:br/>
              <w:t xml:space="preserve">që Shqipëria ka në dispozicion.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29</w:t>
            </w:r>
          </w:p>
        </w:tc>
        <w:tc>
          <w:tcPr>
            <w:tcW w:w="93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Vendim - “Për propozimin </w:t>
            </w:r>
            <w:r w:rsidRPr="00B130BB">
              <w:rPr>
                <w:rFonts w:ascii="Garamond" w:eastAsia="Times New Roman" w:hAnsi="Garamond" w:cs="Times New Roman"/>
                <w:spacing w:val="-4"/>
                <w:sz w:val="18"/>
                <w:szCs w:val="18"/>
                <w:lang w:val="sq-AL"/>
              </w:rPr>
              <w:lastRenderedPageBreak/>
              <w:t>e projektligjit për ratifikimin e marrëveshjes së financimit ndërmjet Këshillit të Ministrave të Republikës së Shqipërisë, Republikës së Malit të Zi dhe Komisionit Evropian, për Programin e Veprimit të Bashkëpunimit Ndërkufitar IPA II, Mali i Zi - Shqipëri 2014–2020, alokimet për vitin 2017”</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Ministri për Evropën dhe Punët e </w:t>
            </w:r>
            <w:r w:rsidRPr="00B130BB">
              <w:rPr>
                <w:rFonts w:ascii="Garamond" w:eastAsia="Times New Roman" w:hAnsi="Garamond" w:cs="Times New Roman"/>
                <w:spacing w:val="-4"/>
                <w:sz w:val="18"/>
                <w:szCs w:val="18"/>
                <w:lang w:val="sq-AL"/>
              </w:rPr>
              <w:lastRenderedPageBreak/>
              <w:t>Jashtme</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Katërmujori III</w:t>
            </w:r>
          </w:p>
        </w:tc>
        <w:tc>
          <w:tcPr>
            <w:tcW w:w="5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Në përputhje me nenin </w:t>
            </w:r>
            <w:r w:rsidRPr="00B130BB">
              <w:rPr>
                <w:rFonts w:ascii="Garamond" w:eastAsia="Times New Roman" w:hAnsi="Garamond" w:cs="Times New Roman"/>
                <w:spacing w:val="-4"/>
                <w:sz w:val="18"/>
                <w:szCs w:val="18"/>
                <w:lang w:val="sq-AL"/>
              </w:rPr>
              <w:lastRenderedPageBreak/>
              <w:t xml:space="preserve">121, pika 1/ç e Kushtetutës, marrëveshjet që parashikojnë marrjen përsipër të detyrimeve financiare nga ana e vendit tonë duhet të ratifikohen nga Kuvendi i Republikës së Shqipërisë. </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Miratimi i Projektligjit për ratifikimin e </w:t>
            </w:r>
            <w:r w:rsidRPr="00B130BB">
              <w:rPr>
                <w:rFonts w:ascii="Garamond" w:eastAsia="Times New Roman" w:hAnsi="Garamond" w:cs="Times New Roman"/>
                <w:spacing w:val="-4"/>
                <w:sz w:val="18"/>
                <w:szCs w:val="18"/>
                <w:lang w:val="sq-AL"/>
              </w:rPr>
              <w:lastRenderedPageBreak/>
              <w:t xml:space="preserve">Marrëveshjes Financiare nga Kuvendi i Republikës së Shqipërisë </w:t>
            </w:r>
          </w:p>
        </w:tc>
        <w:tc>
          <w:tcPr>
            <w:tcW w:w="6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Zhvillimi social, ekonomik </w:t>
            </w:r>
            <w:r w:rsidRPr="00B130BB">
              <w:rPr>
                <w:rFonts w:ascii="Garamond" w:eastAsia="Times New Roman" w:hAnsi="Garamond" w:cs="Times New Roman"/>
                <w:spacing w:val="-4"/>
                <w:sz w:val="18"/>
                <w:szCs w:val="18"/>
                <w:lang w:val="sq-AL"/>
              </w:rPr>
              <w:lastRenderedPageBreak/>
              <w:t>dhe mjedisor i zonave përfituese nëpërmjet zbatimit të projekteve të financuara nga programi</w:t>
            </w:r>
          </w:p>
        </w:tc>
        <w:tc>
          <w:tcPr>
            <w:tcW w:w="4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Prioritetet tematike të programit, </w:t>
            </w:r>
            <w:r w:rsidRPr="00B130BB">
              <w:rPr>
                <w:rFonts w:ascii="Garamond" w:eastAsia="Times New Roman" w:hAnsi="Garamond" w:cs="Times New Roman"/>
                <w:spacing w:val="-4"/>
                <w:sz w:val="18"/>
                <w:szCs w:val="18"/>
                <w:lang w:val="sq-AL"/>
              </w:rPr>
              <w:lastRenderedPageBreak/>
              <w:t>strukturat, autoritetet, palët, mënyrat e financimit të projekteve, alokimet dhe kushtet financiare të marrëveshjes.</w:t>
            </w:r>
            <w:r w:rsidRPr="00B130BB">
              <w:rPr>
                <w:rFonts w:ascii="Garamond" w:eastAsia="Times New Roman" w:hAnsi="Garamond" w:cs="Times New Roman"/>
                <w:spacing w:val="-4"/>
                <w:sz w:val="18"/>
                <w:szCs w:val="18"/>
                <w:lang w:val="sq-AL"/>
              </w:rPr>
              <w:br/>
              <w:t>Ky projektakt është në përputhje me Planin Kombëtar për Integrimin Evropian 2017–2020, Strategjinë Kombëtare për Zhvillim dhe Integrim 2015–2020 dhe Programin Qeverisës 2017-2021.</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0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Kreu 4 i Programit të </w:t>
            </w:r>
            <w:r w:rsidRPr="00B130BB">
              <w:rPr>
                <w:rFonts w:ascii="Garamond" w:eastAsia="Times New Roman" w:hAnsi="Garamond" w:cs="Times New Roman"/>
                <w:spacing w:val="-4"/>
                <w:sz w:val="18"/>
                <w:szCs w:val="18"/>
                <w:lang w:val="sq-AL"/>
              </w:rPr>
              <w:lastRenderedPageBreak/>
              <w:t>Qeverisë, më konkretisht paragrafi si më poshtë: Cilësia e procesit të integrimit lidhet drejtpërsëdrejti me projektet</w:t>
            </w:r>
            <w:r w:rsidRPr="00B130BB">
              <w:rPr>
                <w:rFonts w:ascii="Garamond" w:eastAsia="Times New Roman" w:hAnsi="Garamond" w:cs="Times New Roman"/>
                <w:spacing w:val="-4"/>
                <w:sz w:val="18"/>
                <w:szCs w:val="18"/>
                <w:lang w:val="sq-AL"/>
              </w:rPr>
              <w:br/>
              <w:t>e bashkëpunimit rajonal, ku do të synojmë një përputhje më të</w:t>
            </w:r>
            <w:r w:rsidRPr="00B130BB">
              <w:rPr>
                <w:rFonts w:ascii="Garamond" w:eastAsia="Times New Roman" w:hAnsi="Garamond" w:cs="Times New Roman"/>
                <w:spacing w:val="-4"/>
                <w:sz w:val="18"/>
                <w:szCs w:val="18"/>
                <w:lang w:val="sq-AL"/>
              </w:rPr>
              <w:br/>
              <w:t>mirë të prioriteteve politike të përcaktuara dhe instrumenteve financiarë</w:t>
            </w:r>
            <w:r w:rsidRPr="00B130BB">
              <w:rPr>
                <w:rFonts w:ascii="Garamond" w:eastAsia="Times New Roman" w:hAnsi="Garamond" w:cs="Times New Roman"/>
                <w:spacing w:val="-4"/>
                <w:sz w:val="18"/>
                <w:szCs w:val="18"/>
                <w:lang w:val="sq-AL"/>
              </w:rPr>
              <w:br/>
              <w:t xml:space="preserve">që Shqipëria ka në dispozicion.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30</w:t>
            </w:r>
          </w:p>
        </w:tc>
        <w:tc>
          <w:tcPr>
            <w:tcW w:w="93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Vendim “Për amendimin e marrëveshjes së financimit ndërmjet Këshillit të Ministrave të Republikës së Shqipërisë dhe Komisionit Evropian, për Programin e Bashkëpunimit Ndërkufitar “IPA Adriatik”, në kuadër të Instrumentit të </w:t>
            </w:r>
            <w:r w:rsidRPr="00B130BB">
              <w:rPr>
                <w:rFonts w:ascii="Garamond" w:eastAsia="Times New Roman" w:hAnsi="Garamond" w:cs="Times New Roman"/>
                <w:spacing w:val="-4"/>
                <w:sz w:val="18"/>
                <w:szCs w:val="18"/>
                <w:lang w:val="sq-AL"/>
              </w:rPr>
              <w:lastRenderedPageBreak/>
              <w:t xml:space="preserve">Asistencës së Paraanëtarësimit” </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Detyrimet e parashikuara në Nenin 11 të Ligjit nr. 43/2016 “Për marrëveshjet ndërkombëtare në Republikën e Shqipërisë” </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Amendimi i Marrëveshjes Financiare IPA Adriatik si pasojë e problematikave gjatë zbatimit</w:t>
            </w:r>
          </w:p>
        </w:tc>
        <w:tc>
          <w:tcPr>
            <w:tcW w:w="6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Mbyllja me sukses e programit nëpërmjet zbatimit të procedurave të parashikuara për përfundimin e programeve operacionale të IPA, komponenti II, III dhe IV (2007-2013)</w:t>
            </w:r>
          </w:p>
        </w:tc>
        <w:tc>
          <w:tcPr>
            <w:tcW w:w="4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Reflektimi në marrëveshjen financiare i amendimit të programit si pasojë e “decommitment” të disa fondeve nga ana e KE dhe përcaktimi i procedurave përmbyllëse të programit.</w:t>
            </w:r>
            <w:r w:rsidRPr="00B130BB">
              <w:rPr>
                <w:rFonts w:ascii="Garamond" w:eastAsia="Times New Roman" w:hAnsi="Garamond" w:cs="Times New Roman"/>
                <w:spacing w:val="-4"/>
                <w:sz w:val="18"/>
                <w:szCs w:val="18"/>
                <w:lang w:val="sq-AL"/>
              </w:rPr>
              <w:br/>
              <w:t xml:space="preserve">Ky projektakt është në përputhje me Planin Kombëtar për Integrimin Evropian 2017–2020, </w:t>
            </w:r>
            <w:r w:rsidRPr="00B130BB">
              <w:rPr>
                <w:rFonts w:ascii="Garamond" w:eastAsia="Times New Roman" w:hAnsi="Garamond" w:cs="Times New Roman"/>
                <w:spacing w:val="-4"/>
                <w:sz w:val="18"/>
                <w:szCs w:val="18"/>
                <w:lang w:val="sq-AL"/>
              </w:rPr>
              <w:lastRenderedPageBreak/>
              <w:t>Strategjinë Kombëtare për Zhvillim dhe Integrim 2015–2020 dhe Programin Qeverisës 2017–2021.</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0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Kreu 4 i Programit të Qeverisë, më konkretisht paragrafi si më poshtë: Cilësia e procesit të integrimit lidhet drejtpërsëdrejti me projektet</w:t>
            </w:r>
            <w:r w:rsidRPr="00B130BB">
              <w:rPr>
                <w:rFonts w:ascii="Garamond" w:eastAsia="Times New Roman" w:hAnsi="Garamond" w:cs="Times New Roman"/>
                <w:spacing w:val="-4"/>
                <w:sz w:val="18"/>
                <w:szCs w:val="18"/>
                <w:lang w:val="sq-AL"/>
              </w:rPr>
              <w:br/>
              <w:t>e bashkëpunimit rajonal, ku do të synojmë një përputhje më të</w:t>
            </w:r>
            <w:r w:rsidRPr="00B130BB">
              <w:rPr>
                <w:rFonts w:ascii="Garamond" w:eastAsia="Times New Roman" w:hAnsi="Garamond" w:cs="Times New Roman"/>
                <w:spacing w:val="-4"/>
                <w:sz w:val="18"/>
                <w:szCs w:val="18"/>
                <w:lang w:val="sq-AL"/>
              </w:rPr>
              <w:br/>
              <w:t>mirë të prioritetev</w:t>
            </w:r>
            <w:r w:rsidRPr="00B130BB">
              <w:rPr>
                <w:rFonts w:ascii="Garamond" w:eastAsia="Times New Roman" w:hAnsi="Garamond" w:cs="Times New Roman"/>
                <w:spacing w:val="-4"/>
                <w:sz w:val="18"/>
                <w:szCs w:val="18"/>
                <w:lang w:val="sq-AL"/>
              </w:rPr>
              <w:lastRenderedPageBreak/>
              <w:t>e politike të përcaktuara dhe instrumenteve financiarë</w:t>
            </w:r>
            <w:r w:rsidRPr="00B130BB">
              <w:rPr>
                <w:rFonts w:ascii="Garamond" w:eastAsia="Times New Roman" w:hAnsi="Garamond" w:cs="Times New Roman"/>
                <w:spacing w:val="-4"/>
                <w:sz w:val="18"/>
                <w:szCs w:val="18"/>
                <w:lang w:val="sq-AL"/>
              </w:rPr>
              <w:br/>
              <w:t xml:space="preserve">që Shqipëria ka në dispozicion.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31</w:t>
            </w:r>
          </w:p>
        </w:tc>
        <w:tc>
          <w:tcPr>
            <w:tcW w:w="93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Vendim - Për disa shtesa në vendimin nr. 513, datë 13.6.2013 të Këshillit të Ministrave “Për përcaktimin e kritereve, procedurave dhe të dokumentacionit për hyrjen, qëndrimin dhe trajtimin e të huajve në Republikën e Shqipërisë”, të ndryshuar”</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për Evropën dhe Punët e Jashtme dhe 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Nxitja e ardhjes në Shqipëri për motive turizmi, të qytetarëve të disa vendeve (lista e të cilave do të përcaktohet në VKM), si mundësi për ofrimin e një potencial të rëndësishëm turistik</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Projektvendimi synon lehtësimin e procedurave të lëvizjes për kategorinë e shtetasve të huaj të cilët hyjnë për qëllime turistike në Shqipëri</w:t>
            </w:r>
          </w:p>
        </w:tc>
        <w:tc>
          <w:tcPr>
            <w:tcW w:w="6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Krijimi i lehtësirave për hyrjen e qytetarëve të disa shteteve në Shqipëri si dhe përmirësimin e marrëdhënieve ndërmjet këtyre vendeve.</w:t>
            </w:r>
          </w:p>
        </w:tc>
        <w:tc>
          <w:tcPr>
            <w:tcW w:w="4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Nxitja e ardhjes në Shqipëri për motive turizmi, të qytetarëve të disa vendeve (lista e të cilave do të përcaktohet në VKM), si mundësi për ofrimin e një potencial të rëndësishëm turistik</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w:t>
            </w:r>
          </w:p>
        </w:tc>
        <w:tc>
          <w:tcPr>
            <w:tcW w:w="40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32</w:t>
            </w:r>
          </w:p>
        </w:tc>
        <w:tc>
          <w:tcPr>
            <w:tcW w:w="93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Vendim - Për hapjen e Konsullatës së Përgjithshme të Republikës së Shqipërisë në Guangzhou, Kinë</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Nevojat e shumta për asistencë ndaj tregtarëve shqiptarë ku që operojnë në këtë kanton. Si dhe shtetasve shqiptarë kur kanë probleme me dokumentacionet dhe të tjera.</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Intensifikimi dhe rritja e marrëdhënieve politike, diplomatike, kulturore dhe ekonomike me Kinën dhe vendet e rajonit të Paqësorit dhe Azisë. Ofrimi i shërbimeve konsullore për shtetasit shqiptarë që jetojnë në këtë shtet, si dhe për shtetasit kinezë, veçanërisht në lëshimin e vizave dhe shërbimeve të tjera me natyrë konsullore.</w:t>
            </w:r>
          </w:p>
        </w:tc>
        <w:tc>
          <w:tcPr>
            <w:tcW w:w="6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Hapja e këtij posti konsullor do të ketë impakt ekonomik sa I përket investimeve të mëdha që mund të realizohen nga investitorë të ndryshëm kinezë.</w:t>
            </w:r>
          </w:p>
        </w:tc>
        <w:tc>
          <w:tcPr>
            <w:tcW w:w="4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Hapjen e Konsullatës së Përgjithshme të Republikës së Shqipërisë në Guangzhou, Kinë dhe shpenzimet që nevojiten për hapjen e saj të cilat do përballohen nga buxheti i Ministrisë për Evropën dhe Punët e Jashtme, i miratuar për vitin 2018.</w:t>
            </w:r>
            <w:r w:rsidRPr="00B130BB">
              <w:rPr>
                <w:rFonts w:ascii="Garamond" w:eastAsia="Times New Roman" w:hAnsi="Garamond" w:cs="Times New Roman"/>
                <w:spacing w:val="-4"/>
                <w:sz w:val="18"/>
                <w:szCs w:val="18"/>
                <w:lang w:val="sq-AL"/>
              </w:rPr>
              <w:br/>
              <w:t xml:space="preserve"> </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33</w:t>
            </w:r>
          </w:p>
        </w:tc>
        <w:tc>
          <w:tcPr>
            <w:tcW w:w="93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Vendim - Për miratimin e rregullave për detyrimin për vetëdeklarim të adresës nga shtetasit shqiptarë që jetojnë jashtë territorit të Republikës së Shqipërisë dhe procedurave përkatëse që do të ndiqen </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për Evropën dhe Punët e Jashtme dhe 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rregullave për detyrimin e shtetasve shqiptarë që jetojnë jashtë territorit të Republikës së Shqipërisë për mënyrën e vetëdeklarimit të adresës në vendin ku jetojnë.</w:t>
            </w:r>
          </w:p>
        </w:tc>
        <w:tc>
          <w:tcPr>
            <w:tcW w:w="6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Regjistrimi i adresave të shtetasve shqiptar që jetojnë jashtë territorit të Republikës së Shqipërisë.</w:t>
            </w:r>
          </w:p>
        </w:tc>
        <w:tc>
          <w:tcPr>
            <w:tcW w:w="4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Mënyrën e përcaktimit të rregullave për shtetasit shqiptarë që jetojnë jashtë territorit të Republikës së Shqipërisë për procedurën dhe mënyrën e identifikimit dhe regjistrimit të adresës për këta shtetas dhe qëllimin për të cilin mblidhet ky informacion.</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34</w:t>
            </w:r>
          </w:p>
        </w:tc>
        <w:tc>
          <w:tcPr>
            <w:tcW w:w="93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Vendim - Për miratimin në parim të marrëveshjes ndërmjet Këshillit të Ministrave të Republikës së Shqipërisë dhe Qendrës Rajonale e Mjedisit për Evropën Qendrore dhe Lindore (REC) mbi statusin ligjor të REC në Republikën e Shqipërisë.</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Nënshkrimi i Marrëveshjes për statusin e zyrës së REC në Shqipëri kërkon miratimin në parim të saj.</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Unifikimi dhe harmonizimi i statusit ligjor(privilegje/imunitet) me zyrat e tjera në rajon e më gjerë do të bërrisë efikasitetin e Zyrës në menaxhimin e projekteve dhe programeve të asistencës për vendin</w:t>
            </w:r>
          </w:p>
        </w:tc>
        <w:tc>
          <w:tcPr>
            <w:tcW w:w="6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synon hapjen e rrugës për nënshkrimin e Marrëveshjes së statusit me Zyrën e REC në Shqipëri</w:t>
            </w:r>
          </w:p>
        </w:tc>
        <w:tc>
          <w:tcPr>
            <w:tcW w:w="4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rregullave të funksionimit të REC, statusin ligjor si dhe privilegjet dhe imunitetet e stafit që do të ushtrojë aktivitetin në këtë strukturë.</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35</w:t>
            </w:r>
          </w:p>
        </w:tc>
        <w:tc>
          <w:tcPr>
            <w:tcW w:w="93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Vendim - për ndryshimin e vendimit të Këshillit të Ministrave nr. 179, datë 22.2.2006 “Për krijimin e njësive të </w:t>
            </w:r>
            <w:r w:rsidRPr="00B130BB">
              <w:rPr>
                <w:rFonts w:ascii="Garamond" w:eastAsia="Times New Roman" w:hAnsi="Garamond" w:cs="Times New Roman"/>
                <w:spacing w:val="-4"/>
                <w:sz w:val="18"/>
                <w:szCs w:val="18"/>
                <w:lang w:val="sq-AL"/>
              </w:rPr>
              <w:lastRenderedPageBreak/>
              <w:t xml:space="preserve">integrimit evropian në ministritë e linjës”. </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Si pasoje e kalimit të kompetencave nga Ministria e Integrimit Evropian në MEPJ sipas VKM Nr. 500, datë 13.9.2017.</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Krijimi I njësive të integrimit Evropian</w:t>
            </w:r>
          </w:p>
        </w:tc>
        <w:tc>
          <w:tcPr>
            <w:tcW w:w="6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Njësitë e integrimit Evropian bashkërendojnë dhe mbështesin punën e institucioneve respektive, për fushat e </w:t>
            </w:r>
            <w:r w:rsidRPr="00B130BB">
              <w:rPr>
                <w:rFonts w:ascii="Garamond" w:eastAsia="Times New Roman" w:hAnsi="Garamond" w:cs="Times New Roman"/>
                <w:spacing w:val="-4"/>
                <w:sz w:val="18"/>
                <w:szCs w:val="18"/>
                <w:lang w:val="sq-AL"/>
              </w:rPr>
              <w:lastRenderedPageBreak/>
              <w:t xml:space="preserve">përqendruara në elementet kryesore të </w:t>
            </w:r>
            <w:r w:rsidRPr="00B130BB">
              <w:rPr>
                <w:rFonts w:ascii="Garamond" w:eastAsia="Times New Roman" w:hAnsi="Garamond" w:cs="Times New Roman"/>
                <w:i/>
                <w:spacing w:val="-4"/>
                <w:sz w:val="18"/>
                <w:szCs w:val="18"/>
                <w:lang w:val="sq-AL"/>
              </w:rPr>
              <w:t>acquis communautaire</w:t>
            </w:r>
            <w:r w:rsidRPr="00B130BB">
              <w:rPr>
                <w:rFonts w:ascii="Garamond" w:eastAsia="Times New Roman" w:hAnsi="Garamond" w:cs="Times New Roman"/>
                <w:spacing w:val="-4"/>
                <w:sz w:val="18"/>
                <w:szCs w:val="18"/>
                <w:lang w:val="sq-AL"/>
              </w:rPr>
              <w:t>, në zbatim të marrëveshjes së Stabilizim-Asociimit</w:t>
            </w:r>
          </w:p>
        </w:tc>
        <w:tc>
          <w:tcPr>
            <w:tcW w:w="4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Koordinim e procesit të integrimit me ministritë e linjës. </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w:t>
            </w:r>
          </w:p>
        </w:tc>
        <w:tc>
          <w:tcPr>
            <w:tcW w:w="40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36</w:t>
            </w:r>
          </w:p>
        </w:tc>
        <w:tc>
          <w:tcPr>
            <w:tcW w:w="93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Vendim - për ndryshimin e vendim i Këshillit të Ministrave nr. 42, datë 25.1.2017 “Për miratimin e planit kombëtar për integrimin evropian 2017–2020”.</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Përditësimi i PKIE-së 2018–2020. Miratim i planit për planifikimin e projektakteve për përafrim të cilat janë do të jenë pjesë e PKIE 2018–2020.</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Planifikimi i projektakteve që synojnë përafrimin me </w:t>
            </w:r>
            <w:r w:rsidRPr="00B130BB">
              <w:rPr>
                <w:rFonts w:ascii="Garamond" w:eastAsia="Times New Roman" w:hAnsi="Garamond" w:cs="Times New Roman"/>
                <w:i/>
                <w:spacing w:val="-4"/>
                <w:sz w:val="18"/>
                <w:szCs w:val="18"/>
                <w:lang w:val="sq-AL"/>
              </w:rPr>
              <w:t>Acqui</w:t>
            </w:r>
          </w:p>
        </w:tc>
        <w:tc>
          <w:tcPr>
            <w:tcW w:w="6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Plotësimin e angazhimeve të marra në kuadër të MSA-së. </w:t>
            </w:r>
          </w:p>
        </w:tc>
        <w:tc>
          <w:tcPr>
            <w:tcW w:w="4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Përditësimi i PKIE 2018–2020. Miratim i planit për planifikimin e projektakteve për përafrim të cilat janë do të jenë pjesë e PKIE 2018–2020.</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w:t>
            </w:r>
          </w:p>
        </w:tc>
        <w:tc>
          <w:tcPr>
            <w:tcW w:w="40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bl>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tbl>
      <w:tblPr>
        <w:tblW w:w="5000" w:type="pct"/>
        <w:tblLook w:val="04A0" w:firstRow="1" w:lastRow="0" w:firstColumn="1" w:lastColumn="0" w:noHBand="0" w:noVBand="1"/>
      </w:tblPr>
      <w:tblGrid>
        <w:gridCol w:w="387"/>
        <w:gridCol w:w="1022"/>
        <w:gridCol w:w="1091"/>
        <w:gridCol w:w="816"/>
        <w:gridCol w:w="1044"/>
        <w:gridCol w:w="1233"/>
        <w:gridCol w:w="1154"/>
        <w:gridCol w:w="1140"/>
        <w:gridCol w:w="755"/>
        <w:gridCol w:w="934"/>
      </w:tblGrid>
      <w:tr w:rsidR="00B130BB" w:rsidRPr="00B130BB" w:rsidTr="00842C95">
        <w:trPr>
          <w:trHeight w:val="180"/>
        </w:trPr>
        <w:tc>
          <w:tcPr>
            <w:tcW w:w="5000" w:type="pct"/>
            <w:gridSpan w:val="10"/>
            <w:tcBorders>
              <w:top w:val="nil"/>
              <w:left w:val="nil"/>
              <w:bottom w:val="nil"/>
              <w:right w:val="nil"/>
            </w:tcBorders>
            <w:shd w:val="clear" w:color="auto" w:fill="auto"/>
            <w:vAlign w:val="bottom"/>
            <w:hideMark/>
          </w:tcPr>
          <w:p w:rsidR="00B130BB" w:rsidRPr="00B130BB" w:rsidRDefault="00B130BB" w:rsidP="00B130BB">
            <w:pPr>
              <w:spacing w:after="0" w:line="240" w:lineRule="auto"/>
              <w:jc w:val="center"/>
              <w:rPr>
                <w:rFonts w:ascii="Garamond" w:eastAsia="Times New Roman" w:hAnsi="Garamond" w:cs="Times New Roman"/>
                <w:b/>
                <w:bCs/>
                <w:color w:val="000000"/>
                <w:spacing w:val="-4"/>
                <w:sz w:val="18"/>
                <w:szCs w:val="18"/>
                <w:lang w:val="sq-AL"/>
              </w:rPr>
            </w:pPr>
            <w:r w:rsidRPr="00B130BB">
              <w:rPr>
                <w:rFonts w:ascii="Garamond" w:eastAsia="Times New Roman" w:hAnsi="Garamond" w:cs="Times New Roman"/>
                <w:b/>
                <w:bCs/>
                <w:color w:val="000000"/>
                <w:spacing w:val="-4"/>
                <w:sz w:val="18"/>
                <w:szCs w:val="18"/>
                <w:lang w:val="sq-AL"/>
              </w:rPr>
              <w:t>PROGRAMI I PËRGJITHSHËM ANALITIK I PROJEKTAKTEVE PËR VITIN 2018</w:t>
            </w:r>
          </w:p>
        </w:tc>
      </w:tr>
      <w:tr w:rsidR="00B130BB" w:rsidRPr="00B130BB" w:rsidTr="00842C95">
        <w:trPr>
          <w:trHeight w:val="180"/>
        </w:trPr>
        <w:tc>
          <w:tcPr>
            <w:tcW w:w="5000" w:type="pct"/>
            <w:gridSpan w:val="10"/>
            <w:tcBorders>
              <w:top w:val="nil"/>
              <w:left w:val="nil"/>
              <w:bottom w:val="single" w:sz="4" w:space="0" w:color="FFFFFF"/>
              <w:right w:val="nil"/>
            </w:tcBorders>
            <w:shd w:val="clear" w:color="auto" w:fill="auto"/>
            <w:vAlign w:val="bottom"/>
            <w:hideMark/>
          </w:tcPr>
          <w:p w:rsidR="00B130BB" w:rsidRPr="00B130BB" w:rsidRDefault="00B130BB" w:rsidP="00B130BB">
            <w:pPr>
              <w:spacing w:after="0" w:line="240" w:lineRule="auto"/>
              <w:jc w:val="center"/>
              <w:rPr>
                <w:rFonts w:ascii="Garamond" w:eastAsia="Times New Roman" w:hAnsi="Garamond" w:cs="Times New Roman"/>
                <w:b/>
                <w:bCs/>
                <w:color w:val="000000"/>
                <w:spacing w:val="-4"/>
                <w:sz w:val="18"/>
                <w:szCs w:val="18"/>
                <w:lang w:val="sq-AL"/>
              </w:rPr>
            </w:pPr>
            <w:r w:rsidRPr="00B130BB">
              <w:rPr>
                <w:rFonts w:ascii="Garamond" w:eastAsia="Times New Roman" w:hAnsi="Garamond" w:cs="Times New Roman"/>
                <w:b/>
                <w:bCs/>
                <w:color w:val="000000"/>
                <w:spacing w:val="-4"/>
                <w:sz w:val="18"/>
                <w:szCs w:val="18"/>
                <w:lang w:val="sq-AL"/>
              </w:rPr>
              <w:t>MINISTRIA E BRENDSHME</w:t>
            </w:r>
          </w:p>
        </w:tc>
      </w:tr>
      <w:tr w:rsidR="00B130BB" w:rsidRPr="00B130BB" w:rsidTr="00842C95">
        <w:trPr>
          <w:trHeight w:val="180"/>
        </w:trPr>
        <w:tc>
          <w:tcPr>
            <w:tcW w:w="153" w:type="pct"/>
            <w:tcBorders>
              <w:top w:val="nil"/>
              <w:left w:val="single" w:sz="4" w:space="0" w:color="FFFFFF"/>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Nr.</w:t>
            </w:r>
          </w:p>
        </w:tc>
        <w:tc>
          <w:tcPr>
            <w:tcW w:w="795" w:type="pct"/>
            <w:tcBorders>
              <w:top w:val="nil"/>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Titulli i projektaktit</w:t>
            </w:r>
          </w:p>
        </w:tc>
        <w:tc>
          <w:tcPr>
            <w:tcW w:w="496" w:type="pct"/>
            <w:tcBorders>
              <w:top w:val="nil"/>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 xml:space="preserve">Ministri propozues dhe bashkëpropozues </w:t>
            </w:r>
          </w:p>
        </w:tc>
        <w:tc>
          <w:tcPr>
            <w:tcW w:w="362" w:type="pct"/>
            <w:tcBorders>
              <w:top w:val="nil"/>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Katërmujori</w:t>
            </w:r>
          </w:p>
        </w:tc>
        <w:tc>
          <w:tcPr>
            <w:tcW w:w="614" w:type="pct"/>
            <w:tcBorders>
              <w:top w:val="nil"/>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Arsyeja e nxjerrjes së projektaktit</w:t>
            </w:r>
          </w:p>
        </w:tc>
        <w:tc>
          <w:tcPr>
            <w:tcW w:w="587" w:type="pct"/>
            <w:tcBorders>
              <w:top w:val="nil"/>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Qëllimi i projektaktit</w:t>
            </w:r>
          </w:p>
        </w:tc>
        <w:tc>
          <w:tcPr>
            <w:tcW w:w="625" w:type="pct"/>
            <w:tcBorders>
              <w:top w:val="nil"/>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Objektivat që kërkon të realizojë projektakti</w:t>
            </w:r>
          </w:p>
        </w:tc>
        <w:tc>
          <w:tcPr>
            <w:tcW w:w="548" w:type="pct"/>
            <w:tcBorders>
              <w:top w:val="nil"/>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Çështjet që rregullon projektakti</w:t>
            </w:r>
          </w:p>
        </w:tc>
        <w:tc>
          <w:tcPr>
            <w:tcW w:w="333" w:type="pct"/>
            <w:tcBorders>
              <w:top w:val="nil"/>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Lidhja me Planin Kombëtar për Integrimin Evropian</w:t>
            </w:r>
          </w:p>
        </w:tc>
        <w:tc>
          <w:tcPr>
            <w:tcW w:w="487" w:type="pct"/>
            <w:tcBorders>
              <w:top w:val="nil"/>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Lidhja me programin qeverisës 2017–2021</w:t>
            </w:r>
          </w:p>
        </w:tc>
      </w:tr>
      <w:tr w:rsidR="00B130BB" w:rsidRPr="00B130BB" w:rsidTr="00842C95">
        <w:trPr>
          <w:trHeight w:val="180"/>
        </w:trPr>
        <w:tc>
          <w:tcPr>
            <w:tcW w:w="153"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w:t>
            </w:r>
          </w:p>
        </w:tc>
        <w:tc>
          <w:tcPr>
            <w:tcW w:w="795"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disa shtesa dhe ndryshime në vendimin Nr. 256, datë 25. 3. 2015, të Këshillit të Ministrave “Për kompensimin për privacionet dhe humbjet që i </w:t>
            </w:r>
            <w:r w:rsidRPr="00B130BB">
              <w:rPr>
                <w:rFonts w:ascii="Garamond" w:eastAsia="Times New Roman" w:hAnsi="Garamond" w:cs="Times New Roman"/>
                <w:spacing w:val="-4"/>
                <w:sz w:val="18"/>
                <w:szCs w:val="18"/>
                <w:lang w:val="sq-AL"/>
              </w:rPr>
              <w:lastRenderedPageBreak/>
              <w:t>shkaktohen punonjësit të Policisë së Shtetit, për shkak të nevojave të punës dhe të shërbimit”</w:t>
            </w:r>
          </w:p>
        </w:tc>
        <w:tc>
          <w:tcPr>
            <w:tcW w:w="496"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Brendshëm</w:t>
            </w:r>
          </w:p>
        </w:tc>
        <w:tc>
          <w:tcPr>
            <w:tcW w:w="362"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14"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i këtij projektvendimi është diktuar nga ndryshimet që solli ligji nr. 58/2017 “Për disa shtesa dhe ndryshime në ligjin nr. 108/2014 “Për Policinë e Shtetit”, të ndryshuar.</w:t>
            </w:r>
          </w:p>
        </w:tc>
        <w:tc>
          <w:tcPr>
            <w:tcW w:w="587"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Projektvendimi ka për qëllim të përcaktojë përfitimet e punonjësve të policisë për kompensim për udhëtim dhe pagesë për bashkëshorten/in, në rast të humbjes së marrëdhënieve të punës, të cilët në bazë të ligjit nr. 58/2017 “Për disa shtesa dhe ndryshime në </w:t>
            </w:r>
            <w:r w:rsidRPr="00B130BB">
              <w:rPr>
                <w:rFonts w:ascii="Garamond" w:eastAsia="Times New Roman" w:hAnsi="Garamond" w:cs="Times New Roman"/>
                <w:spacing w:val="-4"/>
                <w:sz w:val="18"/>
                <w:szCs w:val="18"/>
                <w:lang w:val="sq-AL"/>
              </w:rPr>
              <w:lastRenderedPageBreak/>
              <w:t xml:space="preserve">ligjin nr. 108/2014 “Për Policinë e Shtetit”, marrin gradat “Inspektor i dytë” dhe “Inspektor i parë”. </w:t>
            </w:r>
          </w:p>
        </w:tc>
        <w:tc>
          <w:tcPr>
            <w:tcW w:w="625"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Ky projektvendim ka për objektiv të përcaktojë pagesën për kompensim udhëtimi dhe pagesën që i jepet bashkëshortes/it, në rast të humbjes së marrëdhënieve të punës, për punonjësit e policisë që për nevoja </w:t>
            </w:r>
            <w:r w:rsidRPr="00B130BB">
              <w:rPr>
                <w:rFonts w:ascii="Garamond" w:eastAsia="Times New Roman" w:hAnsi="Garamond" w:cs="Times New Roman"/>
                <w:spacing w:val="-4"/>
                <w:sz w:val="18"/>
                <w:szCs w:val="18"/>
                <w:lang w:val="sq-AL"/>
              </w:rPr>
              <w:lastRenderedPageBreak/>
              <w:t xml:space="preserve">pune transferohen jashtë vendbanimit të tij dhe që në bazë të nenit 16, të ligjit 58/2017 “Për disa shtesa dhe ndryshime në ligjin nr. 108/2014 “Për Policinë e Shtetit” marrin gradat “Inspektor i dytë” dhe “Inspektor i parë”. </w:t>
            </w:r>
          </w:p>
        </w:tc>
        <w:tc>
          <w:tcPr>
            <w:tcW w:w="548"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Projektvendimi përcakton kriteret e përfitimin të kompensimeve pagesën për kompensim udhëtimi dhe pagesën që i jepet bashkëshortes/it, në rast të humbjes së marrëdhënieve të punës, për punonjësit e policisë me </w:t>
            </w:r>
            <w:r w:rsidRPr="00B130BB">
              <w:rPr>
                <w:rFonts w:ascii="Garamond" w:eastAsia="Times New Roman" w:hAnsi="Garamond" w:cs="Times New Roman"/>
                <w:spacing w:val="-4"/>
                <w:sz w:val="18"/>
                <w:szCs w:val="18"/>
                <w:lang w:val="sq-AL"/>
              </w:rPr>
              <w:lastRenderedPageBreak/>
              <w:t>gradat “Inspektor i parë” dhe “Inspektor i dytë”</w:t>
            </w:r>
          </w:p>
        </w:tc>
        <w:tc>
          <w:tcPr>
            <w:tcW w:w="333"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87"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miratimin e Planit të Veprimit 2018–2020, të Strategjisë së Rendit Publik 2015–2020.</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Në zbatim të Strategjisë së Rendit Publik 2015–2020.</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Materializon Strategjinë e Rendit Publik 2015–2020 e cila synon reformimin e Policisë së Shtetit sipas standardeve të BE.</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Realizimi i reformës në Policinë e Shtetit.</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Vazhdimi i reformës së nisur në Policinë e Shtetit dhe përmirësimi i mëtejshëm nëpërmjet zbatimit të legjislacionit të miratuar dhe ndërmarrjes së nismave të reja ligjore dhe nënligjore. </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organizimin, funksionimin dhe fushën e veprimit të policimit vullnetar</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Në zbatim të ligjit nr. 108/2014 “Për Policinë e Shtetit, i ndryshuar, në zbatim të nenit 76 pika 3.</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rregullave për organizimin, funksionimin dhe fushën e veprimit për policimin vullnetar.</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Përfshirja e komunitetit në policim. Rritja e standardeve të sigurisë në komunitet.</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Bashkëpunimi i Policisë së Shteti me komunitetin për ruajtjen e rendit dhe qetësisë publike, parandalimin e krimit dhe përballimin e situatave të emergjencave civile. Organizimi, funksionimi dhe fusha e veprimit të policimit vullnetar.</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një ndryshim në vendimin nr. 55, datë </w:t>
            </w:r>
            <w:r w:rsidRPr="00B130BB">
              <w:rPr>
                <w:rFonts w:ascii="Garamond" w:eastAsia="Times New Roman" w:hAnsi="Garamond" w:cs="Times New Roman"/>
                <w:spacing w:val="-4"/>
                <w:sz w:val="18"/>
                <w:szCs w:val="18"/>
                <w:lang w:val="sq-AL"/>
              </w:rPr>
              <w:lastRenderedPageBreak/>
              <w:t>27.01.2016, të Këshillit të Ministrave “Për miratimin e paraqitjes, formës dhe specifikimeve teknike të gradave, simboleve, uniformave dhe shenjave të Policisë së Shtetit.”</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Ky projektakt është i nevojshëm pasi me ndryshimet </w:t>
            </w:r>
            <w:r w:rsidRPr="00B130BB">
              <w:rPr>
                <w:rFonts w:ascii="Garamond" w:eastAsia="Times New Roman" w:hAnsi="Garamond" w:cs="Times New Roman"/>
                <w:spacing w:val="-4"/>
                <w:sz w:val="18"/>
                <w:szCs w:val="18"/>
                <w:lang w:val="sq-AL"/>
              </w:rPr>
              <w:lastRenderedPageBreak/>
              <w:t xml:space="preserve">e bëra në ligjin nr. 108/2014 “Për Policinë e Shtetit”, i ndryshuar, duhen miratuar parashikimet e nevojshme për paraqitjen, formën dhe specifikimet teknike të gradës Inspektor i I dhe II. Gjithashtu, ky ndryshim do të shoqërohet edhe me uniformat e këtyre gradave. </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Në zbatim të ligjit nr. 58/2017 “Për disa ndryshime dhe shtesa në ligjin nr. </w:t>
            </w:r>
            <w:r w:rsidRPr="00B130BB">
              <w:rPr>
                <w:rFonts w:ascii="Garamond" w:eastAsia="Times New Roman" w:hAnsi="Garamond" w:cs="Times New Roman"/>
                <w:spacing w:val="-4"/>
                <w:sz w:val="18"/>
                <w:szCs w:val="18"/>
                <w:lang w:val="sq-AL"/>
              </w:rPr>
              <w:lastRenderedPageBreak/>
              <w:t xml:space="preserve">108/2014, “Për policinë e Shtetit”, të ndryshuar, neni 14, janë shtuar gradat e reja Inspektor i Dytë dhe Inspektor i Parë, që përfaqësojnë nivelin bazë të veprimit policor, sipas ndarjes së hierarkisë së menaxhimit policor në Policinë e Shtetit. Gjithashtu, do të bëhet unifikimi i uniformave e cila do të sjelle ulje të kostove për shkak të lëvizjeve në organikë dhe ulje kostosh në menaxhim e prodhim. </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Shtim i gradave të reja Inspektor i Dytë dhe Inspektor i Parë. </w:t>
            </w:r>
            <w:r w:rsidRPr="00B130BB">
              <w:rPr>
                <w:rFonts w:ascii="Garamond" w:eastAsia="Times New Roman" w:hAnsi="Garamond" w:cs="Times New Roman"/>
                <w:spacing w:val="-4"/>
                <w:sz w:val="18"/>
                <w:szCs w:val="18"/>
                <w:lang w:val="sq-AL"/>
              </w:rPr>
              <w:lastRenderedPageBreak/>
              <w:t>Përgatitja e dokumentacionit për prokurim të tyre. Unifikim i uniformave të veçanta të Policisë së Shtetit, ulje të kostos së uniformes për shkak të transferimeve, si dhe ulje të kostos për prodhimin e uniformës.</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Realizim të Gradave të reja sipas ndarjes së hierarkisë. Unifikim i </w:t>
            </w:r>
            <w:r w:rsidRPr="00B130BB">
              <w:rPr>
                <w:rFonts w:ascii="Garamond" w:eastAsia="Times New Roman" w:hAnsi="Garamond" w:cs="Times New Roman"/>
                <w:spacing w:val="-4"/>
                <w:sz w:val="18"/>
                <w:szCs w:val="18"/>
                <w:lang w:val="sq-AL"/>
              </w:rPr>
              <w:lastRenderedPageBreak/>
              <w:t>uniformave të veçanta të strukturave të veçanta.</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1.3 “Përmirësimi i kushteve të punës dhe të </w:t>
            </w:r>
            <w:r w:rsidRPr="00B130BB">
              <w:rPr>
                <w:rFonts w:ascii="Garamond" w:eastAsia="Times New Roman" w:hAnsi="Garamond" w:cs="Times New Roman"/>
                <w:spacing w:val="-4"/>
                <w:sz w:val="18"/>
                <w:szCs w:val="18"/>
                <w:lang w:val="sq-AL"/>
              </w:rPr>
              <w:lastRenderedPageBreak/>
              <w:t>teknologjisë”, pika 2. Miratimi i normave të reja të furnizimit.</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5</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disa shtesa dhe ndryshime në vendimin nr. 248, datë 29.03.2017 , të Këshillit të Ministrave “Për miratimin e Planit të Veprimit kundër Kultivimit dhe Trafikimit të Kanabisit 2017 -2020”</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Nevoja për rishikimin e këtij projektakti, lindi si rrjedhojë e mosparashikimit të efekteve financiare të masave të përcaktuara në Planin Aktual, si dhe në kuadër të ndryshimit të fushës së përgjegjësisë shtetërore të ministrive.</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synon të përcaktojë efektet financiare të masave të përcaktuara në Planin e Veprimit të miratuar, si dhe të reflektojë ndryshimin e fushës së përgjegjësisë shtetërore të ministrive.</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më i qartë i masave dhe planifikimi i efekteve financiare për çdo masë.</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objektivave strategjikë dhe masave për luftën kundër kultivimit dhe trafikimit të kanabisit. Forcimi i bashkëpunimit ndërmjet institucioneve ligjzbatuese nëpërmjet masave të planifikuara në këtë Plan, për luftën kundër kultivimit dhe trafikimit të kanabisit.</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6</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përcaktimin e rregullave të bashkëpunimit midis </w:t>
            </w:r>
            <w:r w:rsidRPr="00B130BB">
              <w:rPr>
                <w:rFonts w:ascii="Garamond" w:eastAsia="Times New Roman" w:hAnsi="Garamond" w:cs="Times New Roman"/>
                <w:spacing w:val="-4"/>
                <w:sz w:val="18"/>
                <w:szCs w:val="18"/>
                <w:lang w:val="sq-AL"/>
              </w:rPr>
              <w:lastRenderedPageBreak/>
              <w:t>administratorëve të ndërtesave të banimit, njësive të vetëqeverisjes vendore dhe Policisë së Shtetit</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Në zbatim të ligjit nr. 19/2016, “Për masat shtesë të sigurisë publike”.</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Të bëjë të mundur përcaktimin e rregullave për bashkëpunimin midis administratorë</w:t>
            </w:r>
            <w:r w:rsidRPr="00B130BB">
              <w:rPr>
                <w:rFonts w:ascii="Garamond" w:eastAsia="Times New Roman" w:hAnsi="Garamond" w:cs="Times New Roman"/>
                <w:spacing w:val="-4"/>
                <w:sz w:val="18"/>
                <w:szCs w:val="18"/>
                <w:lang w:val="sq-AL"/>
              </w:rPr>
              <w:lastRenderedPageBreak/>
              <w:t>ve të ndërtesave të banimit, njësive të vetëqeverisjes vendore dhe Policisë së Shtetit për përcaktimin e masave shtesë të sigurisë në ndërtesat e banimit.</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Parandalimin e veprave të ndryshme penale që shqetësojnë qytetaret. Rritja e </w:t>
            </w:r>
            <w:r w:rsidRPr="00B130BB">
              <w:rPr>
                <w:rFonts w:ascii="Garamond" w:eastAsia="Times New Roman" w:hAnsi="Garamond" w:cs="Times New Roman"/>
                <w:spacing w:val="-4"/>
                <w:sz w:val="18"/>
                <w:szCs w:val="18"/>
                <w:lang w:val="sq-AL"/>
              </w:rPr>
              <w:lastRenderedPageBreak/>
              <w:t>bashkëpunimit ndërmjet policisë, qeverisjes vendore dhe komunitetit.</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Bashkëpunimin midis administratorëve të ndërtesave të banimit, njësive të </w:t>
            </w:r>
            <w:r w:rsidRPr="00B130BB">
              <w:rPr>
                <w:rFonts w:ascii="Garamond" w:eastAsia="Times New Roman" w:hAnsi="Garamond" w:cs="Times New Roman"/>
                <w:spacing w:val="-4"/>
                <w:sz w:val="18"/>
                <w:szCs w:val="18"/>
                <w:lang w:val="sq-AL"/>
              </w:rPr>
              <w:lastRenderedPageBreak/>
              <w:t>qeverisjes vendore dhe Policisë se Shtetit për masat shtese të sigurisë në ambientet e përbashkëta të banimit.</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7</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disa shtesa dhe ndryshime në vendimin nr. 892, datë 21. 12. 2016, të Këshillit të Ministrave “Për përcaktimin e funksioneve korresponduese dhe kategorizimi për gradat në Policinë e Shtetit” </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i këtij projektvendimi është diktuar nga ndryshimet që solli ligji nr. 58/2017 “Për disa shtesa dhe ndryshime në ligjin nr. 108/2014 “Për Policinë e Shtetit”, i ndryshuar.</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Ky projektvendim ka për qëllim të përcaktojë funksionet korresponduese për gradë dhe kategorizimin e tyre në Policinë e Shtetit, për punonjësit e policisë që në bazë të nenit 16, të ligjit 58/2017 “Për disa shtesa dhe ndryshime në ligjin nr. 108/2014 “Për Policinë e Shtetit” marrin gradat “Inspektor i dytë” dhe “Inspektor i parë”. </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ka objektiv motivimin e punonjësve të policisë për ecurinë në karrierë nëpërmjet sistemit të gradave.</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Parashikohet që tabela e funksioneve korresponduese dhe kategorizimi për çdo gradë”, bashkëlidhur vendimin nr. 892, datë 21.12.2016, të Këshillit të Ministrave, për të përcaktuar funksionet korresponduese edhe për gradat “Inspektor i dytë” dhe “Inspektor i parë” dhe për të rishikuar funksionet korresponduese për gradën “Inspektor” .</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8</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disa shtesa dhe ndryshime në vendimin nr. 200, datë 15.3.2017, të Këshillit të Ministrave “Për trajtimin me pagë dhe shtesat mbi pagë të punonjësve të Policisë së Shtetit” </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i këtij projektvendimi është diktuar nga ndryshimet që solli Ligji nr. 58/2017 “Për disa shtesa dhe ndryshime në ligjin nr. 108/2014 “Për Policinë e Shtetit”.</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Ky projektvendim ka si qëllim miratimin e strukturës dhe të niveleve të pagave për gradë për punonjësit e Policisë së Shtetit, që në bazë të nenit 16, të ligjit 58/2017 “Për disa shtesa dhe ndryshime në ligjin nr. 108/2014 “Për Policinë e Shtetit” marrin gradat </w:t>
            </w:r>
            <w:r w:rsidRPr="00B130BB">
              <w:rPr>
                <w:rFonts w:ascii="Garamond" w:eastAsia="Times New Roman" w:hAnsi="Garamond" w:cs="Times New Roman"/>
                <w:spacing w:val="-4"/>
                <w:sz w:val="18"/>
                <w:szCs w:val="18"/>
                <w:lang w:val="sq-AL"/>
              </w:rPr>
              <w:lastRenderedPageBreak/>
              <w:t xml:space="preserve">“Inspektor i dytë” dhe “Inspektor i parë”. </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Shtimi i gradave “Inspektor i dytë” dhe “Inspektor i parë”, dhe përcaktimi i pagës bazë për gradë për secilën gradë, i motivon punonjësit e policisë me gradën “Inspektor”, që pas plotësimit të kohës së qëndrimit në këtë gradë, të trajnohen dhe </w:t>
            </w:r>
            <w:r w:rsidRPr="00B130BB">
              <w:rPr>
                <w:rFonts w:ascii="Garamond" w:eastAsia="Times New Roman" w:hAnsi="Garamond" w:cs="Times New Roman"/>
                <w:spacing w:val="-4"/>
                <w:sz w:val="18"/>
                <w:szCs w:val="18"/>
                <w:lang w:val="sq-AL"/>
              </w:rPr>
              <w:lastRenderedPageBreak/>
              <w:t>kualifikohen për të fituar këto grada.</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Në projektvendim parashikohet ndryshimi i lidhjes nr. 1, bashkëlidhur vendimit Nr. 200, datë 15.3.2017, të Këshillit të Ministrave “Për trajtimin financiar gjatë qëndrimit në punë të punonjësi të Policisë së Shteti”, në të cilin janë shtuar pagat </w:t>
            </w:r>
            <w:r w:rsidRPr="00B130BB">
              <w:rPr>
                <w:rFonts w:ascii="Garamond" w:eastAsia="Times New Roman" w:hAnsi="Garamond" w:cs="Times New Roman"/>
                <w:spacing w:val="-4"/>
                <w:sz w:val="18"/>
                <w:szCs w:val="18"/>
                <w:lang w:val="sq-AL"/>
              </w:rPr>
              <w:lastRenderedPageBreak/>
              <w:t xml:space="preserve">bazë për gradë, për gradat policore “Inspektor i dytë” dhe “Inspektor i parë”. </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9</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24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disa ndryshime në vendimin nr. 702, datë 21.8.2013, të Këshillit të Ministrave “Për trajtimin me ushqim të punonjësve të Gardës së Republikës”</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 dhe Ministri i Financave dhe Ekonomisë</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Nevojë e institucionit.</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synon të përmirësojë standardet e trajtimit me ushqim të punonjësve të Gardës së Republikës.</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Trajtimin me ushqim të punonjësve të Gardës së Republikës sipas kategorive që do të përcaktohen në këtë projektakt.</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Trajtimi me ushqim pa pagesë dhe kategoritë brenda shërbimit që e përfitojnë.</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10</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 Për vlerësimin kalimtar të punonjësve të Policisë së Shtetit, të Gardës së Republikës dhe të Shërbimit për Çështjet e Brendshme dhe Ankesat, në Ministrinë e Brendshme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Ky projektligji, është iniciuar si rezultat i problematikave të identifikuara nga analiza e situatës aktuale në Policinë e Shtetit, në Gardën e Republikës dhe në Shërbimin për Çështjet e Brendshme dhe Ankesat, të cilat mundësuan përcaktimin e objektivave specifikë, si dhe identifikimin e nevojave për ndryshime ligjore, strukturore </w:t>
            </w:r>
            <w:r w:rsidRPr="00B130BB">
              <w:rPr>
                <w:rFonts w:ascii="Garamond" w:eastAsia="Times New Roman" w:hAnsi="Garamond" w:cs="Times New Roman"/>
                <w:spacing w:val="-4"/>
                <w:sz w:val="18"/>
                <w:szCs w:val="18"/>
                <w:lang w:val="sq-AL"/>
              </w:rPr>
              <w:lastRenderedPageBreak/>
              <w:t xml:space="preserve">dhe procedurale të kryerjes së kontrollit të figurës, profesionalizmit dhe pasurisë së punonjësve. </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Ky ligj përcakton parimet, kriteret, procedurat dhe standardet për organizimin dhe funksionimin e organeve të vlerësimit kalimtar për të gjithë punonjësit e Policisë së Shtetit, Gardës së Republikës dhe Shërbimit të Çështjeve të Brendshme dhe Ankesave në Ministrinë e Brendshme.</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Procesi i vlerësimit kalimtar për punonjësit që i nënshtrohen vlerësimit, sipas këtij projektligji, synon të minimizojë korrupsionin në strukturat, punonjësit e të cilave janë objekt vlerësimi, të garantojë zbatimin e parimit të integritetit, rritjen e profesionalizmit dhe garantimin e një karriere të drejtë dhe të bazuar në meritokracinë e punonjësve të këtyre strukturave, duke krijuar kështu institucione të forta dhe të </w:t>
            </w:r>
            <w:r w:rsidRPr="00B130BB">
              <w:rPr>
                <w:rFonts w:ascii="Garamond" w:eastAsia="Times New Roman" w:hAnsi="Garamond" w:cs="Times New Roman"/>
                <w:spacing w:val="-4"/>
                <w:sz w:val="18"/>
                <w:szCs w:val="18"/>
                <w:lang w:val="sq-AL"/>
              </w:rPr>
              <w:lastRenderedPageBreak/>
              <w:t xml:space="preserve">besueshme me profesionistë me integritet. </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Rregullat për vlerësimin kalimtar të punonjësve, subjekt vlerësimi sipas këtij projektligji; kategoritë e punonjësve që do të vlerësohen, llojet e vlerësimit kalimtar; krijimi, funksionimi dhe kompetencat e organeve të vlerësimit, objekti dhe procedura e vlerësimit, vendimi i komisioneve në përfundim të procedurës, rregullat përkatëse dhe e drejta e ankimit.</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11</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miratimin e llojeve të shërbimeve shtesë që ofron policia e shtetit, për personat juridikë e fizikë, publikë ose privatë dhe tarifave të pagesës për këto shërbime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Në zbatim të ligjit nr. 108/2014 “Për policinë e shtetit”, të ndryshuar.</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synon të miratojë llojet e shërbimeve shtesë që ofron policia e shtetit, për personat juridikë e fizikë, publikë ose privatë dhe të tarifave të pagesës për këto shërbime</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shërbimeve që ofron Policia e Shtetit ndaj të tretëve dhe përcaktimi i tarifave të pagesës për shërbimet e ofruara.</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shërbimeve që ofron Policia e Shtetit ndaj të tretëve dhe përcaktimi i tarifave të pagesës për shërbimet e ofruara.</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 Shërbimet publike</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12</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miratimin e Marrëveshjes së Bashkëpunimit ndërmjet Këshillit të Ministrave të Republikës së Shqipërisë dhe Qeverisë së Shteteve të Bashkuara të Amerikës mbi “Parandalimin e Trafikimit të Paligjshëm të Materialeve Bërthamore dhe Materialeve të tjera Radioaktive”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Rritja e bashkëpunimit ndërmjet Republikës së Shqipërisë dhe SHBA, në fushën përkatëse.</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projektakt synon të vendosë një nivel të lartë sigurie bërthamore, duke realizuar zbulimin dhe parandalimin e trafikut të paligjshëm të materialeve të veçanta bërthamore dhe atyre radioaktive në pikat e kontrollit kufitar, me anë të bashkëpunimit teknik dhe metodik, konkretisht disa mjeteve të zbulimit të rrezatimit, të dhuruara nga Qeveria e SHBA.</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Zbulimi dhe parandalimi i trafikut të paligjshëm të materialeve të veçanta bërthamore dhe atyre radioaktive në pikat e kontrollit kufitar.</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Vendosja e një nivel të lartë sigurie bërthamore, duke realizuar zbulimin dhe parandalimin e trafikut të paligjshëm të materialeve të veçanta bërthamore dhe atyre radioaktive në pikat e kontrollit kufitar, me anë të bashkëpunimit teknik dhe metodik.</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 Politika e jashtme dhe e sigurisë, integrimi evropian dhe shqiptarët në botë.</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13</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Projektligj - Për trajtimin </w:t>
            </w:r>
            <w:r w:rsidRPr="00B130BB">
              <w:rPr>
                <w:rFonts w:ascii="Garamond" w:eastAsia="Times New Roman" w:hAnsi="Garamond" w:cs="Times New Roman"/>
                <w:spacing w:val="-4"/>
                <w:sz w:val="18"/>
                <w:szCs w:val="18"/>
                <w:lang w:val="sq-AL"/>
              </w:rPr>
              <w:lastRenderedPageBreak/>
              <w:t>financiar të punonjësve të Policisë së Shtetit pas ndërprerjes së marrëdhënieve të punës</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Detyrim ligjor i përcaktuar </w:t>
            </w:r>
            <w:r w:rsidRPr="00B130BB">
              <w:rPr>
                <w:rFonts w:ascii="Garamond" w:eastAsia="Times New Roman" w:hAnsi="Garamond" w:cs="Times New Roman"/>
                <w:spacing w:val="-4"/>
                <w:sz w:val="18"/>
                <w:szCs w:val="18"/>
                <w:lang w:val="sq-AL"/>
              </w:rPr>
              <w:lastRenderedPageBreak/>
              <w:t>në nenin 73 të ligjit nr. 108/2014 “Për Policinë e Shtetit”, të ndryshuar.</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Qëllimi i këtij projektligji është t'u </w:t>
            </w:r>
            <w:r w:rsidRPr="00B130BB">
              <w:rPr>
                <w:rFonts w:ascii="Garamond" w:eastAsia="Times New Roman" w:hAnsi="Garamond" w:cs="Times New Roman"/>
                <w:spacing w:val="-4"/>
                <w:sz w:val="18"/>
                <w:szCs w:val="18"/>
                <w:lang w:val="sq-AL"/>
              </w:rPr>
              <w:lastRenderedPageBreak/>
              <w:t>garantojë punonjësve të Policisë së Shtetit, trajtim financiar pas ndërprerjes së marrëdhënieve të punës, në përputhje me nenin 73 të ligjit nr. 108/2014 “Për Policinë e Shtetit”, të ndryshuar.</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Përmirësimin e masës së trajtimeve </w:t>
            </w:r>
            <w:r w:rsidRPr="00B130BB">
              <w:rPr>
                <w:rFonts w:ascii="Garamond" w:eastAsia="Times New Roman" w:hAnsi="Garamond" w:cs="Times New Roman"/>
                <w:spacing w:val="-4"/>
                <w:sz w:val="18"/>
                <w:szCs w:val="18"/>
                <w:lang w:val="sq-AL"/>
              </w:rPr>
              <w:lastRenderedPageBreak/>
              <w:t>suplementare, në përputhje me kontributin që jep punonjësi i policisë, për rendin dhe sigurinë publike dhe t’i japë zgjidhje për trajtimin financiar të punonjësve të Policisë së Shtetit edhe me “pension shërbimi”, si përfitim suplementar i parashikuar për herë të parë në ligjit nr. 108/2014 “Për Policinë e Shtetit”.</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 Rregullon përfitimet suplementare </w:t>
            </w:r>
            <w:r w:rsidRPr="00B130BB">
              <w:rPr>
                <w:rFonts w:ascii="Garamond" w:eastAsia="Times New Roman" w:hAnsi="Garamond" w:cs="Times New Roman"/>
                <w:spacing w:val="-4"/>
                <w:sz w:val="18"/>
                <w:szCs w:val="18"/>
                <w:lang w:val="sq-AL"/>
              </w:rPr>
              <w:lastRenderedPageBreak/>
              <w:t>të punonjësit të policisë, pas ndërprerjes së marrëdhënieve të punës, të përcaktuara në pikën 1, të nenit 73, të ligjit nr. 108/2014, “Për Policinë e Shtetit”, për: a)pagesë kalimtare; b)pension të parakohshëm suplementar; c)pension shërbimi; dhe ç)pension suplementar pleqërie.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3.3 Shëndetësia dhe </w:t>
            </w:r>
            <w:r w:rsidRPr="00B130BB">
              <w:rPr>
                <w:rFonts w:ascii="Garamond" w:eastAsia="Times New Roman" w:hAnsi="Garamond" w:cs="Times New Roman"/>
                <w:spacing w:val="-4"/>
                <w:sz w:val="18"/>
                <w:szCs w:val="18"/>
                <w:lang w:val="sq-AL"/>
              </w:rPr>
              <w:lastRenderedPageBreak/>
              <w:t>kujdesi social.</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14</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disa shtesa dhe ndryshime në vendimin nr. 750, datë 16.9.2015, të Këshillit të Ministrave “Për miratimin e Rregullores së Policisë së Shtetit” </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i këtij projektvendimi është diktuar nga ndryshimet që solli Ligji nr. 58/2017 “Për disa shtesa dhe ndryshime në ligjin nr. 108/2014 “Për Policinë e Shtetit”.</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Projektvendimi ka për qëllim, të përshtatë rregullat e përcaktuara në Rregulloren e Policisë, me ndryshimet ligjore që solli ligjit nr. 58/2017 “Për disa shtesa dhe ndryshime në ligjin nr. 108/2014 “Për Policinë e Shtetit”, të ndryshuar</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Projektvendimi përcakton afatin e qëndrimin në gradë për punonjësit e policisë me gradat policore “Inspektor i dytë” dhe “Inspektor i parë”, po ashtu rregullimi i emërtimeve të funksioneve dhe strukturave në përputhje me ndryshimet që solli ligji nr. 58/2017.</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Të përmirësohet mënyra e funksionimit të sistemeve kompjuterike dhe rrjetit informatik të Policisë së Shtetit; të normohet procedura e dhënies së gradës “Inspektor i parë” dhe “Inspektor i dytë”; të rregullohen procedurat e pranimit në Akademinë e Sigurisë për fëmijët e punonjësve të policisë, të cilët kanë humbur jetën në krye apo për shkak të detyrës dhe të rregullohen emërtimet e strukturave dhe funksioneve në Policinë e </w:t>
            </w:r>
            <w:r w:rsidRPr="00B130BB">
              <w:rPr>
                <w:rFonts w:ascii="Garamond" w:eastAsia="Times New Roman" w:hAnsi="Garamond" w:cs="Times New Roman"/>
                <w:spacing w:val="-4"/>
                <w:sz w:val="18"/>
                <w:szCs w:val="18"/>
                <w:lang w:val="sq-AL"/>
              </w:rPr>
              <w:lastRenderedPageBreak/>
              <w:t>Shtetit në përputhje me ligjin 58/2017.</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15</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miratimin e Marrëveshjes ndërmjet Këshillit të Ministrave të Republikës së Shqipërisë dhe Qeverisë së Republikës së Greqisë “Mbi ngritjen dhe funksionimin e një qendre kontakti të përbashkët për bashkëpunim policor dhe doganor”</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Në kuadër të bashkëpunimit policor dhe doganor ndërmjet dy vendeve.</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Projektmarrëveshja ka për qëllim forcimin e bashkëpunimit dhe përmirësimit të shkëmbimit të informacionit ndërmjet Qeverisë së Republikës së Greqisë dhe Këshillit të Ministrave të Republikës së Shqipërisë, për të rritur efikasitetin në luftën kundër krimit të organizuar dhe lidhjeve të tij, migracionin e paligjshëm, trafikimin e drogave, ekstremizmin e dhunshëm, radikalizmin, si dhe krimet e rënda</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Ngritja dhe funksionimi i një Qendre të përbashkët kontakti për bashkëpunimin policor dhe doganor me Republikën e Greqisë.</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Ngritja e Qendrës së përbashkët të kontaktit dhe përcaktimi i rregullave për funksionimin e saj.</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16</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miratimin e Planit të Veprimit “Për zbatimin e Strategjisë Ndërsektoriale të Krimit të Organizuar, Trafiqeve të Paligjshme dhe Terrorizmit 2017-2020. </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Duke qenë se Plani i Veprimit 2013-2016, në zbatim të kësaj Strategjie, ka përfunduar, bazuar në detyrimet e Strategjisë, është i nevojshëm hartimi i Planit të Veprimit për periudhën 2017-2020. </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Projektakti ka për qëllim organizimin dhe koordinimin e veprimtarisë në luftën kundër krimit të organizuar, trafiqeve të paligjshme, pastrimit të parave duke synuar ndërtimin e një shoqërie, pa kërcënime nga krimi i organizuar, në paqe e në përmirësim të vazhdueshëm të cilësisë së jetës së qytetareve, nëpërmjet zbatimit të </w:t>
            </w:r>
            <w:r w:rsidRPr="00B130BB">
              <w:rPr>
                <w:rFonts w:ascii="Garamond" w:eastAsia="Times New Roman" w:hAnsi="Garamond" w:cs="Times New Roman"/>
                <w:spacing w:val="-4"/>
                <w:sz w:val="18"/>
                <w:szCs w:val="18"/>
                <w:lang w:val="sq-AL"/>
              </w:rPr>
              <w:lastRenderedPageBreak/>
              <w:t>objektivave, nënobjektivave dhe masave që janë parashikuar në projektakt.</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Objektivat strategjikë të Planit të Veprimit janë të përcaktuara në VKM-në nr. 663, datë 17.7.2013, duke detajuar në këtë Plan masa për realizimin e objektivave për periudhën 2017-2020.</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Koordinimi ndërinstitucional për luftën kundër krimit të organizuar, trafiqeve të paligjshme dhe pastrimit të parave.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17</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miratimin e normave të trajtimit me ushqim të punonjësve të Gardës së Republikës</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 dhe Ministri i Shëndetësisë dhe Mbrojtjes Sociale</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Nevojë e institucionit.</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do të përcaktojë normat e ushqimit, të punonjësve të Gardës së Republikës.</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normave të ushqimit, të punonjësve të Gardës së Republikës.</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normave të ushqimit, të punonjësve të Gardës së Republikës.</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18</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disa shtesa dhe ndryshime në vendimin e Këshillit të Ministrave nr. 513, datë 13.06.2013 “Për përcaktimin e kritereve, procedurave e të dokumentecionit për hyrjen, qëndrimin, dhe trajtimin e të huajve në Republikën e Shqipërisë”</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 dhe 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Përafrimi i mëtejshëm i akteve nënligjore në zbatim të ligjit “Për të huajt”, me </w:t>
            </w:r>
            <w:r w:rsidRPr="00B130BB">
              <w:rPr>
                <w:rFonts w:ascii="Garamond" w:eastAsia="Times New Roman" w:hAnsi="Garamond" w:cs="Times New Roman"/>
                <w:i/>
                <w:spacing w:val="-4"/>
                <w:sz w:val="18"/>
                <w:szCs w:val="18"/>
                <w:lang w:val="sq-AL"/>
              </w:rPr>
              <w:t>acquis</w:t>
            </w:r>
            <w:r w:rsidRPr="00B130BB">
              <w:rPr>
                <w:rFonts w:ascii="Garamond" w:eastAsia="Times New Roman" w:hAnsi="Garamond" w:cs="Times New Roman"/>
                <w:spacing w:val="-4"/>
                <w:sz w:val="18"/>
                <w:szCs w:val="18"/>
                <w:lang w:val="sq-AL"/>
              </w:rPr>
              <w:t xml:space="preserve"> të BE-së në lidhje me trajtimin e të huajve në territorin e Republikës së Shqipërisë.</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Miratimi i këtij projektvendimi synon zgjidhjen e problematikave të ndeshura gjatë zbatimit të ligjit për të huajt dhe vendimit nr. 513, datë 13.6.32013, përafrimin e mëtejshëm me </w:t>
            </w:r>
            <w:r w:rsidRPr="00B130BB">
              <w:rPr>
                <w:rFonts w:ascii="Garamond" w:eastAsia="Times New Roman" w:hAnsi="Garamond" w:cs="Times New Roman"/>
                <w:i/>
                <w:spacing w:val="-4"/>
                <w:sz w:val="18"/>
                <w:szCs w:val="18"/>
                <w:lang w:val="sq-AL"/>
              </w:rPr>
              <w:t>acquis</w:t>
            </w:r>
            <w:r w:rsidRPr="00B130BB">
              <w:rPr>
                <w:rFonts w:ascii="Garamond" w:eastAsia="Times New Roman" w:hAnsi="Garamond" w:cs="Times New Roman"/>
                <w:spacing w:val="-4"/>
                <w:sz w:val="18"/>
                <w:szCs w:val="18"/>
                <w:lang w:val="sq-AL"/>
              </w:rPr>
              <w:t xml:space="preserve"> të Bashkimit Evropian dhe konkretisht të dispozitave që rregullojnë regjimin e hyrjes, të qëndrimit për motive të ndryshme dhe të daljes së të huajve në/nga Republika e Shqipërisë, si dhe të ndryshimeve e zhvillimeve që kanë ndodhur në fushën e imigracionit. </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Ndryshimet e propozuara synojnë përmirësimin e disa aspekteve të procedurave dhe të kritereve të trajtimit të të huajve në Republikën e Shqipërisë, përfshirë kategoritë e ndryshme të të huajve që qëndrojnë në territorin e Republikës së Shqipërisë për motive studimi, bashkimi familjar, si të punësuar apo të vetëpunësuar.</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Përafrimi i mëtejshëm me </w:t>
            </w:r>
            <w:r w:rsidRPr="00B130BB">
              <w:rPr>
                <w:rFonts w:ascii="Garamond" w:eastAsia="Times New Roman" w:hAnsi="Garamond" w:cs="Times New Roman"/>
                <w:i/>
                <w:spacing w:val="-4"/>
                <w:sz w:val="18"/>
                <w:szCs w:val="18"/>
                <w:lang w:val="sq-AL"/>
              </w:rPr>
              <w:t>acquis</w:t>
            </w:r>
            <w:r w:rsidRPr="00B130BB">
              <w:rPr>
                <w:rFonts w:ascii="Garamond" w:eastAsia="Times New Roman" w:hAnsi="Garamond" w:cs="Times New Roman"/>
                <w:spacing w:val="-4"/>
                <w:sz w:val="18"/>
                <w:szCs w:val="18"/>
                <w:lang w:val="sq-AL"/>
              </w:rPr>
              <w:t xml:space="preserve"> të Bashkimit Evropian të dispozitave që rregullojnë regjimin e hyrjes, të qëndrimit për motive të ndryshme dhe të daljes së të huajve në/nga Republika e Shqipërisë, si dhe të ndryshimeve e zhvillimeve që kanë ndodhur në fushën e imigracionit. </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 Është parashikuar si masë ligjore në Planin Kombëtar për Integrimin Evropian, në kapitullin 24 “Drejtësia, Liria dhe Siguria”</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 Politika e jashtme dhe e sigurisë, integrimi evropian dhe shqiptarët në botë.</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19</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miratimin e Procedurave Standarde të Veprimit për Mbrojtjen e Viktimave dhe Viktimave të </w:t>
            </w:r>
            <w:r w:rsidRPr="00B130BB">
              <w:rPr>
                <w:rFonts w:ascii="Garamond" w:eastAsia="Times New Roman" w:hAnsi="Garamond" w:cs="Times New Roman"/>
                <w:spacing w:val="-4"/>
                <w:sz w:val="18"/>
                <w:szCs w:val="18"/>
                <w:lang w:val="sq-AL"/>
              </w:rPr>
              <w:lastRenderedPageBreak/>
              <w:t>Mundshme të Trafikimit</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24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Procedurat qartësojnë rolin, detyrat dhe përgjegjësitë që kanë të gjitha institucionet dhe agjencitë e përfshira në procesin e </w:t>
            </w:r>
            <w:r w:rsidRPr="00B130BB">
              <w:rPr>
                <w:rFonts w:ascii="Garamond" w:eastAsia="Times New Roman" w:hAnsi="Garamond" w:cs="Times New Roman"/>
                <w:spacing w:val="-4"/>
                <w:sz w:val="18"/>
                <w:szCs w:val="18"/>
                <w:lang w:val="sq-AL"/>
              </w:rPr>
              <w:lastRenderedPageBreak/>
              <w:t>identifikimit, referimit, mbrojtjes dhe riintegrimit të viktimave të trafikimit.</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Procedurat kanë për qëllim kryesor mbrojtjen, përfshirë identifikimin në kohën dhe mënyrën e duhur të viktimave/viktimave të mundshme të </w:t>
            </w:r>
            <w:r w:rsidRPr="00B130BB">
              <w:rPr>
                <w:rFonts w:ascii="Garamond" w:eastAsia="Times New Roman" w:hAnsi="Garamond" w:cs="Times New Roman"/>
                <w:spacing w:val="-4"/>
                <w:sz w:val="18"/>
                <w:szCs w:val="18"/>
                <w:lang w:val="sq-AL"/>
              </w:rPr>
              <w:lastRenderedPageBreak/>
              <w:t xml:space="preserve">trafikimit, të rritur apo të mitur, shqiptarë, të huaj apo persona pa shtetësi, për të gjithë llojet e shfrytëzimit, të trafikimit të brendshëm apo ndërkombëtar, të lidhur apo jo me krimin e organizuar. </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1. Do të përcaktohen qartë detyrimet specifike për çdo strukturë; </w:t>
            </w:r>
            <w:r w:rsidRPr="00B130BB">
              <w:rPr>
                <w:rFonts w:ascii="Garamond" w:eastAsia="Times New Roman" w:hAnsi="Garamond" w:cs="Times New Roman"/>
                <w:spacing w:val="-4"/>
                <w:sz w:val="18"/>
                <w:szCs w:val="18"/>
                <w:lang w:val="sq-AL"/>
              </w:rPr>
              <w:br/>
              <w:t xml:space="preserve">2. Do të përcaktohen qartë indikatorët për secilin sektor. Pra, </w:t>
            </w:r>
            <w:r w:rsidRPr="00B130BB">
              <w:rPr>
                <w:rFonts w:ascii="Garamond" w:eastAsia="Times New Roman" w:hAnsi="Garamond" w:cs="Times New Roman"/>
                <w:spacing w:val="-4"/>
                <w:sz w:val="18"/>
                <w:szCs w:val="18"/>
                <w:lang w:val="sq-AL"/>
              </w:rPr>
              <w:lastRenderedPageBreak/>
              <w:t>nuk do të jetë një dokument i vetëm ku të ketë përfshirë strukturat përgjegjëse për identifikimin fillestar dhe formal, por secila strukturë/entitet do ketë indikatorët e saj/tij.</w:t>
            </w:r>
            <w:r w:rsidRPr="00B130BB">
              <w:rPr>
                <w:rFonts w:ascii="Garamond" w:eastAsia="Times New Roman" w:hAnsi="Garamond" w:cs="Times New Roman"/>
                <w:spacing w:val="-4"/>
                <w:sz w:val="18"/>
                <w:szCs w:val="18"/>
                <w:lang w:val="sq-AL"/>
              </w:rPr>
              <w:br/>
              <w:t xml:space="preserve">3. Rëndësi më të madhe riintegrimit të viktimave/viktimave të mundshme të trafikimit. </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“Mbrojtjen e personave të trafikuar”, e cila përfshin të gjitha veprimet e kryera nga punonjës të institucioneve shtetërore qendrore dhe vendore dhe </w:t>
            </w:r>
            <w:r w:rsidRPr="00B130BB">
              <w:rPr>
                <w:rFonts w:ascii="Garamond" w:eastAsia="Times New Roman" w:hAnsi="Garamond" w:cs="Times New Roman"/>
                <w:spacing w:val="-4"/>
                <w:sz w:val="18"/>
                <w:szCs w:val="18"/>
                <w:lang w:val="sq-AL"/>
              </w:rPr>
              <w:lastRenderedPageBreak/>
              <w:t xml:space="preserve">të institucioneve joshtetërore-anëtare të Mekanizmit Kombëtar të Referimit për pritjen, identifikimin, ndihmën e menjëhershme dhe ndihmën për rehabilitimin dhe ri-integrimin e sigurt të personave të trafikuar në përputhje me këto procedura. </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20</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miratimin e Planit Kombëtar të Veprimit për Luftën kundër Trafikimit të Personave 2018–2020</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Në zbatim të VKM-së nr. 663 datë 17.7.2013 “Për miratimin e Strategjisë Ndërsektoriale për Luftën kundër Krimit të Organizuar, Trafiqeve të Paligjshme dhe Terrorizmit, si dhe në zbatim të ligjit nr. 8920, datë 11.7.2002, “Mbi ratifikimin e Konventës së Kombeve të Bashkuara kundër Krimit të Organizuar Ndërkombëtar dhe dy protokollet e saj shtesë”, qeveria harton një strategji/plan veprimi të veçantë për </w:t>
            </w:r>
            <w:r w:rsidRPr="00B130BB">
              <w:rPr>
                <w:rFonts w:ascii="Garamond" w:eastAsia="Times New Roman" w:hAnsi="Garamond" w:cs="Times New Roman"/>
                <w:spacing w:val="-4"/>
                <w:sz w:val="18"/>
                <w:szCs w:val="18"/>
                <w:lang w:val="sq-AL"/>
              </w:rPr>
              <w:lastRenderedPageBreak/>
              <w:t>luftën kundër trafikimit të personave. Në këtë dokument harmonizohen në një instrument të vetëm të gjitha politikat dhe masat për luftën kundër trafikimit të personave.</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Plani i Veprimit ka qëllim të japë një përgjigje të qëndrueshme, të koordinuar dhe të institucionalizuar ndaj trafikimit të personave.</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Plani synon të përmirësojë funksionimin e një sistemi gjithëpërfshirës nëpërmjet forcimit të mekanizmit të identifikimit, mbrojtjes dhe riintegrimit të viktimave të trafikimit. </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Plani i Veprimit ndahet në katër fusha kryesore që janë: </w:t>
            </w:r>
            <w:r w:rsidRPr="00B130BB">
              <w:rPr>
                <w:rFonts w:ascii="Garamond" w:eastAsia="Times New Roman" w:hAnsi="Garamond" w:cs="Times New Roman"/>
                <w:spacing w:val="-4"/>
                <w:sz w:val="18"/>
                <w:szCs w:val="18"/>
                <w:lang w:val="sq-AL"/>
              </w:rPr>
              <w:br/>
              <w:t xml:space="preserve">1. Ndjekja penale </w:t>
            </w:r>
            <w:r w:rsidRPr="00B130BB">
              <w:rPr>
                <w:rFonts w:ascii="Garamond" w:eastAsia="Times New Roman" w:hAnsi="Garamond" w:cs="Times New Roman"/>
                <w:spacing w:val="-4"/>
                <w:sz w:val="18"/>
                <w:szCs w:val="18"/>
                <w:lang w:val="sq-AL"/>
              </w:rPr>
              <w:br/>
              <w:t xml:space="preserve">2. Mbrojtja </w:t>
            </w:r>
            <w:r w:rsidRPr="00B130BB">
              <w:rPr>
                <w:rFonts w:ascii="Garamond" w:eastAsia="Times New Roman" w:hAnsi="Garamond" w:cs="Times New Roman"/>
                <w:spacing w:val="-4"/>
                <w:sz w:val="18"/>
                <w:szCs w:val="18"/>
                <w:lang w:val="sq-AL"/>
              </w:rPr>
              <w:br/>
              <w:t>3. Parandalimi</w:t>
            </w:r>
            <w:r w:rsidRPr="00B130BB">
              <w:rPr>
                <w:rFonts w:ascii="Garamond" w:eastAsia="Times New Roman" w:hAnsi="Garamond" w:cs="Times New Roman"/>
                <w:spacing w:val="-4"/>
                <w:sz w:val="18"/>
                <w:szCs w:val="18"/>
                <w:lang w:val="sq-AL"/>
              </w:rPr>
              <w:br/>
              <w:t xml:space="preserve">4. Bashkërendimi </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Po. Është </w:t>
            </w:r>
            <w:r w:rsidRPr="00B130BB">
              <w:rPr>
                <w:rFonts w:ascii="Garamond" w:eastAsia="Times New Roman" w:hAnsi="Garamond" w:cs="Times New Roman"/>
                <w:spacing w:val="-4"/>
                <w:sz w:val="16"/>
                <w:szCs w:val="16"/>
                <w:lang w:val="sq-AL"/>
              </w:rPr>
              <w:t>parashikuar si masë ligjore në Planin Kombëtar për Integrimin Evropian, në kapitullin 24 “Drejtësia</w:t>
            </w:r>
            <w:r w:rsidRPr="00B130BB">
              <w:rPr>
                <w:rFonts w:ascii="Garamond" w:eastAsia="Times New Roman" w:hAnsi="Garamond" w:cs="Times New Roman"/>
                <w:spacing w:val="-4"/>
                <w:sz w:val="18"/>
                <w:szCs w:val="18"/>
                <w:lang w:val="sq-AL"/>
              </w:rPr>
              <w:t>, Liria dhe Siguria”</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21</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përcaktimin e rregullave “Për verifikimin e realizimit të funksioneve e të përgjegjësive të deleguara nga pushteti qendror dhe përdorimin e fondeve të parashikuara për këto funksione”.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Në zbatim të nenit 18 të ligjit “Për prefektin e qarkut”</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Rritja e rolit të prefektit të qarkut</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Implementimi i ligjit për prefektin e qarkut</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Përcakton rregullat për verifikimin e realizimit të funksioneve e të përgjegjësive të deleguara nga pushteti qendror dhe përdorimin e fondeve të parashikuara për këto funksione.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 Shërbimet publike</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22</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funksionimin dhe përdorimin e TIMS (Total Information Management System)</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Vendosja e autoritetit ligjor për të marrë informacionin e nevojshëm nga struktura të tjera nëpërmjet teknologjisë</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Rregullimi i përdorimin dhe mirëfunksionimi i TIMS ndërmjet ministrive/strukturave të ndryshme</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Unifikimin dhe sanksionimin përdorimit të sistemit TIMS </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Krijim e një baze ligjore që do të mundësojë krijimin dhe implementimin e një sistemi kërkimi të TIMS të vlefshëm për të gjitha strukturat/ministritë</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23</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Miratimi në parim i “Marrëveshjes mes Republikës së Shqipërisë dhe </w:t>
            </w:r>
            <w:r w:rsidRPr="00B130BB">
              <w:rPr>
                <w:rFonts w:ascii="Garamond" w:eastAsia="Times New Roman" w:hAnsi="Garamond" w:cs="Times New Roman"/>
                <w:spacing w:val="-4"/>
                <w:sz w:val="18"/>
                <w:szCs w:val="18"/>
                <w:lang w:val="sq-AL"/>
              </w:rPr>
              <w:lastRenderedPageBreak/>
              <w:t>Bashkimit Evropian për bashkëpunimin me Agjencinë Evropiane të Rojës Kufitare dhe Bregdetare”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Në kuadër të bashkëpunimit ndërmjet Republikës së Shqipërisë dhe Bashkimit </w:t>
            </w:r>
            <w:r w:rsidRPr="00B130BB">
              <w:rPr>
                <w:rFonts w:ascii="Garamond" w:eastAsia="Times New Roman" w:hAnsi="Garamond" w:cs="Times New Roman"/>
                <w:spacing w:val="-4"/>
                <w:sz w:val="18"/>
                <w:szCs w:val="18"/>
                <w:lang w:val="sq-AL"/>
              </w:rPr>
              <w:lastRenderedPageBreak/>
              <w:t>Evropian.</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Vendosja e trupave dhe pajisjeve të BE-së në kufijtë që Shqipëria ndan me BE, në në rast të ndonjë fluksi të mundshëm </w:t>
            </w:r>
            <w:r w:rsidRPr="00B130BB">
              <w:rPr>
                <w:rFonts w:ascii="Garamond" w:eastAsia="Times New Roman" w:hAnsi="Garamond" w:cs="Times New Roman"/>
                <w:spacing w:val="-4"/>
                <w:sz w:val="18"/>
                <w:szCs w:val="18"/>
                <w:lang w:val="sq-AL"/>
              </w:rPr>
              <w:lastRenderedPageBreak/>
              <w:t>refugjatësh.</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Forcimi i kufirit shtetëror të Republikës së Shqipërisë dhe kufijve të BE-së, në rast të flukseve të mundshme të refugjatëve.</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Vendosja e trupave dhe pajisjeve të BE-së në kufijtë që Shqipëria ndan me BE, në në rast të ndonjë fluksi të mundshëm </w:t>
            </w:r>
            <w:r w:rsidRPr="00B130BB">
              <w:rPr>
                <w:rFonts w:ascii="Garamond" w:eastAsia="Times New Roman" w:hAnsi="Garamond" w:cs="Times New Roman"/>
                <w:spacing w:val="-4"/>
                <w:sz w:val="18"/>
                <w:szCs w:val="18"/>
                <w:lang w:val="sq-AL"/>
              </w:rPr>
              <w:lastRenderedPageBreak/>
              <w:t>refugjatësh dhe përcaktimi i rregullave përkatëse të bashkëpunimit.</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24</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disa ndryshime në vendimin nr. 350, datë 19.4.2017, të Këshillit të Ministrave “Për trajtimin me pagë dhe shtesa mbi pagë të punonjësve të MZSH-së”</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 dhe Ministri i Financave dhe Ekonomisë</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 të saktësuar llogaritjen e pagës në bazë të elementit të vjetërsisë.</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Saktësimi dhe korrigjimi i llogaritjes së pagës në bazë të elementit të vjetërsisë.</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Llogaritja e saktë e pagës në bazë të elementit të vjetërsisë.</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Trajtimi me pagë në bazë të vjetërsisë në punë të punonjësit të MZSH-së.</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25</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Projektligj - Për disa ndryshime në ligjin nr. 108/2013 “Për të huajt”, të ndryshuar </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Aplikimi i sistemit për Informacionin e Avancuar për Pasagjerët (API), në përputhje me Direktivën 2004/82 të BE për API, Rezolutave 2178 dhe 2309 të Këshillit të Sigurisë të Kombeve të Bashkuara dhe Standardit të ri 9.5 të ICAO-së </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Ndryshimi i nenit 135, pika 1 në Ligjin 108/2013 “Për të huajt”, për të “detyruar” shoqëritë e transportuese për transmetimin e të dhënave paraprake të pasagjerëve, sipas kërkesave standarde të ICAO dhe Direktivës së BE për API</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Përshtatja e legjislacionit shqiptar për sigurinë në kufi me </w:t>
            </w:r>
            <w:r w:rsidRPr="00B130BB">
              <w:rPr>
                <w:rFonts w:ascii="Garamond" w:eastAsia="Times New Roman" w:hAnsi="Garamond" w:cs="Times New Roman"/>
                <w:i/>
                <w:spacing w:val="-4"/>
                <w:sz w:val="18"/>
                <w:szCs w:val="18"/>
                <w:lang w:val="sq-AL"/>
              </w:rPr>
              <w:t>Acquis</w:t>
            </w:r>
            <w:r w:rsidRPr="00B130BB">
              <w:rPr>
                <w:rFonts w:ascii="Garamond" w:eastAsia="Times New Roman" w:hAnsi="Garamond" w:cs="Times New Roman"/>
                <w:spacing w:val="-4"/>
                <w:sz w:val="18"/>
                <w:szCs w:val="18"/>
                <w:lang w:val="sq-AL"/>
              </w:rPr>
              <w:t xml:space="preserve"> të </w:t>
            </w:r>
            <w:r w:rsidRPr="00B130BB">
              <w:rPr>
                <w:rFonts w:ascii="Garamond" w:eastAsia="Times New Roman" w:hAnsi="Garamond" w:cs="Times New Roman"/>
                <w:i/>
                <w:spacing w:val="-4"/>
                <w:sz w:val="18"/>
                <w:szCs w:val="18"/>
                <w:lang w:val="sq-AL"/>
              </w:rPr>
              <w:t>schengen</w:t>
            </w:r>
            <w:r w:rsidRPr="00B130BB">
              <w:rPr>
                <w:rFonts w:ascii="Garamond" w:eastAsia="Times New Roman" w:hAnsi="Garamond" w:cs="Times New Roman"/>
                <w:spacing w:val="-4"/>
                <w:sz w:val="18"/>
                <w:szCs w:val="18"/>
                <w:lang w:val="sq-AL"/>
              </w:rPr>
              <w:t>-it</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Normimin e modaliteteve të transmetimit të të dhënave paraprake të pasagjerëve, standardizuar me Direktivën 2004/82 të BE-së dhe Standardin 9.5 të ICAO</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6"/>
                <w:szCs w:val="16"/>
                <w:lang w:val="sq-AL"/>
              </w:rPr>
            </w:pPr>
            <w:r w:rsidRPr="00B130BB">
              <w:rPr>
                <w:rFonts w:ascii="Garamond" w:eastAsia="Times New Roman" w:hAnsi="Garamond" w:cs="Times New Roman"/>
                <w:spacing w:val="-4"/>
                <w:sz w:val="16"/>
                <w:szCs w:val="16"/>
                <w:lang w:val="sq-AL"/>
              </w:rPr>
              <w:t>Po. Është parashikuar si masë ligjore në Planin Kombëtar për Integrimin Evropian, në kapitullin 24 “Drejtësia, Liria dhe Siguria”</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 Forcimi i kontrollit në kufij.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26</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Projektligj - Për disa ndryshime dhe shtesa në ligjin nr. 8663, datë 18.09.2000 “Për </w:t>
            </w:r>
            <w:r w:rsidRPr="00B130BB">
              <w:rPr>
                <w:rFonts w:ascii="Garamond" w:eastAsia="Times New Roman" w:hAnsi="Garamond" w:cs="Times New Roman"/>
                <w:spacing w:val="-4"/>
                <w:sz w:val="18"/>
                <w:szCs w:val="18"/>
                <w:lang w:val="sq-AL"/>
              </w:rPr>
              <w:lastRenderedPageBreak/>
              <w:t>regjistrimin, klasifikimin, mënyrën e përdorimit dhe kontrollin e mjeteve lundruese me motorr, me tonazh nën 20 NT”, të ndryshuar</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Disa nene të aktit në fuqi janë shfuqizuar nga Gjykata Kushtetuese e Republikës </w:t>
            </w:r>
            <w:r w:rsidRPr="00B130BB">
              <w:rPr>
                <w:rFonts w:ascii="Garamond" w:eastAsia="Times New Roman" w:hAnsi="Garamond" w:cs="Times New Roman"/>
                <w:spacing w:val="-4"/>
                <w:sz w:val="18"/>
                <w:szCs w:val="18"/>
                <w:lang w:val="sq-AL"/>
              </w:rPr>
              <w:lastRenderedPageBreak/>
              <w:t>së Shqipërisë dhe si i tillë duhet ndryshuar në tërësinë e tij.</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Përputhshmëria e aktit me vendimet e Gjykatës Kushtetuese të Republikës së Shqipërisë dhe me Kodin </w:t>
            </w:r>
            <w:r w:rsidRPr="00B130BB">
              <w:rPr>
                <w:rFonts w:ascii="Garamond" w:eastAsia="Times New Roman" w:hAnsi="Garamond" w:cs="Times New Roman"/>
                <w:spacing w:val="-4"/>
                <w:sz w:val="18"/>
                <w:szCs w:val="18"/>
                <w:lang w:val="sq-AL"/>
              </w:rPr>
              <w:lastRenderedPageBreak/>
              <w:t>Penal të Republikës së Shqipërisë</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Përputhshmëria me ndryshimet në legjislacionin shqiptar dhe disiplinimin e regjistrimit </w:t>
            </w:r>
            <w:r w:rsidRPr="00B130BB">
              <w:rPr>
                <w:rFonts w:ascii="Garamond" w:eastAsia="Times New Roman" w:hAnsi="Garamond" w:cs="Times New Roman"/>
                <w:spacing w:val="-4"/>
                <w:sz w:val="18"/>
                <w:szCs w:val="18"/>
                <w:lang w:val="sq-AL"/>
              </w:rPr>
              <w:lastRenderedPageBreak/>
              <w:t>dhe aktivitetit të mjeteve lundruese nën 20 NT, në këtë kuadër edhe të mjeteve lundruese argëtuese</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Përputhshmëria me vendimet e Gjykatës Kushtetuese dhe me Kodin Penal të Republikës </w:t>
            </w:r>
            <w:r w:rsidRPr="00B130BB">
              <w:rPr>
                <w:rFonts w:ascii="Garamond" w:eastAsia="Times New Roman" w:hAnsi="Garamond" w:cs="Times New Roman"/>
                <w:spacing w:val="-4"/>
                <w:sz w:val="18"/>
                <w:szCs w:val="18"/>
                <w:lang w:val="sq-AL"/>
              </w:rPr>
              <w:lastRenderedPageBreak/>
              <w:t>së Shqipërisë.</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6"/>
                <w:szCs w:val="16"/>
                <w:lang w:val="sq-AL"/>
              </w:rPr>
            </w:pPr>
            <w:r w:rsidRPr="00B130BB">
              <w:rPr>
                <w:rFonts w:ascii="Garamond" w:eastAsia="Times New Roman" w:hAnsi="Garamond" w:cs="Times New Roman"/>
                <w:spacing w:val="-4"/>
                <w:sz w:val="16"/>
                <w:szCs w:val="16"/>
                <w:lang w:val="sq-AL"/>
              </w:rPr>
              <w:lastRenderedPageBreak/>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27</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 Për disa shtesa dhe ndryshime në ligjin nr. 70/2014 për “Shërbimin për Çështjet e Brendshme dhe Ankesat, në Ministrinë e Punëve të Brendshme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Përshtatshmëria dhe përputhshmëria e ligjit aktual me ndryshimet e sjella nga legjislacioni në fuqi për sigurimin e personelit, procesin e </w:t>
            </w:r>
            <w:r w:rsidRPr="00B130BB">
              <w:rPr>
                <w:rFonts w:ascii="Garamond" w:eastAsia="Times New Roman" w:hAnsi="Garamond" w:cs="Times New Roman"/>
                <w:i/>
                <w:spacing w:val="-4"/>
                <w:sz w:val="18"/>
                <w:szCs w:val="18"/>
                <w:lang w:val="sq-AL"/>
              </w:rPr>
              <w:t>vetting</w:t>
            </w:r>
            <w:r w:rsidRPr="00B130BB">
              <w:rPr>
                <w:rFonts w:ascii="Garamond" w:eastAsia="Times New Roman" w:hAnsi="Garamond" w:cs="Times New Roman"/>
                <w:spacing w:val="-4"/>
                <w:sz w:val="18"/>
                <w:szCs w:val="18"/>
                <w:lang w:val="sq-AL"/>
              </w:rPr>
              <w:t xml:space="preserve">-ut në strukturat, objekt i veprimtarisë së Shërbimit, si dhe rregullimin e disa problematikave të hasura gjatë implementimit të ligjit aktual të Shërbimit. </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Nëpërmjet këtij projektligji për disa shtesa dhe ndryshime në ligjin aktual të Shërbimit, synohet të përshtatet dhe përmirësohet ky ligj që në objektin e tij në lidhje me detyrimet ligjore që rrjedhin nga fakti që Shërbimi është një prej tre autoriteteve verifikuese për sigurimin e personelit në vend. Gjithashtu, synohet përcaktimi dhe parashikimi i kornizës ligjore të procedurave të </w:t>
            </w:r>
            <w:r w:rsidRPr="00B130BB">
              <w:rPr>
                <w:rFonts w:ascii="Garamond" w:eastAsia="Times New Roman" w:hAnsi="Garamond" w:cs="Times New Roman"/>
                <w:i/>
                <w:spacing w:val="-4"/>
                <w:sz w:val="18"/>
                <w:szCs w:val="18"/>
                <w:lang w:val="sq-AL"/>
              </w:rPr>
              <w:t>vetting</w:t>
            </w:r>
            <w:r w:rsidRPr="00B130BB">
              <w:rPr>
                <w:rFonts w:ascii="Garamond" w:eastAsia="Times New Roman" w:hAnsi="Garamond" w:cs="Times New Roman"/>
                <w:spacing w:val="-4"/>
                <w:sz w:val="18"/>
                <w:szCs w:val="18"/>
                <w:lang w:val="sq-AL"/>
              </w:rPr>
              <w:t xml:space="preserve">-ut në strukturat e Policisë së Shtetit dhe të gjitha strukturave të tjera, objekt i veprimtarisë së Shërbimit, në kuadër të parandalimit dhe luftës kundër korrupsionit dhe shkeljeve të tjera ligjore të kryera nga punonjësit e strukturave. </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 të përmbushur standardet më të larta të funksionimit demokratik, transparent, të kontrollueshëm dhe llogaridhënës ndaj qytetarëve;</w:t>
            </w:r>
            <w:r w:rsidRPr="00B130BB">
              <w:rPr>
                <w:rFonts w:ascii="Garamond" w:eastAsia="Times New Roman" w:hAnsi="Garamond" w:cs="Times New Roman"/>
                <w:spacing w:val="-4"/>
                <w:sz w:val="18"/>
                <w:szCs w:val="18"/>
                <w:lang w:val="sq-AL"/>
              </w:rPr>
              <w:br/>
              <w:t>ii) për të vënë në zbatim një model pune të bazuar rigorozisht në zbatimin e ligjit, përgjegjësitë, kompetencat, procedurat e veprimtarisë së SHÇBA-së; si dhe</w:t>
            </w:r>
            <w:r w:rsidRPr="00B130BB">
              <w:rPr>
                <w:rFonts w:ascii="Garamond" w:eastAsia="Times New Roman" w:hAnsi="Garamond" w:cs="Times New Roman"/>
                <w:spacing w:val="-4"/>
                <w:sz w:val="18"/>
                <w:szCs w:val="18"/>
                <w:lang w:val="sq-AL"/>
              </w:rPr>
              <w:br/>
              <w:t>iii) për të konsoliduar marrëdhëniet me institucionet e pavarura dhe bashkëpunimin intensiv me partnerët ndërkombëtarë e rajonal.</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Fushën e zbatimit të ligjit; Objektin e veprimtarisë së Shërbimit; Çështje që lidhen me organizimin, funksionimin dhe veprimtaritë që kryejnë strukturat e Shërbimit; Çështje që lidhen me personelin e Shërbimit, si ecuria në gradë e karrierë, trajtimi në pagë dhe përfitime të tjera sipas legjislacionit për sigurimet shoqërore dhe suplementare në vendin tonë. </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“Forcimi i institucioneve përgjegjëse për rendin dhe sigurinë publike. I gjithë efektivi i Policisë së Shtetit do t’i nënshtrohen procesit të </w:t>
            </w:r>
            <w:r w:rsidRPr="00B130BB">
              <w:rPr>
                <w:rFonts w:ascii="Garamond" w:eastAsia="Times New Roman" w:hAnsi="Garamond" w:cs="Times New Roman"/>
                <w:i/>
                <w:spacing w:val="-4"/>
                <w:sz w:val="18"/>
                <w:szCs w:val="18"/>
                <w:lang w:val="sq-AL"/>
              </w:rPr>
              <w:t>vetting</w:t>
            </w:r>
            <w:r w:rsidRPr="00B130BB">
              <w:rPr>
                <w:rFonts w:ascii="Garamond" w:eastAsia="Times New Roman" w:hAnsi="Garamond" w:cs="Times New Roman"/>
                <w:spacing w:val="-4"/>
                <w:sz w:val="18"/>
                <w:szCs w:val="18"/>
                <w:lang w:val="sq-AL"/>
              </w:rPr>
              <w:t xml:space="preserve">-ut mbështetur në një kuadër ligjor të posaçëm të hartuar dhe monitoruar ngushtësisht dhe drejtpërdrejtë nga partnerët ndërkombëtarë. Procesi do të përfshijë edhe një rikonceptim të plotë të sistemit të rekrutimit dhe promovimit bazuar tërësisht në meritë dhe me karakteristikë </w:t>
            </w:r>
            <w:r w:rsidRPr="00B130BB">
              <w:rPr>
                <w:rFonts w:ascii="Garamond" w:eastAsia="Times New Roman" w:hAnsi="Garamond" w:cs="Times New Roman"/>
                <w:spacing w:val="-4"/>
                <w:sz w:val="18"/>
                <w:szCs w:val="18"/>
                <w:lang w:val="sq-AL"/>
              </w:rPr>
              <w:lastRenderedPageBreak/>
              <w:t>themelore transparencën”.</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28</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 Për disa shtesa dhe ndryshime në ligjin nr. 8389, datë 5.8.1998, “Për shtetësinë shqiptare”, të ndryshuar”</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Problematikat e ndeshura gjatë zbatimit të këtij ligji dhe harmonizimit të tij me konventat ndërkombëtare ku aderon Republika e Shqipërisë dhe me kuadrin e brendshëm ligjor.</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Hartimi i ndryshimeve dhe shtesave në këtë projektligj për të zgjidhur problematikat që janë ndeshur gjatë zbatimit të tij, si dhe harmonizimi me kuadrin ligjor të lidhur me çështjen e shtetësisë shqiptare të ndryshuar që nga hyrja në fuqi e këtij ligji.</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më i qartë i përkufizimeve dhe parimeve në përputhje me Konventën përkatëse, të rasteve të fitimit të shtetësisë, të kompetencave të autoriteteve përgjegjëse, rregullat procedurale, trajtimi i çështjeve të pashtetësisë dhe i disa çështjeve që lidhen me fëmijët.</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më i qartë i përkufizimeve dhe parimeve në përputhje me Konventën përkatëse, të rasteve të fitimit të shtetësisë, të kompetencave të autoriteteve përgjegjëse, rregullat procedurale, trajtimi i çështjeve të pashtetësisë dhe i disa çështjeve që lidhen me fëmijët.</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29</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 Për Shërbimin e Sigurisë së Personaliteteve të Larta Shtetërore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Nevojë e institucionit për përmirësimin e shërbimit të sigurisë së personaliteteve të larta shtetërore.</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Rregullimi me ligj i organizimit të Shërbimit të Sigurisë së Personaliteteve të Larta Shtetërore dhe të sistemit të gradave.</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rregullave për organizimin dhe funksionimin e këtij Shërbimi dhe përcaktimi i sistemit të ri të gradave.</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me ligj të veçantë dhe të integruar i organizimit dhe funksionimit të Shërbimit të Sigurisë së Personaliteteve dhe të Objekteve të Rëndësisë së Veçantë, i sistemit të gradave dhe të karrierës së punonjësve të këtij Shërbimi, trajtimi i punonjësve të këtij shërbimi, trajnimet, kriteret për ecurinë në karrierë.</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-Rendi dhe siguria publike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30</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sigurimin e jetës së punonjësve të Shërbimit të Mbrojtjes nga Zjarri </w:t>
            </w:r>
            <w:r w:rsidRPr="00B130BB">
              <w:rPr>
                <w:rFonts w:ascii="Garamond" w:eastAsia="Times New Roman" w:hAnsi="Garamond" w:cs="Times New Roman"/>
                <w:spacing w:val="-4"/>
                <w:sz w:val="18"/>
                <w:szCs w:val="18"/>
                <w:lang w:val="sq-AL"/>
              </w:rPr>
              <w:lastRenderedPageBreak/>
              <w:t>dhe Shpëtimit</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Akt nënligjor në zbatim të ligjit nr. 152/2015, “Për shërbimin e mbrojtjes </w:t>
            </w:r>
            <w:r w:rsidRPr="00B130BB">
              <w:rPr>
                <w:rFonts w:ascii="Garamond" w:eastAsia="Times New Roman" w:hAnsi="Garamond" w:cs="Times New Roman"/>
                <w:spacing w:val="-4"/>
                <w:sz w:val="18"/>
                <w:szCs w:val="18"/>
                <w:lang w:val="sq-AL"/>
              </w:rPr>
              <w:lastRenderedPageBreak/>
              <w:t>nga zjarri dhe shpëtimin”.</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Përcaktimi i kategorisë së punonjësve të MZSH-së që përfitojnë sigurimin e jetës, rregullave dhe </w:t>
            </w:r>
            <w:r w:rsidRPr="00B130BB">
              <w:rPr>
                <w:rFonts w:ascii="Garamond" w:eastAsia="Times New Roman" w:hAnsi="Garamond" w:cs="Times New Roman"/>
                <w:spacing w:val="-4"/>
                <w:sz w:val="18"/>
                <w:szCs w:val="18"/>
                <w:lang w:val="sq-AL"/>
              </w:rPr>
              <w:lastRenderedPageBreak/>
              <w:t>procedurave që do të ndiqen për sigurimin e tyre</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Sigurimi i jetës së punonjësve të MZSH-së dhe rregullave për përfitimin.</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Përcaktimi i kategorisë së punonjësve të MZSH-së që përfitojnë sigurimin e jetës, rregullave </w:t>
            </w:r>
            <w:r w:rsidRPr="00B130BB">
              <w:rPr>
                <w:rFonts w:ascii="Garamond" w:eastAsia="Times New Roman" w:hAnsi="Garamond" w:cs="Times New Roman"/>
                <w:spacing w:val="-4"/>
                <w:sz w:val="18"/>
                <w:szCs w:val="18"/>
                <w:lang w:val="sq-AL"/>
              </w:rPr>
              <w:lastRenderedPageBreak/>
              <w:t>dhe procedurave që do të ndiqen për sigurimin e tyre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-Rendi dhe siguria publike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31</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dhënien e ndihmës së menjëhershme financiare për punonjësit e MZSH në rastet e dëmtimit të rëndë të pronës për shkak të detyrës</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 nënligjor në zbatim të ligjit nr. 152/2015 “Për shërbimin e mbrojtjes nga zjarri dhe shpëtimin”.</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ndihmës së menjëhershme financiare për punonjësit e MZSH-së në rastet e dëmtimit të rëndë të pronës për shkak të detyrës</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Dhënia e ndihmës së menjëhershme financiare për punonjësit e MZSH-së në rastet e dëmtimit të rëndë të pronës për shkak të detyrës</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ndihmës së menjëhershme financiare për punonjësit e MZSH në rastet e dëmtimit të rëndë të pronës për shkak të detyrës</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32</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 Për disa shtesa dhe ndryshime në ligjin nr. 10129, datë 11.5.2009 “Për gjendjen civile”, të ndryshuar</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Nevojë e institucionit për riorganizimin e Drejtorisë së Përgjithshme të Gjendjes Civile.</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Riorganizimi i Drejtorisë së Përgjithshme të Gjendjes Civile si institucion varësie i Ministrisë së Brendshme.</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Riorganizimi i Drejtorisë së Përgjithshme të Gjendjes Civile si institucion varësie i Ministrisë së Brendshme.</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Riorganizimi i Drejtorisë së Përgjithshme të Gjendjes Civile si institucion varësie i Ministrisë së Brendshme.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 Shërbimet publike</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33</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standardizimin dhe rregullat për vendosjen e emrave të bulevardeve, rrugëve, rrugicave, shesheve dhe parqeve në Republikën e Shqipërisë</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 nënligjor në zbatim të ligjit nr. 9270, datë 29.07.2004 “Për sistemin e adresave”, të ndryshuar.</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i rregullave standarde për vendosjen e emrave të bulevardeve, rrugëve, rrugicave, shesheve dhe parqeve në Republikën e Shqipërisë, në zbatim të ligjit nr. 9270, datë 29.07.2004 “Për sistemin e adresave”, të ndryshuar</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i rregullave standarde për vendosjen e emrave të bulevardeve, rrugëve, rrugicave, shesheve dhe parqeve në Republikën e Shqipërisë, në zbatim të ligjit nr. 9270, datë 29.07.2004 “Për sistemin e adresave”, të ndryshuar</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Standardizimi në emërtimin e bulevardeve, rrugëve, rrugicave, shesheve dhe parqeve në Republikën e Shqipërisë, në zbatim të ligjit nr. 9270, datë 29.07.2004 “Për sistemin e adresave”, të ndryshuar</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 Shërbimet publike</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34</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miratimin e Rregullores së Shërbimit të MZSH-së</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 nënligjor në zbatim të ligjit nr. 152/2015 “Për shërbimin e mbrojtjes nga zjarri dhe shpëtimin”.</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i rregullave për disiplinën, etikën, marrëdhënien e punës dhe çështje të tjera të parashikuara në ligj</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i rregullave për disiplinën, etikën, marrëdhënien e punës dhe çështje të tjera të parashikuara në ligj</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Disiplina, etika, marrëdhëniet e punës dhe çështje të tjera, sipas autorizimit ligjor.</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35</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w:t>
            </w:r>
            <w:r w:rsidRPr="00B130BB">
              <w:rPr>
                <w:rFonts w:ascii="Garamond" w:eastAsia="Times New Roman" w:hAnsi="Garamond" w:cs="Times New Roman"/>
                <w:spacing w:val="-4"/>
                <w:sz w:val="18"/>
                <w:szCs w:val="18"/>
                <w:lang w:val="sq-AL"/>
              </w:rPr>
              <w:lastRenderedPageBreak/>
              <w:t xml:space="preserve">im - Për miratimin e rregullave dhe procedurave që ndiqen nga Prefekti i Qarkut, në rast mospërmbushjeje nga strukturat përgjegjëse të njësive të vetëqeverisjes vendore të detyrimeve të përcaktuara në nenin 29, të ligjit nr. 9270, datë 29.07.2004 “Për sistemin e adresave, të ndryshuar” </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Ministri i </w:t>
            </w:r>
            <w:r w:rsidRPr="00B130BB">
              <w:rPr>
                <w:rFonts w:ascii="Garamond" w:eastAsia="Times New Roman" w:hAnsi="Garamond" w:cs="Times New Roman"/>
                <w:spacing w:val="-4"/>
                <w:sz w:val="18"/>
                <w:szCs w:val="18"/>
                <w:lang w:val="sq-AL"/>
              </w:rPr>
              <w:lastRenderedPageBreak/>
              <w:t>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Katërmu</w:t>
            </w:r>
            <w:r w:rsidRPr="00B130BB">
              <w:rPr>
                <w:rFonts w:ascii="Garamond" w:eastAsia="Times New Roman" w:hAnsi="Garamond" w:cs="Times New Roman"/>
                <w:spacing w:val="-4"/>
                <w:sz w:val="18"/>
                <w:szCs w:val="18"/>
                <w:lang w:val="sq-AL"/>
              </w:rPr>
              <w:lastRenderedPageBreak/>
              <w:t>jori II</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Akt </w:t>
            </w:r>
            <w:r w:rsidRPr="00B130BB">
              <w:rPr>
                <w:rFonts w:ascii="Garamond" w:eastAsia="Times New Roman" w:hAnsi="Garamond" w:cs="Times New Roman"/>
                <w:spacing w:val="-4"/>
                <w:sz w:val="18"/>
                <w:szCs w:val="18"/>
                <w:lang w:val="sq-AL"/>
              </w:rPr>
              <w:lastRenderedPageBreak/>
              <w:t>nënligjor në zbatim të ligjit nr. 9270, datë 29.07.2004 “Për sistemin e adresave”, të ndryshuar.</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Miratimi i </w:t>
            </w:r>
            <w:r w:rsidRPr="00B130BB">
              <w:rPr>
                <w:rFonts w:ascii="Garamond" w:eastAsia="Times New Roman" w:hAnsi="Garamond" w:cs="Times New Roman"/>
                <w:spacing w:val="-4"/>
                <w:sz w:val="18"/>
                <w:szCs w:val="18"/>
                <w:lang w:val="sq-AL"/>
              </w:rPr>
              <w:lastRenderedPageBreak/>
              <w:t>rregullave dhe procedurave që do të ndiqen nga Prefekti i Qarkut, në rast mospërmbushjeje nga njësitë e vetëqeverisjes vendore të detyrimeve të përcaktuara në nenin 29 të ligjit nr. 9270, datë 29.7.2004, “Për sistemin e adresave”, të ndryshuar, të lidhura me: 1. emërtimet e bulevardeve, të rrugëve, rrugicave, shesheve dhe parqeve ekzistuese të paemërtuara, brenda datës 31 dhjetor 2016 nga këshillat e njësive të vetëqeverisjes vendore;</w:t>
            </w:r>
            <w:r w:rsidRPr="00B130BB">
              <w:rPr>
                <w:rFonts w:ascii="Garamond" w:eastAsia="Times New Roman" w:hAnsi="Garamond" w:cs="Times New Roman"/>
                <w:spacing w:val="-4"/>
                <w:sz w:val="18"/>
                <w:szCs w:val="18"/>
                <w:lang w:val="sq-AL"/>
              </w:rPr>
              <w:br/>
              <w:t>2. adresimin numerik të brendshëm e të jashtëm të objekteve ekzistuese, brenda datës 31 .12. 2016, nga seksionet/zyrat e urbanistikës në njësitë e v.q.v.</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Miratimi i </w:t>
            </w:r>
            <w:r w:rsidRPr="00B130BB">
              <w:rPr>
                <w:rFonts w:ascii="Garamond" w:eastAsia="Times New Roman" w:hAnsi="Garamond" w:cs="Times New Roman"/>
                <w:spacing w:val="-4"/>
                <w:sz w:val="18"/>
                <w:szCs w:val="18"/>
                <w:lang w:val="sq-AL"/>
              </w:rPr>
              <w:lastRenderedPageBreak/>
              <w:t>rregullave dhe procedurave që do të ndiqen nga Prefekti i Qarkut, në rast mospërmbushjeje nga njësitë e vetëqeverisjes vendore të detyrimeve të përcaktuara në nenin 29 të ligjit nr. 9270, datë 29.7.2004, “Për sistemin e adresave”, të ndryshuar, të lidhura me: 1. emërtimet e bulevardeve, të rrugëve, rrugicave, shesheve dhe parqeve ekzistuese të paemërtuara, brenda datës 31 dhjetor 2016 nga këshillat e njësive të vetëqeverisjes vendore;</w:t>
            </w:r>
            <w:r w:rsidRPr="00B130BB">
              <w:rPr>
                <w:rFonts w:ascii="Garamond" w:eastAsia="Times New Roman" w:hAnsi="Garamond" w:cs="Times New Roman"/>
                <w:spacing w:val="-4"/>
                <w:sz w:val="18"/>
                <w:szCs w:val="18"/>
                <w:lang w:val="sq-AL"/>
              </w:rPr>
              <w:br/>
              <w:t>2. adresimin numerik të brendshëm e të jashtëm të objekteve ekzistuese, brenda datës 31 dhjetor 2016, nga seksionet/zyrat e urbanistikës në njësitë e vetëqeverisjes vendore.</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Përcaktimi i </w:t>
            </w:r>
            <w:r w:rsidRPr="00B130BB">
              <w:rPr>
                <w:rFonts w:ascii="Garamond" w:eastAsia="Times New Roman" w:hAnsi="Garamond" w:cs="Times New Roman"/>
                <w:spacing w:val="-4"/>
                <w:sz w:val="18"/>
                <w:szCs w:val="18"/>
                <w:lang w:val="sq-AL"/>
              </w:rPr>
              <w:lastRenderedPageBreak/>
              <w:t>rregullave për emërtimet e bulevardeve, të rrugëve, rrugicave, shesheve dhe parqeve ekzistuese të paemërtuara, brenda datës 31 dhjetor 2016 nga këshillat e njësive të vetëqeverisjes vendore dhe i adresimit numerik të brendshëm e të jashtëm të objekteve ekzistuese, brenda datës 31 dhjetor 2016, nga seksionet/zyrat e urbanistikës në njësitë e vetëqeverisjes vendore.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 </w:t>
            </w:r>
            <w:r w:rsidRPr="00B130BB">
              <w:rPr>
                <w:rFonts w:ascii="Garamond" w:eastAsia="Times New Roman" w:hAnsi="Garamond" w:cs="Times New Roman"/>
                <w:spacing w:val="-4"/>
                <w:sz w:val="18"/>
                <w:szCs w:val="18"/>
                <w:lang w:val="sq-AL"/>
              </w:rPr>
              <w:lastRenderedPageBreak/>
              <w:t>Shërbimet publike</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36</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krijimin e Institutit të formimit dhe kualifikimit të Shërbimit të Sigurisë së </w:t>
            </w:r>
            <w:r w:rsidRPr="00B130BB">
              <w:rPr>
                <w:rFonts w:ascii="Garamond" w:eastAsia="Times New Roman" w:hAnsi="Garamond" w:cs="Times New Roman"/>
                <w:spacing w:val="-4"/>
                <w:sz w:val="18"/>
                <w:szCs w:val="18"/>
                <w:lang w:val="sq-AL"/>
              </w:rPr>
              <w:lastRenderedPageBreak/>
              <w:t>Personaliteteve të Larta Shtetërore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 nënligjor në zbatim të projektligjit “Për Shërbimin e Sigurisë së Personaliteteve të Larta Shtetërore”</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synon përgatitjen profesionale dhe fizike të punonjësve të këtij shërbimi.</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rregullave për krijimin dhe funksionimin e Institutit të formimit dhe kualifikimit të Shërbimit të Sigurisë së Personalitetev</w:t>
            </w:r>
            <w:r w:rsidRPr="00B130BB">
              <w:rPr>
                <w:rFonts w:ascii="Garamond" w:eastAsia="Times New Roman" w:hAnsi="Garamond" w:cs="Times New Roman"/>
                <w:spacing w:val="-4"/>
                <w:sz w:val="18"/>
                <w:szCs w:val="18"/>
                <w:lang w:val="sq-AL"/>
              </w:rPr>
              <w:lastRenderedPageBreak/>
              <w:t xml:space="preserve">e të Larta Shtetërore. </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Përcaktimi i rregullave për krijimin dhe funksionimin e Institutit të formimit dhe kualifikimit të Shërbimit të Sigurisë së Personalitete</w:t>
            </w:r>
            <w:r w:rsidRPr="00B130BB">
              <w:rPr>
                <w:rFonts w:ascii="Garamond" w:eastAsia="Times New Roman" w:hAnsi="Garamond" w:cs="Times New Roman"/>
                <w:spacing w:val="-4"/>
                <w:sz w:val="18"/>
                <w:szCs w:val="18"/>
                <w:lang w:val="sq-AL"/>
              </w:rPr>
              <w:lastRenderedPageBreak/>
              <w:t xml:space="preserve">ve të Larta Shtetërore. </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37</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përcaktimin e Personaliteteve të tjera që do të sigurohen nga Shërbimi i Sigurisë së Personaliteteve të Larta Shtetëore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 nënligjor në zbatim të projektligjit “Për Shërbimin e Sigurisë së Personaliteteve të Larta Shtetërore”</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synon përcaktimin e Personaliteteve të Larta Shtetërore të tjera, që do të sigurohen nga Shërbimi i Sigurisë së Personaliteteve të Larta Shtetërore</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synon përcaktimin e Personaliteteve të Larta Shtetërore të tjera, që do të sigurohen nga Shërbimi i Sigurisë së Personaliteteve të Larta Shtetërore</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Personaliteteve të Larta Shtetërore të tjera, që do të sigurohen nga Shërbimi i Sigurisë së Personaliteteve të Larta Shtetërore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38</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përcaktimin e objekteve dhe rezidencave që do të sigurohen nga Shërbimi i Sigurisë së Personaliteteve të Larta Shtetërore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 nënligjor në zbatim të projektligjit “Për Shërbimin e Sigurisë së Personaliteteve të Larta Shtetërore”</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synon të përcaktojë objektet dhe rezidencat që do të sigurohen nga Shërbimi i Sigurisë së Personaliteteve të Larta Shtetërore, të ndryshme nga ato të përcaktuar me ligj.</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synon të përcaktojë objektet dhe rezidencat që do të sigurohen nga Shërbimi i Sigurisë së Personaliteteve të Larta Shtetërore, të ndryshme nga ato të përcaktuar me ligj.</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objekteve dhe rezidencave që do të sigurohen nga Shërbimi i Sigurisë së Personaliteteve të Larta Shtetërore, të ndryshme nga ato të përcaktuar me ligj.</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39</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miratimin e uniformës dhe simboleve të Shërbimit të Sigurisë së Personaliteteve të Larta Shtetërore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 nënligjor në zbatim të projektligjit “Për Shërbimin e Sigurisë së Personaliteteve të Larta Shtetërore”</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synon të përcaktojë uniformën dhe simbolet, si rrjedhojë e ndryshimeve në ligjin organik të këtij Shërbimi, si dhe përmirësimin e tyre.</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uniformës dhe simboleve, si rrjedhojë e ndryshimeve në ligjin organik të këtij Shërbimi, si dhe përmirësimin e tyre.</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uniformës dhe simboleve, si rrjedhojë e ndryshimeve në ligjin organik të këtij Shërbimi, si dhe përmirësimin e tyre.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40</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përcaktimin e armatimit dhe mjeteve teknike të posaçme për punonjësit e Shërbimit të Sigurisë së Personaliteteve të Larta Shtetërore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 nënligjor në zbatim të projektligjit “Për Shërbimin e Sigurisë së Personaliteteve të Larta Shtetërore”</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Ky projektvendim synon të përcaktojë armatimin dhe mjetet teknike të posaçme për punonjësit e Shërbimit të Sigurisë së Personaliteteve të Larta Shtetërore, në qasje me ato të shërbimeve </w:t>
            </w:r>
            <w:r w:rsidRPr="00B130BB">
              <w:rPr>
                <w:rFonts w:ascii="Garamond" w:eastAsia="Times New Roman" w:hAnsi="Garamond" w:cs="Times New Roman"/>
                <w:spacing w:val="-4"/>
                <w:sz w:val="18"/>
                <w:szCs w:val="18"/>
                <w:lang w:val="sq-AL"/>
              </w:rPr>
              <w:lastRenderedPageBreak/>
              <w:t>homologe.</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Përcaktimi i armatimit dhe mjeteve teknike të posaçme për punonjësit e Shërbimit të Sigurisë së Personaliteteve të Larta Shtetërore, në qasje me ato të shërbimeve homologe.</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armatimit dhe mjeteve teknike të posaçme për punonjësit e Shërbimit të Sigurisë së Personaliteteve të Larta Shtetërore, në qasje me ato të shërbimeve homologe.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41</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përcaktimin e automjeteve të posaçme për transportin e Personaliteteve të Larta Shtetërore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 nënligjor në zbatim të projektligjit “Për Shërbimin e Sigurisë së Personaliteteve të Larta Shtetërore”</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synon të standardizojë automjetet e posaçme për transportin e personaliteteve të larta shtetërore</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Standardizimi i automjeteve të posaçme për transportin e Personaliteteve të Larta Shtetërore</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automjeteve të posaçme për transportin e Personaliteteve të Larta Shtetërore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42</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përcaktimin e simboleve, emblemave të personelit të Shërbimit të Sigurisë së Personaliteteve të Larta Shtetërore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 nënligjor në zbatim të projektligjit “Për Shërbimin e Sigurisë së Personaliteteve të Larta Shtetërore”</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synon përcaktimin e simboleve, emblemave të personelit, në Shërbimin e Sigurisë, rrjedhojë e ndryshimit të ligjit organik</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simboleve, emblemave të personelit, në Shërbimin e Sigurisë, në zbatim të projektligjit të ri për këtë shërbim.</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simboleve, emblemave të personelit, në Shërbimin e Sigurisë, në zbatim të projektligjit të ri për këtë shërbim.</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43</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 Për disa shtesa dhe ndryshime në ligjin nr. 121/2014 “Për azilin në Republikën e Shqipërisë”</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Përafrimi i mëtejshëm me </w:t>
            </w:r>
            <w:r w:rsidRPr="00B130BB">
              <w:rPr>
                <w:rFonts w:ascii="Garamond" w:eastAsia="Times New Roman" w:hAnsi="Garamond" w:cs="Times New Roman"/>
                <w:i/>
                <w:spacing w:val="-4"/>
                <w:sz w:val="18"/>
                <w:szCs w:val="18"/>
                <w:lang w:val="sq-AL"/>
              </w:rPr>
              <w:t>acuqis</w:t>
            </w:r>
            <w:r w:rsidRPr="00B130BB">
              <w:rPr>
                <w:rFonts w:ascii="Garamond" w:eastAsia="Times New Roman" w:hAnsi="Garamond" w:cs="Times New Roman"/>
                <w:spacing w:val="-4"/>
                <w:sz w:val="18"/>
                <w:szCs w:val="18"/>
                <w:lang w:val="sq-AL"/>
              </w:rPr>
              <w:t xml:space="preserve"> e fushës së Azilit të kapitulli 24 “Drejtësia, liria dhe siguria” të Bashkimit Evropian</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Ky projektligj synon të përafrojë më tej procedurat në kuadër të mbrojtjes ndërkombëtare në Republikën e Shqipërisë me </w:t>
            </w:r>
            <w:r w:rsidRPr="00B130BB">
              <w:rPr>
                <w:rFonts w:ascii="Garamond" w:eastAsia="Times New Roman" w:hAnsi="Garamond" w:cs="Times New Roman"/>
                <w:i/>
                <w:spacing w:val="-4"/>
                <w:sz w:val="18"/>
                <w:szCs w:val="18"/>
                <w:lang w:val="sq-AL"/>
              </w:rPr>
              <w:t>acquis</w:t>
            </w:r>
            <w:r w:rsidRPr="00B130BB">
              <w:rPr>
                <w:rFonts w:ascii="Garamond" w:eastAsia="Times New Roman" w:hAnsi="Garamond" w:cs="Times New Roman"/>
                <w:spacing w:val="-4"/>
                <w:sz w:val="18"/>
                <w:szCs w:val="18"/>
                <w:lang w:val="sq-AL"/>
              </w:rPr>
              <w:t xml:space="preserve"> të Bashkimit Evropian dhe të fuqizojë sistemin e azilit në vend në përputhje me këto standarde.</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Përafrimi i mëtejshëm i procedurave për dhënien e statusit të refugjatit dhe të mbrojtjes plotësuese në Republikën e Shqipërisë me </w:t>
            </w:r>
            <w:r w:rsidRPr="00B130BB">
              <w:rPr>
                <w:rFonts w:ascii="Garamond" w:eastAsia="Times New Roman" w:hAnsi="Garamond" w:cs="Times New Roman"/>
                <w:i/>
                <w:spacing w:val="-4"/>
                <w:sz w:val="18"/>
                <w:szCs w:val="18"/>
                <w:lang w:val="sq-AL"/>
              </w:rPr>
              <w:t>acquis</w:t>
            </w:r>
            <w:r w:rsidRPr="00B130BB">
              <w:rPr>
                <w:rFonts w:ascii="Garamond" w:eastAsia="Times New Roman" w:hAnsi="Garamond" w:cs="Times New Roman"/>
                <w:spacing w:val="-4"/>
                <w:sz w:val="18"/>
                <w:szCs w:val="18"/>
                <w:lang w:val="sq-AL"/>
              </w:rPr>
              <w:t xml:space="preserve"> të Bashkimit Evropian, i procedurave për kategori të veçanta dhe vulnerabël, si dhe fuqizimi i sistemit të azilit në vend në përputhje me këto standarde.</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Përafrimi i mëtejshëm i procedurave për dhënien e statusit të refugjatit dhe të mbrojtjes plotësuese në Republikën e Shqipërisë me </w:t>
            </w:r>
            <w:r w:rsidRPr="00B130BB">
              <w:rPr>
                <w:rFonts w:ascii="Garamond" w:eastAsia="Times New Roman" w:hAnsi="Garamond" w:cs="Times New Roman"/>
                <w:i/>
                <w:spacing w:val="-4"/>
                <w:sz w:val="18"/>
                <w:szCs w:val="18"/>
                <w:lang w:val="sq-AL"/>
              </w:rPr>
              <w:t>acquis</w:t>
            </w:r>
            <w:r w:rsidRPr="00B130BB">
              <w:rPr>
                <w:rFonts w:ascii="Garamond" w:eastAsia="Times New Roman" w:hAnsi="Garamond" w:cs="Times New Roman"/>
                <w:spacing w:val="-4"/>
                <w:sz w:val="18"/>
                <w:szCs w:val="18"/>
                <w:lang w:val="sq-AL"/>
              </w:rPr>
              <w:t xml:space="preserve"> të Bashkimit Evropian, i procedurave për kategori të veçanta dhe vulnerabël, si dhe fuqizimi i sistemit të azilit në vend në përputhje me këto standarde.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 Është parashikuar si masë ligjore në Planin Kombëtar për Integrimin Evropian, në kapitullin 24 “Drejtësia, liria dhe siguria”</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 Politika e jashtme dhe e sigurisë, integrimi evropian dhe shqiptarët në botë.</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44</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 Për terrorizmin</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Mungesa e parashikimeve ligjore për kryerjen e veprimeve të ngutshme policore, në fushën e luftës kundër terrorizmit.</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Të rriten kapacitetet dhe instrumentet ligjore në dispozicion të strukturave antiterror në Policinë e Shtetit për të reaguar në kohë në parandalimin, </w:t>
            </w:r>
            <w:r w:rsidRPr="00B130BB">
              <w:rPr>
                <w:rFonts w:ascii="Garamond" w:eastAsia="Times New Roman" w:hAnsi="Garamond" w:cs="Times New Roman"/>
                <w:spacing w:val="-4"/>
                <w:sz w:val="18"/>
                <w:szCs w:val="18"/>
                <w:lang w:val="sq-AL"/>
              </w:rPr>
              <w:lastRenderedPageBreak/>
              <w:t>zbulimin dhe goditjen e çdo aktiviteti apo veprimtarie të dyshuar terroriste.</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Plotësimi dhe përafrimi i legjislacionit në fushën e luftës kundër terrorizmit me legjislacionin e BE</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Ligji përcakton kompetencën lëndore të hetimit të këtyre veprave nga strukturat e Drejtorisë së Antiterrorit, objektin e punës, </w:t>
            </w:r>
            <w:r w:rsidRPr="00B130BB">
              <w:rPr>
                <w:rFonts w:ascii="Garamond" w:eastAsia="Times New Roman" w:hAnsi="Garamond" w:cs="Times New Roman"/>
                <w:spacing w:val="-4"/>
                <w:sz w:val="18"/>
                <w:szCs w:val="18"/>
                <w:lang w:val="sq-AL"/>
              </w:rPr>
              <w:lastRenderedPageBreak/>
              <w:t>kompetencat, përgjegjësitë dhe lehtësimin gjatë veprimtarisë policorë/hetimore.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Po. Është parashikuar si masë ligjore në planin kombëtar për Integrimin </w:t>
            </w:r>
            <w:r w:rsidRPr="00B130BB">
              <w:rPr>
                <w:rFonts w:ascii="Garamond" w:eastAsia="Times New Roman" w:hAnsi="Garamond" w:cs="Times New Roman"/>
                <w:spacing w:val="-4"/>
                <w:sz w:val="18"/>
                <w:szCs w:val="18"/>
                <w:lang w:val="sq-AL"/>
              </w:rPr>
              <w:lastRenderedPageBreak/>
              <w:t>Evropian, në kapitullin 24 “Drejtësia, liria dhe siguria”</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3.1 Shteti ligjor dhe drejtësia e re - Rendi dhe siguria publike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45</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miratimin e Planit Kombëtar Zhvillimor për Migracionin </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Nevojë e institucionit.</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Miratimi i këtij Plani synon përcaktimin e reformave në fushën e migrimit për menaxhimin e suksesshëm të kësaj dukurie, si dhe të përcaktojë, me hollësi, objektivat, veprimtaritë, rolet e përgjegjësitë institucionale dhe efektin financiar për zbatimin e këtij plani. </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Përcaktimi i reformave në fushën e migrimit për menaxhimin e suksesshëm të kësaj dukurie, si dhe të përcaktojë, me hollësi, objektivat, veprimtaritë, rolet e përgjegjësitë institucionale dhe efektin financiar për zbatimin e këtij plani. </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Përcaktimi i reformave në fushën e migrimit për menaxhimin e suksesshëm të kësaj dukurie, si dhe të përcaktojë, me hollësi, objektivat, veprimtaritë, rolet e përgjegjësitë institucionale dhe efektin financiar për zbatimin e këtij plani. </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46</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miratimin e Rregullores së Shërbimit të Sigurisë</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 nënligjor në zbatim të projektligjit “Për Shërbimin e Sigurisë së Personaliteteve të Larta Shtetërore”</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rregullave mbi etikën, disiplinën dhe trajtimin e personelit të Shërbimit të Sigurisë së Personaliteteve të Larta Shtetërore.</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rregullave mbi etikën, disiplinën dhe trajtimin e personelit të Shërbimit të Sigurisë së Personaliteteve të Larta Shtetërore, sipas çështjeve që delegon ligji dhe në përputhje me parashikimet e projektligjit të ri për këtë shërbim.</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Etika, disiplina dhe çështje të tjera të trajtimit të personelit sipas autorizimit ligjor.</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47</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miratimin e stemës, uniformës, flamurit, gradave dhe shenjave dalluese të shërbimit të MZSH-së</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 nënligjor në zbatim të ligjit nr. 152/2015 “Për shërbimin e mbrojtjes nga zjarri dhe shpëtimin”.</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i stemës, uniformës, flamurit, gradave dhe shenjave dalluese të shërbimit të MZSH-së</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i stemës, uniformës, flamurit, gradave dhe shenjave dalluese të shërbimit të MZSH-së</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i stemës, uniformës, flamurit, gradave dhe shenjave dalluese të shërbimit të MZSH-së</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3.1 Shteti ligjor dhe Drejtësia e re - Rendi dhe siguria publike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48</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përcaktimin </w:t>
            </w:r>
            <w:r w:rsidRPr="00B130BB">
              <w:rPr>
                <w:rFonts w:ascii="Garamond" w:eastAsia="Times New Roman" w:hAnsi="Garamond" w:cs="Times New Roman"/>
                <w:spacing w:val="-4"/>
                <w:sz w:val="18"/>
                <w:szCs w:val="18"/>
                <w:lang w:val="sq-AL"/>
              </w:rPr>
              <w:lastRenderedPageBreak/>
              <w:t>e detyrimeve të transportuesit për transmetimin paraprak të Listës se Pasagjerëve sipas standardeve API</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Detyrimi për ngritjen e sistemit </w:t>
            </w:r>
            <w:r w:rsidRPr="00B130BB">
              <w:rPr>
                <w:rFonts w:ascii="Garamond" w:eastAsia="Times New Roman" w:hAnsi="Garamond" w:cs="Times New Roman"/>
                <w:spacing w:val="-4"/>
                <w:sz w:val="18"/>
                <w:szCs w:val="18"/>
                <w:lang w:val="sq-AL"/>
              </w:rPr>
              <w:lastRenderedPageBreak/>
              <w:t xml:space="preserve">API, si angazhim i Republikës së Shqipërisë për përafrimin e mëtejshëm më </w:t>
            </w:r>
            <w:r w:rsidRPr="00B130BB">
              <w:rPr>
                <w:rFonts w:ascii="Garamond" w:eastAsia="Times New Roman" w:hAnsi="Garamond" w:cs="Times New Roman"/>
                <w:i/>
                <w:spacing w:val="-4"/>
                <w:sz w:val="18"/>
                <w:szCs w:val="18"/>
                <w:lang w:val="sq-AL"/>
              </w:rPr>
              <w:t>acquis</w:t>
            </w:r>
            <w:r w:rsidRPr="00B130BB">
              <w:rPr>
                <w:rFonts w:ascii="Garamond" w:eastAsia="Times New Roman" w:hAnsi="Garamond" w:cs="Times New Roman"/>
                <w:spacing w:val="-4"/>
                <w:sz w:val="18"/>
                <w:szCs w:val="18"/>
                <w:lang w:val="sq-AL"/>
              </w:rPr>
              <w:t xml:space="preserve"> të BE, me Direktivën 2004/82 për API, Rezolutave 2178 dhe 2309 të Këshillit të Sigurisë të Kombeve të Bashkuara dhe - Standardit të ri 9.5 të ICAO </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Përcaktimi i modaliteteve të transmetimit të </w:t>
            </w:r>
            <w:r w:rsidRPr="00B130BB">
              <w:rPr>
                <w:rFonts w:ascii="Garamond" w:eastAsia="Times New Roman" w:hAnsi="Garamond" w:cs="Times New Roman"/>
                <w:spacing w:val="-4"/>
                <w:sz w:val="18"/>
                <w:szCs w:val="18"/>
                <w:lang w:val="sq-AL"/>
              </w:rPr>
              <w:lastRenderedPageBreak/>
              <w:t>të dhënave paraprake të pasagjerëve nga Transportuesi tek Autoriteti Shtetëror, ngarkuar për përpunimin dhe konsultimin e këtyre të dhënave</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Përputhshmëria me Direktivën </w:t>
            </w:r>
            <w:r w:rsidRPr="00B130BB">
              <w:rPr>
                <w:rFonts w:ascii="Garamond" w:eastAsia="Times New Roman" w:hAnsi="Garamond" w:cs="Times New Roman"/>
                <w:spacing w:val="-4"/>
                <w:sz w:val="18"/>
                <w:szCs w:val="18"/>
                <w:lang w:val="sq-AL"/>
              </w:rPr>
              <w:lastRenderedPageBreak/>
              <w:t>2004/82 të BE-së dhe Standardin 9.5 të ICAO për API (Informacionin e avancuar për pasagjerë)</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Normon ngritjen e sistemit API </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 Është parashi</w:t>
            </w:r>
            <w:r w:rsidRPr="00B130BB">
              <w:rPr>
                <w:rFonts w:ascii="Garamond" w:eastAsia="Times New Roman" w:hAnsi="Garamond" w:cs="Times New Roman"/>
                <w:spacing w:val="-4"/>
                <w:sz w:val="18"/>
                <w:szCs w:val="18"/>
                <w:lang w:val="sq-AL"/>
              </w:rPr>
              <w:lastRenderedPageBreak/>
              <w:t>kuar si masë ligjore në Planin Kombëtar për Integrimin Evropian, në kapitullin 24 “Drejtësia, liria dhe siguria”</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3.1 Shteti ligjor dhe drejtësia e </w:t>
            </w:r>
            <w:r w:rsidRPr="00B130BB">
              <w:rPr>
                <w:rFonts w:ascii="Garamond" w:eastAsia="Times New Roman" w:hAnsi="Garamond" w:cs="Times New Roman"/>
                <w:spacing w:val="-4"/>
                <w:sz w:val="18"/>
                <w:szCs w:val="18"/>
                <w:lang w:val="sq-AL"/>
              </w:rPr>
              <w:lastRenderedPageBreak/>
              <w:t xml:space="preserve">re - Rendi dhe siguria publike </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49</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miratimin në parim të “Marrëveshjes ndërmjet Këshillit të Ministrave të Republikës së Shqipërisë dhe Qeverise Greke, për rindërtimin, riparimin, dhe mirëmbajtjen e vijës kufitare dhe shenjave kufitare në kufirin shqiptaro-grek”.</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Forcimi i bashkëpunimit ndërkufitar ndërmjet Republikës së Shqipërisë dhe Qeverise Greke.</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Rindërtimi, riparimi dhe mirëmbajtja e vijës kufitare ndërmjet Republikës së Shqipërisë dhe Qeverisë Greke.</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Forcimi i bashkëpunimit ndërkufitar ndërmjet Republikës së Shqipërisë dhe Qeverise Greke.</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ndërmjet palëve i rregullave për rindërtimin, riparimin dhe mirëmbajtjen e vijës kufitare ndërmjet dy shteteve.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 Politika e jashtme dhe e sigurisë, integrimi evropian dhe shqiptarët në botë.</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50</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miratimin në parim të “Marrëveshjes ndërmjet “Këshillit të Ministrave të Republikës së Shqipërisë dhe </w:t>
            </w:r>
            <w:r w:rsidRPr="00B130BB">
              <w:rPr>
                <w:rFonts w:ascii="Garamond" w:eastAsia="Times New Roman" w:hAnsi="Garamond" w:cs="Times New Roman"/>
                <w:spacing w:val="-4"/>
                <w:sz w:val="18"/>
                <w:szCs w:val="18"/>
                <w:lang w:val="sq-AL"/>
              </w:rPr>
              <w:lastRenderedPageBreak/>
              <w:t>Qeverise Greke, për masat për parandalimin dhe zgjidhjen e incidenteve në kufirin shtetëror shqiptaro-grek”.</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Forcimi i bashkëpunimit ndërkufitar ndërmjet Republikës së Shqipërisë dhe Qeverise Greke.</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Parandalimi dhe zgjidhja e incidenteve të mundshme në kufirin shtetëror shqiptaro-grek”.</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Forcimi i bashkëpunimit ndërkufitar ndërmjet Republikës së Shqipërisë dhe Qeverise Greke.</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ndërmjet palëve i rregullave për parandalimin dhe zgjidhjen e incidenteve të mundshme në kufirin ndërmjet dy shteteve.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 Politika e jashtme dhe e sigurisë, integrimi evropian dhe shqiptarët në botë.</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51</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miratimin në parim të “Marrëveshjes ndërmjet Republikës së Shqipërisë, Republikës së Austrisë, Bosnje dhe Hercegovinës Republikës së Bullgarisë, Hungarisë, Republikës së Maqedonisë, Republikës së Moldavisë, Malit të Zi, Rumanisë, Republikës së Serbisë, Republikës së Sllovenisë, për shkëmbimin e automatizuar të të dhënave të ADN-së, daktiloskopike dhe regjistrimit të të dhënave të automjeteve”. </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Rritja e bashkëpunimit me qëllim shkëmbimin e të dhënave.</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Shkëmbimi i automatizuar të të dhënave të ADN-së, daktiloskopike dhe regjistrimit të të dhënave të automjeteve. </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Forcimi i bashkëpunimit në fushën e shkëmbimit të automatizuar të të dhënave të ADN-së, daktiloskopike dhe regjistrimit të të dhënave të automjeteve, ndërmjet Republikës së Shqipërisë, Republikës së Austrisë, Bosnje dhe Hercegovinës Republikës së Bullgarisë, Hungarisë, Republikës së Maqedonisë, Republikës së Moldavisë, Malit të Zi, Rumanisë, Republikës së Serbisë, Republikës së Sllovenisë.</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rregullave të bashkëpunimit në fushën e shkëmbimit të automatizuar të të dhënave të ADN-së, daktiloskopike dhe regjistrimit të të dhënave të automjeteve, ndërmjet shteteve palë të kësaj marrëveshjeje.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 Politika e jashtme dhe e sigurisë, integrimi evropian dhe shqiptarët në botë.</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52</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miratimin në parim të “Marrëveshjes ndërmjet Këshillit të </w:t>
            </w:r>
            <w:r w:rsidRPr="00B130BB">
              <w:rPr>
                <w:rFonts w:ascii="Garamond" w:eastAsia="Times New Roman" w:hAnsi="Garamond" w:cs="Times New Roman"/>
                <w:spacing w:val="-4"/>
                <w:sz w:val="18"/>
                <w:szCs w:val="18"/>
                <w:lang w:val="sq-AL"/>
              </w:rPr>
              <w:lastRenderedPageBreak/>
              <w:t xml:space="preserve">Ministrave të Republikës së Shqipërisë dhe Qeverisë së Republikës Islamike të Afganistanit mbi ripranimin e personave me qëndrim të paautorizuar” dhe “Protokollit ndërmjet Këshillit të Ministrave të Republikës së Shqipërisë dhe Qeverisë së Republikës Islamike të Afganistanit mbi zbatimin e Marrëveshjes ndërmjet Këshillit të Ministrave të Republikës së Shqipërisë dhe Qeverisë së Republikës Islamike të Afganistanit mbi ripranimin e personave me qëndrim të paautorizuar”. </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që buron nga zbatimi i Marrëveshjes së Stabilizim-Asociimit.</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Ripranimi i personave me qëndrim të paautorizuar në vendet respektive</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Ripranimi i personave me qëndrim të paautorizuar në vendet respektive</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rregullave për ripranimin e personave më qëndrim të paautorizuar.</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4. Politika e jashtme dhe e sigurisë, integrimi evropian dhe </w:t>
            </w:r>
            <w:r w:rsidRPr="00B130BB">
              <w:rPr>
                <w:rFonts w:ascii="Garamond" w:eastAsia="Times New Roman" w:hAnsi="Garamond" w:cs="Times New Roman"/>
                <w:spacing w:val="-4"/>
                <w:sz w:val="18"/>
                <w:szCs w:val="18"/>
                <w:lang w:val="sq-AL"/>
              </w:rPr>
              <w:lastRenderedPageBreak/>
              <w:t>shqiptarët në botë.</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53</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miratimin në parim të “Marrëveshjes ndërmjet Këshillit të Ministrave të Republikës së </w:t>
            </w:r>
            <w:r w:rsidRPr="00B130BB">
              <w:rPr>
                <w:rFonts w:ascii="Garamond" w:eastAsia="Times New Roman" w:hAnsi="Garamond" w:cs="Times New Roman"/>
                <w:spacing w:val="-4"/>
                <w:sz w:val="18"/>
                <w:szCs w:val="18"/>
                <w:lang w:val="sq-AL"/>
              </w:rPr>
              <w:lastRenderedPageBreak/>
              <w:t xml:space="preserve">Shqipërisë dhe Qeverisë së Republikës së Irakut mbi ripranimin e personave me qëndrim të paautorizuar” dhe “Protokollit ndërmjet Këshillit të Ministrave të Republikës së Shqipërisë dhe Qeverisë së Republikës së Irakut mbi zbatimin e Marrëveshjes ndërmjet Këshillit të Ministrave të Republikës së Shqipërisë dhe Qeverisë së Republikës së Irakut mbi ripranimin e personave me qëndrim të paautorizuar”. </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që buron nga zbatimi i Marrëveshjes së Stabilizim-Asociimit.</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Ripranimi i personave me qëndrim të paautorizuar në vendet respektive</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Ripranimi i personave me qëndrim të paautorizuar në vendet respektive</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rregullave për ripranimin e personave më qëndrim të paautorizuar.</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 Politika e jashtme dhe e sigurisë, integrimi evropian dhe shqiptarët në botë.</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54</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miratimin në parim të “Marrëveshjes ndërmjet Këshillit të Ministrave të Republikës së Shqipërisë dhe Qeverisë së Republikës Islamike të Iranit mbi ripranimin e </w:t>
            </w:r>
            <w:r w:rsidRPr="00B130BB">
              <w:rPr>
                <w:rFonts w:ascii="Garamond" w:eastAsia="Times New Roman" w:hAnsi="Garamond" w:cs="Times New Roman"/>
                <w:spacing w:val="-4"/>
                <w:sz w:val="18"/>
                <w:szCs w:val="18"/>
                <w:lang w:val="sq-AL"/>
              </w:rPr>
              <w:lastRenderedPageBreak/>
              <w:t xml:space="preserve">personave me qëndrim të paautorizuar” dhe “Protokollit ndërmjet Këshillit të Ministrave të Republikës së Shqipërisë dhe Qeverisë së Republikës Islamike të Iranit mbi zbatimin e Marrëveshjes ndërmjet Këshillit të Ministrave të Republikës së Shqipërisë dhe Qeverisë së Republikës Islamike të Iranit mbi ripranimin e personave me qëndrim të paautorizuar”. </w:t>
            </w:r>
          </w:p>
          <w:p w:rsidR="00B130BB" w:rsidRPr="00B130BB" w:rsidRDefault="00B130BB" w:rsidP="00B130BB">
            <w:pPr>
              <w:spacing w:after="0" w:line="240" w:lineRule="auto"/>
              <w:rPr>
                <w:rFonts w:ascii="Garamond" w:eastAsia="Times New Roman" w:hAnsi="Garamond" w:cs="Times New Roman"/>
                <w:spacing w:val="-4"/>
                <w:sz w:val="18"/>
                <w:szCs w:val="18"/>
                <w:lang w:val="sq-AL"/>
              </w:rPr>
            </w:pPr>
          </w:p>
          <w:p w:rsidR="00B130BB" w:rsidRPr="00B130BB" w:rsidRDefault="00B130BB" w:rsidP="00B130BB">
            <w:pPr>
              <w:spacing w:after="0" w:line="240" w:lineRule="auto"/>
              <w:rPr>
                <w:rFonts w:ascii="Garamond" w:eastAsia="Times New Roman" w:hAnsi="Garamond" w:cs="Times New Roman"/>
                <w:spacing w:val="-4"/>
                <w:sz w:val="18"/>
                <w:szCs w:val="18"/>
                <w:lang w:val="sq-AL"/>
              </w:rPr>
            </w:pP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që buron nga zbatimi i Marrëveshjes së Stabilizim-Asociimit.</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Ripranimimi i personave me qëndrim të paautorizuar në vendet respektive</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Ripranimi i personave me qëndrim të paautorizuar në vendet respektive</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rregullave për ripranimin e personave më qëndrim të paautorizuar.</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 Politika e jashtme dhe e sigurisë, integrimi evropian dhe shqiptarët në botë.</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55</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miratimin në parim të “Marrëveshjes ndërmjet Këshillit të Ministrave të Republikës së Shqipërisë dhe Qeverisë së Mbretërisë së Marokut mbi ripranimin e personave me qëndrim të paautorizuar” dhe </w:t>
            </w:r>
            <w:r w:rsidRPr="00B130BB">
              <w:rPr>
                <w:rFonts w:ascii="Garamond" w:eastAsia="Times New Roman" w:hAnsi="Garamond" w:cs="Times New Roman"/>
                <w:spacing w:val="-4"/>
                <w:sz w:val="18"/>
                <w:szCs w:val="18"/>
                <w:lang w:val="sq-AL"/>
              </w:rPr>
              <w:lastRenderedPageBreak/>
              <w:t xml:space="preserve">“Protokollit ndërmjet Këshillit të Ministrave të Republikës së Shqipërisë dhe Qeverisë së Mbretërisë së Marokut mbi zbatimin e Marrëveshjes ndërmjet Këshillit të Ministrave të Republikës së Shqipërisë dhe Qeverisë së Mbretërisë së Marokut mbi ripranimin e personave me qëndrim të paautorizuar”. </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që buron nga zbatimi i Marrëveshjes së Stabilizim-Asociimit.</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Ripranimimi i personave me qëndrim të paautorizuar në vendet respektive</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Ripranimi i personave me qëndrim të paautorizuar në vendet respektive</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rregullave për ripranimin e personave më qëndrim të paautorizuar.</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 Politika e jashtme dhe e sigurisë, integrimi evropian dhe shqiptarët në botë.</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56</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propozimin e projektligjit për aderimin e Republikës së Shqipërisë në “Protokollin 2005 të Konventës për ndalimin e akteve të paligjshme kundër sigurisë së lundrimit detar” dhe “Protokollin 2005, të Protokollit të Konventës për ndalimin e akteve të </w:t>
            </w:r>
            <w:r w:rsidRPr="00B130BB">
              <w:rPr>
                <w:rFonts w:ascii="Garamond" w:eastAsia="Times New Roman" w:hAnsi="Garamond" w:cs="Times New Roman"/>
                <w:spacing w:val="-4"/>
                <w:sz w:val="18"/>
                <w:szCs w:val="18"/>
                <w:lang w:val="sq-AL"/>
              </w:rPr>
              <w:lastRenderedPageBreak/>
              <w:t>paligjshme kundër sigurisë së platformave fikse të vendosura në shelfin kontinental”.</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Aderimi i Republikës së Shqipërisë në këto dy Protokolle.</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Aderimi në këto organizma synon të forcojë bashkëpunimin dhe përmirësimin e shkëmbimit të informacionit ndërmjet Republikës së Shqipërisë dhe Organizatës Ndërkombëtare Detare (IMO), për të rritur efikasitetin në luftën kundër krimit të organizuar, terrorizmit, në aspektin e sigurisë detare duke bashkëvepruar me organet kompetente. </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Rritja e efikasitetit në luftën kundër krimit të organizuar, terrorizmit, në aspektin e sigurisë detare duke bashkëvepruar me organet kompetente. </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rregullave për ripranimin e personave më qëndrim të paautorizuar.</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 Politika e jashtme dhe e sigurisë, integrimi evropian dhe shqiptarët në botë.</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57</w:t>
            </w:r>
          </w:p>
        </w:tc>
        <w:tc>
          <w:tcPr>
            <w:tcW w:w="79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 Për miratimin e Marrëveshjes së Bashkëpunimit ndërmjet Këshillit të Ministrave të Republikës së Shqipërisë dhe Komisionit Ndërkombëtar për Personat e Humbur (ICMP).</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Katërmujori III </w:t>
            </w:r>
          </w:p>
        </w:tc>
        <w:tc>
          <w:tcPr>
            <w:tcW w:w="61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Nevojë ndërinstitucionale.</w:t>
            </w:r>
          </w:p>
        </w:tc>
        <w:tc>
          <w:tcPr>
            <w:tcW w:w="5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Nëpërmjet kësaj Marrëveshjeje synohet të sigurohet gjetja dhe identifikimi i personave të zhdukur, në Republikën e Shqipërisë, si pasojë e periudhës komuniste të viteve 1945–1991. </w:t>
            </w:r>
          </w:p>
        </w:tc>
        <w:tc>
          <w:tcPr>
            <w:tcW w:w="6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Gjetja dhe identifikimi i personave të zhdukur, në Republikën e Shqipërisë, si pasojë e periudhës komuniste të viteve 1945–1991. </w:t>
            </w:r>
          </w:p>
        </w:tc>
        <w:tc>
          <w:tcPr>
            <w:tcW w:w="54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Njohja e Statusit të Komisionit Ndërkombëtar për Personat e Humbur, përcaktimi i rregullave të funksionimit të kësaj organizate dhe personelit të saj në territorin e Republikës së Shqipërisë, bashkëpunimi me institucionet shqiptare për gjetjen dhe identifikimin e personave të zhdukur, në Republikën e Shqipërisë, si pasojë e periudhës komuniste të viteve 1945–1991. </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 Politika e jashtme dhe e sigurisë, integrimi evropian dhe shqiptarët në botë.</w:t>
            </w:r>
          </w:p>
        </w:tc>
      </w:tr>
    </w:tbl>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tbl>
      <w:tblPr>
        <w:tblW w:w="5000" w:type="pct"/>
        <w:tblLook w:val="04A0" w:firstRow="1" w:lastRow="0" w:firstColumn="1" w:lastColumn="0" w:noHBand="0" w:noVBand="1"/>
      </w:tblPr>
      <w:tblGrid>
        <w:gridCol w:w="403"/>
        <w:gridCol w:w="1082"/>
        <w:gridCol w:w="1172"/>
        <w:gridCol w:w="896"/>
        <w:gridCol w:w="1053"/>
        <w:gridCol w:w="1062"/>
        <w:gridCol w:w="1032"/>
        <w:gridCol w:w="1094"/>
        <w:gridCol w:w="805"/>
        <w:gridCol w:w="977"/>
      </w:tblGrid>
      <w:tr w:rsidR="00B130BB" w:rsidRPr="00B130BB" w:rsidTr="00842C95">
        <w:trPr>
          <w:trHeight w:val="180"/>
        </w:trPr>
        <w:tc>
          <w:tcPr>
            <w:tcW w:w="5000" w:type="pct"/>
            <w:gridSpan w:val="10"/>
            <w:tcBorders>
              <w:top w:val="nil"/>
              <w:left w:val="nil"/>
              <w:bottom w:val="nil"/>
              <w:right w:val="nil"/>
            </w:tcBorders>
            <w:shd w:val="clear" w:color="auto" w:fill="auto"/>
            <w:vAlign w:val="bottom"/>
            <w:hideMark/>
          </w:tcPr>
          <w:p w:rsidR="00B130BB" w:rsidRPr="00B130BB" w:rsidRDefault="00B130BB" w:rsidP="00B130BB">
            <w:pPr>
              <w:spacing w:after="0" w:line="240" w:lineRule="auto"/>
              <w:jc w:val="center"/>
              <w:rPr>
                <w:rFonts w:ascii="Garamond" w:eastAsia="Times New Roman" w:hAnsi="Garamond" w:cs="Times New Roman"/>
                <w:b/>
                <w:bCs/>
                <w:color w:val="000000"/>
                <w:spacing w:val="-4"/>
                <w:sz w:val="18"/>
                <w:szCs w:val="18"/>
                <w:lang w:val="sq-AL"/>
              </w:rPr>
            </w:pPr>
            <w:bookmarkStart w:id="8" w:name="RANGE!A1:J44"/>
            <w:r w:rsidRPr="00B130BB">
              <w:rPr>
                <w:rFonts w:ascii="Garamond" w:eastAsia="Times New Roman" w:hAnsi="Garamond" w:cs="Times New Roman"/>
                <w:b/>
                <w:bCs/>
                <w:color w:val="000000"/>
                <w:spacing w:val="-4"/>
                <w:sz w:val="18"/>
                <w:szCs w:val="18"/>
                <w:lang w:val="sq-AL"/>
              </w:rPr>
              <w:t>PROGRAMI I PËRGJITHSHËM ANALITIK I PROJEKTAKTEVE PËR VITIN 2018</w:t>
            </w:r>
            <w:bookmarkEnd w:id="8"/>
          </w:p>
        </w:tc>
      </w:tr>
      <w:tr w:rsidR="00B130BB" w:rsidRPr="00B130BB" w:rsidTr="00842C95">
        <w:trPr>
          <w:trHeight w:val="180"/>
        </w:trPr>
        <w:tc>
          <w:tcPr>
            <w:tcW w:w="5000" w:type="pct"/>
            <w:gridSpan w:val="10"/>
            <w:tcBorders>
              <w:top w:val="nil"/>
              <w:left w:val="nil"/>
              <w:bottom w:val="nil"/>
              <w:right w:val="nil"/>
            </w:tcBorders>
            <w:shd w:val="clear" w:color="auto" w:fill="auto"/>
            <w:vAlign w:val="bottom"/>
            <w:hideMark/>
          </w:tcPr>
          <w:p w:rsidR="00B130BB" w:rsidRPr="00B130BB" w:rsidRDefault="00B130BB" w:rsidP="00B130BB">
            <w:pPr>
              <w:spacing w:after="0" w:line="240" w:lineRule="auto"/>
              <w:jc w:val="center"/>
              <w:rPr>
                <w:rFonts w:ascii="Garamond" w:eastAsia="Times New Roman" w:hAnsi="Garamond" w:cs="Times New Roman"/>
                <w:b/>
                <w:bCs/>
                <w:color w:val="000000"/>
                <w:spacing w:val="-4"/>
                <w:sz w:val="18"/>
                <w:szCs w:val="18"/>
                <w:lang w:val="sq-AL"/>
              </w:rPr>
            </w:pPr>
            <w:r w:rsidRPr="00B130BB">
              <w:rPr>
                <w:rFonts w:ascii="Garamond" w:eastAsia="Times New Roman" w:hAnsi="Garamond" w:cs="Times New Roman"/>
                <w:b/>
                <w:bCs/>
                <w:color w:val="000000"/>
                <w:spacing w:val="-4"/>
                <w:sz w:val="18"/>
                <w:szCs w:val="18"/>
                <w:lang w:val="sq-AL"/>
              </w:rPr>
              <w:t>MINISTRIA E DREJTËSISË</w:t>
            </w:r>
          </w:p>
        </w:tc>
      </w:tr>
      <w:tr w:rsidR="00B130BB" w:rsidRPr="00B130BB" w:rsidTr="00842C95">
        <w:trPr>
          <w:trHeight w:val="180"/>
        </w:trPr>
        <w:tc>
          <w:tcPr>
            <w:tcW w:w="153" w:type="pct"/>
            <w:tcBorders>
              <w:top w:val="single" w:sz="4" w:space="0" w:color="FFFFFF"/>
              <w:left w:val="single" w:sz="4" w:space="0" w:color="FFFFFF"/>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Nr.</w:t>
            </w:r>
          </w:p>
        </w:tc>
        <w:tc>
          <w:tcPr>
            <w:tcW w:w="994"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Titulli i projektaktit</w:t>
            </w:r>
          </w:p>
        </w:tc>
        <w:tc>
          <w:tcPr>
            <w:tcW w:w="496"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 xml:space="preserve">Ministri propozues dhe bashkëpropozues </w:t>
            </w:r>
          </w:p>
        </w:tc>
        <w:tc>
          <w:tcPr>
            <w:tcW w:w="373"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Katërmujori</w:t>
            </w:r>
          </w:p>
        </w:tc>
        <w:tc>
          <w:tcPr>
            <w:tcW w:w="553"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Arsyeja e nxjerrjes së projektaktit</w:t>
            </w:r>
          </w:p>
        </w:tc>
        <w:tc>
          <w:tcPr>
            <w:tcW w:w="542"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Qëllimi i projektaktit</w:t>
            </w:r>
          </w:p>
        </w:tc>
        <w:tc>
          <w:tcPr>
            <w:tcW w:w="557"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Objektivat që kërkon të realizojë projektakti</w:t>
            </w:r>
          </w:p>
        </w:tc>
        <w:tc>
          <w:tcPr>
            <w:tcW w:w="568"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Çështjet që rregullon projektakti</w:t>
            </w:r>
          </w:p>
        </w:tc>
        <w:tc>
          <w:tcPr>
            <w:tcW w:w="333"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Lidhja me Planin Kombëtar për Integrimin Evropian</w:t>
            </w:r>
          </w:p>
        </w:tc>
        <w:tc>
          <w:tcPr>
            <w:tcW w:w="430"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Lidhja me programin qeverisës 2017–2021</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Projektligj - Ndryshime në ligjin nr. </w:t>
            </w:r>
            <w:r w:rsidRPr="00B130BB">
              <w:rPr>
                <w:rFonts w:ascii="Garamond" w:eastAsia="Times New Roman" w:hAnsi="Garamond" w:cs="Times New Roman"/>
                <w:spacing w:val="-4"/>
                <w:sz w:val="18"/>
                <w:szCs w:val="18"/>
                <w:lang w:val="sq-AL"/>
              </w:rPr>
              <w:lastRenderedPageBreak/>
              <w:t xml:space="preserve">1032, datë 11.12.2008, “Për policinë e burgjeve”, i ndryshuar </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Drejtësisë</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Ligji ekzistues nuk </w:t>
            </w:r>
            <w:r w:rsidRPr="00B130BB">
              <w:rPr>
                <w:rFonts w:ascii="Garamond" w:eastAsia="Times New Roman" w:hAnsi="Garamond" w:cs="Times New Roman"/>
                <w:spacing w:val="-4"/>
                <w:sz w:val="18"/>
                <w:szCs w:val="18"/>
                <w:lang w:val="sq-AL"/>
              </w:rPr>
              <w:lastRenderedPageBreak/>
              <w:t>parashikon qasje bashkëkohore të menaxhimit të sigurisë në burgje.</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Përmirësimi i të drejtave dhe </w:t>
            </w:r>
            <w:r w:rsidRPr="00B130BB">
              <w:rPr>
                <w:rFonts w:ascii="Garamond" w:eastAsia="Times New Roman" w:hAnsi="Garamond" w:cs="Times New Roman"/>
                <w:spacing w:val="-4"/>
                <w:sz w:val="18"/>
                <w:szCs w:val="18"/>
                <w:lang w:val="sq-AL"/>
              </w:rPr>
              <w:lastRenderedPageBreak/>
              <w:t xml:space="preserve">kushteve të punësimit të punonjësve të policisë së burgjeve </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Të sigurojë krijimin e një sistemi </w:t>
            </w:r>
            <w:r w:rsidRPr="00B130BB">
              <w:rPr>
                <w:rFonts w:ascii="Garamond" w:eastAsia="Times New Roman" w:hAnsi="Garamond" w:cs="Times New Roman"/>
                <w:spacing w:val="-4"/>
                <w:sz w:val="18"/>
                <w:szCs w:val="18"/>
                <w:lang w:val="sq-AL"/>
              </w:rPr>
              <w:lastRenderedPageBreak/>
              <w:t>sipas standardeve evropiane për menaxhimin e sigurisë në burgje nëpërmjet forcimit të kapaciteteve të stafit të policisë.</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Përqasja me standardet e Bashkimit </w:t>
            </w:r>
            <w:r w:rsidRPr="00B130BB">
              <w:rPr>
                <w:rFonts w:ascii="Garamond" w:eastAsia="Times New Roman" w:hAnsi="Garamond" w:cs="Times New Roman"/>
                <w:spacing w:val="-4"/>
                <w:sz w:val="18"/>
                <w:szCs w:val="18"/>
                <w:lang w:val="sq-AL"/>
              </w:rPr>
              <w:lastRenderedPageBreak/>
              <w:t xml:space="preserve">Evropian për menaxhimin e sigurisë në burgje dhe trajtimin e stafit policor. </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Pika 3.1 Shteti ligjor dhe </w:t>
            </w:r>
            <w:r w:rsidRPr="00B130BB">
              <w:rPr>
                <w:rFonts w:ascii="Garamond" w:eastAsia="Times New Roman" w:hAnsi="Garamond" w:cs="Times New Roman"/>
                <w:spacing w:val="-4"/>
                <w:sz w:val="18"/>
                <w:szCs w:val="18"/>
                <w:lang w:val="sq-AL"/>
              </w:rPr>
              <w:lastRenderedPageBreak/>
              <w:t>Drejtësia e Re</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 Për funksionimin e kontrollit të brendshëm në sistemin e burgjeve, në Ministrinë e Drejtësisë</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Është e nevojshme për përmirësimin dhe rikonceptimin e këtij shërbimi.</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Përcaktimi i misionit, organizimi, funksionimi, pozitën juridike të SHKKBB-se si dhe statusin e punonjësit të këtij Shërbimi. </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Përmirësimi dhe rritja e cilësisë së shërbimit, duke përcaktuar qartë kompetencat, strukturën mënyrën e rekrutimit të stafit.</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Rregullat e organizimit dhe funksionimit të këtij institucioni</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Pika 3.1 Shteti ligjor dhe Drejtësia e re</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 Ndryshime në ligjin nr. 8328 datë 16.04.1998 “Për të Drejtat dhe Trajtimin e të Dënuarve me Burgim dhe Paraburgosurve”, i ndryshuar</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Qasja me praktikat bashkëkohore të menaxhimit të sigurisë në burgje dhe përcaktimi i instrumentit për vlerësimin e rrezikshmërisë së të burgosurve dhe kategorizimin e burgjeve. </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Krijimi i një baze të plotë ligjore për administrimin dhe menaxhimin e sistemit të burgjeve sipas Rregullave Evropiane të Burgjeve</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Të përmirësojë të drejtat dhe trajtimin e të dënuarve dhe paraburgosurve në sistemin e burgjeve në përputhje të plotë me </w:t>
            </w:r>
            <w:r w:rsidRPr="00B130BB">
              <w:rPr>
                <w:rFonts w:ascii="Garamond" w:eastAsia="Times New Roman" w:hAnsi="Garamond" w:cs="Times New Roman"/>
                <w:i/>
                <w:spacing w:val="-4"/>
                <w:sz w:val="18"/>
                <w:szCs w:val="18"/>
                <w:lang w:val="sq-AL"/>
              </w:rPr>
              <w:t>acquis communataire</w:t>
            </w:r>
            <w:r w:rsidRPr="00B130BB">
              <w:rPr>
                <w:rFonts w:ascii="Garamond" w:eastAsia="Times New Roman" w:hAnsi="Garamond" w:cs="Times New Roman"/>
                <w:spacing w:val="-4"/>
                <w:sz w:val="18"/>
                <w:szCs w:val="18"/>
                <w:lang w:val="sq-AL"/>
              </w:rPr>
              <w:t xml:space="preserve">. </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Përmirësimi i administrimit të institucioneve penitenciare dhe ulja e mbipopullimit.</w:t>
            </w:r>
            <w:r w:rsidRPr="00B130BB">
              <w:rPr>
                <w:rFonts w:ascii="Garamond" w:eastAsia="Times New Roman" w:hAnsi="Garamond" w:cs="Times New Roman"/>
                <w:spacing w:val="-4"/>
                <w:sz w:val="18"/>
                <w:szCs w:val="18"/>
                <w:lang w:val="sq-AL"/>
              </w:rPr>
              <w:br/>
              <w:t>Akti lidhet me Strategjia NdërsektorIale e Drejtësisë 2017–2021</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Pika 3.1 Shteti ligjor dhe Drejtësia e re</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 Për Agjencinë e Integruar të Titujve të Pronësisë</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Reformimi i titujve të pronësisë. Rregullimi i aspekteve procedurale që lidhen me titujt e pronësisë</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Zgjidhja e problematikave disavjeçare të çështjeve të titujve të pronësisë</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Zgjidhja e çështjeve procedurale që lidhen me regjistrimin e pasurive të paluajtshme në mënyrë të veçantë pasurisë së legalizuar/titullit të pronësisë për ndërtimet informale</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Krijimi, organizimi dhe funksionimi i agjencisë për regjistrimin e titujve të pronësisë , si një entitet i integruar</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Pika 3.1 Shteti ligjor dhe Drejtësia e re</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5</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Projektligj - “Për </w:t>
            </w:r>
            <w:r w:rsidRPr="00B130BB">
              <w:rPr>
                <w:rFonts w:ascii="Garamond" w:eastAsia="Times New Roman" w:hAnsi="Garamond" w:cs="Times New Roman"/>
                <w:spacing w:val="-4"/>
                <w:sz w:val="18"/>
                <w:szCs w:val="18"/>
                <w:lang w:val="sq-AL"/>
              </w:rPr>
              <w:lastRenderedPageBreak/>
              <w:t>Shërbimin e Provës”</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Drejtësisë</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Në përputhje </w:t>
            </w:r>
            <w:r w:rsidRPr="00B130BB">
              <w:rPr>
                <w:rFonts w:ascii="Garamond" w:eastAsia="Times New Roman" w:hAnsi="Garamond" w:cs="Times New Roman"/>
                <w:spacing w:val="-4"/>
                <w:sz w:val="18"/>
                <w:szCs w:val="18"/>
                <w:lang w:val="sq-AL"/>
              </w:rPr>
              <w:lastRenderedPageBreak/>
              <w:t xml:space="preserve">me garancitë dhe standardet që janë përcaktuar në vite nga Komiteti i Ministrave i Këshillit të Evropës </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Përmirësimi i </w:t>
            </w:r>
            <w:r w:rsidRPr="00B130BB">
              <w:rPr>
                <w:rFonts w:ascii="Garamond" w:eastAsia="Times New Roman" w:hAnsi="Garamond" w:cs="Times New Roman"/>
                <w:spacing w:val="-4"/>
                <w:sz w:val="18"/>
                <w:szCs w:val="18"/>
                <w:lang w:val="sq-AL"/>
              </w:rPr>
              <w:lastRenderedPageBreak/>
              <w:t>veprimtarisë së institucionit. Nevojat e diktuara në zbatim të Kodit të Drejtësisë Penale për të Mitur</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Rritja e cilësisë së </w:t>
            </w:r>
            <w:r w:rsidRPr="00B130BB">
              <w:rPr>
                <w:rFonts w:ascii="Garamond" w:eastAsia="Times New Roman" w:hAnsi="Garamond" w:cs="Times New Roman"/>
                <w:spacing w:val="-4"/>
                <w:sz w:val="18"/>
                <w:szCs w:val="18"/>
                <w:lang w:val="sq-AL"/>
              </w:rPr>
              <w:lastRenderedPageBreak/>
              <w:t>shërbimeve. Përcaktimi i detyrave kryesore të institucionit të Shërbimit të Provës të cilat identifikojnë edhe rolin e tij në sistemin e drejtësisë penale</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Përcaktimi i rregullave </w:t>
            </w:r>
            <w:r w:rsidRPr="00B130BB">
              <w:rPr>
                <w:rFonts w:ascii="Garamond" w:eastAsia="Times New Roman" w:hAnsi="Garamond" w:cs="Times New Roman"/>
                <w:spacing w:val="-4"/>
                <w:sz w:val="18"/>
                <w:szCs w:val="18"/>
                <w:lang w:val="sq-AL"/>
              </w:rPr>
              <w:lastRenderedPageBreak/>
              <w:t>mbi organizimin dhe funksionimin e Shërbimit të Provës</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Pika 3.1 Shteti ligjor </w:t>
            </w:r>
            <w:r w:rsidRPr="00B130BB">
              <w:rPr>
                <w:rFonts w:ascii="Garamond" w:eastAsia="Times New Roman" w:hAnsi="Garamond" w:cs="Times New Roman"/>
                <w:spacing w:val="-4"/>
                <w:sz w:val="18"/>
                <w:szCs w:val="18"/>
                <w:lang w:val="sq-AL"/>
              </w:rPr>
              <w:lastRenderedPageBreak/>
              <w:t>dhe Drejtësia e Re</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6</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metodologjinë e përcaktimit të vlerës së sendit nga përmbaruesi gjyqësor</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 (neni 564 I Kodit të Procedurës Civile, I ndryshuar me ligjin nr. 114/2016)</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i metodologjisë që do të ndiqet nga përmbaruesi gjyqësor për përcaktimin e vlerës së sendit të sekuestruar.</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Garantimi i ekzekutimit të titujve ekzekutiv përmirësimi i procedurave të punës dhe nivelit të shërbimit të përmbaruesve</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Metodat dhe hapat që do të ndiqen nga përmbaruesi gjatë përcaktimit të vlerës së sendit të sekuestruar.</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Pika 3.1 Shteti ligjor dhe Drejtësia e Re</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7</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Mbi krijimin e kushteve për inspektorin e Lartë për verifikimin e plotësimit të kushteve dhe kritereve ligjore, verifikimin e figurës dhe pasurisë së kandidatëve jomagjistratë </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Detyrim ligjor (pika 3 dhe 4 e nenit 289 të ligjit nr. 115/2016) </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Krijimi i kushteve për ushtrimin e veprimtarisë të inspektorit të Lartë të Drejtësisë, si institucion i krijuar rishtazi.</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Jetësimi i Reformës në Drejtësi, si një nga reformat më të rëndësishme që ka ndërmarrë shteti shqiptar. </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Përcaktimi i kushteve të nevojshme për funksionimin e i LD-së për verifikimin e plotësimit të kushteve dhe kritereve ligjore, verifikimin e figurës dhe pasurisë së kandidatëve jomagjistratë </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Pika 3.1 Shteti ligjor dhe Drejtësia e Re</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8</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Mbi të drejtat dhe detyrimet gjatë transferimit të punonjësve civil dhe punonjësve të tjerë të Prokurorisë së Përgjithshme si pjesë e administratës së KLP-së.</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Drejtësisë dhe ministri i Financave dhe Ekonomisë</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 ( pika 2 e nenit 289 të ligjit nr. 115/2016).</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të drejtave/ detyrimeve të punonjësve civilë / punonjësve të tjerë të Prokurorisë së Përgjithshme gjatë transferimit të tyre si pjesë e administratës të KLP-se.</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Reformimi i administratës së prokurorisë duke synuar rregullimin e statusit të saj</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Rregullimi i marrëdhënieve të punës të punonjësve civil dhe punonjësve të tjerë të Prokurorisë së përgjithshme për shkak të ridizenjimit të këtij institucioni.</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Pika 3.1 Shteti ligjor dhe Drejtësia e Re</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9</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Mbi të </w:t>
            </w:r>
            <w:r w:rsidRPr="00B130BB">
              <w:rPr>
                <w:rFonts w:ascii="Garamond" w:eastAsia="Times New Roman" w:hAnsi="Garamond" w:cs="Times New Roman"/>
                <w:spacing w:val="-4"/>
                <w:sz w:val="18"/>
                <w:szCs w:val="18"/>
                <w:lang w:val="sq-AL"/>
              </w:rPr>
              <w:lastRenderedPageBreak/>
              <w:t xml:space="preserve">drejtat dhe detyrimet gjatë transferimit të punonjësve të zyrës së administrimit të buxhetit gjyqësor si pjesë e administratës së KLGJ </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Ministri i Drejtësisë dhe </w:t>
            </w:r>
            <w:r w:rsidRPr="00B130BB">
              <w:rPr>
                <w:rFonts w:ascii="Garamond" w:eastAsia="Times New Roman" w:hAnsi="Garamond" w:cs="Times New Roman"/>
                <w:spacing w:val="-4"/>
                <w:sz w:val="18"/>
                <w:szCs w:val="18"/>
                <w:lang w:val="sq-AL"/>
              </w:rPr>
              <w:lastRenderedPageBreak/>
              <w:t>ministri i Financave dhe Ekonomisë</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Katërmujori II</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Detyrim ligjor (pika 1 </w:t>
            </w:r>
            <w:r w:rsidRPr="00B130BB">
              <w:rPr>
                <w:rFonts w:ascii="Garamond" w:eastAsia="Times New Roman" w:hAnsi="Garamond" w:cs="Times New Roman"/>
                <w:spacing w:val="-4"/>
                <w:sz w:val="18"/>
                <w:szCs w:val="18"/>
                <w:lang w:val="sq-AL"/>
              </w:rPr>
              <w:lastRenderedPageBreak/>
              <w:t>e nenit 289 të ligjit nr. 115/2016) .</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Përcaktimi i të drejtave </w:t>
            </w:r>
            <w:r w:rsidRPr="00B130BB">
              <w:rPr>
                <w:rFonts w:ascii="Garamond" w:eastAsia="Times New Roman" w:hAnsi="Garamond" w:cs="Times New Roman"/>
                <w:spacing w:val="-4"/>
                <w:sz w:val="18"/>
                <w:szCs w:val="18"/>
                <w:lang w:val="sq-AL"/>
              </w:rPr>
              <w:lastRenderedPageBreak/>
              <w:t xml:space="preserve">dhe detyrimeve të punonjësve të zyrës së administrimit të buxhetit gjyqësor gjatë transferimit si pjesë e administratës së KLGJ-së </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Reformimi i administratë</w:t>
            </w:r>
            <w:r w:rsidRPr="00B130BB">
              <w:rPr>
                <w:rFonts w:ascii="Garamond" w:eastAsia="Times New Roman" w:hAnsi="Garamond" w:cs="Times New Roman"/>
                <w:spacing w:val="-4"/>
                <w:sz w:val="18"/>
                <w:szCs w:val="18"/>
                <w:lang w:val="sq-AL"/>
              </w:rPr>
              <w:lastRenderedPageBreak/>
              <w:t>s gjyqësore duke synuar rregullimin e statusit të saj</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Rregullimi i marrëdhënie</w:t>
            </w:r>
            <w:r w:rsidRPr="00B130BB">
              <w:rPr>
                <w:rFonts w:ascii="Garamond" w:eastAsia="Times New Roman" w:hAnsi="Garamond" w:cs="Times New Roman"/>
                <w:spacing w:val="-4"/>
                <w:sz w:val="18"/>
                <w:szCs w:val="18"/>
                <w:lang w:val="sq-AL"/>
              </w:rPr>
              <w:lastRenderedPageBreak/>
              <w:t>ve të punës të punonjësve civil dhe punonjësve të tjerë të Prokurorisë së përgjithshme për shkak të ridizenjimit të sistemit gjyqësor.</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Pika 3.1 Shteti ligjor </w:t>
            </w:r>
            <w:r w:rsidRPr="00B130BB">
              <w:rPr>
                <w:rFonts w:ascii="Garamond" w:eastAsia="Times New Roman" w:hAnsi="Garamond" w:cs="Times New Roman"/>
                <w:spacing w:val="-4"/>
                <w:sz w:val="18"/>
                <w:szCs w:val="18"/>
                <w:lang w:val="sq-AL"/>
              </w:rPr>
              <w:lastRenderedPageBreak/>
              <w:t>dhe Drejtësia e Re</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10</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politikat e përgjithshme shtetërore për sistemin e teknologjisë së informacionit për sistemin e drejtësisë</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Drejtësisë dhe ministri i Financave dhe Ekonomisë</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Detyrim ligjor: </w:t>
            </w:r>
            <w:r w:rsidRPr="00B130BB">
              <w:rPr>
                <w:rFonts w:ascii="Garamond" w:eastAsia="Times New Roman" w:hAnsi="Garamond" w:cs="Times New Roman"/>
                <w:spacing w:val="-4"/>
                <w:sz w:val="18"/>
                <w:szCs w:val="18"/>
                <w:lang w:val="sq-AL"/>
              </w:rPr>
              <w:br/>
              <w:t>Neni 147/a, pika 1 shkronja d, neni 148/b, shkronja c e Kushtetutës neni 92 I ligjit nr. 115/2016</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Ngritja e një sistemi të teknologjisë së informacionit të posaçëm për sistemin e drejtësisë , në zbatim të nenit 92 të ligjit nr. 115/2016.</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Modernizimin e sistemit përmes zbatimit të teknologjive të reja. Eficiencës e gjenerimit të statistikave në institucionet e qeverisjes së gjyqësorit dhe gjykata nëpërmjet integrimit të sistemeve të reja.</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Masa mbrojtëse, të cilat sigurojnë vetëm akses të organeve të sistemit të drejtësisë, të Inspektorit të Lartë të Drejtësisë në të dhënat që përmbajnë të gjithë sistemet e teknologjisë së informacionit.</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Pika 3.1 Shteti ligjor dhe Drejtësia e Re</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11</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përcaktimin dhe miratimin e buxhetit fillestar të SPAK</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Drejtësisë dhe ministri i Financave dhe Ekonomisë</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bookmarkStart w:id="9" w:name="RANGE!D14"/>
            <w:r w:rsidRPr="00B130BB">
              <w:rPr>
                <w:rFonts w:ascii="Garamond" w:eastAsia="Times New Roman" w:hAnsi="Garamond" w:cs="Times New Roman"/>
                <w:spacing w:val="-4"/>
                <w:sz w:val="18"/>
                <w:szCs w:val="18"/>
                <w:lang w:val="sq-AL"/>
              </w:rPr>
              <w:t>Katërmujori II</w:t>
            </w:r>
            <w:bookmarkEnd w:id="9"/>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Detyrim ligjor (pika 10 e nenit 57 të ligjit nr. 95/2016) </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dhe miratimi i buxhetit fillestar të SPAK-ut në zbatim të pikës 10 të nenit 57 të ligjit nr. 95/2016</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Mbështetje e nevojshme financiare dhe infrastrukturore e sistemit drejtësisë, duke synuar në rritjen e pavarësisë, eficiencës dhe profesionalizmit të tij. </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Buxhetimin dhe financimin e kësaj strukture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Pika 3.1 Shteti ligjor dhe Drejtësia e Re</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12</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procedurën e detajuar për kredinë për shtëpi për magjistratët dhe marrëveshjet me bankat</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Drejtësisë dhe Ministri i Brendshëm</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 (neni 17, pika 7 e ligjit nr. 96/2016)</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i rregullave më të detajuara për procedurën e dhënies së kredisë për shtëpi, si dhe kriteret, kushtet</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Konsolidimi i garancive të statusit të magjistratit, përgjegjësisë dhe llogaridhënies në ushtrimin e detyrë</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kritereve, kushteve dhe procedurave për dhënien e kredisë për shtëpi për magjistratët</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Pika 3.1 Shteti ligjor dhe Drejtësia e Re</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13</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w:t>
            </w:r>
            <w:r w:rsidRPr="00B130BB">
              <w:rPr>
                <w:rFonts w:ascii="Garamond" w:eastAsia="Times New Roman" w:hAnsi="Garamond" w:cs="Times New Roman"/>
                <w:spacing w:val="-4"/>
                <w:sz w:val="18"/>
                <w:szCs w:val="18"/>
                <w:lang w:val="sq-AL"/>
              </w:rPr>
              <w:lastRenderedPageBreak/>
              <w:t>rregullat dhe procedurat për mbrojtjen e e veçantë të magjistratit gjatë ushtrimit të funksionit ose për shkak të tij</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Ministri i Drejtësisë dhe </w:t>
            </w:r>
            <w:r w:rsidRPr="00B130BB">
              <w:rPr>
                <w:rFonts w:ascii="Garamond" w:eastAsia="Times New Roman" w:hAnsi="Garamond" w:cs="Times New Roman"/>
                <w:spacing w:val="-4"/>
                <w:sz w:val="18"/>
                <w:szCs w:val="18"/>
                <w:lang w:val="sq-AL"/>
              </w:rPr>
              <w:lastRenderedPageBreak/>
              <w:t>ministri i Financave dhe Ekonomisë</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Katërmujori III</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Detyrim ligjor (neni </w:t>
            </w:r>
            <w:r w:rsidRPr="00B130BB">
              <w:rPr>
                <w:rFonts w:ascii="Garamond" w:eastAsia="Times New Roman" w:hAnsi="Garamond" w:cs="Times New Roman"/>
                <w:spacing w:val="-4"/>
                <w:sz w:val="18"/>
                <w:szCs w:val="18"/>
                <w:lang w:val="sq-AL"/>
              </w:rPr>
              <w:lastRenderedPageBreak/>
              <w:t>20, pika 2 e ligjit nr. 96/2016)</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Ofrimi i mbrojtjes të </w:t>
            </w:r>
            <w:r w:rsidRPr="00B130BB">
              <w:rPr>
                <w:rFonts w:ascii="Garamond" w:eastAsia="Times New Roman" w:hAnsi="Garamond" w:cs="Times New Roman"/>
                <w:spacing w:val="-4"/>
                <w:sz w:val="18"/>
                <w:szCs w:val="18"/>
                <w:lang w:val="sq-AL"/>
              </w:rPr>
              <w:lastRenderedPageBreak/>
              <w:t>veçantë nga shteti në rast se jeta, shëndeti dhe pasuria e magjistratit ose familja e tij janë në rrezik.</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Konsolidimi i garancive </w:t>
            </w:r>
            <w:r w:rsidRPr="00B130BB">
              <w:rPr>
                <w:rFonts w:ascii="Garamond" w:eastAsia="Times New Roman" w:hAnsi="Garamond" w:cs="Times New Roman"/>
                <w:spacing w:val="-4"/>
                <w:sz w:val="18"/>
                <w:szCs w:val="18"/>
                <w:lang w:val="sq-AL"/>
              </w:rPr>
              <w:lastRenderedPageBreak/>
              <w:t>të statusit të magjistratit, përgjegjësisë dhe llogaridhënies në ushtrimin e detyrë</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Përcaktimi i rregullave </w:t>
            </w:r>
            <w:r w:rsidRPr="00B130BB">
              <w:rPr>
                <w:rFonts w:ascii="Garamond" w:eastAsia="Times New Roman" w:hAnsi="Garamond" w:cs="Times New Roman"/>
                <w:spacing w:val="-4"/>
                <w:sz w:val="18"/>
                <w:szCs w:val="18"/>
                <w:lang w:val="sq-AL"/>
              </w:rPr>
              <w:lastRenderedPageBreak/>
              <w:t>dhe procedurave që do ndiqen për mbrojtjen e magjistratit.</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Pika 3.1 Shteti ligjor </w:t>
            </w:r>
            <w:r w:rsidRPr="00B130BB">
              <w:rPr>
                <w:rFonts w:ascii="Garamond" w:eastAsia="Times New Roman" w:hAnsi="Garamond" w:cs="Times New Roman"/>
                <w:spacing w:val="-4"/>
                <w:sz w:val="18"/>
                <w:szCs w:val="18"/>
                <w:lang w:val="sq-AL"/>
              </w:rPr>
              <w:lastRenderedPageBreak/>
              <w:t>dhe Drejtësia e Re</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14</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Mbi strukturën dhe rritjen e pagave për nëpunësit civilë gjyqësor dhe rregullat mbi kohëzgjatjen e punës, ditët pushim dhe lejen, orët jashtë orarit dhe shpërblimin e tyre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Drejtësisë dhe ministri i Financave dhe Ekonomisë</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 (neni 64, pika e ligjit nr. 98/2016</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Përcaktimi i strukturës dhe rritjes së pagave për nëpunësit civil gjyqësor në zbatim të nenit 64 të ligjit nr. 98/2016 </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Rritja e eficiencës së administratës gjyqësore </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Strukturën e pagave për nëpunësit civilë gjyqësorë; rregullat mbi kohëzgjatjen e punës dhe pushimet, kompensimin e shpenzimeve për kryerjen e detyrës jashtë vendit të punës. </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Pika 3.1 Shteti ligjor dhe Drejtësia e Re</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15</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Mbi strukturën dhe rritjen e pagave për nëpunësit civilë të prokurorisë dhe rregullat mbi kohëzgjatjen e punës, ditët pushim dhe lejen, orët jashtë orarit dhe shpërblimin e tyre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Drejtësisë dhe Ministri i Brendshëm</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 (neni 84, pika 4 e ligjit nr. 97/2016)</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Përcaktimi i strukturës dhe rritjes së pagave për nëpunësit civil gjyqësor në zbatim të nenit 84 të ligjit nr. 97/2016 </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Rritja e eficiencës së administratës së prokurorisë</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Strukturën e pagave për nëpunësit civilë të prokurorisë; rregullat mbi kohëzgjatjen e punës dhe pushimet, kompensimin e shpenzimeve për kryerjen e detyrës jashtë vendit të punës. </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Pika 3.1 Shteti ligjor dhe Drejtësia e Re</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16</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Mbi ruajtjen e sigurisë në mjediset e gjykatave kundër korrupsionit dhe krimit të organizuar, të Prokurorisë së Posaçme dhe të Byrosë Kombëtare të Hetimit</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Drejtësisë dhe Ministri i Brendshëm</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 (neni 46, pika 2 e ligjit nr. 95/2016)</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i Rregullave të hollësishme mbi procedurat në lidhje me garantimin e sigurisë së këtyre institucioneve.</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Garantimi I ruajtjes së jetës shëndetit për shkak të statusit që gëzojnë gjatë ushtrimit të detyrës </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Policia e Shtetit garanton në mënyrë të vazhdueshme sigurinë e mjediseve të gjykatave kundër korrupsionit dhe krimit të organizuar</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Pika 3.1 Shteti ligjor dhe Drejtësia e Re</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17</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Mbi procedurën e sigurisë së personelit të e gjykatave kundër korrupsionit dhe krimit të organizuar, të Prokurorisë së Posaçme dhe të Byrosë Kombëtare të Hetimit</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Drejtësisë dhe ministri i Financave dhe Ekonomisë</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 (neni 47, pika 4 e ligjit nr. 95/2016)</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Miratimi i Rregullave të detajuara mbi procedurat në lidhje me garantimin e sigurisë së personelit të këtyre institucioneve </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Garantimi I ruajtjes së jetës shëndetit për shkak të statusit që gëzojnë gjatë ushtrimit të detyrë</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Procedurat të detajuara për garantimin e sigurisë së personelit të këtyre institucioneve.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Pika 3.1 Shteti ligjor dhe Drejtësia e Re</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18</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procedurën që zbatohet nga ana e Shërbimit të Provës, në rastet kur çmon mospërmbushjen e masës së shmangies nga ndjekja penale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Drejtësisë dhe ministri i Brendshëm dhe Ministri i Arsimit, Sportit dhe Rinisë</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 (pika 10 e nenit 72 të ligjit nr. 37/2017 Kodi I drejtësisë penale për të miturit</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procedurës dhe veprimeve që do të ndiqen nga SHP-ja në rast të mospërmbushjes së masës së shmangies nga ndjekja penale</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Reformimi i sistemit të drejtësisë për të miturit në konflikt me ligjin duke forcuar sistemin e drejtësisë restauruese dhe mbrojtjen efektive të drejtave të tyre procedurale </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Rregullat, procedurat hapat që do të udhëheqin veprimtarinë e SHP-së në kryerjen e këtij detyrimi.</w:t>
            </w:r>
            <w:r w:rsidRPr="00B130BB">
              <w:rPr>
                <w:rFonts w:ascii="Garamond" w:eastAsia="Times New Roman" w:hAnsi="Garamond" w:cs="Times New Roman"/>
                <w:spacing w:val="-4"/>
                <w:sz w:val="18"/>
                <w:szCs w:val="18"/>
                <w:lang w:val="sq-AL"/>
              </w:rPr>
              <w:br/>
              <w:t>Akti lidhet me SKZHI 2015–2020 Strategjia Ndërsektoriale e Drejtësisë 2016–2020</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Pika 1.1.10 </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19</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Mbi mënyrën e organizimit, të funksionimit të shërbimit të specializuar, të programeve dhe mënyrës së financimit të tyre </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Drejtësisë dhe Ministri i Financave dhe Ekonomisë; Ministrisë Arsimit, Sportit dhe Rinise; ministri i Brendshëm; Ministri i Shëndetësisë dhe Mbrojtjes Sociale</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 (pika 3 e nenit 84 të ligjit nr. 37/2017 Kodi I drejtësisë penale për të miturit</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Organizimi dhe funksionimi i shërbimit të specializuar të programeve dhe mënyrës së financimit të tyre</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Reformimi i sistemit të drejtësisë për të miturit në konflikt me ligjin duke forcuar sistemin e drejtësisë restauruese dhe mbrojtjen efektive të drejtave të tyre procedurale</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Aspektet organizative strukturore dhe funksionale të këtyre shërbimeve.</w:t>
            </w:r>
            <w:r w:rsidRPr="00B130BB">
              <w:rPr>
                <w:rFonts w:ascii="Garamond" w:eastAsia="Times New Roman" w:hAnsi="Garamond" w:cs="Times New Roman"/>
                <w:spacing w:val="-4"/>
                <w:sz w:val="18"/>
                <w:szCs w:val="18"/>
                <w:lang w:val="sq-AL"/>
              </w:rPr>
              <w:br/>
              <w:t>Akti lidhet me SKZHI 2015–2020 Strategjia Ndërsektoriale e Drejtësisë 2016–2020</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Pika 1.1.10 </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20</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Mbi funksionimin e mjediseve dhe përcaktimin e nivelit të sigurisë të tyre, standardet e programeve </w:t>
            </w:r>
            <w:r w:rsidRPr="00B130BB">
              <w:rPr>
                <w:rFonts w:ascii="Garamond" w:eastAsia="Times New Roman" w:hAnsi="Garamond" w:cs="Times New Roman"/>
                <w:spacing w:val="-4"/>
                <w:sz w:val="18"/>
                <w:szCs w:val="18"/>
                <w:lang w:val="sq-AL"/>
              </w:rPr>
              <w:lastRenderedPageBreak/>
              <w:t>të edukimit dhe të rehabilitimit, në rastet e kufizimit të lirisë të të miturve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Drejtësisë dhe Ministri i Arsimit, Rinisë dhe Sportit</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 (pika 5 e nenit 98 të ligjit nr. 37/2017 Kodi i drejtësisë penale për të miturit</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Krijimi mjediseve për vendosjen e të miturit nën mbikëqyrje pa u izoluar nga shoqëria dhe komuniteti, me qëllim </w:t>
            </w:r>
            <w:r w:rsidRPr="00B130BB">
              <w:rPr>
                <w:rFonts w:ascii="Garamond" w:eastAsia="Times New Roman" w:hAnsi="Garamond" w:cs="Times New Roman"/>
                <w:spacing w:val="-4"/>
                <w:sz w:val="18"/>
                <w:szCs w:val="18"/>
                <w:lang w:val="sq-AL"/>
              </w:rPr>
              <w:lastRenderedPageBreak/>
              <w:t xml:space="preserve">edukimin dhe rehabilitimin përmes programeve të posaçme </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Riintegrimi në shoqëri nëpërmjet formave alternative </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Përcaktimi i mjediseve që do kryejnë këtë funksion, niveli dhe kushtet e sigurisë të këtyre ambienteve dhe përcaktimi i </w:t>
            </w:r>
            <w:r w:rsidRPr="00B130BB">
              <w:rPr>
                <w:rFonts w:ascii="Garamond" w:eastAsia="Times New Roman" w:hAnsi="Garamond" w:cs="Times New Roman"/>
                <w:spacing w:val="-4"/>
                <w:sz w:val="18"/>
                <w:szCs w:val="18"/>
                <w:lang w:val="sq-AL"/>
              </w:rPr>
              <w:lastRenderedPageBreak/>
              <w:t>programeve të edukimit dhe rehabilitimit.</w:t>
            </w:r>
            <w:r w:rsidRPr="00B130BB">
              <w:rPr>
                <w:rFonts w:ascii="Garamond" w:eastAsia="Times New Roman" w:hAnsi="Garamond" w:cs="Times New Roman"/>
                <w:spacing w:val="-4"/>
                <w:sz w:val="18"/>
                <w:szCs w:val="18"/>
                <w:lang w:val="sq-AL"/>
              </w:rPr>
              <w:br/>
              <w:t>Akti lidhet me SKZHI 2015–2020 Strategjia Ndërsektoriale e Drejtësisë 2016–2020</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Pika 1.1.10 </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21</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Mbi autoritetet përgjegjëse për zbatimin e vendimeve të gjykatave për përmbushjen e detyrimeve nga i mituri në konflikt me ligjin</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Drejtësisë dhe Ministri i Arsimit, Rinisë dhe Sportit</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 (pika 2 e nenit 103 të ligjit nr. 37/2017 Kodi i drejtësisë penale për të miturit)</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Përcaktimi i autoriteteve përgjegjëse dhe procedura që do të ndiqet nga ana e tyre në rastet e urdhërimeve të gjykatës </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Reformimi i sistemit të drejtësisë për të miturit në konflikt me ligjin duke forcuar sistemin e drejtësisë restauruese dhe mbrojtjen efektive të drejtave të tyre procedurale </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i autoriteteve përgjegjëse dhe procedurat që do të ndiqen nga ana e tyre për zbatimin e vendimeve të gjykatave në rastet kur parashikojnë kryerjen e një ose disa detyrime nga i mituri në konflikt me ligjin.</w:t>
            </w:r>
            <w:r w:rsidRPr="00B130BB">
              <w:rPr>
                <w:rFonts w:ascii="Garamond" w:eastAsia="Times New Roman" w:hAnsi="Garamond" w:cs="Times New Roman"/>
                <w:spacing w:val="-4"/>
                <w:sz w:val="18"/>
                <w:szCs w:val="18"/>
                <w:lang w:val="sq-AL"/>
              </w:rPr>
              <w:br/>
              <w:t>Akti lidhet me SKZHI 2015–2020 Strategjia Ndërsektoriale e Drejtësisë 2016–2020</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Pika 1.1.10 </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22</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organizimin dhe funksionimin e Qendrës së Parandalimit të Krimeve të të Miturve dhe të Rinjve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Drejtësisë dhe Ministri i Shëndetësisë dhe Mbrojtjes Sociale</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 (pika 4 e nenit 133 të ligjit nr. 37/2017 Kodi i drejtësisë penale për të miturit</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Krijimi I Qendrës për Parandalimit të Krimeve të të Miturve dhe të Rinjve</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Reformimi i sistemit të drejtësisë për të miturit në konflikt me ligjin duke forcuar sistemin e drejtësisë restauruese dhe mbrojtjen efektive të drejtave të tyre procedurale</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Organizimi dhe funksionimi I kësaj qendre dhe aspekte të tjera më qëllimin ushtrimin e veprimtarisë së saj.</w:t>
            </w:r>
            <w:r w:rsidRPr="00B130BB">
              <w:rPr>
                <w:rFonts w:ascii="Garamond" w:eastAsia="Times New Roman" w:hAnsi="Garamond" w:cs="Times New Roman"/>
                <w:spacing w:val="-4"/>
                <w:sz w:val="18"/>
                <w:szCs w:val="18"/>
                <w:lang w:val="sq-AL"/>
              </w:rPr>
              <w:br/>
              <w:t>Akti lidhet me SKZHI 2015–2020 Strategjia Ndërsektoriale e Drejtësisë 2016–2020</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Pika 1.1.10 </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23</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Sistemin e integruar të të Dhënave </w:t>
            </w:r>
            <w:r w:rsidRPr="00B130BB">
              <w:rPr>
                <w:rFonts w:ascii="Garamond" w:eastAsia="Times New Roman" w:hAnsi="Garamond" w:cs="Times New Roman"/>
                <w:spacing w:val="-4"/>
                <w:sz w:val="18"/>
                <w:szCs w:val="18"/>
                <w:lang w:val="sq-AL"/>
              </w:rPr>
              <w:lastRenderedPageBreak/>
              <w:t>të Drejtësisë Penale për të Mitur.</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Ministri i Drejtësisë dhe ministri i Financave dhe </w:t>
            </w:r>
            <w:r w:rsidRPr="00B130BB">
              <w:rPr>
                <w:rFonts w:ascii="Garamond" w:eastAsia="Times New Roman" w:hAnsi="Garamond" w:cs="Times New Roman"/>
                <w:spacing w:val="-4"/>
                <w:sz w:val="18"/>
                <w:szCs w:val="18"/>
                <w:lang w:val="sq-AL"/>
              </w:rPr>
              <w:lastRenderedPageBreak/>
              <w:t>Ekonomisë</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Katërmujori II</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Detyrim ligjor ( pika 4 e nenit 137 të ligjit nr. 37/2017 </w:t>
            </w:r>
            <w:r w:rsidRPr="00B130BB">
              <w:rPr>
                <w:rFonts w:ascii="Garamond" w:eastAsia="Times New Roman" w:hAnsi="Garamond" w:cs="Times New Roman"/>
                <w:spacing w:val="-4"/>
                <w:sz w:val="18"/>
                <w:szCs w:val="18"/>
                <w:lang w:val="sq-AL"/>
              </w:rPr>
              <w:lastRenderedPageBreak/>
              <w:t>Kodi I drejtësisë penale për të miturit)</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Ngritja e një sistemi të posaçëm të të Dhënave të Drejtësisë </w:t>
            </w:r>
            <w:r w:rsidRPr="00B130BB">
              <w:rPr>
                <w:rFonts w:ascii="Garamond" w:eastAsia="Times New Roman" w:hAnsi="Garamond" w:cs="Times New Roman"/>
                <w:spacing w:val="-4"/>
                <w:sz w:val="18"/>
                <w:szCs w:val="18"/>
                <w:lang w:val="sq-AL"/>
              </w:rPr>
              <w:lastRenderedPageBreak/>
              <w:t>Penale për të Mitur.</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Reformimi i sistemit të drejtësisë për të miturit në </w:t>
            </w:r>
            <w:r w:rsidRPr="00B130BB">
              <w:rPr>
                <w:rFonts w:ascii="Garamond" w:eastAsia="Times New Roman" w:hAnsi="Garamond" w:cs="Times New Roman"/>
                <w:spacing w:val="-4"/>
                <w:sz w:val="18"/>
                <w:szCs w:val="18"/>
                <w:lang w:val="sq-AL"/>
              </w:rPr>
              <w:lastRenderedPageBreak/>
              <w:t xml:space="preserve">konflikt me ligjin duke forcuar sistemin e drejtësisë restauruese dhe mbrojtjen efektive të drejtave të tyre procedurale </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Krijimi, organizimi, funksionimi dhe karakteristika</w:t>
            </w:r>
            <w:r w:rsidRPr="00B130BB">
              <w:rPr>
                <w:rFonts w:ascii="Garamond" w:eastAsia="Times New Roman" w:hAnsi="Garamond" w:cs="Times New Roman"/>
                <w:spacing w:val="-4"/>
                <w:sz w:val="18"/>
                <w:szCs w:val="18"/>
                <w:lang w:val="sq-AL"/>
              </w:rPr>
              <w:lastRenderedPageBreak/>
              <w:t>t mbi përdorimin dhe aksesimin e sistemit të të dhënave, të dhënat parësore dhe dytësore dhe dhënësi i informacionit.</w:t>
            </w:r>
            <w:r w:rsidRPr="00B130BB">
              <w:rPr>
                <w:rFonts w:ascii="Garamond" w:eastAsia="Times New Roman" w:hAnsi="Garamond" w:cs="Times New Roman"/>
                <w:spacing w:val="-4"/>
                <w:sz w:val="18"/>
                <w:szCs w:val="18"/>
                <w:lang w:val="sq-AL"/>
              </w:rPr>
              <w:br/>
              <w:t>Akti lidhet me SKZHI 2015–2020 Strategjia Ndërsektoriale e Drejtësisë 2016–2020</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Pika 1.1.10 </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24</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Nxitjen dhe Shpërblimin e Punës së të Burgosurve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Drejtësisë dhe Ministri i Bujqësisë dhe Zhvillimit Rural</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Niveli i pagave të punonjësve të rolit bazë dhe të rolit të mesëm, nuk është në përputhje me kushtet dhe vështirësitë e punës në institucionet penitenciare.</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rregullave, kritereve dhe procedurave të punësimit të dënuarve dhe të paraburgosurve, për maksimizimin e potencialeve të aftësimit profesional dhe punësimit.</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Të zbatojë politikat për shpërblimin e punës së të burgosurve bazuar në standardet e Bashkimit Evropian duke siguruar shpërblimin financiar për 600 të burgosur të punësuar në sistemin e burgjeve. </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Sigurimi i të drejtave të burgosurve për shpërblimin e punës, si dhe përmirësimi i programeve të ndërhyrjes të para-lirimit.</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23</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25</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miratimin e Rregullores së Policisë së Burgjeve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Standardizimi dhe unifikimi i praktikave në institucionet penitenciare, procedurave të ngritjes në karrierë dhe për mbarëvajtjen e punës dhe motivimin e stafit. </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rregullave për standardizimin dhe unifikimin i praktikave në të gjitha institucionet penitenciare</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Te përmirësojë zbatimin në praktike të rregullave dhe procedurave për trajtimin e punonjësve të policisë se burgjeve</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Procedurat e zhvillimit të karrierës, si dhe çështje të tjera të menaxhimit të policisë së burgjeve. </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Kapitulli 23 </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Pika 3.1 Shteti ligjor dhe Drejtësia e Re</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26</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Ndryshime në VKM Nr. 463, datë 06.05.2009 “Për </w:t>
            </w:r>
            <w:r w:rsidRPr="00B130BB">
              <w:rPr>
                <w:rFonts w:ascii="Garamond" w:eastAsia="Times New Roman" w:hAnsi="Garamond" w:cs="Times New Roman"/>
                <w:spacing w:val="-4"/>
                <w:sz w:val="18"/>
                <w:szCs w:val="18"/>
                <w:lang w:val="sq-AL"/>
              </w:rPr>
              <w:lastRenderedPageBreak/>
              <w:t>përcaktimin e ngjyrës, uniformës dhe të shenjave dhe mjeteve të Policisë së Burgjeve”.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Drejtësisë</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Rishikimi dhe rimodelimi i uniformës për përdorimin më praktik </w:t>
            </w:r>
            <w:r w:rsidRPr="00B130BB">
              <w:rPr>
                <w:rFonts w:ascii="Garamond" w:eastAsia="Times New Roman" w:hAnsi="Garamond" w:cs="Times New Roman"/>
                <w:spacing w:val="-4"/>
                <w:sz w:val="18"/>
                <w:szCs w:val="18"/>
                <w:lang w:val="sq-AL"/>
              </w:rPr>
              <w:lastRenderedPageBreak/>
              <w:t>nga punonjësit e policisë, përmirësimin dhe modernizimin e saj dhe përcaktimin e normativave të lejuara.</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Përmirësimi i imazhit të policisë së burgjeve</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Të përmirësoje dhe të përcaktojë normativat për uniformat e </w:t>
            </w:r>
            <w:r w:rsidRPr="00B130BB">
              <w:rPr>
                <w:rFonts w:ascii="Garamond" w:eastAsia="Times New Roman" w:hAnsi="Garamond" w:cs="Times New Roman"/>
                <w:spacing w:val="-4"/>
                <w:sz w:val="18"/>
                <w:szCs w:val="18"/>
                <w:lang w:val="sq-AL"/>
              </w:rPr>
              <w:lastRenderedPageBreak/>
              <w:t xml:space="preserve">policisë së burgjeve. </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përcaktimi i modelit standard të uniformës së policisë së burgjeve, si dhe </w:t>
            </w:r>
            <w:r w:rsidRPr="00B130BB">
              <w:rPr>
                <w:rFonts w:ascii="Garamond" w:eastAsia="Times New Roman" w:hAnsi="Garamond" w:cs="Times New Roman"/>
                <w:spacing w:val="-4"/>
                <w:sz w:val="18"/>
                <w:szCs w:val="18"/>
                <w:lang w:val="sq-AL"/>
              </w:rPr>
              <w:lastRenderedPageBreak/>
              <w:t xml:space="preserve">normativave për çdo punonjës. </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27</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Ndryshime në VKM nr. 201, datë 15.03.2017, “Për trajtimin me pagë dhe shtesa mbi pagë të punonjësve të policisë së burgjeve”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Niveli i pagave të punonjësve të rolit bazë dhe të rolit të mesëm, nuk është në përputhje me kushtet dhe vështirësitë e punës në institucionet penitenciare.</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Te përmirësojë efektivitetin dhe të rrisë kapacitetet profesionale të punonjësve të policisë së burgjeve.</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Te përmirësojë trajtimin financiar të punonjësve të policisë së burgjeve</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Sigurimi i të drejtave të punonjësve të policisë për trajtimin e duhur financiar dhe rritjen e motivimit për kryerjen e detyrave funksionale. </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Pika 3.1 Shteti ligjor dhe Drejtësia e Re</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28</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Ndryshime në VKM nr. 437, datë 20.05.2015, “Për miratimin e Rregullores se Përgjithshme të Burgjeve”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 shkak të amendimit të ligjit nr. 8328, datë 16.04.1998. “Për të Drejtat dhe Trajtimin e të Dënuarve me Burgim dhe Paraburgosurve”</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Krijimi i një baze të plotë ligjore për administrimin dhe menaxhimin e sistemit të burgjeve sipas Rregullave Evropiane të Burgjeve</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Të përmirësojë të drejtat dhe trajtimin e të dënuarve dhe paraburgosurve në sistemin e burgjeve në përputhje të plotë me </w:t>
            </w:r>
            <w:r w:rsidRPr="00B130BB">
              <w:rPr>
                <w:rFonts w:ascii="Garamond" w:eastAsia="Times New Roman" w:hAnsi="Garamond" w:cs="Times New Roman"/>
                <w:i/>
                <w:spacing w:val="-4"/>
                <w:sz w:val="18"/>
                <w:szCs w:val="18"/>
                <w:lang w:val="sq-AL"/>
              </w:rPr>
              <w:t>acquis communataire</w:t>
            </w:r>
            <w:r w:rsidRPr="00B130BB">
              <w:rPr>
                <w:rFonts w:ascii="Garamond" w:eastAsia="Times New Roman" w:hAnsi="Garamond" w:cs="Times New Roman"/>
                <w:spacing w:val="-4"/>
                <w:sz w:val="18"/>
                <w:szCs w:val="18"/>
                <w:lang w:val="sq-AL"/>
              </w:rPr>
              <w:t xml:space="preserve">. </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Vlerësimi i riskut të burgosurve sipas instrumentit të standardizuar për të gjitha institucionet penitenciare.</w:t>
            </w:r>
            <w:r w:rsidRPr="00B130BB">
              <w:rPr>
                <w:rFonts w:ascii="Garamond" w:eastAsia="Times New Roman" w:hAnsi="Garamond" w:cs="Times New Roman"/>
                <w:spacing w:val="-4"/>
                <w:sz w:val="18"/>
                <w:szCs w:val="18"/>
                <w:lang w:val="sq-AL"/>
              </w:rPr>
              <w:br/>
              <w:t>Akti lidhet me Strategjia Ndërsektoriale e Drejtësisë 2017–2021</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Pika 3.1 Shteti ligjor dhe Drejtësia e Re</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29</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organizimin dhe funksionimin e Agjencisë Kombëtare të Falimentit</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 (pika 3 e nenit 202 të ligjit nr.110/2016)</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Në kuadër të ligjit nr. 110/2016 “Për falimentimin” dhe ndryshimeve të tjera që rregullojnë legjislacionin e shërbimit civil sipas ligjit 152/2013 </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Rregullimi dhe funksionimi i AKF sipas përcaktimeve të ligjit nr. 110/2016 “Për falimentimin” </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rregullave për organizimin dhe funksionimin e kësaj agjencie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30</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miratimin e standardeve kombëtare të administrimit të masës së </w:t>
            </w:r>
            <w:r w:rsidRPr="00B130BB">
              <w:rPr>
                <w:rFonts w:ascii="Garamond" w:eastAsia="Times New Roman" w:hAnsi="Garamond" w:cs="Times New Roman"/>
                <w:spacing w:val="-4"/>
                <w:sz w:val="18"/>
                <w:szCs w:val="18"/>
                <w:lang w:val="sq-AL"/>
              </w:rPr>
              <w:lastRenderedPageBreak/>
              <w:t>falimentimit dhe Kodit të Etikës</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Drejtësisë</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 (pika 1 e nenit 204 të ligjit nr. 110/2016)</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Miratimi i standardeve kombëtare të administrimit të masës së falimentimit dhe Kodit të </w:t>
            </w:r>
            <w:r w:rsidRPr="00B130BB">
              <w:rPr>
                <w:rFonts w:ascii="Garamond" w:eastAsia="Times New Roman" w:hAnsi="Garamond" w:cs="Times New Roman"/>
                <w:spacing w:val="-4"/>
                <w:sz w:val="18"/>
                <w:szCs w:val="18"/>
                <w:lang w:val="sq-AL"/>
              </w:rPr>
              <w:lastRenderedPageBreak/>
              <w:t>Etikës në zbatim të ligjit të ri</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Ndryshimi i aktit pas miratimit të ligjit të ri nr. 110/2016 “Për falimentimin” </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Përcaktimi i standardeve kombëtare të administrimit të masës së falimentimit dhe Kodit të Etikës për </w:t>
            </w:r>
            <w:r w:rsidRPr="00B130BB">
              <w:rPr>
                <w:rFonts w:ascii="Garamond" w:eastAsia="Times New Roman" w:hAnsi="Garamond" w:cs="Times New Roman"/>
                <w:spacing w:val="-4"/>
                <w:sz w:val="18"/>
                <w:szCs w:val="18"/>
                <w:lang w:val="sq-AL"/>
              </w:rPr>
              <w:lastRenderedPageBreak/>
              <w:t>ushtrimin e veprimtarisë mbikëqyrëse të agjencisë</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31</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Përcaktimi i Rregullave për shpërblimin e administratorit të falimentimit</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 ( pika 2 e nenit 48 të ligjit nr. 110/2016)</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masës së shpërblimit të administratorëve të falimentimit</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Ndryshimi i aktit pas miratimit të ligjit të ri nr. 110/2016 “Për falimentimin”</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rregullave për masën e shpërblimit që paguhet për administratorin e falimentimit</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32</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miratimin e Strategjisë së Drejtësisë për të Mitur 2018 - 2021 dhe planit të veprimit</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Dokumenti i parë politik qeveritar (strategji) i veçantë që orienton reformat në sektorin e drejtësisë për të mitur. </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Promovimi dhe mbrojtja e të drejtave të të miturve në proceset gjyqësore, alternativat ndaj këtyre procedurave, për të miturit , viktima, dëshmitar të veprave penale</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Garantimi i aksesit të të miturve në drejtësi, procesi i rregullt ligjor për të miturit; Riintegrim dhe përfshirje sociale e të miturve në konflikt me ligjin; Rritje e kapaciteteve të strukturave të sistemit të drejtësisë për të mitur</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Planifikimin, buxhetimin dhe monitorimin e politikave në fushën e drejtësisë penale për të mitur.</w:t>
            </w:r>
            <w:r w:rsidRPr="00B130BB">
              <w:rPr>
                <w:rFonts w:ascii="Garamond" w:eastAsia="Times New Roman" w:hAnsi="Garamond" w:cs="Times New Roman"/>
                <w:spacing w:val="-4"/>
                <w:sz w:val="18"/>
                <w:szCs w:val="18"/>
                <w:lang w:val="sq-AL"/>
              </w:rPr>
              <w:br/>
              <w:t>Akti lidhet me SKZHI 2015–2020 Strategjia Ndërsektoriale e Drejtësisë 2016–2020</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Pika 1.1.10</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33</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miratimin e rekomandimeve prioritare për Prokurorin e Përgjithshëm, në luftën kundër kriminalitetit, për vitin 2018</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Në zbatim të nenit 103, të ligjit nr. 97, datë 6.10.2016, “Për organizimin dhe funksionimin e Prokurorisë në Republikën e Shqipërisë”</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Të përcaktojë rekomandimet prioritare që duhen ndjekur në luftën kundër kriminalitetit nga organi i hetimit</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Angazhimin e plotë dhe efektiv të institucioneve ligjzbatuese, në marrjen e masave për luftën kundër korrupsionit, goditjen e krimit të organizuar në të gjitha format e tij etj.</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Evidentimin e gjetjeve mbi veprimtarinë e ushtruar nga organi i hetimit dhe hartimi i rekomandimeve për adresimin e tyre.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34</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Ndryshime në Vendimin nr. 120, datë 27.02.2003 të Këshillit të Ministrave “Për krijimin e Institutit të </w:t>
            </w:r>
            <w:r w:rsidRPr="00B130BB">
              <w:rPr>
                <w:rFonts w:ascii="Garamond" w:eastAsia="Times New Roman" w:hAnsi="Garamond" w:cs="Times New Roman"/>
                <w:spacing w:val="-4"/>
                <w:sz w:val="18"/>
                <w:szCs w:val="18"/>
                <w:lang w:val="sq-AL"/>
              </w:rPr>
              <w:lastRenderedPageBreak/>
              <w:t>Mjekësisë Ligjore”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Drejtësisë</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Është i nevojshëm ndryshimi për objektin e veprimtarisë së këtij institucioni, krijuar që në vitin 2003</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Përcaktimi i të drejtave dhe detyrimeve të punonjësve me personat e tretë, në kuadër të punës që </w:t>
            </w:r>
            <w:r w:rsidRPr="00B130BB">
              <w:rPr>
                <w:rFonts w:ascii="Garamond" w:eastAsia="Times New Roman" w:hAnsi="Garamond" w:cs="Times New Roman"/>
                <w:spacing w:val="-4"/>
                <w:sz w:val="18"/>
                <w:szCs w:val="18"/>
                <w:lang w:val="sq-AL"/>
              </w:rPr>
              <w:lastRenderedPageBreak/>
              <w:t xml:space="preserve">kryen. </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Ndarjen e saktë të punës midis sektorëve në institucion.</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Marrëdhëniet ndërinstitucionale me institucionet e tjera</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35</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përcaktimin e procedurës së kalimit të pronësisë të pasurive të paluajtshme, të ndërtuara deri më 10.08.1991, e të truallit funksional të tyre, kur nuk posedohen akte fitimi pronësie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 (shkronja “ç” e nenit 25 të ligjit nr. 33/2012)</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Përcaktimi i procedurës së kalimit të pronësisë të pasurive të paluajtshme, të ndërtuara deri më 10.08.1991, e të truallit funksional të tyre, kur nuk posedohen akte fitimi pronësie </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Regjistrimin dhe njohjen e pasurisë në rastet kur shteti, personi juridik/fizik ka fituar të drejtën e pronësisë mbi një pasuri të paluajtshme</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institucionit autorizues për ndjekjen e procedurës, mënyrën e regjistrimit fillestar, procedurat që do të ndiqen.</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36</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Projektudhëzim - Për përcaktimin e elementeve të akteve që verifikohen nga zyra e regjistrimit të pasurive dhe të procedurës për nxjerrjen e urdhrit të regjistruesit</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 (neni 42, 44 pika 5 dhe 45 pika 5 e ligjit nr. 33/2012)</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elementeve të nevojshme që duhen verifikuar nga ZRPP-ja në rastet e regjistrimit të pasurisë së paluajtshme</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Regjistrimin dhe njohjen e pasurisë </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elementeve të vendimit, që verifikohen nga ZRPP-ja dhe procedura e nxjerrjes së urdhrit në rastet e regjistrimi të kalimit të pronësisë me anë të ligjit, me vendim të gjykatës apo të një akti administrativ</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37</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procedurën e regjistrimit të akteve të marrjes së tokës në pronësi</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 (neni 45 I ligjit nr. 33/2012)</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procedurave të reja për regjistrimin e akteve të marrjes së tokës në pronësi</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Zbatimi efikas i këtij procesi</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Elementet e formës dhe përmbajtjes së regjistrimit të fitimit të së drejtës së pronësisë për pasuritë e paluajtshme me aktin e marrjes së tokës në pronësi.</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38</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miratimin e propozimit të ALUIZNI-t për kalimin e të drejtës së pronësisë mbi parcelat e objekteve </w:t>
            </w:r>
            <w:r w:rsidRPr="00B130BB">
              <w:rPr>
                <w:rFonts w:ascii="Garamond" w:eastAsia="Times New Roman" w:hAnsi="Garamond" w:cs="Times New Roman"/>
                <w:spacing w:val="-4"/>
                <w:sz w:val="18"/>
                <w:szCs w:val="18"/>
                <w:lang w:val="sq-AL"/>
              </w:rPr>
              <w:lastRenderedPageBreak/>
              <w:t>të legalizuara dhe kompensimin financiar të pronarëve të pasurive të paluajtshme që preken prej tyre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Drejtësisë</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Përmuajshëm</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 në bazë të nenit 15/1 dhe 17 të ligjit nr. 9482/2006 “Për legalizimin….”</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Rregullimi i marrëdhënieve të pronësisë në parcelat ndërtimore të objekteve informale duke i kaluar në pronësi të </w:t>
            </w:r>
            <w:r w:rsidRPr="00B130BB">
              <w:rPr>
                <w:rFonts w:ascii="Garamond" w:eastAsia="Times New Roman" w:hAnsi="Garamond" w:cs="Times New Roman"/>
                <w:spacing w:val="-4"/>
                <w:sz w:val="18"/>
                <w:szCs w:val="18"/>
                <w:lang w:val="sq-AL"/>
              </w:rPr>
              <w:lastRenderedPageBreak/>
              <w:t>poseduesve përkatës dhe duke kompensuar ish pronarët.</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Përfundimi i procedurave të kalimit të pronësisë dhe kompensimi financiar i ish pronarëve në pasuritë </w:t>
            </w:r>
            <w:r w:rsidRPr="00B130BB">
              <w:rPr>
                <w:rFonts w:ascii="Garamond" w:eastAsia="Times New Roman" w:hAnsi="Garamond" w:cs="Times New Roman"/>
                <w:spacing w:val="-4"/>
                <w:sz w:val="18"/>
                <w:szCs w:val="18"/>
                <w:lang w:val="sq-AL"/>
              </w:rPr>
              <w:lastRenderedPageBreak/>
              <w:t>ku ndodhen ndërtimet informale.</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Marrëdhëniet e pronësisë në parcelën ndërtimore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Projektvendimi është në përputhje me programin e qeverisë për përfundimin e procesit të </w:t>
            </w:r>
            <w:r w:rsidRPr="00B130BB">
              <w:rPr>
                <w:rFonts w:ascii="Garamond" w:eastAsia="Times New Roman" w:hAnsi="Garamond" w:cs="Times New Roman"/>
                <w:spacing w:val="-4"/>
                <w:sz w:val="18"/>
                <w:szCs w:val="18"/>
                <w:lang w:val="sq-AL"/>
              </w:rPr>
              <w:lastRenderedPageBreak/>
              <w:t>legalizimit</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39</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kompensimin financiar të pronarëve të pasurive të paluajtshme që preken nga ndërtimet informale.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Përmuajshëm</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 në bazë të nenit 15/1 të ligjit nr. 9482/2006 “Për legalizimin….”</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Rregullimi i marrëdhënieve të pronësisë në parcelat ndërtimore të objekteve informale duke kompensuar financiarisht ish pronarët për sipërfaqet për të cilat është miratuar më parë kalimi I pronësisë.</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Përfundimi i procedurave të kompensimit financiar të ish pronarëve në pasuritë ku ndodhen ndërtime informale.</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Marrëdhëniet e pronësisë në parcelën ndërtimore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Projektvendimi është në përputhje me programin e qeverisë për përfundimin e procesit të legalizimit</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40</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 Për disa ndryshime dhe/ose shtesa në VKM “Për kalimin e të drejtës së pronësisë mbi parcelat e objekteve të legalizuara” </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Çdo 4-mujor</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 në bazë të nenit 17 të ligjit nr. 9482/2006 “Për legalizimin….”</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Korrigjimi i gabimeve materiale apo ndryshimi për arsye objektive i të dhënave në VKM e miratuara të kalimit të pronësisë.</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Saktësimi i të dhënave në projektvendimet të mëparshme të kalimit të pronësisë në pasuritë ku ndodhen ndërtime informale.</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Marrëdhëniet e pronësisë në parcelën ndërtimore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Projektvendimi është në përputhje me programin e qeverisë për përfundimin e procesit të legalizimit</w:t>
            </w:r>
          </w:p>
        </w:tc>
      </w:tr>
      <w:tr w:rsidR="00B130BB" w:rsidRPr="00B130BB" w:rsidTr="00842C9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41</w:t>
            </w:r>
          </w:p>
        </w:tc>
        <w:tc>
          <w:tcPr>
            <w:tcW w:w="99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 Për disa ndryshime dhe/ose shtesa në VKM “Për kompensimin financiar të pronarëve të pasurive të paluajtshme që preken nga ndërtimet informale”</w:t>
            </w:r>
          </w:p>
        </w:tc>
        <w:tc>
          <w:tcPr>
            <w:tcW w:w="49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Çdo 4-mujor</w:t>
            </w:r>
          </w:p>
        </w:tc>
        <w:tc>
          <w:tcPr>
            <w:tcW w:w="55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 në bazë të nenit 15/1 të ligjit nr. 9482/2006 “Për legalizimin….”</w:t>
            </w:r>
          </w:p>
        </w:tc>
        <w:tc>
          <w:tcPr>
            <w:tcW w:w="54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Korrigjimi i gabimeve materiale apo ndryshimi për arsye objektive i të dhënave në VKM e miratuara për kompensimin e ish pronarëve.</w:t>
            </w:r>
          </w:p>
        </w:tc>
        <w:tc>
          <w:tcPr>
            <w:tcW w:w="55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Saktësimi i të dhënave në projektvendimet e mëparshme për kompensimin financiar të ish-pronarëve në pasuritë ku ndodhen ndërtime informale.</w:t>
            </w:r>
          </w:p>
        </w:tc>
        <w:tc>
          <w:tcPr>
            <w:tcW w:w="56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Marrëdhëniet e pronësisë në parcelën ndërtimore</w:t>
            </w:r>
          </w:p>
        </w:tc>
        <w:tc>
          <w:tcPr>
            <w:tcW w:w="33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Projektvendimi është në përputhje me programin e qeverisë për përfundimin e procesit të legalizimit</w:t>
            </w:r>
          </w:p>
        </w:tc>
      </w:tr>
    </w:tbl>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tbl>
      <w:tblPr>
        <w:tblW w:w="5000" w:type="pct"/>
        <w:tblLook w:val="04A0" w:firstRow="1" w:lastRow="0" w:firstColumn="1" w:lastColumn="0" w:noHBand="0" w:noVBand="1"/>
      </w:tblPr>
      <w:tblGrid>
        <w:gridCol w:w="403"/>
        <w:gridCol w:w="955"/>
        <w:gridCol w:w="1179"/>
        <w:gridCol w:w="876"/>
        <w:gridCol w:w="1015"/>
        <w:gridCol w:w="989"/>
        <w:gridCol w:w="1177"/>
        <w:gridCol w:w="989"/>
        <w:gridCol w:w="885"/>
        <w:gridCol w:w="1108"/>
      </w:tblGrid>
      <w:tr w:rsidR="00B130BB" w:rsidRPr="00B130BB" w:rsidTr="00842C95">
        <w:trPr>
          <w:trHeight w:val="139"/>
        </w:trPr>
        <w:tc>
          <w:tcPr>
            <w:tcW w:w="5000" w:type="pct"/>
            <w:gridSpan w:val="10"/>
            <w:tcBorders>
              <w:top w:val="nil"/>
              <w:left w:val="nil"/>
              <w:bottom w:val="nil"/>
              <w:right w:val="nil"/>
            </w:tcBorders>
            <w:shd w:val="clear" w:color="auto" w:fill="auto"/>
            <w:vAlign w:val="bottom"/>
            <w:hideMark/>
          </w:tcPr>
          <w:p w:rsidR="00B130BB" w:rsidRPr="00B130BB" w:rsidRDefault="00B130BB" w:rsidP="00B130BB">
            <w:pPr>
              <w:spacing w:after="0" w:line="240" w:lineRule="auto"/>
              <w:jc w:val="center"/>
              <w:rPr>
                <w:rFonts w:ascii="Garamond" w:eastAsia="Times New Roman" w:hAnsi="Garamond" w:cs="Times New Roman"/>
                <w:b/>
                <w:bCs/>
                <w:color w:val="000000"/>
                <w:spacing w:val="-4"/>
                <w:sz w:val="18"/>
                <w:szCs w:val="18"/>
                <w:lang w:val="sq-AL"/>
              </w:rPr>
            </w:pPr>
            <w:bookmarkStart w:id="10" w:name="RANGE!A1:J29"/>
            <w:r w:rsidRPr="00B130BB">
              <w:rPr>
                <w:rFonts w:ascii="Garamond" w:eastAsia="Times New Roman" w:hAnsi="Garamond" w:cs="Times New Roman"/>
                <w:b/>
                <w:bCs/>
                <w:color w:val="000000"/>
                <w:spacing w:val="-4"/>
                <w:sz w:val="18"/>
                <w:szCs w:val="18"/>
                <w:lang w:val="sq-AL"/>
              </w:rPr>
              <w:t>PROGRAMI I PËRGJITHSHËM ANALITIK I PROJEKTAKTEVE PËR VITIN 2018</w:t>
            </w:r>
            <w:bookmarkEnd w:id="10"/>
          </w:p>
        </w:tc>
      </w:tr>
      <w:tr w:rsidR="00B130BB" w:rsidRPr="00B130BB" w:rsidTr="00842C95">
        <w:trPr>
          <w:trHeight w:val="139"/>
        </w:trPr>
        <w:tc>
          <w:tcPr>
            <w:tcW w:w="5000" w:type="pct"/>
            <w:gridSpan w:val="10"/>
            <w:tcBorders>
              <w:top w:val="nil"/>
              <w:left w:val="nil"/>
              <w:bottom w:val="nil"/>
              <w:right w:val="nil"/>
            </w:tcBorders>
            <w:shd w:val="clear" w:color="auto" w:fill="auto"/>
            <w:vAlign w:val="bottom"/>
            <w:hideMark/>
          </w:tcPr>
          <w:p w:rsidR="00B130BB" w:rsidRPr="00B130BB" w:rsidRDefault="00B130BB" w:rsidP="00B130BB">
            <w:pPr>
              <w:spacing w:after="0" w:line="240" w:lineRule="auto"/>
              <w:jc w:val="center"/>
              <w:rPr>
                <w:rFonts w:ascii="Garamond" w:eastAsia="Times New Roman" w:hAnsi="Garamond" w:cs="Times New Roman"/>
                <w:b/>
                <w:bCs/>
                <w:color w:val="000000"/>
                <w:spacing w:val="-4"/>
                <w:sz w:val="18"/>
                <w:szCs w:val="18"/>
                <w:lang w:val="sq-AL"/>
              </w:rPr>
            </w:pPr>
            <w:r w:rsidRPr="00B130BB">
              <w:rPr>
                <w:rFonts w:ascii="Garamond" w:eastAsia="Times New Roman" w:hAnsi="Garamond" w:cs="Times New Roman"/>
                <w:b/>
                <w:bCs/>
                <w:color w:val="000000"/>
                <w:spacing w:val="-4"/>
                <w:sz w:val="18"/>
                <w:szCs w:val="18"/>
                <w:lang w:val="sq-AL"/>
              </w:rPr>
              <w:t>MINISTRIA BUJQËSISË DHE ZHVILLIMIT RURAL</w:t>
            </w:r>
          </w:p>
        </w:tc>
      </w:tr>
      <w:tr w:rsidR="00B130BB" w:rsidRPr="00B130BB" w:rsidTr="00842C95">
        <w:trPr>
          <w:trHeight w:val="139"/>
        </w:trPr>
        <w:tc>
          <w:tcPr>
            <w:tcW w:w="117" w:type="pct"/>
            <w:tcBorders>
              <w:top w:val="single" w:sz="4" w:space="0" w:color="FFFFFF"/>
              <w:left w:val="single" w:sz="4" w:space="0" w:color="FFFFFF"/>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Nr.</w:t>
            </w:r>
          </w:p>
        </w:tc>
        <w:tc>
          <w:tcPr>
            <w:tcW w:w="1027"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Titulli i projektaktit</w:t>
            </w:r>
          </w:p>
        </w:tc>
        <w:tc>
          <w:tcPr>
            <w:tcW w:w="331"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 xml:space="preserve">Ministri propozues dhe bashkëpropozues </w:t>
            </w:r>
          </w:p>
        </w:tc>
        <w:tc>
          <w:tcPr>
            <w:tcW w:w="198"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Katërmujori</w:t>
            </w:r>
          </w:p>
        </w:tc>
        <w:tc>
          <w:tcPr>
            <w:tcW w:w="661"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Arsyeja e nxjerrjes së projektaktit</w:t>
            </w:r>
          </w:p>
        </w:tc>
        <w:tc>
          <w:tcPr>
            <w:tcW w:w="650"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Qëllimi i projektaktit</w:t>
            </w:r>
          </w:p>
        </w:tc>
        <w:tc>
          <w:tcPr>
            <w:tcW w:w="634"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Objektivat që kërkon të realizojë projektakti</w:t>
            </w:r>
          </w:p>
        </w:tc>
        <w:tc>
          <w:tcPr>
            <w:tcW w:w="584"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Çështjet që rregullon projektakti</w:t>
            </w:r>
          </w:p>
        </w:tc>
        <w:tc>
          <w:tcPr>
            <w:tcW w:w="335"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Lidhja me Planin Kombëtar për Integrimin Evropian</w:t>
            </w:r>
          </w:p>
        </w:tc>
        <w:tc>
          <w:tcPr>
            <w:tcW w:w="463"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Lidhja me programin qeverisës 2017–2021</w:t>
            </w:r>
          </w:p>
        </w:tc>
      </w:tr>
      <w:tr w:rsidR="00B130BB" w:rsidRPr="00B130BB" w:rsidTr="00842C95">
        <w:trPr>
          <w:trHeight w:val="139"/>
        </w:trPr>
        <w:tc>
          <w:tcPr>
            <w:tcW w:w="117"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center"/>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w:t>
            </w:r>
          </w:p>
        </w:tc>
        <w:tc>
          <w:tcPr>
            <w:tcW w:w="1027"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“Për disa shtesa dhe ndryshime në ligjin nr. 10465, datë 29.09.2011 “Për shërbimin veterinar në Republikën e Shqipërisë”, i ndryshuar</w:t>
            </w:r>
          </w:p>
        </w:tc>
        <w:tc>
          <w:tcPr>
            <w:tcW w:w="331"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Bujqësisë dhe Zhvillimit Rural</w:t>
            </w:r>
          </w:p>
        </w:tc>
        <w:tc>
          <w:tcPr>
            <w:tcW w:w="198"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61"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Boshllëku ligjor për të mbështetur unifikimin shërbimit veterinar në kuadër të reformës së shërbimin veterinar dhe punën e tij.</w:t>
            </w:r>
          </w:p>
        </w:tc>
        <w:tc>
          <w:tcPr>
            <w:tcW w:w="650"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Përmirësimi kuadrit ligjor në kuadër të reformës së shërbimin veterinar për të mbështetur unifikimin dhe punën e shërbimit veterinar.</w:t>
            </w:r>
          </w:p>
        </w:tc>
        <w:tc>
          <w:tcPr>
            <w:tcW w:w="634"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Plotësimi i kuadrit ligjor në lidhje me kalimin e kompetencave dhe funksioneve të shërbimit veterinar të pushtetit lokal në strukturën e shërbimit veterinar në MBZHR dhe vakume ligjore të ndryshme</w:t>
            </w:r>
          </w:p>
        </w:tc>
        <w:tc>
          <w:tcPr>
            <w:tcW w:w="584"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Unifikimi shërbimit veterinar Forcimi i sigurisë ushqimore dhe qasjes “nga ferma në tavolinë”,</w:t>
            </w:r>
          </w:p>
        </w:tc>
        <w:tc>
          <w:tcPr>
            <w:tcW w:w="335"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3"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2.3 Bujqësia, Siguria ushqimore</w:t>
            </w:r>
          </w:p>
        </w:tc>
      </w:tr>
      <w:tr w:rsidR="00B130BB" w:rsidRPr="00B130BB" w:rsidTr="00842C95">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center"/>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w:t>
            </w:r>
          </w:p>
        </w:tc>
        <w:tc>
          <w:tcPr>
            <w:tcW w:w="10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Projektligj “Për disa shtesa dhe ndryshime në ligjin nr. 111/2012 “Për menaxhimin e </w:t>
            </w:r>
            <w:r w:rsidRPr="00B130BB">
              <w:rPr>
                <w:rFonts w:ascii="Garamond" w:eastAsia="Times New Roman" w:hAnsi="Garamond" w:cs="Times New Roman"/>
                <w:spacing w:val="-4"/>
                <w:sz w:val="18"/>
                <w:szCs w:val="18"/>
                <w:lang w:val="sq-AL"/>
              </w:rPr>
              <w:lastRenderedPageBreak/>
              <w:t xml:space="preserve">integruar të burimeve ujore” </w:t>
            </w:r>
          </w:p>
        </w:tc>
        <w:tc>
          <w:tcPr>
            <w:tcW w:w="3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Bujqësisë dhe Zhvillimit Rural</w:t>
            </w:r>
          </w:p>
        </w:tc>
        <w:tc>
          <w:tcPr>
            <w:tcW w:w="1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Nevoje e institucionit</w:t>
            </w:r>
          </w:p>
        </w:tc>
        <w:tc>
          <w:tcPr>
            <w:tcW w:w="65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Përcaktimi i qarte i institucioneve përgjegjëse për zbatimin e ligjit duke reflektuar </w:t>
            </w:r>
            <w:r w:rsidRPr="00B130BB">
              <w:rPr>
                <w:rFonts w:ascii="Garamond" w:eastAsia="Times New Roman" w:hAnsi="Garamond" w:cs="Times New Roman"/>
                <w:spacing w:val="-4"/>
                <w:sz w:val="18"/>
                <w:szCs w:val="18"/>
                <w:lang w:val="sq-AL"/>
              </w:rPr>
              <w:lastRenderedPageBreak/>
              <w:t>ndryshimet institucionale të organeve të menaxhimit të burimeve ujore</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Pasqyrimi në projektligj i ndryshimeve institucionale dhe përgjegjësive që rrjedhin prej këtyre ndryshimeve</w:t>
            </w:r>
          </w:p>
        </w:tc>
        <w:tc>
          <w:tcPr>
            <w:tcW w:w="5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Kuadrin institucional dhe ligjor të menaxhimit të integruar të burimeve ujore</w:t>
            </w:r>
            <w:r w:rsidRPr="00B130BB">
              <w:rPr>
                <w:rFonts w:ascii="Garamond" w:eastAsia="Times New Roman" w:hAnsi="Garamond" w:cs="Times New Roman"/>
                <w:spacing w:val="-4"/>
                <w:sz w:val="18"/>
                <w:szCs w:val="18"/>
                <w:lang w:val="sq-AL"/>
              </w:rPr>
              <w:br/>
            </w:r>
            <w:r w:rsidRPr="00B130BB">
              <w:rPr>
                <w:rFonts w:ascii="Garamond" w:eastAsia="Times New Roman" w:hAnsi="Garamond" w:cs="Times New Roman"/>
                <w:spacing w:val="-4"/>
                <w:sz w:val="18"/>
                <w:szCs w:val="18"/>
                <w:lang w:val="sq-AL"/>
              </w:rPr>
              <w:lastRenderedPageBreak/>
              <w:t>Akti lidhet me draftstrategjinë e menaxhimit të integruara të burimeve ujore</w:t>
            </w:r>
          </w:p>
        </w:tc>
        <w:tc>
          <w:tcPr>
            <w:tcW w:w="33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6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center"/>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3</w:t>
            </w:r>
          </w:p>
        </w:tc>
        <w:tc>
          <w:tcPr>
            <w:tcW w:w="10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“Për një ndryshim në ligjin 64/2012 për peshkimin”, i ndryshuar</w:t>
            </w:r>
          </w:p>
        </w:tc>
        <w:tc>
          <w:tcPr>
            <w:tcW w:w="3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Bujqësisë dhe Zhvillimit Rural</w:t>
            </w:r>
          </w:p>
        </w:tc>
        <w:tc>
          <w:tcPr>
            <w:tcW w:w="1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Përafrim me Rregulloren EU 1379/2013 të Parlamentit dhe Këshillit mbi organizimin e tregjeve të prodhimeve të peshkimit dhe akuakulturës</w:t>
            </w:r>
          </w:p>
        </w:tc>
        <w:tc>
          <w:tcPr>
            <w:tcW w:w="65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Organizimi dhe funksionimi i tregjeve me shumicë të prodhimeve peshkore</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Formalizimi i mëtejshëm i sektorit dhe në mënyrë të veçantë të tregjeve dhe marketingut të prodhimeve të peshkimit</w:t>
            </w:r>
          </w:p>
        </w:tc>
        <w:tc>
          <w:tcPr>
            <w:tcW w:w="5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Organizatat e prodhuesve të drejtat dhe detyrat e tyre</w:t>
            </w:r>
            <w:r w:rsidRPr="00B130BB">
              <w:rPr>
                <w:rFonts w:ascii="Garamond" w:eastAsia="Times New Roman" w:hAnsi="Garamond" w:cs="Times New Roman"/>
                <w:spacing w:val="-4"/>
                <w:sz w:val="18"/>
                <w:szCs w:val="18"/>
                <w:lang w:val="sq-AL"/>
              </w:rPr>
              <w:br/>
              <w:t xml:space="preserve">Akti lidhet me Strategjia Kombëtare e peshkimit </w:t>
            </w:r>
          </w:p>
        </w:tc>
        <w:tc>
          <w:tcPr>
            <w:tcW w:w="33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 Kapitulli 13. Peshkimi, Rregullore Këshillit (EC) nr. 1380/2013</w:t>
            </w:r>
          </w:p>
        </w:tc>
        <w:tc>
          <w:tcPr>
            <w:tcW w:w="46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 2.3 Bujqësia (Peshkimi dhe Agroindustria) Do t’i kushtohet një vëmendje e posaçme zhvillimit të sektorit të peshkimit</w:t>
            </w:r>
          </w:p>
        </w:tc>
      </w:tr>
      <w:tr w:rsidR="00B130BB" w:rsidRPr="00B130BB" w:rsidTr="00842C95">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center"/>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w:t>
            </w:r>
          </w:p>
        </w:tc>
        <w:tc>
          <w:tcPr>
            <w:tcW w:w="10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Projektligj për disa ndryshime e shtesa në ligjin nr. 8691, datë 16.11.2000 “Për prodhimin dhe tregtimin e duhanit dhe të cigareve”, të ndryshuar. </w:t>
            </w:r>
          </w:p>
        </w:tc>
        <w:tc>
          <w:tcPr>
            <w:tcW w:w="3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Bujqësisë dhe Zhvillimit Rural</w:t>
            </w:r>
          </w:p>
        </w:tc>
        <w:tc>
          <w:tcPr>
            <w:tcW w:w="1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Boshllëku ligjor për rregullat e prodhimit, grumbullimit, përpunimit dhe shitjes se duhanit dhe cigareve. </w:t>
            </w:r>
          </w:p>
        </w:tc>
        <w:tc>
          <w:tcPr>
            <w:tcW w:w="65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Ky projektligj ka për qëllim të rregullojë prodhimin, grumbullimin, përpunimin dhe tregtimin e duhanit dhe cigareve. </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Prodhimi dhe tregtimi i duhanit konform standardeve. </w:t>
            </w:r>
          </w:p>
        </w:tc>
        <w:tc>
          <w:tcPr>
            <w:tcW w:w="5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rregullon çështjet e prodhimit, grumbullimit, përpunimit dhe tregtimet e duhanit dhe cigareve</w:t>
            </w:r>
          </w:p>
        </w:tc>
        <w:tc>
          <w:tcPr>
            <w:tcW w:w="33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center"/>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5</w:t>
            </w:r>
          </w:p>
        </w:tc>
        <w:tc>
          <w:tcPr>
            <w:tcW w:w="10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“Për disa ndryshime e shtesa në ligjin nr. 10416, datë 7.4.2011 “Për materialin mbjellës e shumëzues bimore” të ndryshuar.</w:t>
            </w:r>
          </w:p>
        </w:tc>
        <w:tc>
          <w:tcPr>
            <w:tcW w:w="3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Bujqësisë dhe Zhvillimit Rural</w:t>
            </w:r>
          </w:p>
        </w:tc>
        <w:tc>
          <w:tcPr>
            <w:tcW w:w="1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6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Amendimi i nenit 44 të ligjit nr. 10416, datë 7.4.2011 “Për materialin mbjellës e shumëzues bimor” të ndryshuar, në lidhje me laboratorët e akredituar. </w:t>
            </w:r>
          </w:p>
        </w:tc>
        <w:tc>
          <w:tcPr>
            <w:tcW w:w="65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Ky projektligj ka për qëllim të rregullojë analizimin e materialit mbjellës e shumëzues bimor , neni 44 I ligjit nr. 10416, datë 7.4.2011 “Për materialin mbjellës e shumëzues bimore” të </w:t>
            </w:r>
            <w:r w:rsidRPr="00B130BB">
              <w:rPr>
                <w:rFonts w:ascii="Garamond" w:eastAsia="Times New Roman" w:hAnsi="Garamond" w:cs="Times New Roman"/>
                <w:spacing w:val="-4"/>
                <w:sz w:val="18"/>
                <w:szCs w:val="18"/>
                <w:lang w:val="sq-AL"/>
              </w:rPr>
              <w:lastRenderedPageBreak/>
              <w:t xml:space="preserve">ndryshuar. </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Kryerjen e analizave laboratorike zyrtare të materialit mbjellës e shumëzues bimor në laboratorë të miratuar dhe atë të referencës si dhe miratimi i laboratorit të referencës.</w:t>
            </w:r>
          </w:p>
        </w:tc>
        <w:tc>
          <w:tcPr>
            <w:tcW w:w="5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Rregullon çështjen e analizimit të materialit mbjellës e shumëzues bimor. </w:t>
            </w:r>
          </w:p>
        </w:tc>
        <w:tc>
          <w:tcPr>
            <w:tcW w:w="33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center"/>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6</w:t>
            </w:r>
          </w:p>
        </w:tc>
        <w:tc>
          <w:tcPr>
            <w:tcW w:w="10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“Për ujërat kurative, minerale dhe termominerale sipërfaqësore dhe nëntokësore”</w:t>
            </w:r>
          </w:p>
        </w:tc>
        <w:tc>
          <w:tcPr>
            <w:tcW w:w="3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Bujqësisë dhe Zhvillimit Rural</w:t>
            </w:r>
          </w:p>
        </w:tc>
        <w:tc>
          <w:tcPr>
            <w:tcW w:w="1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6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Ujerat kurative, minerale dhe termominerale</w:t>
            </w:r>
          </w:p>
        </w:tc>
        <w:tc>
          <w:tcPr>
            <w:tcW w:w="65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Përdorimin e qëndrueshëm dhe kontrollin e ujerave kurative, minerale dhe termominerale</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Ujerat kurative, minerale dhe termominerale</w:t>
            </w:r>
          </w:p>
        </w:tc>
        <w:tc>
          <w:tcPr>
            <w:tcW w:w="5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Ujerat kurative, minerale dhe termominerale</w:t>
            </w:r>
          </w:p>
        </w:tc>
        <w:tc>
          <w:tcPr>
            <w:tcW w:w="33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center"/>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7</w:t>
            </w:r>
          </w:p>
        </w:tc>
        <w:tc>
          <w:tcPr>
            <w:tcW w:w="10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24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përcaktimin e kritereve bazë, të sektorëve që do të mbështeten dhe të masës së përfitimit nga fondi i programit për bujqësinë dhe zhvillimin rural, për vitin 2018”</w:t>
            </w:r>
          </w:p>
        </w:tc>
        <w:tc>
          <w:tcPr>
            <w:tcW w:w="3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Bujqësisë dhe Zhvillimit Rural</w:t>
            </w:r>
          </w:p>
        </w:tc>
        <w:tc>
          <w:tcPr>
            <w:tcW w:w="1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që rrjedh nga ligji nr. 9817, date 22.207, “Për bujqësinë dhe zhvillimin rural”</w:t>
            </w:r>
          </w:p>
        </w:tc>
        <w:tc>
          <w:tcPr>
            <w:tcW w:w="65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Përcaktimi i kritereve bazë, të sektorëve që do të mbështeten dhe të masës së përfitimit. </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 Rritjen e konkurrueshmërisë së produkteve bujqësore. b) Përmirësimin e zinxhirit të cilësisë dhe sigurisë ushqimore; c) Nxitjen e formalizimit dhe kooperimit të prodhuesve; e) Rritjen e eficiencës së flotës së peshkimit; c) Nxitjen e kultivimit të sipërfaqes së tokës së papunuar</w:t>
            </w:r>
          </w:p>
        </w:tc>
        <w:tc>
          <w:tcPr>
            <w:tcW w:w="5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Mbështetjen financiare për zhvillimin e sektorëve të ndryshëm të bujqësisë dhe blegtorisë dhe përmirësimin e cilësisë dhe sigurisë ushqimore. </w:t>
            </w:r>
            <w:r w:rsidRPr="00B130BB">
              <w:rPr>
                <w:rFonts w:ascii="Garamond" w:eastAsia="Times New Roman" w:hAnsi="Garamond" w:cs="Times New Roman"/>
                <w:spacing w:val="-4"/>
                <w:sz w:val="18"/>
                <w:szCs w:val="18"/>
                <w:lang w:val="sq-AL"/>
              </w:rPr>
              <w:br/>
              <w:t>Akti lidhet me Strategjia Ndërsektoriale për Zhvillimin Rural dhe Bujqësor në Shqipëri (2014–2020) pika 3.21 Mbështetja e drejtpërdrejtë për fermerët dhe skemat e tjera mbështetëse.</w:t>
            </w:r>
          </w:p>
        </w:tc>
        <w:tc>
          <w:tcPr>
            <w:tcW w:w="33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Po, 2.3 Bujqësia: Mbështetja financiare </w:t>
            </w:r>
          </w:p>
        </w:tc>
      </w:tr>
      <w:tr w:rsidR="00B130BB" w:rsidRPr="00B130BB" w:rsidTr="00842C95">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center"/>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8</w:t>
            </w:r>
          </w:p>
        </w:tc>
        <w:tc>
          <w:tcPr>
            <w:tcW w:w="10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“Për miratimin e rregullave për tregtimin, transportin, ruajtjen dhe magazinimin e PMB-ve”. </w:t>
            </w:r>
          </w:p>
        </w:tc>
        <w:tc>
          <w:tcPr>
            <w:tcW w:w="3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Bujqësisë dhe Zhvillimit Rural</w:t>
            </w:r>
          </w:p>
        </w:tc>
        <w:tc>
          <w:tcPr>
            <w:tcW w:w="1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Detyrimi i ligjit nr. 105/2016, date 14.10.2016 “Për mbrojtjen e bimëve”</w:t>
            </w:r>
          </w:p>
        </w:tc>
        <w:tc>
          <w:tcPr>
            <w:tcW w:w="65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Akti përcakton rregullat e tregtimit, transportit dhe magazinimit deri te përdorimi i PMB-ve.</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Të sigurojë shëndetin e operatoreve, punonjësve dhe mbrojtjen e mjedisit.</w:t>
            </w:r>
          </w:p>
        </w:tc>
        <w:tc>
          <w:tcPr>
            <w:tcW w:w="5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Rregullon kuadrin ligjore për përcaktimin e rregullave të tregtimit, transportin, magazinimin dhe përdorimin e PMB-ve</w:t>
            </w:r>
            <w:r w:rsidRPr="00B130BB">
              <w:rPr>
                <w:rFonts w:ascii="Garamond" w:eastAsia="Times New Roman" w:hAnsi="Garamond" w:cs="Times New Roman"/>
                <w:spacing w:val="-4"/>
                <w:sz w:val="18"/>
                <w:szCs w:val="18"/>
                <w:lang w:val="sq-AL"/>
              </w:rPr>
              <w:br/>
              <w:t xml:space="preserve">Akti lidhet me Strategjia </w:t>
            </w:r>
            <w:r w:rsidRPr="00B130BB">
              <w:rPr>
                <w:rFonts w:ascii="Garamond" w:eastAsia="Times New Roman" w:hAnsi="Garamond" w:cs="Times New Roman"/>
                <w:spacing w:val="-4"/>
                <w:sz w:val="18"/>
                <w:szCs w:val="18"/>
                <w:lang w:val="sq-AL"/>
              </w:rPr>
              <w:lastRenderedPageBreak/>
              <w:t>Ndersektoriale për Zhvillimin Rural dhe Bujqësor 2014–2020</w:t>
            </w:r>
          </w:p>
        </w:tc>
        <w:tc>
          <w:tcPr>
            <w:tcW w:w="33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Po. Masat ligjore të parashikuara për periudhën 2016-2018. “Vendim i Këshillit të Ministrave, “Për miratimin e rregullave </w:t>
            </w:r>
            <w:r w:rsidRPr="00B130BB">
              <w:rPr>
                <w:rFonts w:ascii="Garamond" w:eastAsia="Times New Roman" w:hAnsi="Garamond" w:cs="Times New Roman"/>
                <w:spacing w:val="-4"/>
                <w:sz w:val="18"/>
                <w:szCs w:val="18"/>
                <w:lang w:val="sq-AL"/>
              </w:rPr>
              <w:lastRenderedPageBreak/>
              <w:t>për importimin, tregtimin, transportin, ruajtjen, përdorimin dhe asgjësimin e PMB-ve”</w:t>
            </w:r>
          </w:p>
        </w:tc>
        <w:tc>
          <w:tcPr>
            <w:tcW w:w="46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Po, 2.3 Bujqësia: Siguria Ushqimore </w:t>
            </w:r>
          </w:p>
        </w:tc>
      </w:tr>
      <w:tr w:rsidR="00B130BB" w:rsidRPr="00B130BB" w:rsidTr="00842C95">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center"/>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9</w:t>
            </w:r>
          </w:p>
        </w:tc>
        <w:tc>
          <w:tcPr>
            <w:tcW w:w="10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miratimin e rregullave të regjistrimit, procedura, si dhe kriteret e vlerësimit të PMB-ve”</w:t>
            </w:r>
          </w:p>
        </w:tc>
        <w:tc>
          <w:tcPr>
            <w:tcW w:w="3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Bujqësisë dhe Zhvillimit Rural</w:t>
            </w:r>
          </w:p>
        </w:tc>
        <w:tc>
          <w:tcPr>
            <w:tcW w:w="1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Detyrimi i ligjit nr. 105/2016, date 14.10.2016 “Për mbrojtjen e bimëve”</w:t>
            </w:r>
          </w:p>
        </w:tc>
        <w:tc>
          <w:tcPr>
            <w:tcW w:w="65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procedurave dhe kërkesave për regjistrimin e produkteve për mbrojtjen e bimëve (PMB), në formën e tyre tregtare, që do të importohen dhe përdoren në territorin e Republikës së Shqipërisë.</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Në përmjet regjistrimit të PMB-ve, sigurohet një monitorim zyrtar para se ato të importohen, tregtohen e përdoren në territorin e Republikës së Shqipërisë. PMB-të mund të futen në treg dhe të përdoren brenda territorit të Republikës së Shqipërisë, vetëm nëse janë të regjistruara, në përputhje me këtë vendim.</w:t>
            </w:r>
          </w:p>
        </w:tc>
        <w:tc>
          <w:tcPr>
            <w:tcW w:w="5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Rregullon kuadrin ligjore për të vendoset në treg PMB-të për t’u përdorur në territorin e Republikës së Shqipërisë.</w:t>
            </w:r>
          </w:p>
        </w:tc>
        <w:tc>
          <w:tcPr>
            <w:tcW w:w="33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 Masat ligjore të parashikuara për periudhën 2016–2018. “Vendim i Këshillit të Ministrave, “Për miratimin e rregullave të regjistrimit dhe të kritereve të vlerësimit të PMB-ve”</w:t>
            </w:r>
          </w:p>
        </w:tc>
        <w:tc>
          <w:tcPr>
            <w:tcW w:w="46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Po, 2.3 Bujqësia: Siguria Ushqimore </w:t>
            </w:r>
          </w:p>
        </w:tc>
      </w:tr>
      <w:tr w:rsidR="00B130BB" w:rsidRPr="00B130BB" w:rsidTr="00842C95">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center"/>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10</w:t>
            </w:r>
          </w:p>
        </w:tc>
        <w:tc>
          <w:tcPr>
            <w:tcW w:w="10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“Për një ndryshim të VKM-së, 301 datë 10.4.2013” </w:t>
            </w:r>
          </w:p>
        </w:tc>
        <w:tc>
          <w:tcPr>
            <w:tcW w:w="3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Bujqësisë dhe Zhvillimit Rural</w:t>
            </w:r>
          </w:p>
        </w:tc>
        <w:tc>
          <w:tcPr>
            <w:tcW w:w="1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Përafrim me Rregulloren EU 2016/1251 të Parlamentit dhe Këshillit mbi grumbullimin, menaxhimin dhe përdorimin e të dhënave të peshkimit dhe akuakulturës, për periudhën 2018–2020</w:t>
            </w:r>
          </w:p>
        </w:tc>
        <w:tc>
          <w:tcPr>
            <w:tcW w:w="65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Grumbullimi, menaxhimi dhe përdorimi i të dhënave të peshkimit dhe akuakulturës për hartimin e planeve të menaxhimit dhe mbështetje për këshillimin shkencor</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Përditësimi i planeve të menaxhimit të peshkimit dhe mbështetjes së kërkimit shkencor</w:t>
            </w:r>
          </w:p>
        </w:tc>
        <w:tc>
          <w:tcPr>
            <w:tcW w:w="5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Plotësimin e VKM sipas direktes përkatëse të BE-së (Rregulloren 2016/1251</w:t>
            </w:r>
            <w:r w:rsidRPr="00B130BB">
              <w:rPr>
                <w:rFonts w:ascii="Garamond" w:eastAsia="Times New Roman" w:hAnsi="Garamond" w:cs="Times New Roman"/>
                <w:spacing w:val="-4"/>
                <w:sz w:val="18"/>
                <w:szCs w:val="18"/>
                <w:lang w:val="sq-AL"/>
              </w:rPr>
              <w:br/>
              <w:t xml:space="preserve">Akti lidhet me Strategjia Kombëtare e peshkimit </w:t>
            </w:r>
          </w:p>
        </w:tc>
        <w:tc>
          <w:tcPr>
            <w:tcW w:w="33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 2.3 Bujqësia (Peshkimi dhe Agroindustria)Do t’i kushtohet një vëmendje e posaçme zhvillimit të sektorit të peshkimit</w:t>
            </w:r>
          </w:p>
        </w:tc>
      </w:tr>
      <w:tr w:rsidR="00B130BB" w:rsidRPr="00B130BB" w:rsidTr="00842C95">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center"/>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11</w:t>
            </w:r>
          </w:p>
        </w:tc>
        <w:tc>
          <w:tcPr>
            <w:tcW w:w="10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“Për </w:t>
            </w:r>
            <w:r w:rsidRPr="00B130BB">
              <w:rPr>
                <w:rFonts w:ascii="Garamond" w:eastAsia="Times New Roman" w:hAnsi="Garamond" w:cs="Times New Roman"/>
                <w:spacing w:val="-4"/>
                <w:sz w:val="18"/>
                <w:szCs w:val="18"/>
                <w:lang w:val="sq-AL"/>
              </w:rPr>
              <w:lastRenderedPageBreak/>
              <w:t>Miratimin e Strategjisë Kombëtare të Ujitjes dhe të Kullimit 2017–2030”</w:t>
            </w:r>
          </w:p>
        </w:tc>
        <w:tc>
          <w:tcPr>
            <w:tcW w:w="3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Ministri i Bujqësisë dhe </w:t>
            </w:r>
            <w:r w:rsidRPr="00B130BB">
              <w:rPr>
                <w:rFonts w:ascii="Garamond" w:eastAsia="Times New Roman" w:hAnsi="Garamond" w:cs="Times New Roman"/>
                <w:spacing w:val="-4"/>
                <w:sz w:val="18"/>
                <w:szCs w:val="18"/>
                <w:lang w:val="sq-AL"/>
              </w:rPr>
              <w:lastRenderedPageBreak/>
              <w:t>Zhvillimit Rural</w:t>
            </w:r>
          </w:p>
        </w:tc>
        <w:tc>
          <w:tcPr>
            <w:tcW w:w="1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Katërmujori I</w:t>
            </w:r>
          </w:p>
        </w:tc>
        <w:tc>
          <w:tcPr>
            <w:tcW w:w="6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Detyrim që rrjedh nga </w:t>
            </w:r>
            <w:r w:rsidRPr="00B130BB">
              <w:rPr>
                <w:rFonts w:ascii="Garamond" w:eastAsia="Times New Roman" w:hAnsi="Garamond" w:cs="Times New Roman"/>
                <w:spacing w:val="-4"/>
                <w:sz w:val="18"/>
                <w:szCs w:val="18"/>
                <w:lang w:val="sq-AL"/>
              </w:rPr>
              <w:lastRenderedPageBreak/>
              <w:t>ligji nr. 89/2013, “Për ratifikimin e Marrëveshjes së Huas, ndërmjet Republikës së Shqipërisë dhe Bankës Ndërkombëtare për Rindërtim dhe Zhvillim (IBRD), për financimin e Projektit të Burimeve Ujore dhe Ujitjes” (Pjesa 2 “Mbështetje institucionale për ujitjen dhe kullimin”, germa “i”)</w:t>
            </w:r>
          </w:p>
        </w:tc>
        <w:tc>
          <w:tcPr>
            <w:tcW w:w="65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Qëllimi i këtij </w:t>
            </w:r>
            <w:r w:rsidRPr="00B130BB">
              <w:rPr>
                <w:rFonts w:ascii="Garamond" w:eastAsia="Times New Roman" w:hAnsi="Garamond" w:cs="Times New Roman"/>
                <w:spacing w:val="-4"/>
                <w:sz w:val="18"/>
                <w:szCs w:val="18"/>
                <w:lang w:val="sq-AL"/>
              </w:rPr>
              <w:lastRenderedPageBreak/>
              <w:t xml:space="preserve">projektvendimi është miratimi i Strategjisë Kombëtare të Ujitjes dhe Kullimit 2017-2030. Strategjia Kombëtare e Ujitjes dhe Kullimit, është një dokument themelor, që jep një vizion për të ardhmen e sektorit të ujitjes, kullimit dhe mbrojtjes nga përmbytja, parimet udhërrëfyese, qëndrimet politike dhe strategjike dhe një listë veprimesh e masash, që duhen marrë të shoqëruara dhe me kohën e përshtatshme për zbatim </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Kjo strategji do të orientojë </w:t>
            </w:r>
            <w:r w:rsidRPr="00B130BB">
              <w:rPr>
                <w:rFonts w:ascii="Garamond" w:eastAsia="Times New Roman" w:hAnsi="Garamond" w:cs="Times New Roman"/>
                <w:spacing w:val="-4"/>
                <w:sz w:val="18"/>
                <w:szCs w:val="18"/>
                <w:lang w:val="sq-AL"/>
              </w:rPr>
              <w:lastRenderedPageBreak/>
              <w:t>proceset e vendimmarrjes brenda fushës së veprimit të Ministrisë së Bujqësisë dhe Zhvillimit Rural dhe Bashkive, për optimizimin e të gjitha investimeve në ujitje, kullim dhe mbrojtje nga përmbytjet, me qëllim zgjerimin dhe bërjen të qëndrueshme të sistemeve të ujitjes, kullimit dhe mbrojtjen nga përmbytjet si dhe sigurimin e menaxhimit të qëndrueshëm dhe produktiv të këtyre sistemeve, përmirësimin e përdorimit efecient të ujit dhe shpërndarjen e barabartë të tij, krahas me reduktimin e rrezikut nga përmbytjet dhe shkatërrimit të digave, për 10 deri 20 vitet e ardhshme.</w:t>
            </w:r>
          </w:p>
        </w:tc>
        <w:tc>
          <w:tcPr>
            <w:tcW w:w="5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Strategji përcakton </w:t>
            </w:r>
            <w:r w:rsidRPr="00B130BB">
              <w:rPr>
                <w:rFonts w:ascii="Garamond" w:eastAsia="Times New Roman" w:hAnsi="Garamond" w:cs="Times New Roman"/>
                <w:spacing w:val="-4"/>
                <w:sz w:val="18"/>
                <w:szCs w:val="18"/>
                <w:lang w:val="sq-AL"/>
              </w:rPr>
              <w:lastRenderedPageBreak/>
              <w:t>qëllimet kryesore të katër nënsektorëve të ujitjes, kullimit, mbrojtjes nga përmbytjet dhe sigurisë së digave, dhe përgjegjësitë e MBZHR-Drejtorive të Ujitjes dhe të Kullimit dhe bashkive për arritjen e objektivave, nëpërmjet një plani veprimi, që ka të përcaktuar kohën dhe kostot e çdo aktiviteti për shfrytëzimin, mirëmbajtjen dhe rehabilitimin e infrastrukturës së ujitjes, kullimit, mbrojtjes nga përmbytja dhe sigurisë se digave, brenda zonës përkatëse nën shërbim të MBZHR dhe Bashkive.</w:t>
            </w:r>
          </w:p>
        </w:tc>
        <w:tc>
          <w:tcPr>
            <w:tcW w:w="33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6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Strategjia Kombëtare e </w:t>
            </w:r>
            <w:r w:rsidRPr="00B130BB">
              <w:rPr>
                <w:rFonts w:ascii="Garamond" w:eastAsia="Times New Roman" w:hAnsi="Garamond" w:cs="Times New Roman"/>
                <w:spacing w:val="-4"/>
                <w:sz w:val="18"/>
                <w:szCs w:val="18"/>
                <w:lang w:val="sq-AL"/>
              </w:rPr>
              <w:lastRenderedPageBreak/>
              <w:t xml:space="preserve">Ujitjes dhe Kullimit, është në përputhje dhe në zbatim të programit politik të qeverisë shqiptare, për një sistem funksional të ujitjes dhe kullimit në çdo parcelë të tokës së punueshme si dhe decentralizimin e kompetencave në administrimin e infrastrukturës së ujitjes dhe kullimit, nga qeverisja qendrore te bashkitë. </w:t>
            </w:r>
          </w:p>
        </w:tc>
      </w:tr>
      <w:tr w:rsidR="00B130BB" w:rsidRPr="00B130BB" w:rsidTr="00842C95">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center"/>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12</w:t>
            </w:r>
          </w:p>
        </w:tc>
        <w:tc>
          <w:tcPr>
            <w:tcW w:w="10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etiketimin e ushqimit dhe informimi</w:t>
            </w:r>
            <w:r w:rsidRPr="00B130BB">
              <w:rPr>
                <w:rFonts w:ascii="Garamond" w:eastAsia="Times New Roman" w:hAnsi="Garamond" w:cs="Times New Roman"/>
                <w:spacing w:val="-4"/>
                <w:sz w:val="18"/>
                <w:szCs w:val="18"/>
                <w:lang w:val="sq-AL"/>
              </w:rPr>
              <w:lastRenderedPageBreak/>
              <w:t>n e konsumatorit</w:t>
            </w:r>
          </w:p>
        </w:tc>
        <w:tc>
          <w:tcPr>
            <w:tcW w:w="3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Bujqësisë dhe Zhvillimit Rural</w:t>
            </w:r>
          </w:p>
        </w:tc>
        <w:tc>
          <w:tcPr>
            <w:tcW w:w="1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Përafrimi i legjislacionit të sigurisë ushqimore me legjislacioni</w:t>
            </w:r>
            <w:r w:rsidRPr="00B130BB">
              <w:rPr>
                <w:rFonts w:ascii="Garamond" w:eastAsia="Times New Roman" w:hAnsi="Garamond" w:cs="Times New Roman"/>
                <w:spacing w:val="-4"/>
                <w:sz w:val="18"/>
                <w:szCs w:val="18"/>
                <w:lang w:val="sq-AL"/>
              </w:rPr>
              <w:lastRenderedPageBreak/>
              <w:t xml:space="preserve">n evropian për të mundësuar dhe lehtësuar futjen e produkteve ushqimore shqiptare në tregun e Bashkimit Evropian. Plotësimi i rekomandimit të Raport Progresit. </w:t>
            </w:r>
          </w:p>
        </w:tc>
        <w:tc>
          <w:tcPr>
            <w:tcW w:w="65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Të vendosë bazën për sigurimin e një niveli të lartë të mbrojtjes </w:t>
            </w:r>
            <w:r w:rsidRPr="00B130BB">
              <w:rPr>
                <w:rFonts w:ascii="Garamond" w:eastAsia="Times New Roman" w:hAnsi="Garamond" w:cs="Times New Roman"/>
                <w:spacing w:val="-4"/>
                <w:sz w:val="18"/>
                <w:szCs w:val="18"/>
                <w:lang w:val="sq-AL"/>
              </w:rPr>
              <w:lastRenderedPageBreak/>
              <w:t>së konsumatorit në lidhje me informacionin e ushqimit, duke marrë parasysh dallimet në perceptimin e konsumatorëve dhe nevojat e tyre për informacion si dhe duke siguruar funksionimin normal të tregut.</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Plotësimi i kuadrit ligjor për garantimin e një niveli të lartë të mbrojtjes së </w:t>
            </w:r>
            <w:r w:rsidRPr="00B130BB">
              <w:rPr>
                <w:rFonts w:ascii="Garamond" w:eastAsia="Times New Roman" w:hAnsi="Garamond" w:cs="Times New Roman"/>
                <w:spacing w:val="-4"/>
                <w:sz w:val="18"/>
                <w:szCs w:val="18"/>
                <w:lang w:val="sq-AL"/>
              </w:rPr>
              <w:lastRenderedPageBreak/>
              <w:t>konsumatorëve.</w:t>
            </w:r>
          </w:p>
        </w:tc>
        <w:tc>
          <w:tcPr>
            <w:tcW w:w="5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Ky projektvendim përcakton parimet e përgjithsh</w:t>
            </w:r>
            <w:r w:rsidRPr="00B130BB">
              <w:rPr>
                <w:rFonts w:ascii="Garamond" w:eastAsia="Times New Roman" w:hAnsi="Garamond" w:cs="Times New Roman"/>
                <w:spacing w:val="-4"/>
                <w:sz w:val="18"/>
                <w:szCs w:val="18"/>
                <w:lang w:val="sq-AL"/>
              </w:rPr>
              <w:lastRenderedPageBreak/>
              <w:t>me, kërkesat dhe përgjegjësitë që rregullojnë informacionin e ushqimit në përgjithësi, dhe etiketimin e ushqimit në veçanti. Ajo përcakton mjetet për të garantuar të drejtën e konsumatorëve në informim dhe procedurat për sigurimin e informacionit të ushqimit.</w:t>
            </w:r>
          </w:p>
        </w:tc>
        <w:tc>
          <w:tcPr>
            <w:tcW w:w="33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Po, IV.1 Siguria Ushqimore, VKM për informimi</w:t>
            </w:r>
            <w:r w:rsidRPr="00B130BB">
              <w:rPr>
                <w:rFonts w:ascii="Garamond" w:eastAsia="Times New Roman" w:hAnsi="Garamond" w:cs="Times New Roman"/>
                <w:spacing w:val="-4"/>
                <w:sz w:val="18"/>
                <w:szCs w:val="18"/>
                <w:lang w:val="sq-AL"/>
              </w:rPr>
              <w:lastRenderedPageBreak/>
              <w:t>n e konsumatorit në lidhje me ushqimin</w:t>
            </w:r>
          </w:p>
        </w:tc>
        <w:tc>
          <w:tcPr>
            <w:tcW w:w="46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Po, 2.3 Bujqësia: Siguria ushqimore mbetet prioritet i </w:t>
            </w:r>
            <w:r w:rsidRPr="00B130BB">
              <w:rPr>
                <w:rFonts w:ascii="Garamond" w:eastAsia="Times New Roman" w:hAnsi="Garamond" w:cs="Times New Roman"/>
                <w:spacing w:val="-4"/>
                <w:sz w:val="18"/>
                <w:szCs w:val="18"/>
                <w:lang w:val="sq-AL"/>
              </w:rPr>
              <w:lastRenderedPageBreak/>
              <w:t>qeverisjes në mandatin e dytë, në forcimin e qasjes “nga ferma në tavolinë”</w:t>
            </w:r>
          </w:p>
        </w:tc>
      </w:tr>
      <w:tr w:rsidR="00B130BB" w:rsidRPr="00B130BB" w:rsidTr="00842C95">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center"/>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13</w:t>
            </w:r>
          </w:p>
        </w:tc>
        <w:tc>
          <w:tcPr>
            <w:tcW w:w="10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“Për miratimin e Strategjisë Kombëtare të Menaxhimit të Burimeve Ujore” </w:t>
            </w:r>
          </w:p>
        </w:tc>
        <w:tc>
          <w:tcPr>
            <w:tcW w:w="3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Bujqësisë dhe Zhvillimit Rural</w:t>
            </w:r>
          </w:p>
        </w:tc>
        <w:tc>
          <w:tcPr>
            <w:tcW w:w="1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Kërkesë ligjore</w:t>
            </w:r>
          </w:p>
        </w:tc>
        <w:tc>
          <w:tcPr>
            <w:tcW w:w="65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Përgatitja e një dokumenti strategjik për një menaxhim të integruar të burimeve ujore</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Përgatitja e një dokumenti planifikimi për të përcaktuar vizionin e politikave të shtetit, qëllimet dhe objektivat në fushën e menaxhimit të integruar të burimeve ujore për periudhën afatgjatë.</w:t>
            </w:r>
          </w:p>
        </w:tc>
        <w:tc>
          <w:tcPr>
            <w:tcW w:w="5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Menaxhimin e burimeve ujore në RSH.</w:t>
            </w:r>
            <w:r w:rsidRPr="00B130BB">
              <w:rPr>
                <w:rFonts w:ascii="Garamond" w:eastAsia="Times New Roman" w:hAnsi="Garamond" w:cs="Times New Roman"/>
                <w:spacing w:val="-4"/>
                <w:sz w:val="18"/>
                <w:szCs w:val="18"/>
                <w:lang w:val="sq-AL"/>
              </w:rPr>
              <w:br/>
              <w:t>Akti lidhet me draft Strategjinë e menaxhimit të integruar të burimeve ujore</w:t>
            </w:r>
          </w:p>
        </w:tc>
        <w:tc>
          <w:tcPr>
            <w:tcW w:w="33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 Kapitulli, 27 “Mjedisi”</w:t>
            </w:r>
          </w:p>
        </w:tc>
        <w:tc>
          <w:tcPr>
            <w:tcW w:w="46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center"/>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14</w:t>
            </w:r>
          </w:p>
        </w:tc>
        <w:tc>
          <w:tcPr>
            <w:tcW w:w="10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miratimin e kërkesave, kushtet, procedurat, fondet e nevojshme buxhetore për krijimin, mbajtjen, menaxhimin dhe përditësimi</w:t>
            </w:r>
            <w:r w:rsidRPr="00B130BB">
              <w:rPr>
                <w:rFonts w:ascii="Garamond" w:eastAsia="Times New Roman" w:hAnsi="Garamond" w:cs="Times New Roman"/>
                <w:spacing w:val="-4"/>
                <w:sz w:val="18"/>
                <w:szCs w:val="18"/>
                <w:lang w:val="sq-AL"/>
              </w:rPr>
              <w:lastRenderedPageBreak/>
              <w:t>n e Kadastrës Kombëtare të Burimeve Ujore”</w:t>
            </w:r>
          </w:p>
        </w:tc>
        <w:tc>
          <w:tcPr>
            <w:tcW w:w="3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Bujqësisë dhe Zhvillimit Rural</w:t>
            </w:r>
          </w:p>
        </w:tc>
        <w:tc>
          <w:tcPr>
            <w:tcW w:w="1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Kërkesë ligjore</w:t>
            </w:r>
          </w:p>
        </w:tc>
        <w:tc>
          <w:tcPr>
            <w:tcW w:w="65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Menaxhimi dhe përditësimi i të dhënave në kadastrën ujore</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Përditësimi i të dhënave dhe përdorimi i tyre në kadastrën ujore</w:t>
            </w:r>
          </w:p>
        </w:tc>
        <w:tc>
          <w:tcPr>
            <w:tcW w:w="5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Hedhjen dhe menaxhimin e të dhënave në kadastrën ujore.</w:t>
            </w:r>
            <w:r w:rsidRPr="00B130BB">
              <w:rPr>
                <w:rFonts w:ascii="Garamond" w:eastAsia="Times New Roman" w:hAnsi="Garamond" w:cs="Times New Roman"/>
                <w:spacing w:val="-4"/>
                <w:sz w:val="18"/>
                <w:szCs w:val="18"/>
                <w:lang w:val="sq-AL"/>
              </w:rPr>
              <w:br/>
              <w:t>Akti lidhet me draft Strategjinë e menaxhimit të integruar të burimeve ujore</w:t>
            </w:r>
          </w:p>
        </w:tc>
        <w:tc>
          <w:tcPr>
            <w:tcW w:w="33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 Kapitulli, 27 “Mjedisi”</w:t>
            </w:r>
          </w:p>
        </w:tc>
        <w:tc>
          <w:tcPr>
            <w:tcW w:w="46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center"/>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15</w:t>
            </w:r>
          </w:p>
        </w:tc>
        <w:tc>
          <w:tcPr>
            <w:tcW w:w="10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“Për përcaktimin e rregullave të hollësishme, për prodhimin biologjik bimor dhe algave të detit dhe kontrollin e tyre. </w:t>
            </w:r>
          </w:p>
        </w:tc>
        <w:tc>
          <w:tcPr>
            <w:tcW w:w="3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Bujqësisë dhe Zhvillimit Rural</w:t>
            </w:r>
          </w:p>
        </w:tc>
        <w:tc>
          <w:tcPr>
            <w:tcW w:w="1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Detyrim ligjor </w:t>
            </w:r>
          </w:p>
        </w:tc>
        <w:tc>
          <w:tcPr>
            <w:tcW w:w="65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Qëllimi i këtij projekvendimi është të sigurojë zbatimin e kërkesave të ligjit nr. 106/2016, “Për prodhimin biologjik, etiketimin e produkteve </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Krijimi i një sistemi menaxhimi të qëndrueshëm për bujqësinë organike, prodhimi i produkteve me cilësi të lartë dhe prodhimin e një larmie të gjerë ushqimesh dhe produktesh që i përgjigjen kërkesës së konsumatorëve. </w:t>
            </w:r>
          </w:p>
        </w:tc>
        <w:tc>
          <w:tcPr>
            <w:tcW w:w="5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Rregullon çështjet e prodhimit biologjik bimor dhe algave të detit dhe kontrollin e tyre. </w:t>
            </w:r>
            <w:r w:rsidRPr="00B130BB">
              <w:rPr>
                <w:rFonts w:ascii="Garamond" w:eastAsia="Times New Roman" w:hAnsi="Garamond" w:cs="Times New Roman"/>
                <w:spacing w:val="-4"/>
                <w:sz w:val="18"/>
                <w:szCs w:val="18"/>
                <w:lang w:val="sq-AL"/>
              </w:rPr>
              <w:br/>
              <w:t>Akti lidhet me Strategjia Ndërsektoriale për Zhvillimin Rural dhe Bujqësor në Shqipëri (2014–2020), pika 1.4.7 Bujqësia organike.</w:t>
            </w:r>
          </w:p>
        </w:tc>
        <w:tc>
          <w:tcPr>
            <w:tcW w:w="33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Po. Vendim i Këshillit të Ministrave “Për rregullat e hollësishme për prodhimin biologjik bimor dhe algave të detit”.</w:t>
            </w:r>
            <w:r w:rsidRPr="00B130BB">
              <w:rPr>
                <w:rFonts w:ascii="Garamond" w:eastAsia="Times New Roman" w:hAnsi="Garamond" w:cs="Times New Roman"/>
                <w:spacing w:val="-4"/>
                <w:sz w:val="18"/>
                <w:szCs w:val="18"/>
                <w:lang w:val="sq-AL"/>
              </w:rPr>
              <w:br/>
              <w:t>Kap 11 , pika IV.3</w:t>
            </w:r>
          </w:p>
          <w:p w:rsidR="00B130BB" w:rsidRPr="00B130BB" w:rsidRDefault="00B130BB" w:rsidP="00B130BB">
            <w:pPr>
              <w:spacing w:after="0" w:line="240" w:lineRule="auto"/>
              <w:rPr>
                <w:rFonts w:ascii="Garamond" w:eastAsia="Times New Roman" w:hAnsi="Garamond" w:cs="Times New Roman"/>
                <w:spacing w:val="-4"/>
                <w:sz w:val="18"/>
                <w:szCs w:val="18"/>
                <w:lang w:val="sq-AL"/>
              </w:rPr>
            </w:pPr>
          </w:p>
        </w:tc>
        <w:tc>
          <w:tcPr>
            <w:tcW w:w="46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39"/>
        </w:trPr>
        <w:tc>
          <w:tcPr>
            <w:tcW w:w="117"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center"/>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16</w:t>
            </w:r>
          </w:p>
        </w:tc>
        <w:tc>
          <w:tcPr>
            <w:tcW w:w="1027"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miratimin e rregullave të inspektimit karantinor fitosanitar”</w:t>
            </w:r>
          </w:p>
        </w:tc>
        <w:tc>
          <w:tcPr>
            <w:tcW w:w="331"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Bujqësisë dhe Zhvillimit Rural</w:t>
            </w:r>
          </w:p>
        </w:tc>
        <w:tc>
          <w:tcPr>
            <w:tcW w:w="198"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61"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Detyrimi i ligjit nr. 105/2016, date 14.10.2016, “Për mbrojtjen e bimëve”</w:t>
            </w:r>
          </w:p>
        </w:tc>
        <w:tc>
          <w:tcPr>
            <w:tcW w:w="650"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Përcakton rregullat për përcaktimin e rreziqeve fitosanitare nga çdo specie, lloj apo biotip i agjentëve patogjenë, kafshëve ose bimëve parazitare që dëmtojnë bimët ose produktet bimore ('dëmtuesit') dhe masat për zvogëlimin e këtyre rreziqeve në një nivel të pranueshëm. Të parandalojë hyrjen dhe përhapjen e parazitëve </w:t>
            </w:r>
            <w:r w:rsidRPr="00B130BB">
              <w:rPr>
                <w:rFonts w:ascii="Garamond" w:eastAsia="Times New Roman" w:hAnsi="Garamond" w:cs="Times New Roman"/>
                <w:spacing w:val="-4"/>
                <w:sz w:val="18"/>
                <w:szCs w:val="18"/>
                <w:lang w:val="sq-AL"/>
              </w:rPr>
              <w:lastRenderedPageBreak/>
              <w:t>karantinorë në territorin e Republikës së Shqipërisë, për të siguruar një mbrojtje sa më të mirë të bimëve e të produkteve bimore.</w:t>
            </w:r>
          </w:p>
        </w:tc>
        <w:tc>
          <w:tcPr>
            <w:tcW w:w="634"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Të siguroje shëndetin e bimëve dhe të produkteve bimore nga parazitët.</w:t>
            </w:r>
          </w:p>
        </w:tc>
        <w:tc>
          <w:tcPr>
            <w:tcW w:w="584"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Detyrimin për kontrollin e parazitëve dhe pajisja me “Certifikatë fitosanitare”. Zonat e pastra. Lëvizja e bimëve ose e produkteve bimore brenda territorit të Republikës së Shqipërisë edhe duke i shoqëruar ato me “Pasaportë bimore”. Importi, eksporti dhe kalimi transit në territorin e Republikës së Shqipërisë i bimëve, </w:t>
            </w:r>
            <w:r w:rsidRPr="00B130BB">
              <w:rPr>
                <w:rFonts w:ascii="Garamond" w:eastAsia="Times New Roman" w:hAnsi="Garamond" w:cs="Times New Roman"/>
                <w:spacing w:val="-4"/>
                <w:sz w:val="18"/>
                <w:szCs w:val="18"/>
                <w:lang w:val="sq-AL"/>
              </w:rPr>
              <w:lastRenderedPageBreak/>
              <w:t>produkteve bimore dhe objekteve të tjera.</w:t>
            </w:r>
            <w:r w:rsidRPr="00B130BB">
              <w:rPr>
                <w:rFonts w:ascii="Garamond" w:eastAsia="Times New Roman" w:hAnsi="Garamond" w:cs="Times New Roman"/>
                <w:spacing w:val="-4"/>
                <w:sz w:val="18"/>
                <w:szCs w:val="18"/>
                <w:lang w:val="sq-AL"/>
              </w:rPr>
              <w:br/>
              <w:t>Akti lidhet me Strategjia Ndersektoriale për Zhvillimin Rural dhe Bujqësor 2014–2020</w:t>
            </w:r>
          </w:p>
        </w:tc>
        <w:tc>
          <w:tcPr>
            <w:tcW w:w="335"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PO. Masat ligjore të parashikuara për periudhën 2016–2018. Vendim i Këshillit të Ministrave “Për miratimin e rregullave të inspektimit karantinor fitosanitar”</w:t>
            </w:r>
          </w:p>
        </w:tc>
        <w:tc>
          <w:tcPr>
            <w:tcW w:w="463"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w:t>
            </w:r>
          </w:p>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2.3 Bujqësia Siguria Ushqimore </w:t>
            </w:r>
          </w:p>
        </w:tc>
      </w:tr>
      <w:tr w:rsidR="00B130BB" w:rsidRPr="00B130BB" w:rsidTr="00842C95">
        <w:trPr>
          <w:trHeight w:val="139"/>
        </w:trPr>
        <w:tc>
          <w:tcPr>
            <w:tcW w:w="117"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center"/>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17</w:t>
            </w:r>
          </w:p>
        </w:tc>
        <w:tc>
          <w:tcPr>
            <w:tcW w:w="1027"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“Për miratimin e Planit të Menaxhimit të Basenit Ujor Drin-Buna”; </w:t>
            </w:r>
          </w:p>
        </w:tc>
        <w:tc>
          <w:tcPr>
            <w:tcW w:w="331"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Bujqësisë dhe Zhvillimit Rural</w:t>
            </w:r>
          </w:p>
        </w:tc>
        <w:tc>
          <w:tcPr>
            <w:tcW w:w="198"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61"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Kërkesë ligjore</w:t>
            </w:r>
          </w:p>
        </w:tc>
        <w:tc>
          <w:tcPr>
            <w:tcW w:w="650"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Përgatitja e një dokumenti strategjik për një menaxhim të integruar të burimeve ujore brenda basenit Drin-Buna</w:t>
            </w:r>
          </w:p>
        </w:tc>
        <w:tc>
          <w:tcPr>
            <w:tcW w:w="634"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Të përmirësoje dhe të rritë shkallën e menaxhimit të burimeve ujore në basen</w:t>
            </w:r>
          </w:p>
        </w:tc>
        <w:tc>
          <w:tcPr>
            <w:tcW w:w="584"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Menaxhimin e integruar të burimeve ujore në basenin ujor Drin-Buna.</w:t>
            </w:r>
            <w:r w:rsidRPr="00B130BB">
              <w:rPr>
                <w:rFonts w:ascii="Garamond" w:eastAsia="Times New Roman" w:hAnsi="Garamond" w:cs="Times New Roman"/>
                <w:spacing w:val="-4"/>
                <w:sz w:val="18"/>
                <w:szCs w:val="18"/>
                <w:lang w:val="sq-AL"/>
              </w:rPr>
              <w:br/>
              <w:t>Akti lidhet me draftstrategjinë e menaxhimit të integruar të burimeve ujore</w:t>
            </w:r>
          </w:p>
        </w:tc>
        <w:tc>
          <w:tcPr>
            <w:tcW w:w="335"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27 Mjedisi</w:t>
            </w:r>
          </w:p>
        </w:tc>
        <w:tc>
          <w:tcPr>
            <w:tcW w:w="463"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center"/>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18</w:t>
            </w:r>
          </w:p>
        </w:tc>
        <w:tc>
          <w:tcPr>
            <w:tcW w:w="10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“Për miratimin e Planit të Menaxhimit të Basenit Ujor Seman”; </w:t>
            </w:r>
          </w:p>
        </w:tc>
        <w:tc>
          <w:tcPr>
            <w:tcW w:w="3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Bujqësisë dhe Zhvillimit Rural</w:t>
            </w:r>
          </w:p>
        </w:tc>
        <w:tc>
          <w:tcPr>
            <w:tcW w:w="1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Kërkesë ligjore</w:t>
            </w:r>
          </w:p>
        </w:tc>
        <w:tc>
          <w:tcPr>
            <w:tcW w:w="65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Përgatitja e një dokumenti strategjik për një menaxhim të integruar të burimeve ujore brenda basenit Seman</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Të përmirësojë dhe të rritë shkallen e menaxhimit të burimeve ujore në basen</w:t>
            </w:r>
          </w:p>
        </w:tc>
        <w:tc>
          <w:tcPr>
            <w:tcW w:w="5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Menaxhimin e integruar të burimeve ujore në basenin ujor Seman</w:t>
            </w:r>
            <w:r w:rsidRPr="00B130BB">
              <w:rPr>
                <w:rFonts w:ascii="Garamond" w:eastAsia="Times New Roman" w:hAnsi="Garamond" w:cs="Times New Roman"/>
                <w:spacing w:val="-4"/>
                <w:sz w:val="18"/>
                <w:szCs w:val="18"/>
                <w:lang w:val="sq-AL"/>
              </w:rPr>
              <w:br/>
              <w:t>Akti lidhet me draftstrategjinë e menaxhimit të integruar të burimeve ujore</w:t>
            </w:r>
          </w:p>
        </w:tc>
        <w:tc>
          <w:tcPr>
            <w:tcW w:w="33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27 Mjedisi</w:t>
            </w:r>
          </w:p>
        </w:tc>
        <w:tc>
          <w:tcPr>
            <w:tcW w:w="46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center"/>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19</w:t>
            </w:r>
          </w:p>
        </w:tc>
        <w:tc>
          <w:tcPr>
            <w:tcW w:w="10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miratimin e rregullave për përdorimin e qëndrueshëm të PMB-ve, si dhe kriteret e kualifikimit për përdoruesi</w:t>
            </w:r>
            <w:r w:rsidRPr="00B130BB">
              <w:rPr>
                <w:rFonts w:ascii="Garamond" w:eastAsia="Times New Roman" w:hAnsi="Garamond" w:cs="Times New Roman"/>
                <w:spacing w:val="-4"/>
                <w:sz w:val="18"/>
                <w:szCs w:val="18"/>
                <w:lang w:val="sq-AL"/>
              </w:rPr>
              <w:lastRenderedPageBreak/>
              <w:t>t”</w:t>
            </w:r>
          </w:p>
        </w:tc>
        <w:tc>
          <w:tcPr>
            <w:tcW w:w="3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Bujqësisë dhe Zhvillimit Rural</w:t>
            </w:r>
          </w:p>
        </w:tc>
        <w:tc>
          <w:tcPr>
            <w:tcW w:w="1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6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Detyrimi i ligjit nr. 105/2016, date 14.10.2016 “Për mbrojtjen e bimëve”</w:t>
            </w:r>
          </w:p>
        </w:tc>
        <w:tc>
          <w:tcPr>
            <w:tcW w:w="65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Përdorimi i qëndrueshëm i PMB-ve .</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Të sigurojë uljen e rreziqeve dhe ndikimeve të tyre në shëndetin e përdoruesve, konsumatorëve, kafshëve dhe mjedisit si dhe kontrollin e integruar të parazitëve.</w:t>
            </w:r>
          </w:p>
        </w:tc>
        <w:tc>
          <w:tcPr>
            <w:tcW w:w="5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Përcakton parimet e përgjithshme, që rregullojnë përdorimin e PMB-ve në përgjithësi, dhe kualifikimin e përdoruesve të PMB-ve në veçanti. </w:t>
            </w:r>
            <w:r w:rsidRPr="00B130BB">
              <w:rPr>
                <w:rFonts w:ascii="Garamond" w:eastAsia="Times New Roman" w:hAnsi="Garamond" w:cs="Times New Roman"/>
                <w:spacing w:val="-4"/>
                <w:sz w:val="18"/>
                <w:szCs w:val="18"/>
                <w:lang w:val="sq-AL"/>
              </w:rPr>
              <w:br/>
            </w:r>
            <w:r w:rsidRPr="00B130BB">
              <w:rPr>
                <w:rFonts w:ascii="Garamond" w:eastAsia="Times New Roman" w:hAnsi="Garamond" w:cs="Times New Roman"/>
                <w:spacing w:val="-4"/>
                <w:sz w:val="18"/>
                <w:szCs w:val="18"/>
                <w:lang w:val="sq-AL"/>
              </w:rPr>
              <w:lastRenderedPageBreak/>
              <w:t>Akti lidhet me Strategjia Ndersektoriale për Zhvillimin Rural dhe Bujqësor 2014 - 2020</w:t>
            </w:r>
          </w:p>
        </w:tc>
        <w:tc>
          <w:tcPr>
            <w:tcW w:w="33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PO. Masat ligjore të parashikuara për periudhën 2016–2018. vendim i Këshillit të Ministrave, “Për miratimin e rregullave </w:t>
            </w:r>
            <w:r w:rsidRPr="00B130BB">
              <w:rPr>
                <w:rFonts w:ascii="Garamond" w:eastAsia="Times New Roman" w:hAnsi="Garamond" w:cs="Times New Roman"/>
                <w:spacing w:val="-4"/>
                <w:sz w:val="18"/>
                <w:szCs w:val="18"/>
                <w:lang w:val="sq-AL"/>
              </w:rPr>
              <w:lastRenderedPageBreak/>
              <w:t>për importimin, tregtimin, transportin, ruajtjen, përdorimin dhe asgjësimin e PMB-ve”</w:t>
            </w:r>
          </w:p>
        </w:tc>
        <w:tc>
          <w:tcPr>
            <w:tcW w:w="46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2.3 Bujqësia, Siguria ushqimore</w:t>
            </w:r>
          </w:p>
        </w:tc>
      </w:tr>
      <w:tr w:rsidR="00B130BB" w:rsidRPr="00B130BB" w:rsidTr="00842C95">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center"/>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20</w:t>
            </w:r>
          </w:p>
        </w:tc>
        <w:tc>
          <w:tcPr>
            <w:tcW w:w="10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“Për shpalljen e zonave të mbrojtura të burimeve ujore”; </w:t>
            </w:r>
          </w:p>
        </w:tc>
        <w:tc>
          <w:tcPr>
            <w:tcW w:w="3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Bujqësisë dhe Zhvillimit Rural</w:t>
            </w:r>
          </w:p>
        </w:tc>
        <w:tc>
          <w:tcPr>
            <w:tcW w:w="1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6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Kërkesë ligjore</w:t>
            </w:r>
          </w:p>
        </w:tc>
        <w:tc>
          <w:tcPr>
            <w:tcW w:w="65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zonave të mbrojtura ujore, i cili do të ndikoje në mbrojtjen e ujërave dhe ekosistemeve ujore, duke përcaktuar dhe masa të veçanta mbrojtëse</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Inventarit të zonave të mbrojtura do të shërbejë si pjesë e planit të menaxhimit të basenit ujor si dhe do të ndikoje në mbrojtjen e trupave ujore.</w:t>
            </w:r>
          </w:p>
        </w:tc>
        <w:tc>
          <w:tcPr>
            <w:tcW w:w="5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zonave të veçanta ruajtjeje në zona të veçanta basenesh ujore, rrjedha ujore lumenjve, përditësimi i inventarit të zonave të mbrojtura, si pjese e planit të menaxhimit të basenit ujor. Gjithashtu, inventari i zonave të mbrojtura ujore do të hidhet edhe në kadastrën ujore, të ngritur këtë vit.</w:t>
            </w:r>
          </w:p>
        </w:tc>
        <w:tc>
          <w:tcPr>
            <w:tcW w:w="33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 kapit. 27, “Mjedisi”</w:t>
            </w:r>
          </w:p>
        </w:tc>
        <w:tc>
          <w:tcPr>
            <w:tcW w:w="46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center"/>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21</w:t>
            </w:r>
          </w:p>
        </w:tc>
        <w:tc>
          <w:tcPr>
            <w:tcW w:w="10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miratimin e zonave të veçanta ruajtjeje, për zona të caktuara, basene, pjesë basenesh, rrjedha ujore lumenj”</w:t>
            </w:r>
          </w:p>
        </w:tc>
        <w:tc>
          <w:tcPr>
            <w:tcW w:w="3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Bujqësisë dhe Zhvillimit Rural</w:t>
            </w:r>
          </w:p>
        </w:tc>
        <w:tc>
          <w:tcPr>
            <w:tcW w:w="1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6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Kërkesë ligjore</w:t>
            </w:r>
          </w:p>
        </w:tc>
        <w:tc>
          <w:tcPr>
            <w:tcW w:w="65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Shpallja e zonave të veçanta ruajtjeje në zona të veçanta basenesh ujore, rrjedha ujore lumenjve, të cilat rrezikohen seriozisht në sasi dhe në cilësi.</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Mbrojtja e zonave të caktuara, basene, pjesë basenesh ujore, rrjedha ujore lumenjve.</w:t>
            </w:r>
          </w:p>
        </w:tc>
        <w:tc>
          <w:tcPr>
            <w:tcW w:w="5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Identifikimi dhe miratimi i zonave të caktuara brenda baseneve ujore me synim mbrojtjen e tyre.</w:t>
            </w:r>
          </w:p>
        </w:tc>
        <w:tc>
          <w:tcPr>
            <w:tcW w:w="33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 kapit. 27, “Mjedisi”</w:t>
            </w:r>
          </w:p>
        </w:tc>
        <w:tc>
          <w:tcPr>
            <w:tcW w:w="46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center"/>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22</w:t>
            </w:r>
          </w:p>
        </w:tc>
        <w:tc>
          <w:tcPr>
            <w:tcW w:w="10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24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“Për vendosjen </w:t>
            </w:r>
            <w:r w:rsidRPr="00B130BB">
              <w:rPr>
                <w:rFonts w:ascii="Garamond" w:eastAsia="Times New Roman" w:hAnsi="Garamond" w:cs="Times New Roman"/>
                <w:spacing w:val="-4"/>
                <w:sz w:val="18"/>
                <w:szCs w:val="18"/>
                <w:lang w:val="sq-AL"/>
              </w:rPr>
              <w:lastRenderedPageBreak/>
              <w:t>e kritereve të objektivave mjedisorë’’</w:t>
            </w:r>
          </w:p>
        </w:tc>
        <w:tc>
          <w:tcPr>
            <w:tcW w:w="3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Ministri i Bujqësisë dhe Zhvillimit </w:t>
            </w:r>
            <w:r w:rsidRPr="00B130BB">
              <w:rPr>
                <w:rFonts w:ascii="Garamond" w:eastAsia="Times New Roman" w:hAnsi="Garamond" w:cs="Times New Roman"/>
                <w:spacing w:val="-4"/>
                <w:sz w:val="18"/>
                <w:szCs w:val="18"/>
                <w:lang w:val="sq-AL"/>
              </w:rPr>
              <w:lastRenderedPageBreak/>
              <w:t>Rural</w:t>
            </w:r>
          </w:p>
        </w:tc>
        <w:tc>
          <w:tcPr>
            <w:tcW w:w="1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Katërmujori III</w:t>
            </w:r>
          </w:p>
        </w:tc>
        <w:tc>
          <w:tcPr>
            <w:tcW w:w="6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Kërkesë ligjore</w:t>
            </w:r>
          </w:p>
        </w:tc>
        <w:tc>
          <w:tcPr>
            <w:tcW w:w="65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Vendosja e objektivave mjedisorë </w:t>
            </w:r>
            <w:r w:rsidRPr="00B130BB">
              <w:rPr>
                <w:rFonts w:ascii="Garamond" w:eastAsia="Times New Roman" w:hAnsi="Garamond" w:cs="Times New Roman"/>
                <w:spacing w:val="-4"/>
                <w:sz w:val="18"/>
                <w:szCs w:val="18"/>
                <w:lang w:val="sq-AL"/>
              </w:rPr>
              <w:lastRenderedPageBreak/>
              <w:t>për trupat ujore sipërfaqësore dhe nëntokësore, si dhe për zonat e mbrojtura, duke marrë në konsideratë statusin e tyre kimik, ekologjik dhe sasior.</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Përcaktimi i objektivave mjedisorë për </w:t>
            </w:r>
            <w:r w:rsidRPr="00B130BB">
              <w:rPr>
                <w:rFonts w:ascii="Garamond" w:eastAsia="Times New Roman" w:hAnsi="Garamond" w:cs="Times New Roman"/>
                <w:spacing w:val="-4"/>
                <w:sz w:val="18"/>
                <w:szCs w:val="18"/>
                <w:lang w:val="sq-AL"/>
              </w:rPr>
              <w:lastRenderedPageBreak/>
              <w:t>trupat ujore, nisur nga statusi I tyre kimik, ekologjik dhe sasior, me qellim mbrojtjen e këtyre trupave.</w:t>
            </w:r>
          </w:p>
        </w:tc>
        <w:tc>
          <w:tcPr>
            <w:tcW w:w="5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Parandalimi i dëmtimit të trupave </w:t>
            </w:r>
            <w:r w:rsidRPr="00B130BB">
              <w:rPr>
                <w:rFonts w:ascii="Garamond" w:eastAsia="Times New Roman" w:hAnsi="Garamond" w:cs="Times New Roman"/>
                <w:spacing w:val="-4"/>
                <w:sz w:val="18"/>
                <w:szCs w:val="18"/>
                <w:lang w:val="sq-AL"/>
              </w:rPr>
              <w:lastRenderedPageBreak/>
              <w:t>ujorë.</w:t>
            </w:r>
          </w:p>
        </w:tc>
        <w:tc>
          <w:tcPr>
            <w:tcW w:w="33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Po, kapit. 27, “Mjedisi”</w:t>
            </w:r>
          </w:p>
        </w:tc>
        <w:tc>
          <w:tcPr>
            <w:tcW w:w="46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center"/>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23</w:t>
            </w:r>
          </w:p>
        </w:tc>
        <w:tc>
          <w:tcPr>
            <w:tcW w:w="10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klasifikimin e ujërave sipas statusit të tyre kimik dhe ekologjik, sasiorë dhe kimik”</w:t>
            </w:r>
          </w:p>
        </w:tc>
        <w:tc>
          <w:tcPr>
            <w:tcW w:w="3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Bujqësisë dhe Zhvillimit Rural</w:t>
            </w:r>
          </w:p>
        </w:tc>
        <w:tc>
          <w:tcPr>
            <w:tcW w:w="1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6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Kërkesë ligjore</w:t>
            </w:r>
          </w:p>
        </w:tc>
        <w:tc>
          <w:tcPr>
            <w:tcW w:w="65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Mbrojtja dhe përmirësimi i statusit të ujërave sipërfaqësorë dhe nëntokësorë, nëpërmjet përcaktimit të statusit të tyre kimik dhe ekologjik, sasiorë dhe kimik.</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Klasifikimi i ujërave sipas klasifikimit të tyre, me synim mbrojtjen e statusit të tyre.</w:t>
            </w:r>
          </w:p>
        </w:tc>
        <w:tc>
          <w:tcPr>
            <w:tcW w:w="5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Parandalimi i dëmtimit të trupave ujorë.</w:t>
            </w:r>
          </w:p>
        </w:tc>
        <w:tc>
          <w:tcPr>
            <w:tcW w:w="33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 kapit. 27, “Mjedisi”</w:t>
            </w:r>
          </w:p>
        </w:tc>
        <w:tc>
          <w:tcPr>
            <w:tcW w:w="46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center"/>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24</w:t>
            </w:r>
          </w:p>
        </w:tc>
        <w:tc>
          <w:tcPr>
            <w:tcW w:w="10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“Për procedurat për shitjen e parë të prodhimeve të peshkimit dhe organizimin e tregjeve të prodhimeve të peshkimit dhe akuakulturës”</w:t>
            </w:r>
          </w:p>
        </w:tc>
        <w:tc>
          <w:tcPr>
            <w:tcW w:w="3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Bujqësisë dhe Zhvillimit Rural</w:t>
            </w:r>
          </w:p>
        </w:tc>
        <w:tc>
          <w:tcPr>
            <w:tcW w:w="1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6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Përafrim me Rregulloren EU 1379/2013 të Parlamentit dhe Këshillit mbi organizimin e tregjeve të prodhimeve të peshkimit dhe akuakulturës</w:t>
            </w:r>
          </w:p>
        </w:tc>
        <w:tc>
          <w:tcPr>
            <w:tcW w:w="65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Organizimi dhe funksionimi i tregjeve me shumice të prodhimeve peshkore dhe rregullat për organizata e prodhuesve</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Formalizimi i mëtejshëm i sektorit dhe në mënyrë të veçantë të tregjeve dhe marketingut të prodhimeve të peshkimit</w:t>
            </w:r>
          </w:p>
        </w:tc>
        <w:tc>
          <w:tcPr>
            <w:tcW w:w="5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Organizatat e prodhuesve, të drejtat dhe detyrat e tyre.</w:t>
            </w:r>
            <w:r w:rsidRPr="00B130BB">
              <w:rPr>
                <w:rFonts w:ascii="Garamond" w:eastAsia="Times New Roman" w:hAnsi="Garamond" w:cs="Times New Roman"/>
                <w:spacing w:val="-4"/>
                <w:sz w:val="18"/>
                <w:szCs w:val="18"/>
                <w:lang w:val="sq-AL"/>
              </w:rPr>
              <w:br/>
              <w:t xml:space="preserve">Akti lidhet me Strategjinë Kombëtare të Peshkimit </w:t>
            </w:r>
          </w:p>
        </w:tc>
        <w:tc>
          <w:tcPr>
            <w:tcW w:w="33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Po </w:t>
            </w:r>
            <w:r w:rsidRPr="00B130BB">
              <w:rPr>
                <w:rFonts w:ascii="Garamond" w:eastAsia="Times New Roman" w:hAnsi="Garamond" w:cs="Times New Roman"/>
                <w:spacing w:val="-4"/>
                <w:sz w:val="18"/>
                <w:szCs w:val="18"/>
                <w:lang w:val="sq-AL"/>
              </w:rPr>
              <w:br/>
              <w:t>Kapitulli 13. Peshkimi, Rregullore Këshillit (EC) nr. 1380/2013</w:t>
            </w:r>
          </w:p>
        </w:tc>
        <w:tc>
          <w:tcPr>
            <w:tcW w:w="46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 2.3 Bujqësia (Peshkimi dhe Agroindustria) Do t’i kushtohet një vëmendje e posaçme zhvillimit të sektorit të peshkimit</w:t>
            </w:r>
          </w:p>
          <w:p w:rsidR="00B130BB" w:rsidRPr="00B130BB" w:rsidRDefault="00B130BB" w:rsidP="00B130BB">
            <w:pPr>
              <w:spacing w:after="0" w:line="240" w:lineRule="auto"/>
              <w:rPr>
                <w:rFonts w:ascii="Garamond" w:eastAsia="Times New Roman" w:hAnsi="Garamond" w:cs="Times New Roman"/>
                <w:spacing w:val="-4"/>
                <w:sz w:val="18"/>
                <w:szCs w:val="18"/>
                <w:lang w:val="sq-AL"/>
              </w:rPr>
            </w:pPr>
          </w:p>
        </w:tc>
      </w:tr>
      <w:tr w:rsidR="00B130BB" w:rsidRPr="00B130BB" w:rsidTr="00842C95">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center"/>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25</w:t>
            </w:r>
          </w:p>
        </w:tc>
        <w:tc>
          <w:tcPr>
            <w:tcW w:w="10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“Për përcaktimin e procedurës së regjistrimit të markave të produkteve të duhanit, numri i </w:t>
            </w:r>
            <w:r w:rsidRPr="00B130BB">
              <w:rPr>
                <w:rFonts w:ascii="Garamond" w:eastAsia="Times New Roman" w:hAnsi="Garamond" w:cs="Times New Roman"/>
                <w:spacing w:val="-4"/>
                <w:sz w:val="18"/>
                <w:szCs w:val="18"/>
                <w:lang w:val="sq-AL"/>
              </w:rPr>
              <w:lastRenderedPageBreak/>
              <w:t xml:space="preserve">anëtarëve, kriteret e emërimit, të drejtat dhe detyrat e komisionit të degustimit të cigareve. </w:t>
            </w:r>
          </w:p>
        </w:tc>
        <w:tc>
          <w:tcPr>
            <w:tcW w:w="3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Bujqësisë dhe Zhvillimit Rural</w:t>
            </w:r>
          </w:p>
        </w:tc>
        <w:tc>
          <w:tcPr>
            <w:tcW w:w="1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6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Detyrim ligjor </w:t>
            </w:r>
          </w:p>
        </w:tc>
        <w:tc>
          <w:tcPr>
            <w:tcW w:w="65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Qëllimi i këtij projektvendimi është rregullimi i procesit të vlerësimit cilësor të markave të cigareve të pranishme në tregun shqiptar si </w:t>
            </w:r>
            <w:r w:rsidRPr="00B130BB">
              <w:rPr>
                <w:rFonts w:ascii="Garamond" w:eastAsia="Times New Roman" w:hAnsi="Garamond" w:cs="Times New Roman"/>
                <w:spacing w:val="-4"/>
                <w:sz w:val="18"/>
                <w:szCs w:val="18"/>
                <w:lang w:val="sq-AL"/>
              </w:rPr>
              <w:lastRenderedPageBreak/>
              <w:t>dhe organizimin dhe funksionimi i komisionit për degustimin e cigareve të pranishme në tregun shqiptar.</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Rregullimin e procesit të vlerësimit cilësor të markave të cigareve të pranishme në tregun shqiptar;</w:t>
            </w:r>
          </w:p>
        </w:tc>
        <w:tc>
          <w:tcPr>
            <w:tcW w:w="5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Rregullon çështjet e vlerësimit cilësor të markave të cigareve të pranishme në tregun shqiptar si dhe organizimin dhe funksionim</w:t>
            </w:r>
            <w:r w:rsidRPr="00B130BB">
              <w:rPr>
                <w:rFonts w:ascii="Garamond" w:eastAsia="Times New Roman" w:hAnsi="Garamond" w:cs="Times New Roman"/>
                <w:spacing w:val="-4"/>
                <w:sz w:val="18"/>
                <w:szCs w:val="18"/>
                <w:lang w:val="sq-AL"/>
              </w:rPr>
              <w:lastRenderedPageBreak/>
              <w:t>i i komisionit për degustimin e cigareve të pranishme në tregun shqiptar.</w:t>
            </w:r>
          </w:p>
        </w:tc>
        <w:tc>
          <w:tcPr>
            <w:tcW w:w="33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46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center"/>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26</w:t>
            </w:r>
          </w:p>
        </w:tc>
        <w:tc>
          <w:tcPr>
            <w:tcW w:w="102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“Për organizimin dhe funksionimin e AKDC. </w:t>
            </w:r>
          </w:p>
        </w:tc>
        <w:tc>
          <w:tcPr>
            <w:tcW w:w="33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Bujqësisë dhe Zhvillimit Rural</w:t>
            </w:r>
          </w:p>
        </w:tc>
        <w:tc>
          <w:tcPr>
            <w:tcW w:w="19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66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Detyrim ligjor </w:t>
            </w:r>
          </w:p>
        </w:tc>
        <w:tc>
          <w:tcPr>
            <w:tcW w:w="65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Qëllimi i këtij vendimi është të përcaktojë mënyrën e organizimit dhe funksionimit të Agjencisë Kombëtare të duhan cigareve (AKDC) në përputhje me kërkesat e ligjit 8691 datë 16.11.2000 “Për prodhimin dhe tregtimin e duhanit dhe cigareve”, të ndryshuar.</w:t>
            </w:r>
          </w:p>
        </w:tc>
        <w:tc>
          <w:tcPr>
            <w:tcW w:w="63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Të përcaktojë mënyrën e organizimit dhe funksionimit dhe objektin e punës së AKDC-së;</w:t>
            </w:r>
          </w:p>
        </w:tc>
        <w:tc>
          <w:tcPr>
            <w:tcW w:w="584"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Rregullon çështjet e organizimit dhe funksionimit të Agjencisë Kombëtare të Duhan-Cigareve (AKDC)</w:t>
            </w:r>
          </w:p>
        </w:tc>
        <w:tc>
          <w:tcPr>
            <w:tcW w:w="33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46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bl>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tbl>
      <w:tblPr>
        <w:tblW w:w="5000" w:type="pct"/>
        <w:tblLook w:val="04A0" w:firstRow="1" w:lastRow="0" w:firstColumn="1" w:lastColumn="0" w:noHBand="0" w:noVBand="1"/>
      </w:tblPr>
      <w:tblGrid>
        <w:gridCol w:w="384"/>
        <w:gridCol w:w="1304"/>
        <w:gridCol w:w="1079"/>
        <w:gridCol w:w="808"/>
        <w:gridCol w:w="984"/>
        <w:gridCol w:w="924"/>
        <w:gridCol w:w="1304"/>
        <w:gridCol w:w="1304"/>
        <w:gridCol w:w="748"/>
        <w:gridCol w:w="737"/>
      </w:tblGrid>
      <w:tr w:rsidR="00B130BB" w:rsidRPr="00B130BB" w:rsidTr="00842C95">
        <w:trPr>
          <w:trHeight w:val="180"/>
        </w:trPr>
        <w:tc>
          <w:tcPr>
            <w:tcW w:w="5000" w:type="pct"/>
            <w:gridSpan w:val="10"/>
            <w:tcBorders>
              <w:top w:val="nil"/>
              <w:left w:val="nil"/>
              <w:bottom w:val="nil"/>
              <w:right w:val="nil"/>
            </w:tcBorders>
            <w:shd w:val="clear" w:color="auto" w:fill="auto"/>
            <w:vAlign w:val="bottom"/>
            <w:hideMark/>
          </w:tcPr>
          <w:p w:rsidR="00B130BB" w:rsidRPr="00B130BB" w:rsidRDefault="00B130BB" w:rsidP="00B130BB">
            <w:pPr>
              <w:spacing w:after="0" w:line="240" w:lineRule="auto"/>
              <w:jc w:val="center"/>
              <w:rPr>
                <w:rFonts w:ascii="Garamond" w:eastAsia="Times New Roman" w:hAnsi="Garamond" w:cs="Times New Roman"/>
                <w:b/>
                <w:bCs/>
                <w:color w:val="000000"/>
                <w:spacing w:val="-4"/>
                <w:sz w:val="18"/>
                <w:szCs w:val="18"/>
                <w:lang w:val="sq-AL"/>
              </w:rPr>
            </w:pPr>
            <w:bookmarkStart w:id="11" w:name="RANGE!A1:J43"/>
            <w:r w:rsidRPr="00B130BB">
              <w:rPr>
                <w:rFonts w:ascii="Garamond" w:eastAsia="Times New Roman" w:hAnsi="Garamond" w:cs="Times New Roman"/>
                <w:b/>
                <w:bCs/>
                <w:color w:val="000000"/>
                <w:spacing w:val="-4"/>
                <w:sz w:val="18"/>
                <w:szCs w:val="18"/>
                <w:lang w:val="sq-AL"/>
              </w:rPr>
              <w:t>PROGRAMI I PËRGJITHSHËM ANALITIK I PROJEKTAKTEVE PËR VITIN 2018</w:t>
            </w:r>
            <w:bookmarkEnd w:id="11"/>
          </w:p>
        </w:tc>
      </w:tr>
      <w:tr w:rsidR="00B130BB" w:rsidRPr="00B130BB" w:rsidTr="00842C95">
        <w:trPr>
          <w:trHeight w:val="180"/>
        </w:trPr>
        <w:tc>
          <w:tcPr>
            <w:tcW w:w="5000" w:type="pct"/>
            <w:gridSpan w:val="10"/>
            <w:tcBorders>
              <w:top w:val="nil"/>
              <w:left w:val="nil"/>
              <w:bottom w:val="nil"/>
              <w:right w:val="nil"/>
            </w:tcBorders>
            <w:shd w:val="clear" w:color="auto" w:fill="auto"/>
            <w:vAlign w:val="bottom"/>
            <w:hideMark/>
          </w:tcPr>
          <w:p w:rsidR="00B130BB" w:rsidRPr="00B130BB" w:rsidRDefault="00B130BB" w:rsidP="00B130BB">
            <w:pPr>
              <w:spacing w:after="0" w:line="240" w:lineRule="auto"/>
              <w:jc w:val="center"/>
              <w:rPr>
                <w:rFonts w:ascii="Garamond" w:eastAsia="Times New Roman" w:hAnsi="Garamond" w:cs="Times New Roman"/>
                <w:b/>
                <w:bCs/>
                <w:color w:val="000000"/>
                <w:spacing w:val="-4"/>
                <w:sz w:val="18"/>
                <w:szCs w:val="18"/>
                <w:lang w:val="sq-AL"/>
              </w:rPr>
            </w:pPr>
            <w:r w:rsidRPr="00B130BB">
              <w:rPr>
                <w:rFonts w:ascii="Garamond" w:eastAsia="Times New Roman" w:hAnsi="Garamond" w:cs="Times New Roman"/>
                <w:b/>
                <w:bCs/>
                <w:color w:val="000000"/>
                <w:spacing w:val="-4"/>
                <w:sz w:val="18"/>
                <w:szCs w:val="18"/>
                <w:lang w:val="sq-AL"/>
              </w:rPr>
              <w:t>MINISTRIA E ARSIMIT, SPORTIT DHE RINISË</w:t>
            </w:r>
          </w:p>
        </w:tc>
      </w:tr>
      <w:tr w:rsidR="00B130BB" w:rsidRPr="00B130BB" w:rsidTr="00842C95">
        <w:trPr>
          <w:trHeight w:val="180"/>
        </w:trPr>
        <w:tc>
          <w:tcPr>
            <w:tcW w:w="107" w:type="pct"/>
            <w:tcBorders>
              <w:top w:val="single" w:sz="4" w:space="0" w:color="FFFFFF"/>
              <w:left w:val="single" w:sz="4" w:space="0" w:color="FFFFFF"/>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Nr.</w:t>
            </w:r>
          </w:p>
        </w:tc>
        <w:tc>
          <w:tcPr>
            <w:tcW w:w="1073"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Titulli i projektaktit</w:t>
            </w:r>
          </w:p>
        </w:tc>
        <w:tc>
          <w:tcPr>
            <w:tcW w:w="325"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 xml:space="preserve">Ministri propozues dhe bashkëpropozues </w:t>
            </w:r>
          </w:p>
        </w:tc>
        <w:tc>
          <w:tcPr>
            <w:tcW w:w="211"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Katërmujori</w:t>
            </w:r>
          </w:p>
        </w:tc>
        <w:tc>
          <w:tcPr>
            <w:tcW w:w="640"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Arsyeja e nxjerrjes së projektaktit</w:t>
            </w:r>
          </w:p>
        </w:tc>
        <w:tc>
          <w:tcPr>
            <w:tcW w:w="640"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Qëllimi i projektaktit</w:t>
            </w:r>
          </w:p>
        </w:tc>
        <w:tc>
          <w:tcPr>
            <w:tcW w:w="558"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Objektivat që kërkon të realizojë projektakti</w:t>
            </w:r>
          </w:p>
        </w:tc>
        <w:tc>
          <w:tcPr>
            <w:tcW w:w="626"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Çështjet që rregullon projektakti</w:t>
            </w:r>
          </w:p>
        </w:tc>
        <w:tc>
          <w:tcPr>
            <w:tcW w:w="297"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Lidhja me Planin Kombëtar për Integrimin Evropian</w:t>
            </w:r>
          </w:p>
        </w:tc>
        <w:tc>
          <w:tcPr>
            <w:tcW w:w="522" w:type="pct"/>
            <w:tcBorders>
              <w:top w:val="single" w:sz="4" w:space="0" w:color="FFFFFF"/>
              <w:left w:val="nil"/>
              <w:bottom w:val="single" w:sz="4" w:space="0" w:color="FFFFFF"/>
              <w:right w:val="single" w:sz="4" w:space="0" w:color="FFFFFF"/>
            </w:tcBorders>
            <w:shd w:val="clear" w:color="000000" w:fill="C00000"/>
            <w:vAlign w:val="center"/>
            <w:hideMark/>
          </w:tcPr>
          <w:p w:rsidR="00B130BB" w:rsidRPr="00B130BB" w:rsidRDefault="00B130BB" w:rsidP="00B130BB">
            <w:pPr>
              <w:spacing w:after="0" w:line="240" w:lineRule="auto"/>
              <w:jc w:val="center"/>
              <w:rPr>
                <w:rFonts w:ascii="Garamond" w:eastAsia="Times New Roman" w:hAnsi="Garamond" w:cs="Times New Roman"/>
                <w:b/>
                <w:bCs/>
                <w:color w:val="FFFFFF"/>
                <w:spacing w:val="-4"/>
                <w:sz w:val="18"/>
                <w:szCs w:val="18"/>
                <w:lang w:val="sq-AL"/>
              </w:rPr>
            </w:pPr>
            <w:r w:rsidRPr="00B130BB">
              <w:rPr>
                <w:rFonts w:ascii="Garamond" w:eastAsia="Times New Roman" w:hAnsi="Garamond" w:cs="Times New Roman"/>
                <w:b/>
                <w:bCs/>
                <w:color w:val="FFFFFF"/>
                <w:spacing w:val="-4"/>
                <w:sz w:val="18"/>
                <w:szCs w:val="18"/>
                <w:lang w:val="sq-AL"/>
              </w:rPr>
              <w:t>Lidhja me programin qeverisës 2017–2021</w:t>
            </w:r>
          </w:p>
        </w:tc>
      </w:tr>
      <w:tr w:rsidR="00B130BB" w:rsidRPr="00B130BB" w:rsidTr="00842C95">
        <w:trPr>
          <w:trHeight w:val="180"/>
        </w:trPr>
        <w:tc>
          <w:tcPr>
            <w:tcW w:w="107" w:type="pct"/>
            <w:tcBorders>
              <w:top w:val="single" w:sz="4" w:space="0" w:color="auto"/>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w:t>
            </w:r>
          </w:p>
        </w:tc>
        <w:tc>
          <w:tcPr>
            <w:tcW w:w="1073"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i Këshillit të Ministrave ““Për disa ndryshime në Vendimin e Këshillit të Ministrave nr. 1720, datë 29.10.2008 “Për kriteret e përcaktimit të nivelit të lartë sportiv, për mënyrën e shpërblimit të sportistëve që arrijnë këto nivele, si dhe përfitimin e trajtimit për përgatitjen sportive”“. </w:t>
            </w:r>
          </w:p>
        </w:tc>
        <w:tc>
          <w:tcPr>
            <w:tcW w:w="325"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Ministria e Arsimit, Sportit dhe Rinisë</w:t>
            </w:r>
          </w:p>
        </w:tc>
        <w:tc>
          <w:tcPr>
            <w:tcW w:w="211"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40"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Mungesa e disa disiplinave sportive, të munguara në aktin aktual, si dhe kërkesat e disa disiplinave sportive për përmirësimin e akteve nënligjore për sportin.</w:t>
            </w:r>
          </w:p>
        </w:tc>
        <w:tc>
          <w:tcPr>
            <w:tcW w:w="640"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Përcaktimi i statusit të sportistit elitar, i cili përmban në vetvete, program zhvillimi, përcaktim kriteresh, mbështetje financiare dhe shpërblim për arritjet. </w:t>
            </w:r>
          </w:p>
        </w:tc>
        <w:tc>
          <w:tcPr>
            <w:tcW w:w="558"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Përkufizimi i qartë i sportistit të nivelit të lartë, përcaktimi i kritereve për arritjen e statusit, përcaktimi i formës së shpërblimit dhe mbështetjes financiare për arritjet, përcaktimi i formave të tjera për mbështetje dhe stimulimin e sportistëve elitar (shkollim, punësim, sigurim).</w:t>
            </w:r>
          </w:p>
        </w:tc>
        <w:tc>
          <w:tcPr>
            <w:tcW w:w="626"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Mundësi teknike, organizative dhe ligjore për sportistët e nivelit të lartë, në funksion të nxitjes dhe rritjes së numrit të sportistëve të nivelit të lartë.</w:t>
            </w:r>
          </w:p>
        </w:tc>
        <w:tc>
          <w:tcPr>
            <w:tcW w:w="297"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22" w:type="pct"/>
            <w:tcBorders>
              <w:top w:val="single" w:sz="4" w:space="0" w:color="auto"/>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3.2 Arsimi, Rinia dhe Sporti</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i Këshillit të Ministrave ““Për disa shtesa dhe ndryshime në Vendimin e Këshillit të Ministrave nr. 306, datë 24.05.2006 “Për miratimin e listës së materialeve dhe të pajisjeve sportive, që do të përjashtohen nga detyrimet doganore dhe procedurat e </w:t>
            </w:r>
            <w:r w:rsidRPr="00B130BB">
              <w:rPr>
                <w:rFonts w:ascii="Garamond" w:eastAsia="Times New Roman" w:hAnsi="Garamond" w:cs="Times New Roman"/>
                <w:spacing w:val="-4"/>
                <w:sz w:val="18"/>
                <w:szCs w:val="18"/>
                <w:lang w:val="sq-AL"/>
              </w:rPr>
              <w:lastRenderedPageBreak/>
              <w:t xml:space="preserve">përjashtimit”“, i ndryshuar. </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 Mungesa e bazës materiale dhe infrastrukturore në sistemin sportiv kombëtar</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synon rifreskimin e listës së materialeve sportive që zhdoganohen, duke u përjashtuar nga detyrimet doganore, në funksion të organizata</w:t>
            </w:r>
            <w:r w:rsidRPr="00B130BB">
              <w:rPr>
                <w:rFonts w:ascii="Garamond" w:eastAsia="Times New Roman" w:hAnsi="Garamond" w:cs="Times New Roman"/>
                <w:spacing w:val="-4"/>
                <w:sz w:val="18"/>
                <w:szCs w:val="18"/>
                <w:lang w:val="sq-AL"/>
              </w:rPr>
              <w:lastRenderedPageBreak/>
              <w:t>ve sportive ekzistuese dhe atyre të rejave që janë hapur.</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Rrit numrin e ndihmave ose sponsorizimeve në funksion të organizatave sportive. </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Ndryshimin e listës së ndihmave që përfitojnë organizatat sportive, jo vetëm nga federata ndërkombëtare, por dhe nga kompani të ndryshme, organizma sportive që funksionojnë sot në sistemet sportive botërore. </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3.2 Arsimi, Rinia dhe Sporti</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3</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i Këshillit të Ministrave ““Për disa shtesa dhe ndryshime në Vendimin e Këshillit të Ministrave nr. 437, datë 02.07.2014, ndryshimin e emërtesës të Këshillit Kombëtar të Sportit në Këshillin e Lartë të Sportit”“.</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Mosfunksionimi i këshillave dhe komisioneve, të cilat përbëheshin nga persona politikë, sillte prishjen e marrëdhënieve të partneritetit ndërinstitucional, si dhe ndërhyrjen e shtetit në strukturat e pavarura të sportit. </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Synon ndryshimin e emërtesës së Këshillit Kombëtar të Sportit në Këshilli i Lartë i Sportit. </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Reformimi i Këshillave dhe Komisioneve konsultative duke i kthyer në funksionalë, jo politikë, duke respektuar partneritetin ndërinstitucional.</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Reformimin e marrëdhënieve të partneritetit midis grupeve të interesit, specialistëve të mirëfilltë të fushës së sportit, në respekt të partneritetit, në funksion të zhvillimit të sistemit sportiv kombëtar. </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3.2 Arsimi, Rinia dhe Sporti</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i Këshillit të Ministrave ““Për disa ndryshime në Vendimin e Këshillit të Ministrave nr. 401, datë 13.06.2014 “Për përbërjen, funsionimin dhe mënyrën e shpërblimit të Komisionit Kombëtar kundër dhunës”“.</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Ndryshimi i përbërjes së Komisionit, duke përfshirë figura me kontribute të mëdha dhe aktivistë kundër dhunës në sport </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Synon reforminin dhe partneritet më të fortë institucional.</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Projektakti rregullon përbërjen e Komisionit Kombëtar kundër dhunës, me qëllim përfshirjen e figurave me kontribute të mëdha dhe aktivistë kundër dhunës në sport për të krijuar një partneritet më të fortë institucional</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3.2 Arsimi, Rinia dhe Sporti</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5</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i Këshillit të Ministrave “Për metodologjinë e procesit të vlerësimit nga Agjencia Kombëtare e Kërkimit Shkencor dhe Inovacionit”.</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Zbatimi i Ligjit nr. 80, datë 22.07.2015 “Për arsimin e lartë dhe kërkimin shkencor në institucionet e arsimit të lartë në Republikë</w:t>
            </w:r>
            <w:r w:rsidRPr="00B130BB">
              <w:rPr>
                <w:rFonts w:ascii="Garamond" w:eastAsia="Times New Roman" w:hAnsi="Garamond" w:cs="Times New Roman"/>
                <w:spacing w:val="-4"/>
                <w:sz w:val="18"/>
                <w:szCs w:val="18"/>
                <w:lang w:val="sq-AL"/>
              </w:rPr>
              <w:lastRenderedPageBreak/>
              <w:t>n e Shqipërisë”.</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Përcaktimi i metodologjisë së procesit të vlerësimit të veprimtarisë kërkimore-shkencore nga AKKSHI.</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Rregullon metodologjinë e procesit të vlerësimit të veprimtarisë kërkimore shkencore dhe renditjen e IAL-ve në bazë të këtij vlerësimi, me qëllim shpërndarjen e fondeve për financim për Kërkimin </w:t>
            </w:r>
            <w:r w:rsidRPr="00B130BB">
              <w:rPr>
                <w:rFonts w:ascii="Garamond" w:eastAsia="Times New Roman" w:hAnsi="Garamond" w:cs="Times New Roman"/>
                <w:spacing w:val="-4"/>
                <w:sz w:val="18"/>
                <w:szCs w:val="18"/>
                <w:lang w:val="sq-AL"/>
              </w:rPr>
              <w:lastRenderedPageBreak/>
              <w:t>Shkencor, në zbatim të pikës 4, neni 12, i Ligjit 80/2015.</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PO - Kapitulli 25</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3.2 Arsimi, Rinia dhe Sporti</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6</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i Këshillit të Ministrave “Për kriteret që duhet të përmbushë kandidati për fitimin e gradës shkencore “doktor” dhe përcaktimin e standardeve shtetërore për fitimin e titujve akademik “profesor i asociuar” dhe “profesor””</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Zbatimi i Ligjit nr. 80, datë 22.07.2015 “Për arsimin e lartë dhe kërkimin shkencor në institucionet e arsimit të lartë në Republikën e Shqipërisë”.</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Të përcaktohen kriteret që duhet të përmbushë kandidati për fitimin e gradës shkencore “doktor” dhe përcaktimin e standardeve shtetërore për fitimin e titujve akademik “profesor i asociuar” dhe “profesor””.</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Në zbatim të pikës 7, neni 79, të ligjit nr. 80/2015, Këshilli i Ministrave miraton kriteret që duhet të përmbushë kandidati për fitimin e gradës shkencore “doktor”, sipas përcaktimeve të këtij ligji, si dhe standardet për fitimin e titujve akademikë “profesor” dhe “profesor i asociuar”.</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7</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Projekligj “Për Kërkimin Shkencor në Republikën e Shqipërisë”.</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Strategjia për shkencën</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Ndryshimi i ligjit aktual për shkencën në RSH.</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Riorganizimi i veprimtarisë së kërkimit shkencor në Republikën e Shqipërisë.</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Rregullon veprimtarinë e kërkimit shkencor në Republikën e Shqipërisë.</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 Kapitulli 25</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3.2 Arsimi, Rinia dhe Sporti</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8</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i Këshillit të Ministrave “Programi i bashkëpunimit në fushën e arsimit, shkencës dhe sportit ndërmjet Këshillit të Ministrave të Shqipërisë dhe Qeverisë së Republikës së Greqisë”.</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Arsimit, Sportit dhe Rinisë dhe Ministri i Kulturës</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nga marrëveshjet ndërkombëtare</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Zgjerimi i bashkëpunimit me Greqinë në arsim, shkencë dhe sport, rritja e shkëmbimeve universitare dhe bursave, nxitja e projekteve të përbashkëta në kërkimin shkencor etj.</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Bashkëpunimi ndërmjet vendeve.</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Projektakti përcakton detyrimet ligjore për zbatimin e programit të bashkëpunimit në nivel qeveritar.</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9</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i Këshillit të Ministrave “Për miratimin e “Programit Ekzekutiv për bashkëpunim kulturor ndërmjet Këshillit të Ministrave të </w:t>
            </w:r>
            <w:r w:rsidRPr="00B130BB">
              <w:rPr>
                <w:rFonts w:ascii="Garamond" w:eastAsia="Times New Roman" w:hAnsi="Garamond" w:cs="Times New Roman"/>
                <w:spacing w:val="-4"/>
                <w:sz w:val="18"/>
                <w:szCs w:val="18"/>
                <w:lang w:val="sq-AL"/>
              </w:rPr>
              <w:lastRenderedPageBreak/>
              <w:t>Republikës së Shqipërisë dhe Qeverisë së Republikës Italiane për vitet 2018–2020””.</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 i Arsimit, Sportit dhe Rinisë dhe Ministri i Kulturës</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nga marrëveshjet ndërkombëtare</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Zgjerimi i bashkëpunimit me Italinë në arsim, shkencë dhe kulturë, rritja e shkëmbimeve </w:t>
            </w:r>
            <w:r w:rsidRPr="00B130BB">
              <w:rPr>
                <w:rFonts w:ascii="Garamond" w:eastAsia="Times New Roman" w:hAnsi="Garamond" w:cs="Times New Roman"/>
                <w:spacing w:val="-4"/>
                <w:sz w:val="18"/>
                <w:szCs w:val="18"/>
                <w:lang w:val="sq-AL"/>
              </w:rPr>
              <w:lastRenderedPageBreak/>
              <w:t>universitare dhe bursave, nxitja e projekteve të përbashkëta në kërkimin shkencor etj.</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Bashkëpunimi ndërmjet vendeve.</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Projektakti përcakton detyrimet ligjore për zbatimin e programit të bashkëpunimit në nivel qeveritar.</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10</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“Për specifikimet dhe përmbajtjen e kodifikimit të programeve të studimit” </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i ligjit nr. 80, datë 22.7.2015 “Për arsimin e lartë dhe kërkimin shkencor në institucionet e arsimit të lartë në Republikën e Shqipërisë”.</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Specifikimet dhe përmbajtja për kodifikimin e programeve të studimit.</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Produkti: VKM “Specifikimet për kodifikimin e programeve të studimit” e hartuar</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11</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i Këshillit të Ministrave “Për miratimin e kufirit maksimal të tarifës vjetore të shkollimit për studentët që ndjekin studimet në institucionet publike të arsimit të lartë, në programet e studimeve të ciklit të parë, në programet e studimeve jouniversitare profesionale me kohë të plotë, si dhe në programet e integruara të studimeve të ciklit të dytë për vitin akademik 2018-2019”. </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Ky projektvendim hartohet në zbatim të nenit 7 të ligjit nr. 80 / 2015 “Për arsimin e lartë dhe kërkimin shkencor në institucionet e arsimit të lartë në Republikën e Shqipërisë”. </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Projektvendimi ka për qëllim të përcaktojë një kufi maksimal të tarifës vjetore të shkollimit për studentët që ndjekin studimet në institucionet publike të arsimit të lartë, në programet e studimeve të ciklit të parë, në programet e studimeve jouniversitare profesionale me kohë të plotë, si dhe në </w:t>
            </w:r>
            <w:r w:rsidRPr="00B130BB">
              <w:rPr>
                <w:rFonts w:ascii="Garamond" w:eastAsia="Times New Roman" w:hAnsi="Garamond" w:cs="Times New Roman"/>
                <w:spacing w:val="-4"/>
                <w:sz w:val="18"/>
                <w:szCs w:val="18"/>
                <w:lang w:val="sq-AL"/>
              </w:rPr>
              <w:lastRenderedPageBreak/>
              <w:t>programet e integruara të studimeve të ciklit të dytë për vitin akademik 2018-2019</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IAL-të publike, në kuadër të ligjit 80/2015 “Për arsimin e lartë në Republikën e Shqipërisë” kanë diskrecion për të përcaktuar, nivelin e tarifave , bazuar në kosto. Këshilli i Ministrave, përcakton një tarifë maksimale, e cila është detyruese të respektohet nga të gjithë IAL-të, me qëllim që të shmangen kostot e papërballueshme për studentet.</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Projektakti përcakton detyrimet ligjore për nivelin maksimal të tarifës vjetor të shkollimit në IAL-të publike, kufirit maksimal të tarifës vjetore të shkollimit për studentët që ndjekin studimet në institucionet publike të arsimit të lartë, në programet e studimeve të ciklit të parë, në programet e studimeve jouniversitare profesionale me kohë të plotë, si dhe në programet e integruara të studimeve të ciklit të dytë për vitin akademik 2018-2019. </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12</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i Këshillit të Ministrave “Për shpërndarjen e fondeve nga buxheti i shtetit në institucionet e arsimit të lartë publik, granti i punës kërkimore-shkencore dhe veprimtarive krijuese, për vitin 2017-2018”.</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hartohet në zbatim të nenit 7 pika c, neneve 108, 110, 111, 112, nenit 113 të ligjit nr. 80/2015 “Për arsimin e lartë dhe kërkimin shkencor në institucionet e arsimit të lartë në Republikën e Shqipërisë”. Nëpërmjet këtij projektvendimi synohet që fondet e miratuara nga buxheti i shtetit të shpërndahen në formë granti për politika të zhvillimit për institucionet publike të arsimit të lartë, si dhe granti i punës kërkimore-shkencore dhe veprimtarive krijuese.</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Qëllimi i këtij projektvendimi është që fondet e miratuara nga buxheti i shtetit të shpërndahen në formë granti për politika të zhvillimit për institucionet publike të arsimit të lartë, si dhe granti i punës kërkimore-shkencore dhe veprimtarive krijuese, sipas parimeve të përcaktuara në ligj</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Objektivi i këtij projektvendimi është implementimi i reformës në arsimin e lartë në zbatim të ligjit nr. 80/2015, “Për arsimin e lartë dhe kërkimin shkencor në institucionet e arsimit të lartë në Republikën e Shqipërisë”, duke synuar që fondet e miratuara nga buxheti i shtetit të shpërndahen në formë granti për politika të zhvillimit për institucionet publike të arsimit të lartë, si dhe granti i punës kërkimore-shkencore dhe veprimtarive krijuese, sipas parimeve të përcaktuar në ligj.</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Nëpërmjet këtij projektvendimi synohet implementimit të reformës në arsimin e lartë në zbatim të ligjit nr. 80/2015, “Për arsimin e lartë dhe kërkimin shkencor në institucionet e arsimit të lartë në Republikën e Shqipërisë”, duke synuar që fondet e miratuara nga buxheti i shtetit të shpërndahen në formë granti për politika të zhvillimit për institucionet publike të arsimit të lartë, si dhe granti i punës kërkimore-shkencore dhe veprimtarive krijuese.</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13</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i Këshillit të Ministrave “Për caktimin e tarifave të shërbimit ndaj të tretëve për Qendrën e Shërbimeve Arsimore”.</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Nëpërmjet këtij projektvendimi synohet krijimi i kushteve dhe mundësive reale për kryerjen e shërbimeve, nëpërmjet një qendre të vetme arsimore. Vendosja e tarifave për shërbimet e kërkuara arsimore ka për qëllim jo vetëm plotësim e kërkesave që vijnë nga studentët, qytetarët, si dhe nga institucionet kombëtare e ndërkombëtare. Miratimi i këtij projektvendimi synon krijimin e standardeve të reja për shërbimet arsimore nga QSHA, rritjen e përgjegjshmërisë të institucioneve arsimore për kryerën e shërbimeve ndaj qytetarëve, studentëve të cilët kanë parapaguar për këtë shërbim. </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Qëllimi i këtij projektvendimi është krijimi i kushteve dhe mundësive reale për kryerjen e shërbimeve, nëpërmjet një qendre të vetme arsimore. Vendosja e tarifave për shërbimet e kërkuara arsimore ka për qëllim jo vetëm plotësim e kërkesave që vijnë nga studentët, qytetarët, si dhe nga institucionet kombëtare e ndërkombëtare. Krijimi i një qendre të vetme të shërbimeve arsimore do të mundësojë që studentët apo qytetarët të kërkojnë shërbime cilësore, në kohë, dhe me cilësi të lartë shërbimi. Gjithashtu disa nga këto shërbime </w:t>
            </w:r>
            <w:r w:rsidRPr="00B130BB">
              <w:rPr>
                <w:rFonts w:ascii="Garamond" w:eastAsia="Times New Roman" w:hAnsi="Garamond" w:cs="Times New Roman"/>
                <w:spacing w:val="-4"/>
                <w:sz w:val="18"/>
                <w:szCs w:val="18"/>
                <w:lang w:val="sq-AL"/>
              </w:rPr>
              <w:lastRenderedPageBreak/>
              <w:t>mund të realizohen dhe në formë elektronike duke kursyer kohën e tyre.</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Objektivi i këtij projektvendimi është krijimi i kushteve dhe mundësive reale për kryerjen e shërbimeve, nëpërmjet një qendre të vetme arsimore. Vendosja e tarifave për shërbimet e kërkuara arsimore ka për qëllim jo vetëm plotësim e kërkesave që vijnë nga studentët, qytetarët, si dhe nga institucionet kombëtare e ndërkombëtare. </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Krijimi i kushteve dhe mundësive reale për kryerjen e shërbimeve, nëpërmjet një qendre të vetme arsimore duke vendosur tarifa për shërbimet e kërkuara arsimore.</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 kapitulli 26</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14</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i Këshillit të Ministrave “Për përcaktimin e numrit të praktikantëve për kryerjen e praktikës profesionale, me kontratë të përkohshme, për periudhën 1 janar-15 qershor 2018 dhe 10 shtator-31 dhjetor 2018, për Ministrinë e Arsimit, Sportit dhe Rinisë”.</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Synon, krijimin e kushteve për kryerjen e praktikës profesionale, të studentëve në programet e mësuesisë konform Ligjit nr. 10171, datë 22.10.2009 “Për profesionet e rregulluara në Republikën e Shqipërisë”, i ndryshuar, të cilat të ndikojë në kualifikimin dhe arsimimin e profesionistëve, bazuar mbi standardet evropiane të sigurimit.</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Në zbatim të ligjit nr. 10 171, datë 22.10.2009 “Për profesionet e rregulluara në Republikën e Shqipërisë”, i ndryshuar, të gjithë kandidatët për profesionin e mësuesisë duhet të zhvillojnë praktikën profesionale.</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Synon, krijimin e kushteve për kryerjen e praktikës profesionale, të studentëve në programet e mësuesisë konform ligjit nr. 10171, datë 22.10.2009 “Për profesionet e rregulluara në Republikën e Shqipërisë”, i ndryshuar, të cilat ndikojnë në kualifikimin dhe arsimimin e profesionistëve, bazuar mbi standardet evropiane të sigurimit.</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synon të rregullojë krijimin e kushteve për kryerjen e praktikës profesionale, të studentëve në programet e mësuesisë</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15</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i Këshillit të Ministrave “Për rishpërndarje fondesh ndërmjet programeve buxhetore, për vitin 2017”</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Nëpërmjet aktit synohet të realizohet mirëmenaxhimi i fondeve buxhetore dhe përdorimi efektiv i tyre, duke qenë se gjatë vitit, për arsye të ndryshme </w:t>
            </w:r>
            <w:r w:rsidRPr="00B130BB">
              <w:rPr>
                <w:rFonts w:ascii="Garamond" w:eastAsia="Times New Roman" w:hAnsi="Garamond" w:cs="Times New Roman"/>
                <w:spacing w:val="-4"/>
                <w:sz w:val="18"/>
                <w:szCs w:val="18"/>
                <w:lang w:val="sq-AL"/>
              </w:rPr>
              <w:lastRenderedPageBreak/>
              <w:t>mund të shfaqen devijime të realizimit të projekteve/ fondeve nga planifikimi fillestar i tyre.</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Projektvendimi ka për qëllim destinimin e fondeve të zërit shpenzime kapitale, nga programi një program në një tjetër më prioritar.</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Nëpërmjet aktit synohet të realizohet mirëmenaxhimi i fondeve buxhetore dhe përdorimi efektiv i tyre, duke qenë se gjatë vitit, për arsye të ndryshme mund të shfaqen devijime të realizimit të </w:t>
            </w:r>
            <w:r w:rsidRPr="00B130BB">
              <w:rPr>
                <w:rFonts w:ascii="Garamond" w:eastAsia="Times New Roman" w:hAnsi="Garamond" w:cs="Times New Roman"/>
                <w:spacing w:val="-4"/>
                <w:sz w:val="18"/>
                <w:szCs w:val="18"/>
                <w:lang w:val="sq-AL"/>
              </w:rPr>
              <w:lastRenderedPageBreak/>
              <w:t>projekteve/ fondeve nga planifikimi fillestar i tyre.</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Sigurohet mirëmenaxhim i fondeve dhe përdorimi I tyre sipas programeve buxhetore respektive </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16</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i Këshillit të Ministrave “Për përcaktimin e kritereve për përfitimin e bursave e pagesave dhe kuotat financiare të ushqimit në mensa e konvikte, për nxënësit e studentët në institucionet arsimore publike, për vitin shkollor 2018 - 2019”.</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Arsimit, Sportit dhe Rinisë dhe Ministri i Financave dhe Ekonomisë</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Synohet krijimi i mundësive për vijimin e studimeve në institucionet publike të nxënësve që vijnë nga familje me të ardhura të pakta, nxënësve që vijnë nga familjet në nevojë, fëmijëve të punonjësve të policisë dhe ushtarakëve që kanë humbur jetën në krye e për shkak të detyrës, si dhe mbështetje financiare për nxënësit me rezultate të larta në mësime.</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Përmirësimi i skemës së mbështetjes financiare të nxënësve dhe studentëve për vitin akademik 2018–2019.</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Synohet krijimi i mundësive për vijimin e studimeve në institucionet publike të nxënësve që vijnë nga familje me të ardhura të pakta, nxënësve që vijnë nga familjet në nevojë, fëmijëve të punonjësve të policisë dhe ushtarakëve që kanë humbur jetën në krye e për shkak të detyrës, si dhe mbështetje financiare për nxënësit me rezultate të larta në mësime.</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Sigurohet mbarëvajtja e sistemit të shkollimit për kategoritë e caktuara të nxënësve, të cilët nuk kanë mundësi financimi dhe përballimi të kostove të jetesës. </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17</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i Këshillit të Ministrave “Për dhënien e bursave për nxënësit e shkollës së mesme profesionale “Peter Mahringer”, Shkodër, për vitin shkollor 2018-2019”.</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Synohet krijimi i mundësive për mbështetjen financiare të nxënësve shkollës së mesme profesionale “Peter Mahringer” </w:t>
            </w:r>
            <w:r w:rsidRPr="00B130BB">
              <w:rPr>
                <w:rFonts w:ascii="Garamond" w:eastAsia="Times New Roman" w:hAnsi="Garamond" w:cs="Times New Roman"/>
                <w:spacing w:val="-4"/>
                <w:sz w:val="18"/>
                <w:szCs w:val="18"/>
                <w:lang w:val="sq-AL"/>
              </w:rPr>
              <w:lastRenderedPageBreak/>
              <w:t>Shkodër, si dhe implementimi i objektivave të qeverisë shqiptare për një zhvillimi të qëndrueshëm të sistemit arsimor shqiptar dhe në veçanti arsimin profesional me synimin rritjen e shpejtë të përfshirjes së nxënësve në arsimin profesional në Qarkun e Shkodrës.</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Përmirësimi i skemës së mbështetjes financiare të nxënësve shkollës së mesme profesionale “Peter Mahringer”.</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Synohet krijimi i mundësive për mbështetjen financiare të nxënësve shkollës së mesme profesionale “Peter Mahringer” Shkodër, si dhe implementimi i objektivave të qeverisë </w:t>
            </w:r>
            <w:r w:rsidRPr="00B130BB">
              <w:rPr>
                <w:rFonts w:ascii="Garamond" w:eastAsia="Times New Roman" w:hAnsi="Garamond" w:cs="Times New Roman"/>
                <w:spacing w:val="-4"/>
                <w:sz w:val="18"/>
                <w:szCs w:val="18"/>
                <w:lang w:val="sq-AL"/>
              </w:rPr>
              <w:lastRenderedPageBreak/>
              <w:t>shqiptare për një zhvillimi të qëndrueshëm të sistemit arsimor shqiptar dhe në veçanti arsimin profesional me synimin rritjen e shpejtë të përfshirjes së nxënësve në arsimin profesional.</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Rregullohet përmirësimi i skemës së mbështetjes financiare të nxënësve të shkollës së mesme profesionale “Peter Mahringer” Shkodër, si dhe implementimi i objektivave të </w:t>
            </w:r>
            <w:r w:rsidRPr="00B130BB">
              <w:rPr>
                <w:rFonts w:ascii="Garamond" w:eastAsia="Times New Roman" w:hAnsi="Garamond" w:cs="Times New Roman"/>
                <w:spacing w:val="-4"/>
                <w:sz w:val="18"/>
                <w:szCs w:val="18"/>
                <w:lang w:val="sq-AL"/>
              </w:rPr>
              <w:lastRenderedPageBreak/>
              <w:t xml:space="preserve">qeverisë shqiptare për një zhvillimi të qëndrueshëm të sistemit arsimor shqiptar dhe në veçanti arsimin profesional me synimin rritjen e shpejtë të përfshirjes së nxënësve në arsimin profesional. </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18</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i Këshillit të Ministrave “Për miratimin e kritereve dhe të procedurave për përfitimin nga institucioni arsimor e fondit nga njësia e qeverisjes vendore, sipas formulës </w:t>
            </w:r>
            <w:r w:rsidRPr="00B130BB">
              <w:rPr>
                <w:rFonts w:ascii="Garamond" w:eastAsia="Times New Roman" w:hAnsi="Garamond" w:cs="Times New Roman"/>
                <w:i/>
                <w:iCs/>
                <w:spacing w:val="-4"/>
                <w:sz w:val="18"/>
                <w:szCs w:val="18"/>
                <w:lang w:val="sq-AL"/>
              </w:rPr>
              <w:t>“për nxënës”</w:t>
            </w:r>
            <w:r w:rsidRPr="00B130BB">
              <w:rPr>
                <w:rFonts w:ascii="Garamond" w:eastAsia="Times New Roman" w:hAnsi="Garamond" w:cs="Times New Roman"/>
                <w:spacing w:val="-4"/>
                <w:sz w:val="18"/>
                <w:szCs w:val="18"/>
                <w:lang w:val="sq-AL"/>
              </w:rPr>
              <w:t>, të përdorshëm për shpenzime të vogla dhe ndërhyrje emergjente”.</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Arsimit, Sportit dhe Rinisë dhe Ministri i Financave dhe Ekonomisë</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Nëpërmjet këtij akti synohet përmirësimi i skemës së financimit në NJQV për mirëmbajtjen e infrastrukturës shkollore, me qëllim sigurimin e kushteve të përshtatshme për mbarëvajtjen e procesit mësimor në të gjithë shkollat publike, bazuar në standardet mirëmbajtjes së institucioneve arsimore. </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Projektvendimi ka për qëllim të disiplinojë procesin e mirëmbajtjes së objekteve arsimore, duke përcaktuar një përqindje të caktuar të fondit vjetor për mirëmbajtjen e institucioneve arsimore publike për çdo njësi bazë të qeverisjes vendore. </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Realizohet objektivi për përmirësimin dhe mirëmbajtjen e infrastrukturës shkollore, me qëllim sigurimin e kushteve të përshtatshme për mbarëvajtjen e procesit mësimor në të gjitha shkollat publike, bazuar në standardet mirëmbajtjes së institucioneve arsimore. </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Ky projektakt rregullon përmirësimin e skemës së financimit në NJQV për mirëmbajtjen e infrastrukturës shkollore, me qëllim sigurimin e kushteve të përshtatshme për mbarëvajtjen e procesit mësimor në të gjithë shkollat publike, bazuar në standardet mirëmbajtjes së institucioneve arsimore. </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19</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i Këshillit të Ministrave “Për </w:t>
            </w:r>
            <w:r w:rsidRPr="00B130BB">
              <w:rPr>
                <w:rFonts w:ascii="Garamond" w:eastAsia="Times New Roman" w:hAnsi="Garamond" w:cs="Times New Roman"/>
                <w:spacing w:val="-4"/>
                <w:sz w:val="18"/>
                <w:szCs w:val="18"/>
                <w:lang w:val="sq-AL"/>
              </w:rPr>
              <w:lastRenderedPageBreak/>
              <w:t>shpronësime në interes publik për ndërtimin e objekteve arsimore”.</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Ministria e Arsimit, Sportit dhe </w:t>
            </w:r>
            <w:r w:rsidRPr="00B130BB">
              <w:rPr>
                <w:rFonts w:ascii="Garamond" w:eastAsia="Times New Roman" w:hAnsi="Garamond" w:cs="Times New Roman"/>
                <w:spacing w:val="-4"/>
                <w:sz w:val="18"/>
                <w:szCs w:val="18"/>
                <w:lang w:val="sq-AL"/>
              </w:rPr>
              <w:lastRenderedPageBreak/>
              <w:t>Rinisë</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Katërmujori II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Rritja e aksesit në arsimin </w:t>
            </w:r>
            <w:r w:rsidRPr="00B130BB">
              <w:rPr>
                <w:rFonts w:ascii="Garamond" w:eastAsia="Times New Roman" w:hAnsi="Garamond" w:cs="Times New Roman"/>
                <w:spacing w:val="-4"/>
                <w:sz w:val="18"/>
                <w:szCs w:val="18"/>
                <w:lang w:val="sq-AL"/>
              </w:rPr>
              <w:lastRenderedPageBreak/>
              <w:t>parashkollor nga 76% në 80% për vitin shkollor 2017-2018 . Rritje e aksesit të fëmijëve 5-vjeçare me 15% të numrit aktual të regjistruar në klasat përgatitore, (me 1300 fëmijë më shumë). Arsim cilësor e gjithëpërfshirës me synim plotësimin e standardeve Evropiane, ndërtime të reja, rehabilitim të objekteve arsimore, 450 - 500 klasa e sigurimi i pajisjes së tyre.</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Në zbatim të ligjit nr. 8561, datë </w:t>
            </w:r>
            <w:r w:rsidRPr="00B130BB">
              <w:rPr>
                <w:rFonts w:ascii="Garamond" w:eastAsia="Times New Roman" w:hAnsi="Garamond" w:cs="Times New Roman"/>
                <w:spacing w:val="-4"/>
                <w:sz w:val="18"/>
                <w:szCs w:val="18"/>
                <w:lang w:val="sq-AL"/>
              </w:rPr>
              <w:lastRenderedPageBreak/>
              <w:t>22.12.1999 “Për shpronësimet dhe marrjen në përdorim të përkohshëm të pasurisë pronë private për interes publik”, shpronësohen prona private me qëllim ndërtimin e objekteve arsimore, sipas nevojave të shprehura.</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Rritja e aksesit në arsimin parashkollor </w:t>
            </w:r>
            <w:r w:rsidRPr="00B130BB">
              <w:rPr>
                <w:rFonts w:ascii="Garamond" w:eastAsia="Times New Roman" w:hAnsi="Garamond" w:cs="Times New Roman"/>
                <w:spacing w:val="-4"/>
                <w:sz w:val="18"/>
                <w:szCs w:val="18"/>
                <w:lang w:val="sq-AL"/>
              </w:rPr>
              <w:lastRenderedPageBreak/>
              <w:t>nga 76% në 80% për vitin shkollor 2017–2018 . Rritje e aksesit të fëmijëve 5-vjeçare me 15% të numrit aktual të regjistruar në klasat përgatitore, (me 1300 fëmijë më shumë). Arsim cilësor e gjithëpërfshirës me synim plotësimin e standardeve evropiane, ndërtime të reja, rehabilitim të objekteve arsimore, 450 - 500 klasa e sigurimi i pajisjes së tyre.</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Me anë të këtij projektakti sigurohet </w:t>
            </w:r>
            <w:r w:rsidRPr="00B130BB">
              <w:rPr>
                <w:rFonts w:ascii="Garamond" w:eastAsia="Times New Roman" w:hAnsi="Garamond" w:cs="Times New Roman"/>
                <w:spacing w:val="-4"/>
                <w:sz w:val="18"/>
                <w:szCs w:val="18"/>
                <w:lang w:val="sq-AL"/>
              </w:rPr>
              <w:lastRenderedPageBreak/>
              <w:t>mbarëvajtja dhe shmangen risqet për ndërtimin e objekteve me interes publik, duke bërë të mundur shpronësimin në kohe të pronarëve të objektit/truallit apo aseteve të tjera.</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20</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i Këshillit të Ministrave “Për skemën e funksionimit dhe kompensimin e çmimit të teksteve shkollore për nxënësit nga kategori sociale të veçanta në arsimin parauniversitar publik, për vitin shkollor 2018–2019, si dhe për tekstet e nxënësve të klasës 1-4, në arsimin fillor”.</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Përfshirja e kategorive të tjera të shtresave në nevojë, apo kategorive të nxënësve me aftësi të veçanta që përfitojnë mbështetje financiare për mbulimin e çmimit të teksteve shkollore, si dhe 100% e nxënësve për klasën </w:t>
            </w:r>
            <w:r w:rsidRPr="00B130BB">
              <w:rPr>
                <w:rFonts w:ascii="Garamond" w:eastAsia="Times New Roman" w:hAnsi="Garamond" w:cs="Times New Roman"/>
                <w:spacing w:val="-4"/>
                <w:sz w:val="18"/>
                <w:szCs w:val="18"/>
                <w:lang w:val="sq-AL"/>
              </w:rPr>
              <w:lastRenderedPageBreak/>
              <w:t>e parë deri në klasën e katërt”.</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Lehtësimi dhe mbështetja financiare të shtresave në nevojë.</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Përfshirja e kategorive të tjera të shtresave në nevojë, që përfitojnë mbështetje financiare.</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projektakt mundëson pajisjen me tekste falas të të gjithë nxënësve, sipas kritereve të përcaktuara në VKM për arsimin parauniversitar nga klasa 1-12 si dhe pajisjen me tekste falas për të gjithë nxënësit e klasës 1-4 në arsimin publik, për vitin shkollor 2018-2019.</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21</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i Këshillit të Ministrave “Për skemën e kreditimit studentor dhe kushtet që duhen plotësuar për aplikim për kredi”.</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Zbatimi i nenit 114 “Kredia Studentore” të Ligjit nr. 80, datë 22.07.2015 “Për arsimin e lartë dhe kërkimin shkencor në institucionet e arsimit të lartë në Republikën e Shqipërisë”.</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Objektivi i këtij projektvendimi kërkon që Studentët e institucioneve publike e private të arsimit të lartë të pajisen me kartën e studentit, e cila është dokument unik. Me anë të saj studentët përfitojnë shërbime me çmime të reduktuara, si dhe kategoritë e shërbimeve që ofrojnë entet shtetërore bëhen me vendim të Këshillit të Ministrave dhe me marrëveshje me organizma që kanë objekt të tyre interesat studentorë e me persona juridikë privatë që ofrojnë shërbime të ndryshme.</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Mundësohet marrja e kredive për studentët të cilët nuk kanë mundësi financiare të përballojnë koston e studimeve dhe jetesës për vazhdimin e studimeve të larta.</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PO- kapitulli 26</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22</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i Këshillit të Ministrave “Kreditë për institucionet publike të arsimit të lartë dhe kushtet që duhen plotësuar për aplikim për kredi”.</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Zbatimi i nenit 115 “Kreditë për institucionet publike të arsimit të lartë”, të Ligjit nr. 80, datë 22.07.2015 “Për arsimin e lartë dhe kërkimin shkencor në institucionet e arsimit të lartë në Republikën e </w:t>
            </w:r>
            <w:r w:rsidRPr="00B130BB">
              <w:rPr>
                <w:rFonts w:ascii="Garamond" w:eastAsia="Times New Roman" w:hAnsi="Garamond" w:cs="Times New Roman"/>
                <w:spacing w:val="-4"/>
                <w:sz w:val="18"/>
                <w:szCs w:val="18"/>
                <w:lang w:val="sq-AL"/>
              </w:rPr>
              <w:lastRenderedPageBreak/>
              <w:t>Shqipërisë”.</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I jepet mundësi IAL-ve, të aplikojnë për kredi në institucione financiare dhe bankat e nivelit të dytë, në kuadër të autonomisë financiare.</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Me anë të projektaktit mundësohet përmirësimi i infrastrukturës fizike dhe akademike të IAL-ve, përmes aplikimit me kredi , për të bërë të mundur sigurimin e kushteve të përshtatshme , bazuar në plan-biznes, të ardhurat e siguruara nga veprimtaria e IAL-ve.</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23</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i Këshillit të Ministrave “Për sigurimin e shërbimit arsimor për nxënësit që mësojnë ose marrin mësime në gjuhën e pakicës kombëtare”.</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Arsimit, Sportit dhe Rinisë dhe Ministri i Kulturës</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Zbatimi i ligjit nr. 96/2017</w:t>
            </w:r>
            <w:r w:rsidRPr="00B130BB">
              <w:rPr>
                <w:rFonts w:ascii="Garamond" w:eastAsia="Times New Roman" w:hAnsi="Garamond" w:cs="Times New Roman"/>
                <w:spacing w:val="-4"/>
                <w:sz w:val="18"/>
                <w:szCs w:val="18"/>
                <w:lang w:val="sq-AL"/>
              </w:rPr>
              <w:br/>
              <w:t>“Për mbrojtjen e pakicave kombëtare në Republikën e Shqipërisë”</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U jepet mundësia nxënësve që mësojnë ose marrin mësime në gjuhën e pakicës kombëtare që t'u sigurohen shërbime arsimore duke u krijuar mundësi të mësojnë dhe të mësohen në gjuhën amtare, të mësojnë historinë dhe kulturën e tyre, sipas planeve dhe programeve mësimore me qëllim që</w:t>
            </w:r>
            <w:r w:rsidRPr="00B130BB">
              <w:rPr>
                <w:rFonts w:ascii="Garamond" w:eastAsia="Times New Roman" w:hAnsi="Garamond" w:cs="Times New Roman"/>
                <w:spacing w:val="-4"/>
                <w:sz w:val="18"/>
                <w:szCs w:val="18"/>
                <w:lang w:val="sq-AL"/>
              </w:rPr>
              <w:br/>
              <w:t>nxënësit e pakicave kombëtare të ruajnë dhe të zhvillojnë identitetin e tyre të dallueshëm.</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Me anë të projektaktit mundësohet krijimi I lehtësive (strategjive, planeve të veprimit dhe programeve të nevojshme) për nxënësit që që mësojnë ose marrin mësime në gjuhën e pakicës kombëtare të mësojnë dhe të mësohen në gjuhën amtare, të mësojnë historinë dhe kulturën e tyre, sipas planeve dhe programeve mësimore.</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24</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i Këshillit të Ministrave “Për përcaktimin e masave të përshtatshme në fushën e arsimit dhe kërkimit shkencor, për nxitjen e njohjes së kulturës, historisë, gjuhës dhe besimit fetar të pakicave kombëtare”. </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Detyrim ligjor </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Zbatimi i ligjit nr. 96/2017</w:t>
            </w:r>
            <w:r w:rsidRPr="00B130BB">
              <w:rPr>
                <w:rFonts w:ascii="Garamond" w:eastAsia="Times New Roman" w:hAnsi="Garamond" w:cs="Times New Roman"/>
                <w:spacing w:val="-4"/>
                <w:sz w:val="18"/>
                <w:szCs w:val="18"/>
                <w:lang w:val="sq-AL"/>
              </w:rPr>
              <w:br/>
              <w:t>“Për mbrojtjen e pakicave kombëtare në Republikën e Shqipërisë”.</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I jepet mundësia nxënësve/studentëve që t’u përmirësohen kushtet e nevojshme në fushën e arsimit dhe kërkimit shkencor, me qëllim nxitjen e njohjes së kulturës, historisë, gjuhës dhe besimit fetar të pakicave kombëtare dhe të shumicës,</w:t>
            </w:r>
            <w:r w:rsidRPr="00B130BB">
              <w:rPr>
                <w:rFonts w:ascii="Garamond" w:eastAsia="Times New Roman" w:hAnsi="Garamond" w:cs="Times New Roman"/>
                <w:spacing w:val="-4"/>
                <w:sz w:val="18"/>
                <w:szCs w:val="18"/>
                <w:lang w:val="sq-AL"/>
              </w:rPr>
              <w:br/>
              <w:t>në përputhje me legjislacionin përkatës në fushën e arsimit</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Me anë të projektaktit mundësohet krijimi I lehtësive për nxënësit/studentët që të nxiten më shumë në njohjen e kulturës, historisë, gjuhës dhe besimit fetar të pakicave kombëtare dhe të shumicës,</w:t>
            </w:r>
            <w:r w:rsidRPr="00B130BB">
              <w:rPr>
                <w:rFonts w:ascii="Garamond" w:eastAsia="Times New Roman" w:hAnsi="Garamond" w:cs="Times New Roman"/>
                <w:spacing w:val="-4"/>
                <w:sz w:val="18"/>
                <w:szCs w:val="18"/>
                <w:lang w:val="sq-AL"/>
              </w:rPr>
              <w:br/>
              <w:t>në përputhje me legjislacionin përkatës në fushën e arsimit</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25</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i Këshillit të Ministrave “Për pajisjen me tekste shkollore, formimin fillestar, trajnimin dhe zhvillimin e mëtejshëm </w:t>
            </w:r>
            <w:r w:rsidRPr="00B130BB">
              <w:rPr>
                <w:rFonts w:ascii="Garamond" w:eastAsia="Times New Roman" w:hAnsi="Garamond" w:cs="Times New Roman"/>
                <w:spacing w:val="-4"/>
                <w:sz w:val="18"/>
                <w:szCs w:val="18"/>
                <w:lang w:val="sq-AL"/>
              </w:rPr>
              <w:lastRenderedPageBreak/>
              <w:t>profesional të mësuesve, si dhe përcaktimin e kritereve të krijimit dhe funksionimin e klasave në gjuhën e pakicave kombëtare”.</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Zbatimi i ligjit nr. 96/2017</w:t>
            </w:r>
            <w:r w:rsidRPr="00B130BB">
              <w:rPr>
                <w:rFonts w:ascii="Garamond" w:eastAsia="Times New Roman" w:hAnsi="Garamond" w:cs="Times New Roman"/>
                <w:spacing w:val="-4"/>
                <w:sz w:val="18"/>
                <w:szCs w:val="18"/>
                <w:lang w:val="sq-AL"/>
              </w:rPr>
              <w:br/>
              <w:t xml:space="preserve">“Për mbrojtjen e pakicave kombëtare në Republikën e </w:t>
            </w:r>
            <w:r w:rsidRPr="00B130BB">
              <w:rPr>
                <w:rFonts w:ascii="Garamond" w:eastAsia="Times New Roman" w:hAnsi="Garamond" w:cs="Times New Roman"/>
                <w:spacing w:val="-4"/>
                <w:sz w:val="18"/>
                <w:szCs w:val="18"/>
                <w:lang w:val="sq-AL"/>
              </w:rPr>
              <w:lastRenderedPageBreak/>
              <w:t>Shqipërisë”.</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I jepet mundësia nxënësve t’u krijohen kushtet e përshtatshme për pajisjen me tekste shkollore, formimin fillestar. Po ashtu, trajnimin </w:t>
            </w:r>
            <w:r w:rsidRPr="00B130BB">
              <w:rPr>
                <w:rFonts w:ascii="Garamond" w:eastAsia="Times New Roman" w:hAnsi="Garamond" w:cs="Times New Roman"/>
                <w:spacing w:val="-4"/>
                <w:sz w:val="18"/>
                <w:szCs w:val="18"/>
                <w:lang w:val="sq-AL"/>
              </w:rPr>
              <w:lastRenderedPageBreak/>
              <w:t>dhe zhvillimin e mëtejshëm profesional të mësuesve,</w:t>
            </w:r>
            <w:r w:rsidRPr="00B130BB">
              <w:rPr>
                <w:rFonts w:ascii="Garamond" w:eastAsia="Times New Roman" w:hAnsi="Garamond" w:cs="Times New Roman"/>
                <w:spacing w:val="-4"/>
                <w:sz w:val="18"/>
                <w:szCs w:val="18"/>
                <w:lang w:val="sq-AL"/>
              </w:rPr>
              <w:br/>
              <w:t>si dhe krijimi dhe funksionimi i klasave në gjuhën e pakicave kombëtare</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Me anë të projektaktit mundësohet të rregullohet pajisja me tekste shkollore e nxënësve që mësojnë ose marrin mësime në gjuhën e </w:t>
            </w:r>
            <w:r w:rsidRPr="00B130BB">
              <w:rPr>
                <w:rFonts w:ascii="Garamond" w:eastAsia="Times New Roman" w:hAnsi="Garamond" w:cs="Times New Roman"/>
                <w:spacing w:val="-4"/>
                <w:sz w:val="18"/>
                <w:szCs w:val="18"/>
                <w:lang w:val="sq-AL"/>
              </w:rPr>
              <w:lastRenderedPageBreak/>
              <w:t>pakicës kombëtare. Po ashtu të përmirësohet trajnimi dhe zhvillimi i mëtejshëm profesional i mësuesve,</w:t>
            </w:r>
            <w:r w:rsidRPr="00B130BB">
              <w:rPr>
                <w:rFonts w:ascii="Garamond" w:eastAsia="Times New Roman" w:hAnsi="Garamond" w:cs="Times New Roman"/>
                <w:spacing w:val="-4"/>
                <w:sz w:val="18"/>
                <w:szCs w:val="18"/>
                <w:lang w:val="sq-AL"/>
              </w:rPr>
              <w:br/>
              <w:t>si dhe krijimi dhe funksionimi i klasave në gjuhën e pakicave kombëtare</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3.2 Arsimi, Rinia dhe Sporti</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26</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i Këshillit të Ministrave “Për organizimin dhe funksionimin e Agjencisë së Sigurimit të Cilësisë në Arsimin Parauniversitar”. </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Zbatimi i Ligjit nr. 69/2012 “Për sistemin arsimor parauniversitar në Republikën e Shqipërisë”, i ndryshuar.</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Përcaktimi i mënyrës së organizimit dhe funksionimit të Agjencisë së Sigurimit të Cilësisë në Arsimin Parauniversitar. </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Organizimi dhe funksionimi i Agjencisë së Sigurimit të Cilësisë në Arsimin Parauniversitar. </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27</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i Këshillit të Ministrave “Për përcaktimin e masës dhe mënyrën e shpërblimit të anëtarëve të Këshillit Kombëtar të Arsimit Parauniveristar”</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Zbatimi i Ligjit nr. 69/2012 “Për sistemin arsimor parauniversitar në Republikën e Shqipërisë”, i ndryshuar.</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masës dhe mënyrës së shpërblimit të anëtarëve të përcaktuar në pikën “e”...</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Me anë të projektaktit do të mundësohet përcaktimi i masës së shpërblimit për anëtarët e Këshillit</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28</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i Këshillit të Ministrave “Për organizimin dhe zhvillimin e procesit të certifikimit të drejtuesve të institucionit arsimor”.</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Zbatimi i ligjit nr. 69/2012 “Për sistemin arsimor parauniversitar në Republikën e Shqipërisë”, i ndryshuar.</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mënyrës së organizimit dhe zhvillimit të procesit të certifikimit të drejtuesve të institucionit arsimor.</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Me anë të projektaktit do të mundësohet përcaktimi i mënyrës (kritereve dhe procedurës) që duhet ndjekur për organizimin dhe zhvillimin e procesit të certifikimit të drejtuesve të institucionit arsimor.</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29</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i Këshillit të Ministrave “Për specifikat e funksionimit të arsimit të lartë jolaik”.</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Zbatimi i nenit 5, germa “e” pas miratimit të ligjit nr. 80, datë </w:t>
            </w:r>
            <w:r w:rsidRPr="00B130BB">
              <w:rPr>
                <w:rFonts w:ascii="Garamond" w:eastAsia="Times New Roman" w:hAnsi="Garamond" w:cs="Times New Roman"/>
                <w:spacing w:val="-4"/>
                <w:sz w:val="18"/>
                <w:szCs w:val="18"/>
                <w:lang w:val="sq-AL"/>
              </w:rPr>
              <w:lastRenderedPageBreak/>
              <w:t>22.07.2015 “Për arsimin e lartë dhe kërkimin shkencor në institucionet e arsimit të lartë në Republikën e Shqipërisë”</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Përcaktimi i specifikave të funksionimit të institucioneve jolaike.</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Shteti garanton laicitetin e institucioneve të arsimit të lartë publik dhe mospërdorimin e simboleve </w:t>
            </w:r>
            <w:r w:rsidRPr="00B130BB">
              <w:rPr>
                <w:rFonts w:ascii="Garamond" w:eastAsia="Times New Roman" w:hAnsi="Garamond" w:cs="Times New Roman"/>
                <w:spacing w:val="-4"/>
                <w:sz w:val="18"/>
                <w:szCs w:val="18"/>
                <w:lang w:val="sq-AL"/>
              </w:rPr>
              <w:lastRenderedPageBreak/>
              <w:t xml:space="preserve">fetare prej tyre, por me qëllim rregullimin e organizimit dhe funksionimit edhe të arsimit të lartë jolaik, nevojiten përcaktimi i specifikave të funksionimit të institucioneve që do të ofrojnë arsim të lartë jolaik </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30</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i Këshillit të Ministrave “Për elementet, që duhet të përmbajnë programet e studimit, të ofruara nga institucionet e arsimit të lartë”.</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i Ligjit nr. 80, datë 22.07.2015 “Për arsimin e lartë dhe kërkimin shkencor në institucionet e arsimit të lartë në Republikën e Shqipërisë”.</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Përcaktimi i elementeve që duhet të përmbajnë programet e studimit të ofruara nga IAL-të. </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Me anë projektaktit synohet të rregullohet përcaktimit i elementeve që përbëjnë strukturën e programeve të studimit, të ofruara nga IAL-të, që konsistojnë në:</w:t>
            </w:r>
            <w:r w:rsidRPr="00B130BB">
              <w:rPr>
                <w:rFonts w:ascii="Garamond" w:eastAsia="Times New Roman" w:hAnsi="Garamond" w:cs="Times New Roman"/>
                <w:spacing w:val="-4"/>
                <w:sz w:val="18"/>
                <w:szCs w:val="18"/>
                <w:lang w:val="sq-AL"/>
              </w:rPr>
              <w:br/>
              <w:t>a) Kreditet sipas ECTS;</w:t>
            </w:r>
            <w:r w:rsidRPr="00B130BB">
              <w:rPr>
                <w:rFonts w:ascii="Garamond" w:eastAsia="Times New Roman" w:hAnsi="Garamond" w:cs="Times New Roman"/>
                <w:spacing w:val="-4"/>
                <w:sz w:val="18"/>
                <w:szCs w:val="18"/>
                <w:lang w:val="sq-AL"/>
              </w:rPr>
              <w:br/>
              <w:t>b) Kontrollin e dijeve dhe instrumentet e vlerësimit;</w:t>
            </w:r>
            <w:r w:rsidRPr="00B130BB">
              <w:rPr>
                <w:rFonts w:ascii="Garamond" w:eastAsia="Times New Roman" w:hAnsi="Garamond" w:cs="Times New Roman"/>
                <w:spacing w:val="-4"/>
                <w:sz w:val="18"/>
                <w:szCs w:val="18"/>
                <w:lang w:val="sq-AL"/>
              </w:rPr>
              <w:br/>
              <w:t>c) Objektivat formues dhe kompetencat profesionale;</w:t>
            </w:r>
            <w:r w:rsidRPr="00B130BB">
              <w:rPr>
                <w:rFonts w:ascii="Garamond" w:eastAsia="Times New Roman" w:hAnsi="Garamond" w:cs="Times New Roman"/>
                <w:spacing w:val="-4"/>
                <w:sz w:val="18"/>
                <w:szCs w:val="18"/>
                <w:lang w:val="sq-AL"/>
              </w:rPr>
              <w:br/>
              <w:t>ç) Veprimtaritë formuese dhe komponentët mësimorë të programit të studimit;</w:t>
            </w:r>
            <w:r w:rsidRPr="00B130BB">
              <w:rPr>
                <w:rFonts w:ascii="Garamond" w:eastAsia="Times New Roman" w:hAnsi="Garamond" w:cs="Times New Roman"/>
                <w:spacing w:val="-4"/>
                <w:sz w:val="18"/>
                <w:szCs w:val="18"/>
                <w:lang w:val="sq-AL"/>
              </w:rPr>
              <w:br/>
              <w:t>d) Kategoritë e veprimtaritë formuese që karakterizojnë një program studimi;</w:t>
            </w:r>
            <w:r w:rsidRPr="00B130BB">
              <w:rPr>
                <w:rFonts w:ascii="Garamond" w:eastAsia="Times New Roman" w:hAnsi="Garamond" w:cs="Times New Roman"/>
                <w:spacing w:val="-4"/>
                <w:sz w:val="18"/>
                <w:szCs w:val="18"/>
                <w:lang w:val="sq-AL"/>
              </w:rPr>
              <w:br/>
              <w:t>dh) Plani mësimor;</w:t>
            </w:r>
            <w:r w:rsidRPr="00B130BB">
              <w:rPr>
                <w:rFonts w:ascii="Garamond" w:eastAsia="Times New Roman" w:hAnsi="Garamond" w:cs="Times New Roman"/>
                <w:spacing w:val="-4"/>
                <w:sz w:val="18"/>
                <w:szCs w:val="18"/>
                <w:lang w:val="sq-AL"/>
              </w:rPr>
              <w:br/>
              <w:t>e) Kuotat e pranimit dhe grupet mësimore;</w:t>
            </w:r>
            <w:r w:rsidRPr="00B130BB">
              <w:rPr>
                <w:rFonts w:ascii="Garamond" w:eastAsia="Times New Roman" w:hAnsi="Garamond" w:cs="Times New Roman"/>
                <w:spacing w:val="-4"/>
                <w:sz w:val="18"/>
                <w:szCs w:val="18"/>
                <w:lang w:val="sq-AL"/>
              </w:rPr>
              <w:br/>
              <w:t>ë) Programi lëndor (Syllabuset);</w:t>
            </w:r>
            <w:r w:rsidRPr="00B130BB">
              <w:rPr>
                <w:rFonts w:ascii="Garamond" w:eastAsia="Times New Roman" w:hAnsi="Garamond" w:cs="Times New Roman"/>
                <w:spacing w:val="-4"/>
                <w:sz w:val="18"/>
                <w:szCs w:val="18"/>
                <w:lang w:val="sq-AL"/>
              </w:rPr>
              <w:br/>
              <w:t>f) Diploma dhe Suplementi.</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31</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i Këshillit të </w:t>
            </w:r>
            <w:r w:rsidRPr="00B130BB">
              <w:rPr>
                <w:rFonts w:ascii="Garamond" w:eastAsia="Times New Roman" w:hAnsi="Garamond" w:cs="Times New Roman"/>
                <w:spacing w:val="-4"/>
                <w:sz w:val="18"/>
                <w:szCs w:val="18"/>
                <w:lang w:val="sq-AL"/>
              </w:rPr>
              <w:lastRenderedPageBreak/>
              <w:t xml:space="preserve">Ministrave “Për specifikimet dhe përmbajtjen e kodifikimit të programeve të studimit”. </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Ministria e Arsimit, </w:t>
            </w:r>
            <w:r w:rsidRPr="00B130BB">
              <w:rPr>
                <w:rFonts w:ascii="Garamond" w:eastAsia="Times New Roman" w:hAnsi="Garamond" w:cs="Times New Roman"/>
                <w:spacing w:val="-4"/>
                <w:sz w:val="18"/>
                <w:szCs w:val="18"/>
                <w:lang w:val="sq-AL"/>
              </w:rPr>
              <w:lastRenderedPageBreak/>
              <w:t>Sportit dhe Rinisë</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Katërmujori 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Zbatimi i nenit 86, </w:t>
            </w:r>
            <w:r w:rsidRPr="00B130BB">
              <w:rPr>
                <w:rFonts w:ascii="Garamond" w:eastAsia="Times New Roman" w:hAnsi="Garamond" w:cs="Times New Roman"/>
                <w:spacing w:val="-4"/>
                <w:sz w:val="18"/>
                <w:szCs w:val="18"/>
                <w:lang w:val="sq-AL"/>
              </w:rPr>
              <w:lastRenderedPageBreak/>
              <w:t>pas miratimit të Ligjit nr. 80, datë 22.07.2015 “Për arsimin e lartë dhe kërkimin shkencor në institucionet e arsimit të lartë në Republikën e Shqipërisë”.</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Specifikimet dhe përmbajtja </w:t>
            </w:r>
            <w:r w:rsidRPr="00B130BB">
              <w:rPr>
                <w:rFonts w:ascii="Garamond" w:eastAsia="Times New Roman" w:hAnsi="Garamond" w:cs="Times New Roman"/>
                <w:spacing w:val="-4"/>
                <w:sz w:val="18"/>
                <w:szCs w:val="18"/>
                <w:lang w:val="sq-AL"/>
              </w:rPr>
              <w:lastRenderedPageBreak/>
              <w:t>për kodifikimin e programeve të studimit.</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Programet e studimit </w:t>
            </w:r>
            <w:r w:rsidRPr="00B130BB">
              <w:rPr>
                <w:rFonts w:ascii="Garamond" w:eastAsia="Times New Roman" w:hAnsi="Garamond" w:cs="Times New Roman"/>
                <w:spacing w:val="-4"/>
                <w:sz w:val="18"/>
                <w:szCs w:val="18"/>
                <w:lang w:val="sq-AL"/>
              </w:rPr>
              <w:lastRenderedPageBreak/>
              <w:t>organizohen dhe grupohen në kode që identifikojnë fusha të ngjashme studimi në nivel kombëtar. Hapja e një programi të ri studimi shoqërohet me përcaktimin e kodit, sipas fushës së studimit dhe klasifikimeve. Me qëllim përcaktimin e kodeve dhe kryerjen e procesit të kodifikimit, nevojitet përcaktimi i specifikave dhe përmbajtjes se kodifikimit të programeve</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32</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i Këshillit të Ministrave “Për hartimin e Kodit të Cilësisë së Arsimit të Lartë”.</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i Ligjit nr. 80, datë 22.07.2015 “Për arsimin e lartë dhe kërkimin shkencor në institucionet e arsimit të lartë në Republikën e Shqipërisë”.</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Hartimi i Kodit të Cilësisë së Arsimit të Lartë.</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Kodi i Cilësisë së Arsimit të Lartë është dokumenti kryesor për të gjitha proceset dhe procedurat e sigurimit të cilësisë në arsimin e lartë. Ai përcakton standardet shtetërore të cilësisë, të detyrueshme për zbatim prej institucioneve të arsimit të lartë, projektakti do të synojë hartimin e Kodit të Cilësisë së Arsimit të Lartë</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Po </w:t>
            </w:r>
          </w:p>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26</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3.2 Arsimi, Rinia dhe Sporti</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33</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i Këshillit të Ministrave “Për përcaktimin e procedurës për krijimin Institucioneve Publike të Pavarura të Arsimit të Lartë”.</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i Ligjit nr. 80, datë 22.07.2015 “Për arsimin e lartë dhe kërkimin shkencor në institucion</w:t>
            </w:r>
            <w:r w:rsidRPr="00B130BB">
              <w:rPr>
                <w:rFonts w:ascii="Garamond" w:eastAsia="Times New Roman" w:hAnsi="Garamond" w:cs="Times New Roman"/>
                <w:spacing w:val="-4"/>
                <w:sz w:val="18"/>
                <w:szCs w:val="18"/>
                <w:lang w:val="sq-AL"/>
              </w:rPr>
              <w:lastRenderedPageBreak/>
              <w:t>et e arsimit të lartë në Republikën e Shqipërisë”.</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Përcaktimi i dokumentacionit, rregullave dhe procedurës për krijimin e IALPP-së</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Projekti rregullon përcaktimin e dokumentacionit, kritereve, rregullave dhe procedurës për krijimin e IALPP-së.</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34</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i Këshillit të Ministrave “Mbi miratimin e programit </w:t>
            </w:r>
            <w:r w:rsidRPr="00B130BB">
              <w:rPr>
                <w:rFonts w:ascii="Garamond" w:eastAsia="Times New Roman" w:hAnsi="Garamond" w:cs="Times New Roman"/>
                <w:i/>
                <w:spacing w:val="-4"/>
                <w:sz w:val="18"/>
                <w:szCs w:val="18"/>
                <w:lang w:val="sq-AL"/>
              </w:rPr>
              <w:t>Brain Circulation</w:t>
            </w:r>
            <w:r w:rsidRPr="00B130BB">
              <w:rPr>
                <w:rFonts w:ascii="Garamond" w:eastAsia="Times New Roman" w:hAnsi="Garamond" w:cs="Times New Roman"/>
                <w:spacing w:val="-4"/>
                <w:sz w:val="18"/>
                <w:szCs w:val="18"/>
                <w:lang w:val="sq-AL"/>
              </w:rPr>
              <w:t>”.</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Projektvendimi është i parashikuar në Planin Operacional të Punës së Ministrisë</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Program</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Krijimi i programit të </w:t>
            </w:r>
            <w:r w:rsidRPr="00B130BB">
              <w:rPr>
                <w:rFonts w:ascii="Garamond" w:eastAsia="Times New Roman" w:hAnsi="Garamond" w:cs="Times New Roman"/>
                <w:i/>
                <w:spacing w:val="-4"/>
                <w:sz w:val="18"/>
                <w:szCs w:val="18"/>
                <w:lang w:val="sq-AL"/>
              </w:rPr>
              <w:t>Brain Circulation</w:t>
            </w:r>
            <w:r w:rsidRPr="00B130BB">
              <w:rPr>
                <w:rFonts w:ascii="Garamond" w:eastAsia="Times New Roman" w:hAnsi="Garamond" w:cs="Times New Roman"/>
                <w:spacing w:val="-4"/>
                <w:sz w:val="18"/>
                <w:szCs w:val="18"/>
                <w:lang w:val="sq-AL"/>
              </w:rPr>
              <w:t>, me qëllim kontributin e të diplomuarve dhe të profesionistëve shqiptarë jashtë vendit në Shqipëri.</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Krijimi i programit të </w:t>
            </w:r>
            <w:r w:rsidRPr="00B130BB">
              <w:rPr>
                <w:rFonts w:ascii="Garamond" w:eastAsia="Times New Roman" w:hAnsi="Garamond" w:cs="Times New Roman"/>
                <w:i/>
                <w:spacing w:val="-4"/>
                <w:sz w:val="18"/>
                <w:szCs w:val="18"/>
                <w:lang w:val="sq-AL"/>
              </w:rPr>
              <w:t>Brain Circulation</w:t>
            </w:r>
            <w:r w:rsidRPr="00B130BB">
              <w:rPr>
                <w:rFonts w:ascii="Garamond" w:eastAsia="Times New Roman" w:hAnsi="Garamond" w:cs="Times New Roman"/>
                <w:spacing w:val="-4"/>
                <w:sz w:val="18"/>
                <w:szCs w:val="18"/>
                <w:lang w:val="sq-AL"/>
              </w:rPr>
              <w:t>, me qëllim kontributin e të diplomuarve dhe të profesionistëve shqiptarë jashtë vendit në Shqipëri, forcimin e partneriteteve ndërkombëtare</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3.2 Arsimi, Rinia dhe Sporti</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35</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Projektvendim “Për përcaktimin e llojeve të institucioneve/qendrave shëndetësore, publike apo private, si dhe kritereve që ato duhet të plotësojnë për lidhjen e marrëveshjeve me institucionet e arsimit të lartë në fushën e shëndetësisë”. </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Arsimit, Sportit dhe Rinisë dhe Ministri i Shëndetësisë dhe Mbrojtjes Sociale</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Miratimi i Ligjit nr. 80, datë 22.07.2015 “Për arsimin e lartë dhe kërkimin shkencor në institucionet e arsimit të lartë në Republikën e Shqipërisë”.</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kritereve specifikave për institucioneve/qendrave shëndetësore, publike apo private për lidhjen e marrëveshjeve me institucionet e arsimit të lartë në fushën e shëndetësisë.</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 i kritereve specifikave për institucioneve/qendrave shëndetësore, publike apo private për lidhjen e marrëveshjeve me institucionet e arsimit të lartë në fushën e shëndetësisë.</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36</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i Këshillit të Ministrave “Për pagesën e Komisionit të Vlerësimit të Teksteve Shkollore”.</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Aktualizimin e referencës ligjore të aktit. Përcaktimin e detyrave dhe kompetencave të Komisionit të Vlerësimit të Teksteve Shkollore.</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Përcaktimin e pagesës së anëtarëve dhe vlerësuesve të teksteve.</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Përcaktimin e pagesës së anëtarëve të KVTSH dhe vlerësuesve të teksteve shkollore</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3.2 Arsimi, Rinia dhe Sporti</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37</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Projektligj “Për disa shtesa dhe ndryshime në Ligjin nr. 69/2012 “Për sistemin arsimor parauniversitar </w:t>
            </w:r>
            <w:r w:rsidRPr="00B130BB">
              <w:rPr>
                <w:rFonts w:ascii="Garamond" w:eastAsia="Times New Roman" w:hAnsi="Garamond" w:cs="Times New Roman"/>
                <w:spacing w:val="-4"/>
                <w:sz w:val="18"/>
                <w:szCs w:val="18"/>
                <w:lang w:val="sq-AL"/>
              </w:rPr>
              <w:lastRenderedPageBreak/>
              <w:t>në Republikën e Shqipërisë”“, i ndryshuar.</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Rritja e efektivitetit të zbatueshmërisë së ligjit; Mbështetja </w:t>
            </w:r>
            <w:r w:rsidRPr="00B130BB">
              <w:rPr>
                <w:rFonts w:ascii="Garamond" w:eastAsia="Times New Roman" w:hAnsi="Garamond" w:cs="Times New Roman"/>
                <w:spacing w:val="-4"/>
                <w:sz w:val="18"/>
                <w:szCs w:val="18"/>
                <w:lang w:val="sq-AL"/>
              </w:rPr>
              <w:lastRenderedPageBreak/>
              <w:t>dhe stabilizimi i reformave të ndërmarra në sistemin arsimor parauniversitar, si dhe harmonizimi me kuadrin ligjor në fuqi.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Projektligji që ka si qëllim rritjen e efektivitetit të zbatuesh</w:t>
            </w:r>
            <w:r w:rsidRPr="00B130BB">
              <w:rPr>
                <w:rFonts w:ascii="Garamond" w:eastAsia="Times New Roman" w:hAnsi="Garamond" w:cs="Times New Roman"/>
                <w:spacing w:val="-4"/>
                <w:sz w:val="18"/>
                <w:szCs w:val="18"/>
                <w:lang w:val="sq-AL"/>
              </w:rPr>
              <w:lastRenderedPageBreak/>
              <w:t xml:space="preserve">mërisë së ligjit, si dhe mbështetjen dhe stabilizimin e reformave të ndërmarra në sistemin arsimor parauniversitar. </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Projektakti synon: a) Rritjen e efektivitetit të shërbimit psikosocial në shkollë; b) Përcakton </w:t>
            </w:r>
            <w:r w:rsidRPr="00B130BB">
              <w:rPr>
                <w:rFonts w:ascii="Garamond" w:eastAsia="Times New Roman" w:hAnsi="Garamond" w:cs="Times New Roman"/>
                <w:spacing w:val="-4"/>
                <w:sz w:val="18"/>
                <w:szCs w:val="18"/>
                <w:lang w:val="sq-AL"/>
              </w:rPr>
              <w:lastRenderedPageBreak/>
              <w:t>kompetencën për Bashkitë në punësimin e mësuesve me kohë të plotë dhe të pjesshme në arsimin parashkollor; c) Zgjeron përvojën dhe metodologjinë e vlerësimit të jashtëm edhe për arritjet shkollore në arsimin fillor. d) Shton kërkesat profesionale për kandidatët për drejtues (drejtor/nëndrejtor) të institucioneve shkollore; e) Përcakton kriteret për nivelin arsimor që duhet të kenë kandidatët për ushtrimin e profesionit të rregulluar të Mësuesit.</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Projektakti do të rregullojë: a) Rritjen e efektivitetit të shërbimit psikosocial në shkollë; b) </w:t>
            </w:r>
            <w:r w:rsidRPr="00B130BB">
              <w:rPr>
                <w:rFonts w:ascii="Garamond" w:eastAsia="Times New Roman" w:hAnsi="Garamond" w:cs="Times New Roman"/>
                <w:spacing w:val="-4"/>
                <w:sz w:val="18"/>
                <w:szCs w:val="18"/>
                <w:lang w:val="sq-AL"/>
              </w:rPr>
              <w:lastRenderedPageBreak/>
              <w:t xml:space="preserve">Përcakton kompetencën për Bashkitë në punësimin e mësuesve me kohë të plotë dhe të pjesshme në arsimin parashkollor; c) Zgjeron përvojën dhe metodologjinë e vlerësimit të jashtëm edhe për arritjet shkollore në arsimin fillor. d) Shton kërkesat profesionale për kandidatët për drejtues (drejtor/nëndrejtor) të institucioneve shkollore; e) Përcakton kriteret për nivelin arsimor që duhet të kenë kandidatët për ushtrimin e profesionit të rregulluar të Mësuesit. </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Po- Kapitulli 26</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38</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Projektligj “Për Rininë”.</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ligj do të përcaktojë parimet kryesore, menaxhimin dhe financimin e aktiviteteve që do të realizohen për zbatimin e politikës kombëtare të të rinjve.</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Qëllimi i këtij ligji është të përmirësojë cilësinë e jetës të rinjve, nëpërmjet promovimit të iniciativave të tyre, pjesëmarrjes në vendimmarrje dhe në jetën shoqërore, si dhe nëpërmjet mbështetjes së punës rinore, edukimin jo formal dhe pjesëmarrjen në </w:t>
            </w:r>
            <w:r w:rsidRPr="00B130BB">
              <w:rPr>
                <w:rFonts w:ascii="Garamond" w:eastAsia="Times New Roman" w:hAnsi="Garamond" w:cs="Times New Roman"/>
                <w:spacing w:val="-4"/>
                <w:sz w:val="18"/>
                <w:szCs w:val="18"/>
                <w:lang w:val="sq-AL"/>
              </w:rPr>
              <w:lastRenderedPageBreak/>
              <w:t xml:space="preserve">programe të tjera. </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 xml:space="preserve">Ky ligj rregullon masat dhe aktivitetet e ndërmarra nga institucionet e qeverisjes qendrore dhe vendore që kanë për qëllim fuqizimin e sektorit të rinisë, përmirësimin e statusit social ekonomik të të rinjve dhe krijimin e kushteve për adresimin e nevojave dhe interesave të të rinjve. Mbështetjen e të rinjve në organizim, aktivizim social, dhe zhvillimin e potencialit të tyre. </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ligj do të përcaktojë përgjegjësitë themelore, përgjegjësitë e institucioneve të qeverisjes qendrore dhe vendore ndaj të rinjve dhe organizatave rinore punën vullnetare dhe edukimin joformal të të rinjve Institucionet e përfshira në implementimin e politikave rinore dhe kompetencat që rrjedhin prej tyre, në fushën e kësaj politike.</w:t>
            </w:r>
            <w:r w:rsidRPr="00B130BB">
              <w:rPr>
                <w:rFonts w:ascii="Garamond" w:eastAsia="Times New Roman" w:hAnsi="Garamond" w:cs="Times New Roman"/>
                <w:spacing w:val="-4"/>
                <w:sz w:val="18"/>
                <w:szCs w:val="18"/>
                <w:lang w:val="sq-AL"/>
              </w:rPr>
              <w:br/>
              <w:t xml:space="preserve">Akti lidhet me Planin Kombëtar për Veprimin për </w:t>
            </w:r>
            <w:r w:rsidRPr="00B130BB">
              <w:rPr>
                <w:rFonts w:ascii="Garamond" w:eastAsia="Times New Roman" w:hAnsi="Garamond" w:cs="Times New Roman"/>
                <w:spacing w:val="-4"/>
                <w:sz w:val="18"/>
                <w:szCs w:val="18"/>
                <w:lang w:val="sq-AL"/>
              </w:rPr>
              <w:lastRenderedPageBreak/>
              <w:t>Rininë</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Jo</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3.2 Arsimi, Rinia dhe Sporti</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lastRenderedPageBreak/>
              <w:t>39</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Projektvendim i Këshillit të Ministrave “Për përcaktimin e numrit të punonjësve me kontratë të përkohshme për vitin 2018 në Njësitë e Qeverisjes Qendrore”.</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Arsimit, Sportit dhe Rinisë dhe Ministri i Financave dhe Ekonomisë</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Në kuadër të Programit Kombëtar të Praktikave të Punës në administratën shtetërore, Institucionet pjesëmarrëse në këtë program do të punësojnë me kontratë të përkohshme praktikantët më të mirë.</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Në kuadër të Programit Kombëtar të Praktikave të punës, do të punësohen praktikantët, me qëllim përfitimin e një përvoje kualifikuese në administratën publike.</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 xml:space="preserve">Institucionet e administratës shtetërore qendrore, pjesëmarrëse në program, do të punësojnë me kontratë të përkohshme pune 200 praktikantë, të përzgjedhur nga thirrja e tretë dhe që kanë kryer praktikën e punës në atë institucion në kuadër të kësaj thirrjeje. </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Programi Kombëtar i Praktikave të Punës synon të përfshijë pjesëmarrësit në një eksperiencë pune të integruar e në ndërveprim me profesionistë karriere në administratën publike.</w:t>
            </w:r>
            <w:r w:rsidRPr="00B130BB">
              <w:rPr>
                <w:rFonts w:ascii="Garamond" w:eastAsia="Times New Roman" w:hAnsi="Garamond" w:cs="Times New Roman"/>
                <w:spacing w:val="-4"/>
                <w:sz w:val="18"/>
                <w:szCs w:val="18"/>
                <w:lang w:val="sq-AL"/>
              </w:rPr>
              <w:br/>
              <w:t>Akti lidhet me Planin Kombëtar për Veprimin për Rininë</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3.2 Arsimi, Rinia dhe Sporti</w:t>
            </w:r>
          </w:p>
        </w:tc>
      </w:tr>
      <w:tr w:rsidR="00B130BB" w:rsidRPr="00B130BB" w:rsidTr="00842C95">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B130BB" w:rsidRPr="00B130BB" w:rsidRDefault="00B130BB" w:rsidP="00B130BB">
            <w:pPr>
              <w:spacing w:after="0" w:line="240" w:lineRule="auto"/>
              <w:jc w:val="right"/>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40</w:t>
            </w:r>
          </w:p>
        </w:tc>
        <w:tc>
          <w:tcPr>
            <w:tcW w:w="1073"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Projekvendimi i Këshillit të Ministrave “Për Kodin e Etikës së Vullnetarit”.</w:t>
            </w:r>
          </w:p>
        </w:tc>
        <w:tc>
          <w:tcPr>
            <w:tcW w:w="325"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Ministri i Arsimit, Sportit dhe Rinisë dhe Ministri i Financave dhe Ekonomisë</w:t>
            </w:r>
          </w:p>
        </w:tc>
        <w:tc>
          <w:tcPr>
            <w:tcW w:w="211"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Katërmujori II</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Detyrim ligjor, në zbatim të nenit 27, të ligjit nr. 45/2016 “Për vullnetarizmin”.</w:t>
            </w:r>
          </w:p>
        </w:tc>
        <w:tc>
          <w:tcPr>
            <w:tcW w:w="640"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Ky projektvendim ka si qëllim përcaktimin e koncepteve themelore në lidhje me vullnetarizmin, kërkesat, të drejtat dhe detyrimet e vullnetarëve dhe organizatorëve të vullnetarizmit, duke ndikuar në zhvillimin, vlerësimin, inkurajimin e të rinjve për pjesëmarrje në aktivitete vullnetare.</w:t>
            </w:r>
          </w:p>
        </w:tc>
        <w:tc>
          <w:tcPr>
            <w:tcW w:w="558"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Promovimin e kulturës dhe praktikës së vullnetarizmit te të rinjtë.</w:t>
            </w:r>
          </w:p>
        </w:tc>
        <w:tc>
          <w:tcPr>
            <w:tcW w:w="626"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Nxitja e vullnetarzimit në shoqëri si dhe rregullimi i marrëdhënieve etike midis vullnetarit dhe organizatës apo Institucionit pritës.</w:t>
            </w:r>
            <w:r w:rsidRPr="00B130BB">
              <w:rPr>
                <w:rFonts w:ascii="Garamond" w:eastAsia="Times New Roman" w:hAnsi="Garamond" w:cs="Times New Roman"/>
                <w:spacing w:val="-4"/>
                <w:sz w:val="18"/>
                <w:szCs w:val="18"/>
                <w:lang w:val="sq-AL"/>
              </w:rPr>
              <w:br/>
              <w:t>Akti lidhet me Planin Kombëtar për Veprimin për Rininë</w:t>
            </w:r>
          </w:p>
        </w:tc>
        <w:tc>
          <w:tcPr>
            <w:tcW w:w="297"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B130BB" w:rsidRPr="00B130BB" w:rsidRDefault="00B130BB" w:rsidP="00B130BB">
            <w:pPr>
              <w:spacing w:after="0" w:line="240" w:lineRule="auto"/>
              <w:rPr>
                <w:rFonts w:ascii="Garamond" w:eastAsia="Times New Roman" w:hAnsi="Garamond" w:cs="Times New Roman"/>
                <w:spacing w:val="-4"/>
                <w:sz w:val="18"/>
                <w:szCs w:val="18"/>
                <w:lang w:val="sq-AL"/>
              </w:rPr>
            </w:pPr>
            <w:r w:rsidRPr="00B130BB">
              <w:rPr>
                <w:rFonts w:ascii="Garamond" w:eastAsia="Times New Roman" w:hAnsi="Garamond" w:cs="Times New Roman"/>
                <w:spacing w:val="-4"/>
                <w:sz w:val="18"/>
                <w:szCs w:val="18"/>
                <w:lang w:val="sq-AL"/>
              </w:rPr>
              <w:t>Kapitulli 3.2 Arsimi, Rinia dhe Sporti</w:t>
            </w:r>
          </w:p>
        </w:tc>
      </w:tr>
    </w:tbl>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B130BB" w:rsidRPr="00B130BB" w:rsidRDefault="00B130BB" w:rsidP="00B130BB">
      <w:pPr>
        <w:widowControl w:val="0"/>
        <w:spacing w:after="0" w:line="240" w:lineRule="auto"/>
        <w:ind w:firstLine="284"/>
        <w:jc w:val="both"/>
        <w:rPr>
          <w:rFonts w:ascii="Garamond" w:eastAsia="Times New Roman" w:hAnsi="Garamond" w:cs="CG Times"/>
          <w:spacing w:val="-4"/>
          <w:sz w:val="24"/>
          <w:lang w:val="sq-AL" w:eastAsia="en-GB"/>
        </w:rPr>
      </w:pPr>
    </w:p>
    <w:p w:rsidR="004E24F8" w:rsidRDefault="004E24F8"/>
    <w:sectPr w:rsidR="004E24F8" w:rsidSect="00B130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0F22CE" w:rsidRPr="00B4283E" w:rsidRDefault="00B130B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224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2CE" w:rsidRPr="005B4361" w:rsidRDefault="00B130BB"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0F22CE" w:rsidRPr="00833610" w:rsidRDefault="00B130B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F22CE" w:rsidRDefault="00B130B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F22CE" w:rsidRPr="00EB260B" w:rsidTr="00680B77">
      <w:trPr>
        <w:trHeight w:val="936"/>
        <w:jc w:val="center"/>
      </w:trPr>
      <w:tc>
        <w:tcPr>
          <w:tcW w:w="2811" w:type="dxa"/>
          <w:shd w:val="pct5" w:color="auto" w:fill="F2F2F2"/>
          <w:vAlign w:val="center"/>
        </w:tcPr>
        <w:p w:rsidR="000F22CE" w:rsidRPr="00EB260B" w:rsidRDefault="00B130BB"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F22CE" w:rsidRPr="00EB260B" w:rsidRDefault="00B130BB" w:rsidP="00680B77">
          <w:pPr>
            <w:pStyle w:val="NoSpacing"/>
            <w:spacing w:before="100" w:after="100"/>
            <w:jc w:val="center"/>
            <w:rPr>
              <w:rFonts w:ascii="Garamond" w:hAnsi="Garamond"/>
              <w:b/>
              <w:sz w:val="28"/>
              <w:szCs w:val="28"/>
            </w:rPr>
          </w:pPr>
          <w:r>
            <w:rPr>
              <w:noProof/>
              <w:lang w:val="en-US"/>
            </w:rPr>
            <w:drawing>
              <wp:inline distT="0" distB="0" distL="0" distR="0" wp14:anchorId="2260CD60" wp14:editId="76B3A873">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F22CE" w:rsidRPr="00EB260B" w:rsidRDefault="00B130BB"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0F22CE" w:rsidRPr="00385E2C" w:rsidRDefault="00B130BB"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2CE" w:rsidRDefault="00B130B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2CE" w:rsidRDefault="00B130BB" w:rsidP="0033011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nsid w:val="1E206C96"/>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43FA218A"/>
    <w:multiLevelType w:val="hybridMultilevel"/>
    <w:tmpl w:val="E9028E86"/>
    <w:lvl w:ilvl="0" w:tplc="49464FDC">
      <w:start w:val="1"/>
      <w:numFmt w:val="decimal"/>
      <w:lvlText w:val="%1."/>
      <w:lvlJc w:val="left"/>
      <w:pPr>
        <w:ind w:left="720" w:hanging="360"/>
      </w:pPr>
      <w:rPr>
        <w:b/>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4BC92EA8"/>
    <w:multiLevelType w:val="hybridMultilevel"/>
    <w:tmpl w:val="01905C38"/>
    <w:lvl w:ilvl="0" w:tplc="53A4307C">
      <w:start w:val="1"/>
      <w:numFmt w:val="upperRoman"/>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9">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77892492"/>
    <w:multiLevelType w:val="hybridMultilevel"/>
    <w:tmpl w:val="4712E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8"/>
  </w:num>
  <w:num w:numId="2">
    <w:abstractNumId w:val="24"/>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2"/>
  </w:num>
  <w:num w:numId="16">
    <w:abstractNumId w:val="30"/>
  </w:num>
  <w:num w:numId="17">
    <w:abstractNumId w:val="26"/>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29"/>
  </w:num>
  <w:num w:numId="22">
    <w:abstractNumId w:val="33"/>
  </w:num>
  <w:num w:numId="23">
    <w:abstractNumId w:val="10"/>
  </w:num>
  <w:num w:numId="24">
    <w:abstractNumId w:val="21"/>
  </w:num>
  <w:num w:numId="25">
    <w:abstractNumId w:val="20"/>
  </w:num>
  <w:num w:numId="26">
    <w:abstractNumId w:val="27"/>
  </w:num>
  <w:num w:numId="27">
    <w:abstractNumId w:val="11"/>
  </w:num>
  <w:num w:numId="28">
    <w:abstractNumId w:val="19"/>
  </w:num>
  <w:num w:numId="29">
    <w:abstractNumId w:val="22"/>
  </w:num>
  <w:num w:numId="30">
    <w:abstractNumId w:val="13"/>
  </w:num>
  <w:num w:numId="31">
    <w:abstractNumId w:val="25"/>
  </w:num>
  <w:num w:numId="32">
    <w:abstractNumId w:val="14"/>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0BB"/>
    <w:rsid w:val="004E24F8"/>
    <w:rsid w:val="00B13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Acronym"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2"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Heading 1.,Article Heading"/>
    <w:basedOn w:val="Normal"/>
    <w:next w:val="Normal"/>
    <w:link w:val="Heading1Char"/>
    <w:qFormat/>
    <w:rsid w:val="00B130BB"/>
    <w:pPr>
      <w:keepNext/>
      <w:numPr>
        <w:numId w:val="12"/>
      </w:numPr>
      <w:tabs>
        <w:tab w:val="clear" w:pos="907"/>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B130BB"/>
    <w:pPr>
      <w:numPr>
        <w:ilvl w:val="1"/>
        <w:numId w:val="12"/>
      </w:numPr>
      <w:tabs>
        <w:tab w:val="clear" w:pos="907"/>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130BB"/>
    <w:pPr>
      <w:numPr>
        <w:ilvl w:val="2"/>
        <w:numId w:val="12"/>
      </w:numPr>
      <w:tabs>
        <w:tab w:val="clear" w:pos="907"/>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qFormat/>
    <w:rsid w:val="00B130BB"/>
    <w:pPr>
      <w:numPr>
        <w:ilvl w:val="3"/>
        <w:numId w:val="12"/>
      </w:numPr>
      <w:tabs>
        <w:tab w:val="clear" w:pos="907"/>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B130BB"/>
    <w:pPr>
      <w:numPr>
        <w:ilvl w:val="4"/>
        <w:numId w:val="12"/>
      </w:numPr>
      <w:tabs>
        <w:tab w:val="clear" w:pos="907"/>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B130BB"/>
    <w:pPr>
      <w:numPr>
        <w:ilvl w:val="5"/>
        <w:numId w:val="12"/>
      </w:numPr>
      <w:tabs>
        <w:tab w:val="clear" w:pos="907"/>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B130BB"/>
    <w:pPr>
      <w:numPr>
        <w:ilvl w:val="6"/>
        <w:numId w:val="12"/>
      </w:numPr>
      <w:tabs>
        <w:tab w:val="clear" w:pos="907"/>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B130BB"/>
    <w:pPr>
      <w:numPr>
        <w:ilvl w:val="7"/>
        <w:numId w:val="12"/>
      </w:numPr>
      <w:tabs>
        <w:tab w:val="clear" w:pos="907"/>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130BB"/>
    <w:pPr>
      <w:numPr>
        <w:ilvl w:val="8"/>
        <w:numId w:val="12"/>
      </w:numPr>
      <w:tabs>
        <w:tab w:val="clear" w:pos="907"/>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B130BB"/>
    <w:rPr>
      <w:rFonts w:ascii="Arial" w:eastAsia="MS Mincho" w:hAnsi="Arial" w:cs="Arial"/>
      <w:b/>
      <w:bCs/>
      <w:kern w:val="32"/>
      <w:sz w:val="32"/>
      <w:szCs w:val="32"/>
    </w:rPr>
  </w:style>
  <w:style w:type="character" w:customStyle="1" w:styleId="Heading2Char">
    <w:name w:val="Heading 2 Char"/>
    <w:aliases w:val="Pika Char"/>
    <w:basedOn w:val="DefaultParagraphFont"/>
    <w:rsid w:val="00B130BB"/>
    <w:rPr>
      <w:rFonts w:ascii="Cambria" w:eastAsia="MS Mincho" w:hAnsi="Cambria" w:cs="Cambria"/>
      <w:b/>
      <w:bCs/>
      <w:sz w:val="26"/>
      <w:szCs w:val="26"/>
    </w:rPr>
  </w:style>
  <w:style w:type="character" w:customStyle="1" w:styleId="Heading3Char">
    <w:name w:val="Heading 3 Char"/>
    <w:aliases w:val="Germa Char"/>
    <w:basedOn w:val="DefaultParagraphFont"/>
    <w:uiPriority w:val="9"/>
    <w:rsid w:val="00B130BB"/>
    <w:rPr>
      <w:rFonts w:ascii="Cambria" w:eastAsia="MS Mincho" w:hAnsi="Cambria" w:cs="Cambria"/>
      <w:b/>
      <w:bCs/>
      <w:sz w:val="24"/>
      <w:szCs w:val="24"/>
    </w:rPr>
  </w:style>
  <w:style w:type="character" w:customStyle="1" w:styleId="Heading4Char">
    <w:name w:val="Heading 4 Char"/>
    <w:basedOn w:val="DefaultParagraphFont"/>
    <w:link w:val="Heading4"/>
    <w:rsid w:val="00B130BB"/>
    <w:rPr>
      <w:rFonts w:ascii="Cambria" w:eastAsia="MS Mincho" w:hAnsi="Cambria" w:cs="Cambria"/>
      <w:b/>
      <w:bCs/>
      <w:i/>
      <w:iCs/>
      <w:sz w:val="24"/>
      <w:szCs w:val="24"/>
    </w:rPr>
  </w:style>
  <w:style w:type="character" w:customStyle="1" w:styleId="Heading5Char">
    <w:name w:val="Heading 5 Char"/>
    <w:basedOn w:val="DefaultParagraphFont"/>
    <w:link w:val="Heading5"/>
    <w:rsid w:val="00B130B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B130B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B130B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B130BB"/>
    <w:rPr>
      <w:rFonts w:ascii="Cambria" w:eastAsia="MS Mincho" w:hAnsi="Cambria" w:cs="Cambria"/>
      <w:sz w:val="20"/>
      <w:szCs w:val="20"/>
    </w:rPr>
  </w:style>
  <w:style w:type="character" w:customStyle="1" w:styleId="Heading9Char">
    <w:name w:val="Heading 9 Char"/>
    <w:basedOn w:val="DefaultParagraphFont"/>
    <w:link w:val="Heading9"/>
    <w:uiPriority w:val="9"/>
    <w:rsid w:val="00B130BB"/>
    <w:rPr>
      <w:rFonts w:ascii="Cambria" w:eastAsia="MS Mincho" w:hAnsi="Cambria" w:cs="Cambria"/>
      <w:i/>
      <w:iCs/>
      <w:spacing w:val="5"/>
      <w:sz w:val="20"/>
      <w:szCs w:val="20"/>
    </w:rPr>
  </w:style>
  <w:style w:type="numbering" w:customStyle="1" w:styleId="NoList1">
    <w:name w:val="No List1"/>
    <w:next w:val="NoList"/>
    <w:uiPriority w:val="99"/>
    <w:semiHidden/>
    <w:unhideWhenUsed/>
    <w:rsid w:val="00B130BB"/>
  </w:style>
  <w:style w:type="paragraph" w:styleId="NoSpacing">
    <w:name w:val="No Spacing"/>
    <w:link w:val="NoSpacingChar"/>
    <w:uiPriority w:val="1"/>
    <w:qFormat/>
    <w:rsid w:val="00B130BB"/>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B130BB"/>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B130BB"/>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B130BB"/>
    <w:rPr>
      <w:rFonts w:ascii="Tahoma" w:eastAsia="Calibri" w:hAnsi="Tahoma" w:cs="Tahoma"/>
      <w:sz w:val="16"/>
      <w:szCs w:val="16"/>
    </w:rPr>
  </w:style>
  <w:style w:type="paragraph" w:styleId="Header">
    <w:name w:val="header"/>
    <w:basedOn w:val="Normal"/>
    <w:link w:val="HeaderChar"/>
    <w:uiPriority w:val="99"/>
    <w:unhideWhenUsed/>
    <w:rsid w:val="00B130BB"/>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B130BB"/>
    <w:rPr>
      <w:rFonts w:ascii="Calibri" w:eastAsia="Calibri" w:hAnsi="Calibri" w:cs="Times New Roman"/>
    </w:rPr>
  </w:style>
  <w:style w:type="paragraph" w:styleId="Footer">
    <w:name w:val="footer"/>
    <w:basedOn w:val="Normal"/>
    <w:link w:val="FooterChar"/>
    <w:uiPriority w:val="99"/>
    <w:unhideWhenUsed/>
    <w:rsid w:val="00B130BB"/>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B130BB"/>
    <w:rPr>
      <w:rFonts w:ascii="Calibri" w:eastAsia="Calibri" w:hAnsi="Calibri" w:cs="Times New Roman"/>
    </w:rPr>
  </w:style>
  <w:style w:type="paragraph" w:customStyle="1" w:styleId="Akti">
    <w:name w:val="Akti"/>
    <w:link w:val="AktiChar"/>
    <w:rsid w:val="00B130BB"/>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B130BB"/>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B130BB"/>
    <w:rPr>
      <w:rFonts w:ascii="Garamond" w:eastAsia="MS Mincho" w:hAnsi="Garamond" w:cs="CG Times"/>
      <w:b/>
      <w:bCs/>
      <w:sz w:val="24"/>
      <w:lang w:val="en-GB"/>
    </w:rPr>
  </w:style>
  <w:style w:type="paragraph" w:customStyle="1" w:styleId="Paragrafi">
    <w:name w:val="Paragrafi"/>
    <w:link w:val="ParagrafiChar"/>
    <w:rsid w:val="00B130BB"/>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B130BB"/>
    <w:rPr>
      <w:rFonts w:ascii="Garamond" w:eastAsia="MS Mincho" w:hAnsi="Garamond" w:cs="CG Times"/>
      <w:sz w:val="24"/>
    </w:rPr>
  </w:style>
  <w:style w:type="paragraph" w:customStyle="1" w:styleId="Titulli">
    <w:name w:val="Titulli"/>
    <w:next w:val="Normal"/>
    <w:link w:val="TitulliChar"/>
    <w:uiPriority w:val="99"/>
    <w:rsid w:val="00B130BB"/>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B130BB"/>
    <w:rPr>
      <w:rFonts w:ascii="Garamond" w:eastAsia="MS Mincho" w:hAnsi="Garamond" w:cs="CG Times"/>
      <w:b/>
      <w:bCs/>
      <w:caps/>
      <w:sz w:val="24"/>
      <w:lang w:val="en-GB"/>
    </w:rPr>
  </w:style>
  <w:style w:type="character" w:customStyle="1" w:styleId="AktiChar">
    <w:name w:val="Akti Char"/>
    <w:basedOn w:val="DefaultParagraphFont"/>
    <w:link w:val="Akti"/>
    <w:rsid w:val="00B130BB"/>
    <w:rPr>
      <w:rFonts w:ascii="Garamond" w:eastAsia="MS Mincho" w:hAnsi="Garamond" w:cs="CG Times"/>
      <w:b/>
      <w:bCs/>
      <w:caps/>
      <w:color w:val="000000"/>
      <w:sz w:val="24"/>
      <w:lang w:val="en-GB"/>
    </w:rPr>
  </w:style>
  <w:style w:type="paragraph" w:customStyle="1" w:styleId="NeniNr">
    <w:name w:val="Neni_Nr"/>
    <w:next w:val="Normal"/>
    <w:link w:val="NeniNrChar"/>
    <w:rsid w:val="00B130B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B130B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B130BB"/>
    <w:rPr>
      <w:rFonts w:ascii="Garamond" w:eastAsia="MS Mincho" w:hAnsi="Garamond" w:cs="CG Times"/>
      <w:sz w:val="24"/>
      <w:lang w:val="en-GB"/>
    </w:rPr>
  </w:style>
  <w:style w:type="paragraph" w:customStyle="1" w:styleId="Autoriteti">
    <w:name w:val="Autoriteti"/>
    <w:next w:val="Normal"/>
    <w:link w:val="AutoritetiChar"/>
    <w:rsid w:val="00B130BB"/>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B130BB"/>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B130BB"/>
    <w:rPr>
      <w:rFonts w:ascii="Garamond" w:eastAsia="MS Mincho" w:hAnsi="Garamond" w:cs="CG Times"/>
      <w:caps/>
      <w:sz w:val="24"/>
      <w:lang w:val="en-GB"/>
    </w:rPr>
  </w:style>
  <w:style w:type="character" w:customStyle="1" w:styleId="AutoritetiEmerChar">
    <w:name w:val="Autoriteti_Emer Char"/>
    <w:link w:val="AutoritetiEmer"/>
    <w:locked/>
    <w:rsid w:val="00B130BB"/>
    <w:rPr>
      <w:rFonts w:ascii="Garamond" w:eastAsia="MS Mincho" w:hAnsi="Garamond" w:cs="Times New Roman"/>
      <w:b/>
      <w:bCs/>
      <w:sz w:val="24"/>
      <w:lang w:val="en-GB"/>
    </w:rPr>
  </w:style>
  <w:style w:type="paragraph" w:customStyle="1" w:styleId="Titull-Titull">
    <w:name w:val="Titull-Titull"/>
    <w:basedOn w:val="Paragrafi"/>
    <w:qFormat/>
    <w:rsid w:val="00B130BB"/>
    <w:pPr>
      <w:ind w:firstLine="0"/>
      <w:jc w:val="center"/>
    </w:pPr>
    <w:rPr>
      <w:caps/>
      <w:szCs w:val="24"/>
    </w:rPr>
  </w:style>
  <w:style w:type="paragraph" w:customStyle="1" w:styleId="Vendosi">
    <w:name w:val="Vendosi"/>
    <w:basedOn w:val="Titull-Titull"/>
    <w:qFormat/>
    <w:rsid w:val="00B130BB"/>
  </w:style>
  <w:style w:type="paragraph" w:customStyle="1" w:styleId="Hapesira7">
    <w:name w:val="Hapesira 7"/>
    <w:basedOn w:val="Paragrafi"/>
    <w:qFormat/>
    <w:rsid w:val="00B130BB"/>
    <w:rPr>
      <w:sz w:val="14"/>
      <w:szCs w:val="24"/>
    </w:rPr>
  </w:style>
  <w:style w:type="paragraph" w:styleId="ListParagraph">
    <w:name w:val="List Paragraph"/>
    <w:aliases w:val="List Paragraph2"/>
    <w:basedOn w:val="Normal"/>
    <w:link w:val="ListParagraphChar"/>
    <w:uiPriority w:val="34"/>
    <w:qFormat/>
    <w:rsid w:val="00B130BB"/>
    <w:pPr>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B130BB"/>
    <w:rPr>
      <w:rFonts w:ascii="Calibri" w:eastAsia="Times New Roman" w:hAnsi="Calibri" w:cs="Times New Roman"/>
    </w:rPr>
  </w:style>
  <w:style w:type="paragraph" w:customStyle="1" w:styleId="Style1">
    <w:name w:val="Style1"/>
    <w:basedOn w:val="Akti"/>
    <w:link w:val="Style1Char"/>
    <w:qFormat/>
    <w:rsid w:val="00B130BB"/>
  </w:style>
  <w:style w:type="character" w:customStyle="1" w:styleId="Heading2Char1">
    <w:name w:val="Heading 2 Char1"/>
    <w:aliases w:val="Section Heading 2 Char,Section Heading Char"/>
    <w:link w:val="Heading2"/>
    <w:locked/>
    <w:rsid w:val="00B130BB"/>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B130BB"/>
    <w:rPr>
      <w:rFonts w:ascii="Cambria" w:eastAsia="MS Mincho" w:hAnsi="Cambria" w:cs="Cambria"/>
      <w:b/>
      <w:bCs/>
      <w:sz w:val="24"/>
      <w:szCs w:val="24"/>
    </w:rPr>
  </w:style>
  <w:style w:type="paragraph" w:customStyle="1" w:styleId="ADDRESS">
    <w:name w:val="ADDRESS"/>
    <w:basedOn w:val="Normal"/>
    <w:rsid w:val="00B130BB"/>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B130BB"/>
    <w:pPr>
      <w:spacing w:after="0" w:line="240" w:lineRule="auto"/>
      <w:jc w:val="both"/>
    </w:pPr>
    <w:rPr>
      <w:rFonts w:ascii="CG Times" w:eastAsia="MS Mincho" w:hAnsi="CG Times" w:cs="CG Times"/>
      <w:sz w:val="21"/>
      <w:lang w:val="en-GB"/>
    </w:rPr>
  </w:style>
  <w:style w:type="paragraph" w:customStyle="1" w:styleId="AneksiNr">
    <w:name w:val="Aneksi_Nr"/>
    <w:next w:val="Normal"/>
    <w:rsid w:val="00B130B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B130B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B130BB"/>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rsid w:val="00B130BB"/>
    <w:rPr>
      <w:rFonts w:ascii="Arial" w:eastAsia="Times New Roman" w:hAnsi="Arial" w:cs="Arial"/>
      <w:color w:val="000000"/>
      <w:sz w:val="24"/>
      <w:szCs w:val="24"/>
    </w:rPr>
  </w:style>
  <w:style w:type="paragraph" w:customStyle="1" w:styleId="BazLigjPropozues">
    <w:name w:val="Baz_Ligj_Propozues"/>
    <w:rsid w:val="00B130B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B130BB"/>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B130BB"/>
    <w:rPr>
      <w:rFonts w:ascii="Times New Roman" w:eastAsia="Times New Roman" w:hAnsi="Times New Roman" w:cs="Times New Roman"/>
      <w:caps/>
      <w:sz w:val="26"/>
      <w:szCs w:val="26"/>
      <w:lang w:val="en-GB"/>
    </w:rPr>
  </w:style>
  <w:style w:type="character" w:customStyle="1" w:styleId="apple-converted-space">
    <w:name w:val="apple-converted-space"/>
    <w:rsid w:val="00B130BB"/>
  </w:style>
  <w:style w:type="character" w:styleId="FollowedHyperlink">
    <w:name w:val="FollowedHyperlink"/>
    <w:uiPriority w:val="99"/>
    <w:unhideWhenUsed/>
    <w:rsid w:val="00B130BB"/>
    <w:rPr>
      <w:color w:val="800080"/>
      <w:u w:val="single"/>
    </w:rPr>
  </w:style>
  <w:style w:type="paragraph" w:customStyle="1" w:styleId="font5">
    <w:name w:val="font5"/>
    <w:basedOn w:val="Normal"/>
    <w:rsid w:val="00B130BB"/>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B130BB"/>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B130BB"/>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B130BB"/>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B130BB"/>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B130B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B130BB"/>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B130BB"/>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B130BB"/>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B130BB"/>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B130BB"/>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B130B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B130BB"/>
    <w:pPr>
      <w:pageBreakBefore/>
      <w:spacing w:after="0" w:line="240" w:lineRule="auto"/>
      <w:jc w:val="both"/>
    </w:pPr>
    <w:rPr>
      <w:rFonts w:ascii="CG Times" w:eastAsia="MS Mincho" w:hAnsi="CG Times" w:cs="CG Times"/>
      <w:b/>
      <w:bCs/>
      <w:sz w:val="21"/>
    </w:rPr>
  </w:style>
  <w:style w:type="paragraph" w:customStyle="1" w:styleId="KapitulliNr">
    <w:name w:val="Kapitulli_Nr"/>
    <w:rsid w:val="00B130B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B130B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B130B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B130B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B130BB"/>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B130BB"/>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B130BB"/>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B130BB"/>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B130BB"/>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B130BB"/>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B130BB"/>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B130BB"/>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B130B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B130B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B130B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B130BB"/>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B130BB"/>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B130BB"/>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B130BB"/>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B130BB"/>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B130BB"/>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B130BB"/>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B130BB"/>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B130B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B130BB"/>
  </w:style>
  <w:style w:type="paragraph" w:customStyle="1" w:styleId="PjesaNr">
    <w:name w:val="Pjesa_Nr"/>
    <w:next w:val="Normal"/>
    <w:rsid w:val="00B130B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B130B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B130BB"/>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B130BB"/>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B130B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B130BB"/>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B130BB"/>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B130BB"/>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B130BB"/>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B130BB"/>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B130B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B130BB"/>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B130BB"/>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B130BB"/>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TitulliNr">
    <w:name w:val="Titulli_Nr"/>
    <w:rsid w:val="00B130B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B13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B13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B130B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B13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B13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B130BB"/>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B130B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B130B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B130B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B130B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B130BB"/>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B130BB"/>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B130BB"/>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B130BB"/>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B130BB"/>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B130BB"/>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B130B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B13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B130B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B130B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B130B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B13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B130B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B130BB"/>
    <w:rPr>
      <w:b/>
      <w:bCs/>
    </w:rPr>
  </w:style>
  <w:style w:type="paragraph" w:customStyle="1" w:styleId="xl136">
    <w:name w:val="xl136"/>
    <w:basedOn w:val="Normal"/>
    <w:rsid w:val="00B130B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B130B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B130BB"/>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B130BB"/>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B130BB"/>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B130BB"/>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styleId="NormalWeb">
    <w:name w:val="Normal (Web)"/>
    <w:aliases w:val="Normal (Web) Char,Normal (Web) Char Char Char Char"/>
    <w:basedOn w:val="Normal"/>
    <w:uiPriority w:val="99"/>
    <w:unhideWhenUsed/>
    <w:rsid w:val="00B130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B130B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B130BB"/>
  </w:style>
  <w:style w:type="paragraph" w:styleId="Title">
    <w:name w:val="Title"/>
    <w:basedOn w:val="Heading1"/>
    <w:next w:val="Normal"/>
    <w:link w:val="TitleChar"/>
    <w:qFormat/>
    <w:rsid w:val="00B130BB"/>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B130B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B130BB"/>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B130BB"/>
    <w:pPr>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B130BB"/>
    <w:rPr>
      <w:rFonts w:ascii="Calibri" w:eastAsia="Calibri" w:hAnsi="Calibri" w:cs="Times New Roman"/>
    </w:rPr>
  </w:style>
  <w:style w:type="paragraph" w:customStyle="1" w:styleId="numridata0">
    <w:name w:val="numridata"/>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B130BB"/>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B130BB"/>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B130BB"/>
    <w:rPr>
      <w:rFonts w:ascii="Times New Roman" w:eastAsia="Times New Roman" w:hAnsi="Times New Roman" w:cs="Times New Roman"/>
      <w:sz w:val="16"/>
      <w:szCs w:val="16"/>
    </w:rPr>
  </w:style>
  <w:style w:type="paragraph" w:customStyle="1" w:styleId="s32b251d">
    <w:name w:val="s32b251d"/>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B130BB"/>
  </w:style>
  <w:style w:type="paragraph" w:customStyle="1" w:styleId="s30eec3f8">
    <w:name w:val="s30eec3f8"/>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B130BB"/>
    <w:rPr>
      <w:sz w:val="24"/>
      <w:lang w:val="en-GB" w:eastAsia="fr-FR"/>
    </w:rPr>
  </w:style>
  <w:style w:type="paragraph" w:customStyle="1" w:styleId="JuPara">
    <w:name w:val="Ju_Para"/>
    <w:basedOn w:val="Normal"/>
    <w:link w:val="JuParaCar"/>
    <w:rsid w:val="00B130BB"/>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Normal"/>
    <w:uiPriority w:val="99"/>
    <w:rsid w:val="00B130B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130BB"/>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B130B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B130BB"/>
    <w:rPr>
      <w:vertAlign w:val="superscript"/>
    </w:rPr>
  </w:style>
  <w:style w:type="paragraph" w:customStyle="1" w:styleId="ju-005fpara">
    <w:name w:val="ju-005fpara"/>
    <w:basedOn w:val="Normal"/>
    <w:rsid w:val="00B130BB"/>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B130BB"/>
  </w:style>
  <w:style w:type="character" w:customStyle="1" w:styleId="s7d2086b4">
    <w:name w:val="s7d2086b4"/>
    <w:basedOn w:val="DefaultParagraphFont"/>
    <w:uiPriority w:val="99"/>
    <w:rsid w:val="00B130BB"/>
  </w:style>
  <w:style w:type="character" w:customStyle="1" w:styleId="hps">
    <w:name w:val="hps"/>
    <w:basedOn w:val="DefaultParagraphFont"/>
    <w:rsid w:val="00B130BB"/>
  </w:style>
  <w:style w:type="paragraph" w:customStyle="1" w:styleId="paragrafi0">
    <w:name w:val="paragrafi"/>
    <w:basedOn w:val="Normal"/>
    <w:rsid w:val="00B130BB"/>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B130BB"/>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B130BB"/>
    <w:rPr>
      <w:rFonts w:cs="Times New Roman"/>
    </w:rPr>
  </w:style>
  <w:style w:type="paragraph" w:customStyle="1" w:styleId="titulli0">
    <w:name w:val="titulli"/>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B130BB"/>
  </w:style>
  <w:style w:type="paragraph" w:customStyle="1" w:styleId="akti0">
    <w:name w:val="akti"/>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B130BB"/>
  </w:style>
  <w:style w:type="paragraph" w:customStyle="1" w:styleId="CM49">
    <w:name w:val="CM49"/>
    <w:basedOn w:val="Normal"/>
    <w:next w:val="Normal"/>
    <w:rsid w:val="00B130BB"/>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B130BB"/>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B130BB"/>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B130BB"/>
    <w:pPr>
      <w:widowControl w:val="0"/>
    </w:pPr>
    <w:rPr>
      <w:rFonts w:ascii="Helvetica" w:eastAsia="Times New Roman" w:hAnsi="Helvetica" w:cs="Helvetica"/>
      <w:lang w:val="sq-AL"/>
    </w:rPr>
  </w:style>
  <w:style w:type="paragraph" w:customStyle="1" w:styleId="CM57">
    <w:name w:val="CM57"/>
    <w:basedOn w:val="Normal"/>
    <w:next w:val="Normal"/>
    <w:rsid w:val="00B130BB"/>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B130BB"/>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B130B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B130B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B130B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B130BB"/>
  </w:style>
  <w:style w:type="character" w:customStyle="1" w:styleId="StyleHeading6BoldChar">
    <w:name w:val="Style Heading 6 + Bold Char"/>
    <w:link w:val="StyleHeading6Bold"/>
    <w:rsid w:val="00B130BB"/>
    <w:rPr>
      <w:rFonts w:ascii="Cambria" w:eastAsia="MS Mincho" w:hAnsi="Cambria" w:cs="Cambria"/>
      <w:b/>
      <w:bCs/>
      <w:i/>
      <w:iCs/>
      <w:color w:val="7F7F7F"/>
      <w:sz w:val="24"/>
      <w:szCs w:val="24"/>
    </w:rPr>
  </w:style>
  <w:style w:type="paragraph" w:customStyle="1" w:styleId="tableheaders">
    <w:name w:val="table headers"/>
    <w:rsid w:val="00B130B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B130BB"/>
    <w:rPr>
      <w:b w:val="0"/>
    </w:rPr>
  </w:style>
  <w:style w:type="paragraph" w:styleId="PlainText">
    <w:name w:val="Plain Text"/>
    <w:basedOn w:val="Normal"/>
    <w:link w:val="PlainTextChar"/>
    <w:uiPriority w:val="99"/>
    <w:unhideWhenUsed/>
    <w:rsid w:val="00B130BB"/>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B130BB"/>
    <w:rPr>
      <w:rFonts w:ascii="Consolas" w:eastAsia="Calibri" w:hAnsi="Consolas" w:cs="Times New Roman"/>
      <w:sz w:val="21"/>
      <w:szCs w:val="21"/>
      <w:lang w:val="sq-AL"/>
    </w:rPr>
  </w:style>
  <w:style w:type="paragraph" w:customStyle="1" w:styleId="StyleStyle1Bold">
    <w:name w:val="Style Style1 + Bold"/>
    <w:basedOn w:val="Style1"/>
    <w:rsid w:val="00B130BB"/>
    <w:pPr>
      <w:keepNext w:val="0"/>
      <w:widowControl/>
      <w:outlineLvl w:val="9"/>
    </w:pPr>
    <w:rPr>
      <w:rFonts w:ascii="Times New Roman" w:eastAsia="Times New Roman" w:hAnsi="Times New Roman" w:cs="Arial"/>
      <w:b w:val="0"/>
      <w:caps w:val="0"/>
      <w:color w:val="auto"/>
      <w:lang w:val="sq-AL"/>
    </w:rPr>
  </w:style>
  <w:style w:type="paragraph" w:customStyle="1" w:styleId="CM1">
    <w:name w:val="CM1"/>
    <w:basedOn w:val="Default"/>
    <w:next w:val="Default"/>
    <w:uiPriority w:val="99"/>
    <w:rsid w:val="00B130BB"/>
    <w:rPr>
      <w:rFonts w:ascii="EUAlbertina" w:hAnsi="EUAlbertina"/>
      <w:color w:val="auto"/>
    </w:rPr>
  </w:style>
  <w:style w:type="paragraph" w:customStyle="1" w:styleId="CM4">
    <w:name w:val="CM4"/>
    <w:basedOn w:val="Normal"/>
    <w:next w:val="Normal"/>
    <w:uiPriority w:val="99"/>
    <w:rsid w:val="00B130BB"/>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uiPriority w:val="99"/>
    <w:rsid w:val="00B130BB"/>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rsid w:val="00B130BB"/>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rsid w:val="00B130BB"/>
    <w:rPr>
      <w:rFonts w:ascii="Tahoma" w:eastAsia="Times New Roman" w:hAnsi="Tahoma" w:cs="Times New Roman"/>
      <w:sz w:val="16"/>
      <w:szCs w:val="16"/>
      <w:lang w:val="sq-AL"/>
    </w:rPr>
  </w:style>
  <w:style w:type="numbering" w:customStyle="1" w:styleId="NoList3">
    <w:name w:val="No List3"/>
    <w:next w:val="NoList"/>
    <w:semiHidden/>
    <w:rsid w:val="00B130BB"/>
  </w:style>
  <w:style w:type="numbering" w:customStyle="1" w:styleId="NoList4">
    <w:name w:val="No List4"/>
    <w:next w:val="NoList"/>
    <w:semiHidden/>
    <w:rsid w:val="00B130BB"/>
  </w:style>
  <w:style w:type="paragraph" w:customStyle="1" w:styleId="Point1">
    <w:name w:val="Point 1"/>
    <w:basedOn w:val="Normal"/>
    <w:link w:val="Point1Char"/>
    <w:rsid w:val="00B130BB"/>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B130BB"/>
    <w:rPr>
      <w:rFonts w:ascii="Calibri" w:eastAsia="Times New Roman" w:hAnsi="Calibri" w:cs="Times New Roman"/>
      <w:sz w:val="24"/>
      <w:szCs w:val="24"/>
      <w:lang w:val="en-GB" w:eastAsia="en-GB"/>
    </w:rPr>
  </w:style>
  <w:style w:type="character" w:customStyle="1" w:styleId="longtext">
    <w:name w:val="long_text"/>
    <w:rsid w:val="00B130BB"/>
    <w:rPr>
      <w:rFonts w:ascii="Comic Sans MS" w:hAnsi="Comic Sans MS"/>
      <w:b/>
      <w:sz w:val="96"/>
      <w:szCs w:val="24"/>
      <w:lang w:val="pl-PL" w:eastAsia="pl-PL" w:bidi="ar-SA"/>
    </w:rPr>
  </w:style>
  <w:style w:type="paragraph" w:customStyle="1" w:styleId="Text1">
    <w:name w:val="Text 1"/>
    <w:basedOn w:val="Normal"/>
    <w:link w:val="Text1Char"/>
    <w:rsid w:val="00B130BB"/>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B130BB"/>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B130BB"/>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B130BB"/>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SubsectionTitleCharChar">
    <w:name w:val="SubsectionTitle Char Char"/>
    <w:basedOn w:val="SectionTitleCharChar"/>
    <w:link w:val="SubsectionTitleCharCharChar"/>
    <w:rsid w:val="00B130BB"/>
  </w:style>
  <w:style w:type="character" w:customStyle="1" w:styleId="SectionTitleCharCharChar">
    <w:name w:val="SectionTitle Char Char Char"/>
    <w:link w:val="SectionTitleCharChar"/>
    <w:rsid w:val="00B130B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B130BB"/>
    <w:rPr>
      <w:rFonts w:ascii="Calibri" w:eastAsia="Times New Roman" w:hAnsi="Calibri" w:cs="Times New Roman"/>
      <w:b/>
      <w:bCs/>
      <w:smallCaps/>
      <w:sz w:val="28"/>
      <w:szCs w:val="28"/>
      <w:lang w:val="en-GB" w:eastAsia="en-GB"/>
    </w:rPr>
  </w:style>
  <w:style w:type="character" w:customStyle="1" w:styleId="Text1Char">
    <w:name w:val="Text 1 Char"/>
    <w:link w:val="Text1"/>
    <w:rsid w:val="00B130BB"/>
    <w:rPr>
      <w:rFonts w:ascii="Calibri" w:eastAsia="Times New Roman" w:hAnsi="Calibri" w:cs="Times New Roman"/>
      <w:sz w:val="24"/>
      <w:szCs w:val="24"/>
      <w:lang w:val="en-GB" w:eastAsia="en-GB"/>
    </w:rPr>
  </w:style>
  <w:style w:type="character" w:customStyle="1" w:styleId="Point1CharChar">
    <w:name w:val="Point 1 Char Char"/>
    <w:rsid w:val="00B130BB"/>
    <w:rPr>
      <w:sz w:val="24"/>
      <w:szCs w:val="24"/>
      <w:lang w:val="en-GB" w:eastAsia="en-GB" w:bidi="ar-SA"/>
    </w:rPr>
  </w:style>
  <w:style w:type="paragraph" w:customStyle="1" w:styleId="Point0">
    <w:name w:val="Point 0"/>
    <w:basedOn w:val="Normal"/>
    <w:rsid w:val="00B130BB"/>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link w:val="NumPar1Char"/>
    <w:rsid w:val="00B130BB"/>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B130BB"/>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B130BB"/>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B130BB"/>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B130BB"/>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B130BB"/>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B130B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B130BB"/>
    <w:pPr>
      <w:keepNext/>
      <w:spacing w:before="120" w:after="360" w:line="240" w:lineRule="auto"/>
      <w:jc w:val="center"/>
    </w:pPr>
    <w:rPr>
      <w:rFonts w:ascii="Times New Roman" w:eastAsia="Times New Roman" w:hAnsi="Times New Roman" w:cs="Times New Roman"/>
      <w:b/>
      <w:bCs/>
      <w:sz w:val="32"/>
      <w:szCs w:val="32"/>
      <w:lang w:val="en-GB" w:eastAsia="en-GB"/>
    </w:rPr>
  </w:style>
  <w:style w:type="paragraph" w:customStyle="1" w:styleId="SectionTitle">
    <w:name w:val="SectionTitle"/>
    <w:basedOn w:val="Normal"/>
    <w:next w:val="Heading1"/>
    <w:rsid w:val="00B130BB"/>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B130BB"/>
  </w:style>
  <w:style w:type="paragraph" w:styleId="TableofFigures">
    <w:name w:val="table of figures"/>
    <w:basedOn w:val="Normal"/>
    <w:next w:val="Normal"/>
    <w:rsid w:val="00B130BB"/>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uiPriority w:val="99"/>
    <w:rsid w:val="00B130BB"/>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B130BB"/>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B130BB"/>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B130BB"/>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B130BB"/>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B130BB"/>
    <w:pPr>
      <w:keepNext/>
      <w:keepLines/>
      <w:spacing w:after="0" w:line="360" w:lineRule="auto"/>
    </w:pPr>
    <w:rPr>
      <w:rFonts w:ascii="Tahoma" w:eastAsia="Times New Roman" w:hAnsi="Tahoma" w:cs="Times New Roman"/>
      <w:sz w:val="16"/>
      <w:lang w:val="de-AT" w:eastAsia="de-DE"/>
    </w:rPr>
  </w:style>
  <w:style w:type="paragraph" w:styleId="Index6">
    <w:name w:val="index 6"/>
    <w:basedOn w:val="Normal"/>
    <w:next w:val="Normal"/>
    <w:autoRedefine/>
    <w:semiHidden/>
    <w:rsid w:val="00B130BB"/>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B130BB"/>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B130BB"/>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B130BB"/>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1">
    <w:name w:val="index 1"/>
    <w:basedOn w:val="Normal"/>
    <w:next w:val="Normal"/>
    <w:autoRedefine/>
    <w:uiPriority w:val="99"/>
    <w:semiHidden/>
    <w:unhideWhenUsed/>
    <w:rsid w:val="00B130BB"/>
    <w:pPr>
      <w:spacing w:after="0" w:line="240" w:lineRule="auto"/>
      <w:ind w:left="220" w:hanging="220"/>
    </w:pPr>
  </w:style>
  <w:style w:type="paragraph" w:styleId="IndexHeading">
    <w:name w:val="index heading"/>
    <w:basedOn w:val="Normal"/>
    <w:next w:val="Normal"/>
    <w:semiHidden/>
    <w:rsid w:val="00B130BB"/>
    <w:pPr>
      <w:spacing w:after="0" w:line="360" w:lineRule="auto"/>
    </w:pPr>
    <w:rPr>
      <w:rFonts w:ascii="Tahoma" w:eastAsia="Times New Roman" w:hAnsi="Tahoma" w:cs="Times New Roman"/>
      <w:lang w:val="de-AT" w:eastAsia="de-DE"/>
    </w:rPr>
  </w:style>
  <w:style w:type="paragraph" w:styleId="List">
    <w:name w:val="List"/>
    <w:basedOn w:val="Normal"/>
    <w:rsid w:val="00B130BB"/>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B130BB"/>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B130BB"/>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B130BB"/>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B130BB"/>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B130BB"/>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B130BB"/>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B130BB"/>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B130BB"/>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B130BB"/>
    <w:pPr>
      <w:spacing w:after="0" w:line="360" w:lineRule="auto"/>
      <w:ind w:left="1134"/>
    </w:pPr>
    <w:rPr>
      <w:rFonts w:ascii="Tahoma" w:eastAsia="Times New Roman" w:hAnsi="Tahoma" w:cs="Times New Roman"/>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B130BB"/>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B130BB"/>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B130BB"/>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B130BB"/>
    <w:rPr>
      <w:sz w:val="16"/>
      <w:szCs w:val="16"/>
    </w:rPr>
  </w:style>
  <w:style w:type="paragraph" w:styleId="CommentText">
    <w:name w:val="annotation text"/>
    <w:aliases w:val=" Char"/>
    <w:basedOn w:val="Normal"/>
    <w:link w:val="CommentTextChar"/>
    <w:uiPriority w:val="99"/>
    <w:unhideWhenUsed/>
    <w:rsid w:val="00B130BB"/>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B130B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B130BB"/>
    <w:rPr>
      <w:b/>
      <w:bCs/>
    </w:rPr>
  </w:style>
  <w:style w:type="character" w:customStyle="1" w:styleId="CommentSubjectChar">
    <w:name w:val="Comment Subject Char"/>
    <w:basedOn w:val="CommentTextChar"/>
    <w:link w:val="CommentSubject"/>
    <w:uiPriority w:val="99"/>
    <w:rsid w:val="00B130BB"/>
    <w:rPr>
      <w:rFonts w:ascii="Calibri" w:eastAsia="MS Mincho" w:hAnsi="Calibri" w:cs="Times New Roman"/>
      <w:b/>
      <w:bCs/>
      <w:sz w:val="20"/>
      <w:szCs w:val="20"/>
      <w:lang w:val="sq-AL"/>
    </w:rPr>
  </w:style>
  <w:style w:type="paragraph" w:styleId="ListNumber4">
    <w:name w:val="List Number 4"/>
    <w:basedOn w:val="Normal"/>
    <w:rsid w:val="00B130BB"/>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B130BB"/>
    <w:pPr>
      <w:numPr>
        <w:numId w:val="13"/>
      </w:numPr>
      <w:spacing w:after="0" w:line="360" w:lineRule="auto"/>
    </w:pPr>
    <w:rPr>
      <w:rFonts w:ascii="Tahoma" w:eastAsia="Times New Roman" w:hAnsi="Tahoma" w:cs="Times New Roman"/>
      <w:lang w:val="de-AT" w:eastAsia="de-DE"/>
    </w:rPr>
  </w:style>
  <w:style w:type="numbering" w:customStyle="1" w:styleId="NoList11">
    <w:name w:val="No List11"/>
    <w:next w:val="NoList"/>
    <w:uiPriority w:val="99"/>
    <w:semiHidden/>
    <w:unhideWhenUsed/>
    <w:rsid w:val="00B130BB"/>
  </w:style>
  <w:style w:type="paragraph" w:styleId="MacroText">
    <w:name w:val="macro"/>
    <w:link w:val="MacroTextChar"/>
    <w:semiHidden/>
    <w:rsid w:val="00B130B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B130BB"/>
    <w:rPr>
      <w:rFonts w:ascii="Courier New" w:eastAsia="Times New Roman" w:hAnsi="Courier New" w:cs="Times New Roman"/>
      <w:lang w:val="de-DE" w:eastAsia="de-DE"/>
    </w:rPr>
  </w:style>
  <w:style w:type="paragraph" w:styleId="NormalIndent">
    <w:name w:val="Normal Indent"/>
    <w:basedOn w:val="Normal"/>
    <w:link w:val="NormalIndentChar"/>
    <w:rsid w:val="00B130BB"/>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B130BB"/>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B130BB"/>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uiPriority w:val="99"/>
    <w:rsid w:val="00B130BB"/>
    <w:rPr>
      <w:rFonts w:ascii="Tahoma" w:hAnsi="Tahoma"/>
      <w:sz w:val="22"/>
    </w:rPr>
  </w:style>
  <w:style w:type="paragraph" w:styleId="BlockText">
    <w:name w:val="Block Text"/>
    <w:basedOn w:val="Normal"/>
    <w:rsid w:val="00B130BB"/>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B130BB"/>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B130BB"/>
    <w:rPr>
      <w:rFonts w:ascii="Tahoma" w:eastAsia="Times New Roman" w:hAnsi="Tahoma" w:cs="Times New Roman"/>
      <w:lang w:val="de-AT" w:eastAsia="de-DE"/>
    </w:rPr>
  </w:style>
  <w:style w:type="character" w:customStyle="1" w:styleId="Emphasis1">
    <w:name w:val="Emphasis1"/>
    <w:semiHidden/>
    <w:rsid w:val="00B130BB"/>
  </w:style>
  <w:style w:type="paragraph" w:styleId="NoteHeading">
    <w:name w:val="Note Heading"/>
    <w:basedOn w:val="Normal"/>
    <w:next w:val="Normal"/>
    <w:link w:val="NoteHeadingChar"/>
    <w:rsid w:val="00B130BB"/>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B130BB"/>
    <w:rPr>
      <w:rFonts w:ascii="Tahoma" w:eastAsia="Times New Roman" w:hAnsi="Tahoma" w:cs="Times New Roman"/>
      <w:lang w:val="de-AT" w:eastAsia="de-DE"/>
    </w:rPr>
  </w:style>
  <w:style w:type="paragraph" w:styleId="MessageHeader">
    <w:name w:val="Message Header"/>
    <w:basedOn w:val="Normal"/>
    <w:link w:val="MessageHeaderChar"/>
    <w:semiHidden/>
    <w:rsid w:val="00B130B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B130B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B130BB"/>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nhideWhenUsed/>
    <w:rsid w:val="00B130BB"/>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rsid w:val="00B130BB"/>
    <w:rPr>
      <w:rFonts w:ascii="Tahoma" w:eastAsia="Times New Roman" w:hAnsi="Tahoma" w:cs="Times New Roman"/>
      <w:sz w:val="20"/>
      <w:szCs w:val="20"/>
    </w:rPr>
  </w:style>
  <w:style w:type="character" w:styleId="EndnoteReference">
    <w:name w:val="endnote reference"/>
    <w:semiHidden/>
    <w:unhideWhenUsed/>
    <w:rsid w:val="00B130BB"/>
    <w:rPr>
      <w:vertAlign w:val="superscript"/>
    </w:rPr>
  </w:style>
  <w:style w:type="paragraph" w:styleId="BodyTextFirstIndent2">
    <w:name w:val="Body Text First Indent 2"/>
    <w:basedOn w:val="BodyTextIndent"/>
    <w:link w:val="BodyTextFirstIndent2Char"/>
    <w:semiHidden/>
    <w:rsid w:val="00B130B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B130BB"/>
    <w:rPr>
      <w:rFonts w:ascii="Tahoma" w:eastAsia="Times New Roman" w:hAnsi="Tahoma" w:cs="Times New Roman"/>
      <w:lang w:val="de-AT" w:eastAsia="de-DE"/>
    </w:rPr>
  </w:style>
  <w:style w:type="paragraph" w:customStyle="1" w:styleId="Zusatz2">
    <w:name w:val="Zusatz 2"/>
    <w:basedOn w:val="Normal"/>
    <w:next w:val="Normal"/>
    <w:semiHidden/>
    <w:rsid w:val="00B130BB"/>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B130BB"/>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B130BB"/>
    <w:pPr>
      <w:numPr>
        <w:numId w:val="15"/>
      </w:numPr>
    </w:pPr>
  </w:style>
  <w:style w:type="paragraph" w:styleId="Salutation">
    <w:name w:val="Salutation"/>
    <w:basedOn w:val="Normal"/>
    <w:next w:val="Normal"/>
    <w:link w:val="SalutationChar"/>
    <w:semiHidden/>
    <w:rsid w:val="00B130BB"/>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B130BB"/>
    <w:rPr>
      <w:rFonts w:ascii="Tahoma" w:eastAsia="Times New Roman" w:hAnsi="Tahoma" w:cs="Times New Roman"/>
      <w:lang w:val="de-AT" w:eastAsia="de-DE"/>
    </w:rPr>
  </w:style>
  <w:style w:type="numbering" w:styleId="ArticleSection">
    <w:name w:val="Outline List 3"/>
    <w:basedOn w:val="NoList"/>
    <w:semiHidden/>
    <w:rsid w:val="00B130BB"/>
    <w:pPr>
      <w:numPr>
        <w:numId w:val="16"/>
      </w:numPr>
    </w:pPr>
  </w:style>
  <w:style w:type="paragraph" w:styleId="Closing">
    <w:name w:val="Closing"/>
    <w:basedOn w:val="Normal"/>
    <w:link w:val="ClosingChar"/>
    <w:semiHidden/>
    <w:rsid w:val="00B130BB"/>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B130BB"/>
    <w:rPr>
      <w:rFonts w:ascii="Tahoma" w:eastAsia="Times New Roman" w:hAnsi="Tahoma" w:cs="Times New Roman"/>
      <w:lang w:val="de-AT" w:eastAsia="de-DE"/>
    </w:rPr>
  </w:style>
  <w:style w:type="character" w:styleId="Emphasis">
    <w:name w:val="Emphasis"/>
    <w:uiPriority w:val="99"/>
    <w:qFormat/>
    <w:rsid w:val="00B130BB"/>
    <w:rPr>
      <w:i/>
      <w:iCs/>
    </w:rPr>
  </w:style>
  <w:style w:type="paragraph" w:styleId="HTMLAddress">
    <w:name w:val="HTML Address"/>
    <w:basedOn w:val="Normal"/>
    <w:link w:val="HTMLAddressChar"/>
    <w:semiHidden/>
    <w:rsid w:val="00B130BB"/>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B130BB"/>
    <w:rPr>
      <w:rFonts w:ascii="Tahoma" w:eastAsia="Times New Roman" w:hAnsi="Tahoma" w:cs="Times New Roman"/>
      <w:i/>
      <w:iCs/>
      <w:lang w:val="de-AT" w:eastAsia="de-DE"/>
    </w:rPr>
  </w:style>
  <w:style w:type="character" w:styleId="HTMLCode">
    <w:name w:val="HTML Code"/>
    <w:semiHidden/>
    <w:rsid w:val="00B130BB"/>
    <w:rPr>
      <w:rFonts w:ascii="Courier New" w:hAnsi="Courier New" w:cs="Courier New"/>
      <w:sz w:val="20"/>
      <w:szCs w:val="20"/>
    </w:rPr>
  </w:style>
  <w:style w:type="character" w:styleId="HTMLCite">
    <w:name w:val="HTML Cite"/>
    <w:semiHidden/>
    <w:rsid w:val="00B130BB"/>
    <w:rPr>
      <w:i/>
      <w:iCs/>
    </w:rPr>
  </w:style>
  <w:style w:type="table" w:styleId="Table3Deffects1">
    <w:name w:val="Table 3D effects 1"/>
    <w:basedOn w:val="TableNormal"/>
    <w:semiHidden/>
    <w:rsid w:val="00B130B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130B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130B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B130B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B130B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130B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130B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B130B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B130B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130B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130B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B130B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130B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130B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130B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B130B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B130B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130B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130B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130B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130B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130B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130B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130B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B130B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B130B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B130B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B130B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B130B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B130B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130B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130B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130B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B130B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130B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130B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130B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130B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B130B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130B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B130B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130B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130B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B130B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B130B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B130BB"/>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B130BB"/>
    <w:rPr>
      <w:rFonts w:ascii="Tahoma" w:eastAsia="Times New Roman" w:hAnsi="Tahoma" w:cs="Times New Roman"/>
      <w:lang w:val="de-AT" w:eastAsia="de-DE"/>
    </w:rPr>
  </w:style>
  <w:style w:type="paragraph" w:styleId="E-mailSignature">
    <w:name w:val="E-mail Signature"/>
    <w:basedOn w:val="Normal"/>
    <w:link w:val="E-mailSignatureChar"/>
    <w:rsid w:val="00B130BB"/>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B130BB"/>
    <w:rPr>
      <w:rFonts w:ascii="Tahoma" w:eastAsia="Times New Roman" w:hAnsi="Tahoma" w:cs="Times New Roman"/>
      <w:lang w:val="de-AT" w:eastAsia="de-DE"/>
    </w:rPr>
  </w:style>
  <w:style w:type="paragraph" w:styleId="BodyText2">
    <w:name w:val="Body Text 2"/>
    <w:basedOn w:val="Normal"/>
    <w:link w:val="BodyText2Char"/>
    <w:rsid w:val="00B130BB"/>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B130BB"/>
    <w:rPr>
      <w:rFonts w:ascii="Tahoma" w:eastAsia="Times New Roman" w:hAnsi="Tahoma" w:cs="Times New Roman"/>
      <w:lang w:val="de-AT" w:eastAsia="de-DE"/>
    </w:rPr>
  </w:style>
  <w:style w:type="paragraph" w:styleId="BodyTextIndent2">
    <w:name w:val="Body Text Indent 2"/>
    <w:basedOn w:val="Normal"/>
    <w:link w:val="BodyTextIndent2Char"/>
    <w:rsid w:val="00B130BB"/>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B130B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B130BB"/>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B130B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B130B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B130B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B130BB"/>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B130B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B130BB"/>
    <w:rPr>
      <w:rFonts w:ascii="CG Times" w:eastAsia="Times New Roman" w:hAnsi="CG Times" w:cs="Times New Roman"/>
      <w:b/>
      <w:szCs w:val="24"/>
    </w:rPr>
  </w:style>
  <w:style w:type="character" w:customStyle="1" w:styleId="SubtitleChar1">
    <w:name w:val="Subtitle Char1"/>
    <w:locked/>
    <w:rsid w:val="00B130BB"/>
    <w:rPr>
      <w:rFonts w:ascii="Cambria" w:hAnsi="Cambria"/>
      <w:sz w:val="24"/>
      <w:szCs w:val="24"/>
    </w:rPr>
  </w:style>
  <w:style w:type="paragraph" w:customStyle="1" w:styleId="Char1">
    <w:name w:val="Char1"/>
    <w:basedOn w:val="Normal"/>
    <w:rsid w:val="00B130BB"/>
    <w:pPr>
      <w:spacing w:after="160" w:line="240" w:lineRule="exact"/>
    </w:pPr>
    <w:rPr>
      <w:rFonts w:ascii="Arial" w:eastAsia="Times New Roman" w:hAnsi="Arial" w:cs="Arial"/>
      <w:sz w:val="20"/>
      <w:szCs w:val="20"/>
    </w:rPr>
  </w:style>
  <w:style w:type="character" w:customStyle="1" w:styleId="CharChar11">
    <w:name w:val="Char Char11"/>
    <w:semiHidden/>
    <w:locked/>
    <w:rsid w:val="00B130BB"/>
    <w:rPr>
      <w:rFonts w:ascii="Tahoma" w:hAnsi="Tahoma" w:cs="Tahoma"/>
      <w:i/>
      <w:iCs/>
      <w:sz w:val="22"/>
      <w:szCs w:val="22"/>
      <w:lang w:val="de-AT" w:eastAsia="de-DE" w:bidi="ar-SA"/>
    </w:rPr>
  </w:style>
  <w:style w:type="character" w:customStyle="1" w:styleId="CharChar36">
    <w:name w:val="Char Char36"/>
    <w:locked/>
    <w:rsid w:val="00B130BB"/>
    <w:rPr>
      <w:rFonts w:ascii="Arial" w:hAnsi="Arial" w:cs="Arial"/>
      <w:b/>
      <w:bCs/>
      <w:kern w:val="32"/>
      <w:sz w:val="32"/>
      <w:szCs w:val="32"/>
      <w:lang w:val="sq-AL" w:eastAsia="en-US" w:bidi="ar-SA"/>
    </w:rPr>
  </w:style>
  <w:style w:type="character" w:customStyle="1" w:styleId="CharChar35">
    <w:name w:val="Char Char35"/>
    <w:locked/>
    <w:rsid w:val="00B130BB"/>
    <w:rPr>
      <w:rFonts w:ascii="Arial" w:hAnsi="Arial" w:cs="Arial"/>
      <w:b/>
      <w:bCs/>
      <w:i/>
      <w:iCs/>
      <w:sz w:val="28"/>
      <w:szCs w:val="28"/>
      <w:lang w:val="sq-AL" w:eastAsia="en-US" w:bidi="ar-SA"/>
    </w:rPr>
  </w:style>
  <w:style w:type="character" w:customStyle="1" w:styleId="CharChar34">
    <w:name w:val="Char Char34"/>
    <w:locked/>
    <w:rsid w:val="00B130BB"/>
    <w:rPr>
      <w:rFonts w:ascii="Tahoma" w:hAnsi="Tahoma"/>
      <w:b/>
      <w:kern w:val="28"/>
      <w:sz w:val="24"/>
      <w:szCs w:val="28"/>
      <w:lang w:val="de-AT" w:eastAsia="de-DE" w:bidi="ar-SA"/>
    </w:rPr>
  </w:style>
  <w:style w:type="character" w:customStyle="1" w:styleId="CharChar33">
    <w:name w:val="Char Char33"/>
    <w:locked/>
    <w:rsid w:val="00B130BB"/>
    <w:rPr>
      <w:rFonts w:ascii="Tahoma" w:hAnsi="Tahoma"/>
      <w:b/>
      <w:i/>
      <w:kern w:val="28"/>
      <w:sz w:val="22"/>
      <w:szCs w:val="22"/>
      <w:lang w:val="de-AT" w:eastAsia="de-DE" w:bidi="ar-SA"/>
    </w:rPr>
  </w:style>
  <w:style w:type="character" w:customStyle="1" w:styleId="CharChar32">
    <w:name w:val="Char Char32"/>
    <w:locked/>
    <w:rsid w:val="00B130BB"/>
    <w:rPr>
      <w:rFonts w:ascii="Tahoma" w:hAnsi="Tahoma"/>
      <w:b/>
      <w:i/>
      <w:kern w:val="28"/>
      <w:sz w:val="22"/>
      <w:szCs w:val="22"/>
      <w:lang w:val="de-AT" w:eastAsia="de-DE" w:bidi="ar-SA"/>
    </w:rPr>
  </w:style>
  <w:style w:type="character" w:customStyle="1" w:styleId="CharChar31">
    <w:name w:val="Char Char31"/>
    <w:locked/>
    <w:rsid w:val="00B130BB"/>
    <w:rPr>
      <w:rFonts w:ascii="Tahoma" w:hAnsi="Tahoma"/>
      <w:b/>
      <w:i/>
      <w:kern w:val="28"/>
      <w:sz w:val="22"/>
      <w:szCs w:val="22"/>
      <w:lang w:val="de-AT" w:eastAsia="de-DE" w:bidi="ar-SA"/>
    </w:rPr>
  </w:style>
  <w:style w:type="character" w:customStyle="1" w:styleId="CharChar10">
    <w:name w:val="Char Char10"/>
    <w:semiHidden/>
    <w:locked/>
    <w:rsid w:val="00B130BB"/>
    <w:rPr>
      <w:rFonts w:ascii="Courier New" w:hAnsi="Courier New" w:cs="Courier New"/>
      <w:szCs w:val="22"/>
      <w:lang w:val="de-AT" w:eastAsia="de-DE" w:bidi="ar-SA"/>
    </w:rPr>
  </w:style>
  <w:style w:type="character" w:customStyle="1" w:styleId="CharChar30">
    <w:name w:val="Char Char30"/>
    <w:locked/>
    <w:rsid w:val="00B130BB"/>
    <w:rPr>
      <w:rFonts w:ascii="Tahoma" w:hAnsi="Tahoma"/>
      <w:b/>
      <w:i/>
      <w:kern w:val="28"/>
      <w:sz w:val="22"/>
      <w:szCs w:val="22"/>
      <w:lang w:val="de-AT" w:eastAsia="de-DE" w:bidi="ar-SA"/>
    </w:rPr>
  </w:style>
  <w:style w:type="character" w:customStyle="1" w:styleId="CharChar29">
    <w:name w:val="Char Char29"/>
    <w:locked/>
    <w:rsid w:val="00B130BB"/>
    <w:rPr>
      <w:rFonts w:ascii="Tahoma" w:hAnsi="Tahoma"/>
      <w:b/>
      <w:i/>
      <w:kern w:val="28"/>
      <w:sz w:val="22"/>
      <w:szCs w:val="22"/>
      <w:lang w:val="de-AT" w:eastAsia="de-DE" w:bidi="ar-SA"/>
    </w:rPr>
  </w:style>
  <w:style w:type="character" w:customStyle="1" w:styleId="CharChar28">
    <w:name w:val="Char Char28"/>
    <w:locked/>
    <w:rsid w:val="00B130BB"/>
    <w:rPr>
      <w:rFonts w:ascii="Tahoma" w:hAnsi="Tahoma"/>
      <w:b/>
      <w:i/>
      <w:kern w:val="28"/>
      <w:sz w:val="22"/>
      <w:szCs w:val="22"/>
      <w:lang w:val="de-AT" w:eastAsia="de-DE" w:bidi="ar-SA"/>
    </w:rPr>
  </w:style>
  <w:style w:type="character" w:customStyle="1" w:styleId="CharChar27">
    <w:name w:val="Char Char27"/>
    <w:locked/>
    <w:rsid w:val="00B130BB"/>
    <w:rPr>
      <w:rFonts w:ascii="Calibri" w:eastAsia="Calibri" w:hAnsi="Calibri"/>
      <w:lang w:val="sq-AL" w:eastAsia="en-US" w:bidi="ar-SA"/>
    </w:rPr>
  </w:style>
  <w:style w:type="character" w:customStyle="1" w:styleId="CharChar24">
    <w:name w:val="Char Char24"/>
    <w:locked/>
    <w:rsid w:val="00B130BB"/>
    <w:rPr>
      <w:rFonts w:ascii="Tahoma" w:hAnsi="Tahoma" w:cs="Tahoma"/>
      <w:sz w:val="22"/>
      <w:szCs w:val="22"/>
      <w:lang w:val="de-AT" w:eastAsia="de-DE" w:bidi="ar-SA"/>
    </w:rPr>
  </w:style>
  <w:style w:type="character" w:customStyle="1" w:styleId="CharChar23">
    <w:name w:val="Char Char23"/>
    <w:locked/>
    <w:rsid w:val="00B130BB"/>
    <w:rPr>
      <w:rFonts w:ascii="Tahoma" w:hAnsi="Tahoma" w:cs="Tahoma"/>
      <w:sz w:val="22"/>
      <w:szCs w:val="22"/>
      <w:lang w:val="de-AT" w:eastAsia="de-DE" w:bidi="ar-SA"/>
    </w:rPr>
  </w:style>
  <w:style w:type="character" w:customStyle="1" w:styleId="CharChar22">
    <w:name w:val="Char Char22"/>
    <w:semiHidden/>
    <w:locked/>
    <w:rsid w:val="00B130BB"/>
    <w:rPr>
      <w:rFonts w:ascii="Courier New" w:hAnsi="Courier New" w:cs="Courier New"/>
      <w:sz w:val="22"/>
      <w:szCs w:val="22"/>
      <w:lang w:val="de-DE" w:eastAsia="de-DE" w:bidi="ar-SA"/>
    </w:rPr>
  </w:style>
  <w:style w:type="character" w:customStyle="1" w:styleId="CharChar21">
    <w:name w:val="Char Char21"/>
    <w:locked/>
    <w:rsid w:val="00B130BB"/>
    <w:rPr>
      <w:rFonts w:ascii="Tahoma" w:hAnsi="Tahoma" w:cs="Tahoma"/>
      <w:b/>
      <w:kern w:val="28"/>
      <w:sz w:val="36"/>
      <w:szCs w:val="36"/>
      <w:lang w:val="de-AT" w:eastAsia="de-DE" w:bidi="ar-SA"/>
    </w:rPr>
  </w:style>
  <w:style w:type="character" w:customStyle="1" w:styleId="CharChar12">
    <w:name w:val="Char Char12"/>
    <w:semiHidden/>
    <w:locked/>
    <w:rsid w:val="00B130BB"/>
    <w:rPr>
      <w:rFonts w:ascii="Tahoma" w:hAnsi="Tahoma" w:cs="Tahoma"/>
      <w:sz w:val="22"/>
      <w:szCs w:val="22"/>
      <w:lang w:val="de-AT" w:eastAsia="de-DE" w:bidi="ar-SA"/>
    </w:rPr>
  </w:style>
  <w:style w:type="character" w:customStyle="1" w:styleId="CharChar9">
    <w:name w:val="Char Char9"/>
    <w:semiHidden/>
    <w:locked/>
    <w:rsid w:val="00B130BB"/>
    <w:rPr>
      <w:rFonts w:ascii="Tahoma" w:hAnsi="Tahoma" w:cs="Tahoma"/>
      <w:sz w:val="22"/>
      <w:szCs w:val="22"/>
      <w:lang w:val="de-AT" w:eastAsia="de-DE" w:bidi="ar-SA"/>
    </w:rPr>
  </w:style>
  <w:style w:type="character" w:customStyle="1" w:styleId="CharChar25">
    <w:name w:val="Char Char25"/>
    <w:semiHidden/>
    <w:locked/>
    <w:rsid w:val="00B130BB"/>
    <w:rPr>
      <w:rFonts w:ascii="Tahoma" w:hAnsi="Tahoma" w:cs="Tahoma"/>
      <w:sz w:val="22"/>
      <w:szCs w:val="22"/>
      <w:lang w:val="de-AT" w:eastAsia="de-DE" w:bidi="ar-SA"/>
    </w:rPr>
  </w:style>
  <w:style w:type="character" w:customStyle="1" w:styleId="CharChar15">
    <w:name w:val="Char Char15"/>
    <w:semiHidden/>
    <w:locked/>
    <w:rsid w:val="00B130BB"/>
    <w:rPr>
      <w:rFonts w:ascii="Tahoma" w:hAnsi="Tahoma" w:cs="Tahoma"/>
      <w:sz w:val="22"/>
      <w:szCs w:val="22"/>
      <w:lang w:val="de-AT" w:eastAsia="de-DE" w:bidi="ar-SA"/>
    </w:rPr>
  </w:style>
  <w:style w:type="character" w:customStyle="1" w:styleId="CharChar16">
    <w:name w:val="Char Char16"/>
    <w:semiHidden/>
    <w:locked/>
    <w:rsid w:val="00B130BB"/>
    <w:rPr>
      <w:rFonts w:ascii="Tahoma" w:hAnsi="Tahoma" w:cs="Arial"/>
      <w:sz w:val="24"/>
      <w:szCs w:val="24"/>
      <w:lang w:val="de-AT" w:eastAsia="de-DE" w:bidi="ar-SA"/>
    </w:rPr>
  </w:style>
  <w:style w:type="character" w:customStyle="1" w:styleId="CharChar20">
    <w:name w:val="Char Char20"/>
    <w:locked/>
    <w:rsid w:val="00B130BB"/>
    <w:rPr>
      <w:rFonts w:ascii="Tahoma" w:hAnsi="Tahoma" w:cs="Tahoma"/>
      <w:b/>
      <w:kern w:val="28"/>
      <w:sz w:val="32"/>
      <w:szCs w:val="36"/>
      <w:lang w:val="de-AT" w:eastAsia="de-DE" w:bidi="ar-SA"/>
    </w:rPr>
  </w:style>
  <w:style w:type="character" w:customStyle="1" w:styleId="CharChar13">
    <w:name w:val="Char Char13"/>
    <w:semiHidden/>
    <w:locked/>
    <w:rsid w:val="00B130BB"/>
    <w:rPr>
      <w:rFonts w:ascii="Tahoma" w:hAnsi="Tahoma" w:cs="Tahoma"/>
      <w:sz w:val="22"/>
      <w:szCs w:val="22"/>
      <w:lang w:val="de-AT" w:eastAsia="de-DE" w:bidi="ar-SA"/>
    </w:rPr>
  </w:style>
  <w:style w:type="character" w:customStyle="1" w:styleId="CharChar19">
    <w:name w:val="Char Char19"/>
    <w:semiHidden/>
    <w:locked/>
    <w:rsid w:val="00B130BB"/>
    <w:rPr>
      <w:rFonts w:ascii="Tahoma" w:hAnsi="Tahoma" w:cs="Tahoma"/>
      <w:sz w:val="22"/>
      <w:szCs w:val="22"/>
      <w:lang w:val="de-AT" w:eastAsia="de-DE" w:bidi="ar-SA"/>
    </w:rPr>
  </w:style>
  <w:style w:type="character" w:customStyle="1" w:styleId="CharChar3">
    <w:name w:val="Char Char3"/>
    <w:semiHidden/>
    <w:locked/>
    <w:rsid w:val="00B130BB"/>
  </w:style>
  <w:style w:type="character" w:customStyle="1" w:styleId="CharChar14">
    <w:name w:val="Char Char14"/>
    <w:semiHidden/>
    <w:locked/>
    <w:rsid w:val="00B130BB"/>
  </w:style>
  <w:style w:type="character" w:customStyle="1" w:styleId="CharChar17">
    <w:name w:val="Char Char17"/>
    <w:locked/>
    <w:rsid w:val="00B130BB"/>
    <w:rPr>
      <w:rFonts w:ascii="Tahoma" w:hAnsi="Tahoma" w:cs="Tahoma"/>
      <w:sz w:val="22"/>
      <w:szCs w:val="22"/>
      <w:lang w:val="de-AT" w:eastAsia="de-DE" w:bidi="ar-SA"/>
    </w:rPr>
  </w:style>
  <w:style w:type="character" w:customStyle="1" w:styleId="CharChar7">
    <w:name w:val="Char Char7"/>
    <w:semiHidden/>
    <w:locked/>
    <w:rsid w:val="00B130BB"/>
    <w:rPr>
      <w:rFonts w:ascii="Tahoma" w:hAnsi="Tahoma" w:cs="Tahoma"/>
      <w:sz w:val="22"/>
      <w:szCs w:val="22"/>
      <w:lang w:val="de-AT" w:eastAsia="de-DE" w:bidi="ar-SA"/>
    </w:rPr>
  </w:style>
  <w:style w:type="character" w:customStyle="1" w:styleId="CharChar6">
    <w:name w:val="Char Char6"/>
    <w:semiHidden/>
    <w:locked/>
    <w:rsid w:val="00B130BB"/>
    <w:rPr>
      <w:rFonts w:ascii="Tahoma" w:hAnsi="Tahoma" w:cs="Tahoma"/>
      <w:sz w:val="16"/>
      <w:szCs w:val="16"/>
      <w:lang w:val="de-AT" w:eastAsia="de-DE" w:bidi="ar-SA"/>
    </w:rPr>
  </w:style>
  <w:style w:type="character" w:customStyle="1" w:styleId="CharChar5">
    <w:name w:val="Char Char5"/>
    <w:semiHidden/>
    <w:locked/>
    <w:rsid w:val="00B130BB"/>
    <w:rPr>
      <w:rFonts w:ascii="Tahoma" w:hAnsi="Tahoma" w:cs="Tahoma"/>
      <w:sz w:val="22"/>
      <w:szCs w:val="22"/>
      <w:lang w:val="de-AT" w:eastAsia="de-DE" w:bidi="ar-SA"/>
    </w:rPr>
  </w:style>
  <w:style w:type="character" w:customStyle="1" w:styleId="CharChar4">
    <w:name w:val="Char Char4"/>
    <w:semiHidden/>
    <w:locked/>
    <w:rsid w:val="00B130BB"/>
    <w:rPr>
      <w:rFonts w:ascii="Tahoma" w:hAnsi="Tahoma" w:cs="Tahoma"/>
      <w:sz w:val="16"/>
      <w:szCs w:val="16"/>
      <w:lang w:val="de-AT" w:eastAsia="de-DE" w:bidi="ar-SA"/>
    </w:rPr>
  </w:style>
  <w:style w:type="character" w:customStyle="1" w:styleId="CharChar18">
    <w:name w:val="Char Char18"/>
    <w:semiHidden/>
    <w:locked/>
    <w:rsid w:val="00B130BB"/>
    <w:rPr>
      <w:rFonts w:ascii="Tahoma" w:hAnsi="Tahoma" w:cs="Tahoma"/>
      <w:sz w:val="22"/>
      <w:szCs w:val="22"/>
      <w:lang w:val="de-AT" w:eastAsia="de-DE" w:bidi="ar-SA"/>
    </w:rPr>
  </w:style>
  <w:style w:type="character" w:customStyle="1" w:styleId="CharChar8">
    <w:name w:val="Char Char8"/>
    <w:locked/>
    <w:rsid w:val="00B130BB"/>
    <w:rPr>
      <w:rFonts w:ascii="Tahoma" w:hAnsi="Tahoma" w:cs="Tahoma"/>
      <w:sz w:val="22"/>
      <w:szCs w:val="22"/>
      <w:lang w:val="de-AT" w:eastAsia="de-DE" w:bidi="ar-SA"/>
    </w:rPr>
  </w:style>
  <w:style w:type="character" w:customStyle="1" w:styleId="CharChar2">
    <w:name w:val="Char Char2"/>
    <w:locked/>
    <w:rsid w:val="00B130BB"/>
    <w:rPr>
      <w:rFonts w:ascii="Calibri" w:eastAsia="Calibri" w:hAnsi="Calibri" w:cs="Times New Roman"/>
      <w:b/>
      <w:bCs/>
      <w:sz w:val="20"/>
      <w:szCs w:val="20"/>
      <w:lang w:val="sq-AL" w:eastAsia="en-US" w:bidi="ar-SA"/>
    </w:rPr>
  </w:style>
  <w:style w:type="character" w:customStyle="1" w:styleId="CharChar26">
    <w:name w:val="Char Char26"/>
    <w:semiHidden/>
    <w:locked/>
    <w:rsid w:val="00B130BB"/>
    <w:rPr>
      <w:rFonts w:ascii="Tahoma" w:hAnsi="Tahoma" w:cs="Tahoma"/>
      <w:sz w:val="16"/>
      <w:szCs w:val="16"/>
      <w:lang w:val="sq-AL" w:eastAsia="en-US" w:bidi="ar-SA"/>
    </w:rPr>
  </w:style>
  <w:style w:type="character" w:customStyle="1" w:styleId="CommentTextChar11">
    <w:name w:val="Comment Text Char11"/>
    <w:aliases w:val="Char Char37"/>
    <w:semiHidden/>
    <w:rsid w:val="00B130BB"/>
    <w:rPr>
      <w:rFonts w:ascii="Calibri" w:hAnsi="Calibri" w:hint="default"/>
      <w:lang w:val="sq-AL"/>
    </w:rPr>
  </w:style>
  <w:style w:type="character" w:customStyle="1" w:styleId="NormalIndentChar">
    <w:name w:val="Normal Indent Char"/>
    <w:link w:val="NormalIndent"/>
    <w:rsid w:val="00B130B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B130BB"/>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B130BB"/>
    <w:pPr>
      <w:tabs>
        <w:tab w:val="num" w:pos="360"/>
        <w:tab w:val="num" w:pos="1935"/>
        <w:tab w:val="num" w:pos="2563"/>
        <w:tab w:val="num" w:pos="3474"/>
      </w:tabs>
      <w:ind w:left="1935" w:hanging="360"/>
      <w:outlineLvl w:val="6"/>
    </w:pPr>
  </w:style>
  <w:style w:type="character" w:customStyle="1" w:styleId="AODefHeadChar">
    <w:name w:val="AODefHead Char"/>
    <w:link w:val="AODefHead"/>
    <w:rsid w:val="00B130BB"/>
    <w:rPr>
      <w:rFonts w:ascii="Times New Roman" w:eastAsia="Times New Roman" w:hAnsi="Times New Roman" w:cs="Times New Roman"/>
      <w:szCs w:val="20"/>
      <w:lang w:val="sq-AL" w:eastAsia="sq-AL" w:bidi="sq-AL"/>
    </w:rPr>
  </w:style>
  <w:style w:type="paragraph" w:customStyle="1" w:styleId="PARA">
    <w:name w:val="PARA"/>
    <w:basedOn w:val="Normal"/>
    <w:locked/>
    <w:rsid w:val="00B130BB"/>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B130BB"/>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B130B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B130BB"/>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B130B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B130BB"/>
    <w:rPr>
      <w:color w:val="0000FF"/>
      <w:spacing w:val="0"/>
      <w:u w:val="double"/>
    </w:rPr>
  </w:style>
  <w:style w:type="paragraph" w:customStyle="1" w:styleId="dia">
    <w:name w:val="di(a)"/>
    <w:basedOn w:val="Normal"/>
    <w:rsid w:val="00B130BB"/>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B130BB"/>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B130BB"/>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B130BB"/>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B130B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B130B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B130BB"/>
    <w:rPr>
      <w:rFonts w:cs="Times New Roman"/>
      <w:color w:val="808080"/>
    </w:rPr>
  </w:style>
  <w:style w:type="character" w:customStyle="1" w:styleId="az12">
    <w:name w:val="az12"/>
    <w:uiPriority w:val="99"/>
    <w:rsid w:val="00B130B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B130B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B130BB"/>
    <w:rPr>
      <w:rFonts w:ascii="Calibri" w:eastAsia="Times New Roman" w:hAnsi="Calibri" w:cs="Times New Roman"/>
      <w:sz w:val="24"/>
      <w:szCs w:val="24"/>
      <w:lang w:val="en-GB" w:eastAsia="en-GB"/>
    </w:rPr>
  </w:style>
  <w:style w:type="paragraph" w:customStyle="1" w:styleId="Paragraf02">
    <w:name w:val="Paragraf 0.2"/>
    <w:basedOn w:val="Paragrafi"/>
    <w:qFormat/>
    <w:rsid w:val="00B130BB"/>
    <w:pPr>
      <w:tabs>
        <w:tab w:val="left" w:pos="6575"/>
      </w:tabs>
    </w:pPr>
    <w:rPr>
      <w:spacing w:val="-4"/>
    </w:rPr>
  </w:style>
  <w:style w:type="table" w:customStyle="1" w:styleId="TableGrid30">
    <w:name w:val="Table Grid3"/>
    <w:basedOn w:val="TableNormal"/>
    <w:next w:val="TableGrid"/>
    <w:uiPriority w:val="59"/>
    <w:rsid w:val="00B130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130BB"/>
  </w:style>
  <w:style w:type="character" w:styleId="BookTitle">
    <w:name w:val="Book Title"/>
    <w:uiPriority w:val="33"/>
    <w:qFormat/>
    <w:rsid w:val="00B130BB"/>
    <w:rPr>
      <w:b/>
      <w:bCs/>
      <w:smallCaps/>
      <w:spacing w:val="5"/>
    </w:rPr>
  </w:style>
  <w:style w:type="paragraph" w:customStyle="1" w:styleId="Cover1">
    <w:name w:val="Cover1"/>
    <w:basedOn w:val="Normal"/>
    <w:next w:val="Normal"/>
    <w:rsid w:val="00B130BB"/>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B130BB"/>
    <w:pPr>
      <w:spacing w:after="240" w:line="240" w:lineRule="auto"/>
    </w:pPr>
    <w:rPr>
      <w:rFonts w:ascii="Arial" w:eastAsia="Times New Roman" w:hAnsi="Arial" w:cs="Times New Roman"/>
      <w:szCs w:val="20"/>
      <w:lang w:val="sq-AL" w:eastAsia="sq-AL" w:bidi="sq-AL"/>
    </w:rPr>
  </w:style>
  <w:style w:type="paragraph" w:customStyle="1" w:styleId="Stile">
    <w:name w:val="Stile"/>
    <w:rsid w:val="00B130BB"/>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B130BB"/>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B130BB"/>
    <w:rPr>
      <w:rFonts w:ascii="Times New Roman" w:eastAsia="Times New Roman" w:hAnsi="Times New Roman" w:cs="Times New Roman"/>
      <w:szCs w:val="20"/>
      <w:lang w:val="sq-AL"/>
    </w:rPr>
  </w:style>
  <w:style w:type="character" w:customStyle="1" w:styleId="Bodytext0">
    <w:name w:val="Body text_"/>
    <w:link w:val="BodyText1"/>
    <w:rsid w:val="00B130BB"/>
    <w:rPr>
      <w:rFonts w:ascii="Times New Roman" w:hAnsi="Times New Roman"/>
      <w:sz w:val="21"/>
      <w:szCs w:val="21"/>
      <w:shd w:val="clear" w:color="auto" w:fill="FFFFFF"/>
    </w:rPr>
  </w:style>
  <w:style w:type="paragraph" w:customStyle="1" w:styleId="BodyText1">
    <w:name w:val="Body Text1"/>
    <w:basedOn w:val="Normal"/>
    <w:link w:val="Bodytext0"/>
    <w:rsid w:val="00B130BB"/>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B130BB"/>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B130BB"/>
    <w:pPr>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B130BB"/>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B130BB"/>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B130BB"/>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B130BB"/>
    <w:pPr>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B130BB"/>
    <w:pPr>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B130BB"/>
    <w:pPr>
      <w:widowControl w:val="0"/>
      <w:spacing w:after="0" w:line="240" w:lineRule="auto"/>
    </w:pPr>
  </w:style>
  <w:style w:type="paragraph" w:customStyle="1" w:styleId="xl63">
    <w:name w:val="xl63"/>
    <w:basedOn w:val="Normal"/>
    <w:rsid w:val="00B13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B130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1">
    <w:name w:val="No List111"/>
    <w:next w:val="NoList"/>
    <w:uiPriority w:val="99"/>
    <w:semiHidden/>
    <w:unhideWhenUsed/>
    <w:rsid w:val="00B130BB"/>
  </w:style>
  <w:style w:type="paragraph" w:customStyle="1" w:styleId="Char2">
    <w:name w:val="Char2"/>
    <w:basedOn w:val="Normal"/>
    <w:link w:val="FootnoteReference"/>
    <w:uiPriority w:val="99"/>
    <w:rsid w:val="00B130BB"/>
    <w:pPr>
      <w:spacing w:after="160" w:line="240" w:lineRule="exact"/>
    </w:pPr>
    <w:rPr>
      <w:vertAlign w:val="superscript"/>
    </w:rPr>
  </w:style>
  <w:style w:type="paragraph" w:customStyle="1" w:styleId="ecxmsonormal">
    <w:name w:val="ecxmsonormal"/>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B130BB"/>
    <w:pPr>
      <w:keepNext/>
      <w:numPr>
        <w:ilvl w:val="0"/>
        <w:numId w:val="0"/>
      </w:numPr>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B130BB"/>
    <w:rPr>
      <w:rFonts w:ascii="Garamond" w:eastAsia="MS Mincho" w:hAnsi="Garamond" w:cs="CG Times"/>
      <w:b/>
      <w:bCs/>
      <w:caps/>
      <w:color w:val="000000"/>
      <w:sz w:val="24"/>
      <w:lang w:val="en-GB"/>
    </w:rPr>
  </w:style>
  <w:style w:type="paragraph" w:customStyle="1" w:styleId="Style20">
    <w:name w:val="Style 2"/>
    <w:basedOn w:val="Normal"/>
    <w:uiPriority w:val="99"/>
    <w:qFormat/>
    <w:rsid w:val="00B130BB"/>
    <w:pPr>
      <w:spacing w:before="120"/>
      <w:jc w:val="both"/>
      <w:outlineLvl w:val="0"/>
    </w:pPr>
    <w:rPr>
      <w:rFonts w:ascii="Garamond" w:eastAsia="Calibri" w:hAnsi="Garamond" w:cs="Times New Roman"/>
      <w:b/>
      <w:color w:val="0070C0"/>
      <w:sz w:val="36"/>
      <w:szCs w:val="28"/>
      <w:lang w:val="sq-AL"/>
    </w:rPr>
  </w:style>
  <w:style w:type="paragraph" w:customStyle="1" w:styleId="Style30">
    <w:name w:val="Style 3"/>
    <w:basedOn w:val="Style20"/>
    <w:uiPriority w:val="99"/>
    <w:qFormat/>
    <w:rsid w:val="00B130BB"/>
    <w:rPr>
      <w:sz w:val="24"/>
    </w:rPr>
  </w:style>
  <w:style w:type="character" w:customStyle="1" w:styleId="Style2Char">
    <w:name w:val="Style2 Char"/>
    <w:locked/>
    <w:rsid w:val="00B130BB"/>
    <w:rPr>
      <w:rFonts w:ascii="Times New Roman" w:eastAsia="Times New Roman" w:hAnsi="Times New Roman"/>
      <w:color w:val="0070C0"/>
      <w:sz w:val="28"/>
      <w:szCs w:val="24"/>
      <w:lang w:val="sq-AL"/>
    </w:rPr>
  </w:style>
  <w:style w:type="character" w:styleId="IntenseEmphasis">
    <w:name w:val="Intense Emphasis"/>
    <w:uiPriority w:val="21"/>
    <w:qFormat/>
    <w:rsid w:val="00B130BB"/>
    <w:rPr>
      <w:b/>
      <w:bCs/>
      <w:i/>
      <w:iCs/>
      <w:color w:val="4F81BD"/>
      <w:sz w:val="24"/>
    </w:rPr>
  </w:style>
  <w:style w:type="character" w:customStyle="1" w:styleId="longtext1">
    <w:name w:val="long_text1"/>
    <w:rsid w:val="00B130BB"/>
    <w:rPr>
      <w:sz w:val="20"/>
      <w:szCs w:val="20"/>
    </w:rPr>
  </w:style>
  <w:style w:type="character" w:customStyle="1" w:styleId="BodyTextChar1">
    <w:name w:val="Body Text Char1"/>
    <w:rsid w:val="00B130BB"/>
    <w:rPr>
      <w:rFonts w:ascii="Times New Roman" w:eastAsia="Times New Roman" w:hAnsi="Times New Roman"/>
      <w:sz w:val="24"/>
      <w:szCs w:val="24"/>
    </w:rPr>
  </w:style>
  <w:style w:type="character" w:customStyle="1" w:styleId="BodyText3Char1">
    <w:name w:val="Body Text 3 Char1"/>
    <w:uiPriority w:val="99"/>
    <w:semiHidden/>
    <w:rsid w:val="00B130BB"/>
    <w:rPr>
      <w:rFonts w:ascii="Times New Roman" w:eastAsia="Times New Roman" w:hAnsi="Times New Roman"/>
      <w:sz w:val="16"/>
      <w:szCs w:val="16"/>
    </w:rPr>
  </w:style>
  <w:style w:type="character" w:customStyle="1" w:styleId="BodyTextIndent2Char1">
    <w:name w:val="Body Text Indent 2 Char1"/>
    <w:uiPriority w:val="99"/>
    <w:semiHidden/>
    <w:rsid w:val="00B130BB"/>
    <w:rPr>
      <w:rFonts w:ascii="Times New Roman" w:eastAsia="Times New Roman" w:hAnsi="Times New Roman"/>
      <w:sz w:val="24"/>
      <w:szCs w:val="24"/>
    </w:rPr>
  </w:style>
  <w:style w:type="paragraph" w:customStyle="1" w:styleId="xl160">
    <w:name w:val="xl160"/>
    <w:basedOn w:val="Normal"/>
    <w:rsid w:val="00B130BB"/>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B130BB"/>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B130BB"/>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B130BB"/>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B130BB"/>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B130BB"/>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B130BB"/>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B130BB"/>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B130BB"/>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B130BB"/>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B130BB"/>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B130BB"/>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B130BB"/>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B130B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B130BB"/>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B130BB"/>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B130BB"/>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B130BB"/>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B130BB"/>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B130BB"/>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B130BB"/>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B130BB"/>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B130BB"/>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B130BB"/>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B130BB"/>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B130BB"/>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B130BB"/>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B130B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B130BB"/>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B130BB"/>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B130B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B130BB"/>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B130BB"/>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B130BB"/>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B130BB"/>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B130BB"/>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B130BB"/>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B130BB"/>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B130BB"/>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B130BB"/>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B130B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B130BB"/>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B130BB"/>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B130BB"/>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B130BB"/>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B130BB"/>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B130BB"/>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B130BB"/>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B130BB"/>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B130BB"/>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B130B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B130BB"/>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B130BB"/>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B130B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B130B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B130BB"/>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B130BB"/>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B130B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B130BB"/>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B130BB"/>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B130BB"/>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B130BB"/>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B130BB"/>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B130BB"/>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B130BB"/>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B130BB"/>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B130BB"/>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B130BB"/>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B130BB"/>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B130BB"/>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B130BB"/>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B130BB"/>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B130B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B130BB"/>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B130BB"/>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B130BB"/>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B130BB"/>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B130BB"/>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B130BB"/>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B130BB"/>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0">
    <w:name w:val="xl240"/>
    <w:basedOn w:val="Normal"/>
    <w:rsid w:val="00B130BB"/>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41">
    <w:name w:val="xl241"/>
    <w:basedOn w:val="Normal"/>
    <w:rsid w:val="00B130BB"/>
    <w:pPr>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2">
    <w:name w:val="xl242"/>
    <w:basedOn w:val="Normal"/>
    <w:rsid w:val="00B130BB"/>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3">
    <w:name w:val="xl243"/>
    <w:basedOn w:val="Normal"/>
    <w:rsid w:val="00B130BB"/>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4">
    <w:name w:val="xl244"/>
    <w:basedOn w:val="Normal"/>
    <w:rsid w:val="00B130BB"/>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5">
    <w:name w:val="xl245"/>
    <w:basedOn w:val="Normal"/>
    <w:rsid w:val="00B130BB"/>
    <w:pPr>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6">
    <w:name w:val="xl246"/>
    <w:basedOn w:val="Normal"/>
    <w:rsid w:val="00B130BB"/>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7">
    <w:name w:val="xl247"/>
    <w:basedOn w:val="Normal"/>
    <w:rsid w:val="00B130BB"/>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8">
    <w:name w:val="xl248"/>
    <w:basedOn w:val="Normal"/>
    <w:rsid w:val="00B130BB"/>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9">
    <w:name w:val="xl249"/>
    <w:basedOn w:val="Normal"/>
    <w:rsid w:val="00B130BB"/>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0">
    <w:name w:val="xl250"/>
    <w:basedOn w:val="Normal"/>
    <w:rsid w:val="00B130BB"/>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1">
    <w:name w:val="xl251"/>
    <w:basedOn w:val="Normal"/>
    <w:rsid w:val="00B130B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2">
    <w:name w:val="xl252"/>
    <w:basedOn w:val="Normal"/>
    <w:rsid w:val="00B130B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3">
    <w:name w:val="xl253"/>
    <w:basedOn w:val="Normal"/>
    <w:rsid w:val="00B130B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4">
    <w:name w:val="xl254"/>
    <w:basedOn w:val="Normal"/>
    <w:rsid w:val="00B130BB"/>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5">
    <w:name w:val="xl255"/>
    <w:basedOn w:val="Normal"/>
    <w:rsid w:val="00B130BB"/>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6">
    <w:name w:val="xl256"/>
    <w:basedOn w:val="Normal"/>
    <w:rsid w:val="00B13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7">
    <w:name w:val="xl257"/>
    <w:basedOn w:val="Normal"/>
    <w:rsid w:val="00B13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8">
    <w:name w:val="xl258"/>
    <w:basedOn w:val="Normal"/>
    <w:rsid w:val="00B130BB"/>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9">
    <w:name w:val="xl259"/>
    <w:basedOn w:val="Normal"/>
    <w:rsid w:val="00B130BB"/>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60">
    <w:name w:val="xl260"/>
    <w:basedOn w:val="Normal"/>
    <w:rsid w:val="00B130BB"/>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1">
    <w:name w:val="xl261"/>
    <w:basedOn w:val="Normal"/>
    <w:rsid w:val="00B130B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2">
    <w:name w:val="xl262"/>
    <w:basedOn w:val="Normal"/>
    <w:rsid w:val="00B130B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3">
    <w:name w:val="xl263"/>
    <w:basedOn w:val="Normal"/>
    <w:rsid w:val="00B130B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4">
    <w:name w:val="xl264"/>
    <w:basedOn w:val="Normal"/>
    <w:rsid w:val="00B130BB"/>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5">
    <w:name w:val="xl265"/>
    <w:basedOn w:val="Normal"/>
    <w:rsid w:val="00B130B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6">
    <w:name w:val="xl266"/>
    <w:basedOn w:val="Normal"/>
    <w:rsid w:val="00B130BB"/>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7">
    <w:name w:val="xl267"/>
    <w:basedOn w:val="Normal"/>
    <w:rsid w:val="00B130BB"/>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8">
    <w:name w:val="xl268"/>
    <w:basedOn w:val="Normal"/>
    <w:rsid w:val="00B13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9">
    <w:name w:val="xl269"/>
    <w:basedOn w:val="Normal"/>
    <w:rsid w:val="00B130B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0">
    <w:name w:val="xl270"/>
    <w:basedOn w:val="Normal"/>
    <w:rsid w:val="00B130BB"/>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1">
    <w:name w:val="xl271"/>
    <w:basedOn w:val="Normal"/>
    <w:rsid w:val="00B130B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2">
    <w:name w:val="xl272"/>
    <w:basedOn w:val="Normal"/>
    <w:rsid w:val="00B130B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3">
    <w:name w:val="xl273"/>
    <w:basedOn w:val="Normal"/>
    <w:rsid w:val="00B130B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4">
    <w:name w:val="xl274"/>
    <w:basedOn w:val="Normal"/>
    <w:rsid w:val="00B130BB"/>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5">
    <w:name w:val="xl275"/>
    <w:basedOn w:val="Normal"/>
    <w:rsid w:val="00B13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6">
    <w:name w:val="xl276"/>
    <w:basedOn w:val="Normal"/>
    <w:rsid w:val="00B130BB"/>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7">
    <w:name w:val="xl277"/>
    <w:basedOn w:val="Normal"/>
    <w:rsid w:val="00B130BB"/>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8">
    <w:name w:val="xl278"/>
    <w:basedOn w:val="Normal"/>
    <w:rsid w:val="00B130BB"/>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9">
    <w:name w:val="xl279"/>
    <w:basedOn w:val="Normal"/>
    <w:rsid w:val="00B130B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0">
    <w:name w:val="xl280"/>
    <w:basedOn w:val="Normal"/>
    <w:rsid w:val="00B130B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1">
    <w:name w:val="xl281"/>
    <w:basedOn w:val="Normal"/>
    <w:rsid w:val="00B130BB"/>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82">
    <w:name w:val="xl282"/>
    <w:basedOn w:val="Normal"/>
    <w:rsid w:val="00B130BB"/>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3">
    <w:name w:val="xl283"/>
    <w:basedOn w:val="Normal"/>
    <w:rsid w:val="00B130BB"/>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4">
    <w:name w:val="xl284"/>
    <w:basedOn w:val="Normal"/>
    <w:rsid w:val="00B130B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5">
    <w:name w:val="xl285"/>
    <w:basedOn w:val="Normal"/>
    <w:rsid w:val="00B130B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6">
    <w:name w:val="xl286"/>
    <w:basedOn w:val="Normal"/>
    <w:rsid w:val="00B130B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7">
    <w:name w:val="xl287"/>
    <w:basedOn w:val="Normal"/>
    <w:rsid w:val="00B130B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8">
    <w:name w:val="xl288"/>
    <w:basedOn w:val="Normal"/>
    <w:rsid w:val="00B130BB"/>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9">
    <w:name w:val="xl289"/>
    <w:basedOn w:val="Normal"/>
    <w:rsid w:val="00B130B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90">
    <w:name w:val="xl290"/>
    <w:basedOn w:val="Normal"/>
    <w:rsid w:val="00B130BB"/>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1">
    <w:name w:val="xl291"/>
    <w:basedOn w:val="Normal"/>
    <w:rsid w:val="00B130BB"/>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2">
    <w:name w:val="xl292"/>
    <w:basedOn w:val="Normal"/>
    <w:rsid w:val="00B130BB"/>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3">
    <w:name w:val="xl293"/>
    <w:basedOn w:val="Normal"/>
    <w:rsid w:val="00B130BB"/>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4">
    <w:name w:val="xl294"/>
    <w:basedOn w:val="Normal"/>
    <w:rsid w:val="00B130B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5">
    <w:name w:val="xl295"/>
    <w:basedOn w:val="Normal"/>
    <w:rsid w:val="00B130B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6">
    <w:name w:val="xl296"/>
    <w:basedOn w:val="Normal"/>
    <w:rsid w:val="00B130BB"/>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7">
    <w:name w:val="xl297"/>
    <w:basedOn w:val="Normal"/>
    <w:rsid w:val="00B130B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8">
    <w:name w:val="xl298"/>
    <w:basedOn w:val="Normal"/>
    <w:rsid w:val="00B13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9">
    <w:name w:val="xl299"/>
    <w:basedOn w:val="Normal"/>
    <w:rsid w:val="00B13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0">
    <w:name w:val="xl300"/>
    <w:basedOn w:val="Normal"/>
    <w:rsid w:val="00B130B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1">
    <w:name w:val="xl301"/>
    <w:basedOn w:val="Normal"/>
    <w:rsid w:val="00B130B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2">
    <w:name w:val="xl302"/>
    <w:basedOn w:val="Normal"/>
    <w:rsid w:val="00B130BB"/>
    <w:pPr>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3">
    <w:name w:val="xl303"/>
    <w:basedOn w:val="Normal"/>
    <w:rsid w:val="00B130BB"/>
    <w:pPr>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4">
    <w:name w:val="xl304"/>
    <w:basedOn w:val="Normal"/>
    <w:rsid w:val="00B130BB"/>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5">
    <w:name w:val="xl305"/>
    <w:basedOn w:val="Normal"/>
    <w:rsid w:val="00B130BB"/>
    <w:pPr>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6">
    <w:name w:val="xl306"/>
    <w:basedOn w:val="Normal"/>
    <w:rsid w:val="00B130BB"/>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7">
    <w:name w:val="xl307"/>
    <w:basedOn w:val="Normal"/>
    <w:rsid w:val="00B130B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8">
    <w:name w:val="xl308"/>
    <w:basedOn w:val="Normal"/>
    <w:rsid w:val="00B130BB"/>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9">
    <w:name w:val="xl309"/>
    <w:basedOn w:val="Normal"/>
    <w:rsid w:val="00B130BB"/>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0">
    <w:name w:val="xl310"/>
    <w:basedOn w:val="Normal"/>
    <w:rsid w:val="00B130BB"/>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1">
    <w:name w:val="xl311"/>
    <w:basedOn w:val="Normal"/>
    <w:rsid w:val="00B130B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2">
    <w:name w:val="xl312"/>
    <w:basedOn w:val="Normal"/>
    <w:rsid w:val="00B130BB"/>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3">
    <w:name w:val="xl313"/>
    <w:basedOn w:val="Normal"/>
    <w:rsid w:val="00B130BB"/>
    <w:pPr>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4">
    <w:name w:val="xl314"/>
    <w:basedOn w:val="Normal"/>
    <w:rsid w:val="00B130BB"/>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5">
    <w:name w:val="xl315"/>
    <w:basedOn w:val="Normal"/>
    <w:rsid w:val="00B130BB"/>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6">
    <w:name w:val="xl316"/>
    <w:basedOn w:val="Normal"/>
    <w:rsid w:val="00B130BB"/>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7">
    <w:name w:val="xl317"/>
    <w:basedOn w:val="Normal"/>
    <w:rsid w:val="00B130BB"/>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8">
    <w:name w:val="xl318"/>
    <w:basedOn w:val="Normal"/>
    <w:rsid w:val="00B130BB"/>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19">
    <w:name w:val="xl319"/>
    <w:basedOn w:val="Normal"/>
    <w:rsid w:val="00B130BB"/>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0">
    <w:name w:val="xl320"/>
    <w:basedOn w:val="Normal"/>
    <w:rsid w:val="00B130BB"/>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1">
    <w:name w:val="xl321"/>
    <w:basedOn w:val="Normal"/>
    <w:rsid w:val="00B130BB"/>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22">
    <w:name w:val="xl322"/>
    <w:basedOn w:val="Normal"/>
    <w:rsid w:val="00B130BB"/>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3">
    <w:name w:val="xl323"/>
    <w:basedOn w:val="Normal"/>
    <w:rsid w:val="00B130B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4">
    <w:name w:val="xl324"/>
    <w:basedOn w:val="Normal"/>
    <w:rsid w:val="00B130BB"/>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5">
    <w:name w:val="xl325"/>
    <w:basedOn w:val="Normal"/>
    <w:rsid w:val="00B130BB"/>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26">
    <w:name w:val="xl326"/>
    <w:basedOn w:val="Normal"/>
    <w:rsid w:val="00B130B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7">
    <w:name w:val="xl327"/>
    <w:basedOn w:val="Normal"/>
    <w:rsid w:val="00B130BB"/>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8">
    <w:name w:val="xl328"/>
    <w:basedOn w:val="Normal"/>
    <w:rsid w:val="00B130BB"/>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9">
    <w:name w:val="xl329"/>
    <w:basedOn w:val="Normal"/>
    <w:rsid w:val="00B130BB"/>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0">
    <w:name w:val="xl330"/>
    <w:basedOn w:val="Normal"/>
    <w:rsid w:val="00B130BB"/>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1">
    <w:name w:val="xl331"/>
    <w:basedOn w:val="Normal"/>
    <w:rsid w:val="00B130BB"/>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2">
    <w:name w:val="xl332"/>
    <w:basedOn w:val="Normal"/>
    <w:rsid w:val="00B130BB"/>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3">
    <w:name w:val="xl333"/>
    <w:basedOn w:val="Normal"/>
    <w:rsid w:val="00B130BB"/>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4">
    <w:name w:val="xl334"/>
    <w:basedOn w:val="Normal"/>
    <w:rsid w:val="00B130BB"/>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5">
    <w:name w:val="xl335"/>
    <w:basedOn w:val="Normal"/>
    <w:rsid w:val="00B130BB"/>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6">
    <w:name w:val="xl336"/>
    <w:basedOn w:val="Normal"/>
    <w:rsid w:val="00B130BB"/>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7">
    <w:name w:val="xl337"/>
    <w:basedOn w:val="Normal"/>
    <w:rsid w:val="00B130BB"/>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b/>
      <w:bCs/>
      <w:sz w:val="18"/>
      <w:szCs w:val="18"/>
    </w:rPr>
  </w:style>
  <w:style w:type="paragraph" w:customStyle="1" w:styleId="xl338">
    <w:name w:val="xl338"/>
    <w:basedOn w:val="Normal"/>
    <w:rsid w:val="00B130BB"/>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39">
    <w:name w:val="xl339"/>
    <w:basedOn w:val="Normal"/>
    <w:rsid w:val="00B130BB"/>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0">
    <w:name w:val="xl340"/>
    <w:basedOn w:val="Normal"/>
    <w:rsid w:val="00B130BB"/>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1">
    <w:name w:val="xl341"/>
    <w:basedOn w:val="Normal"/>
    <w:rsid w:val="00B130B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2">
    <w:name w:val="xl342"/>
    <w:basedOn w:val="Normal"/>
    <w:rsid w:val="00B130B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3">
    <w:name w:val="xl343"/>
    <w:basedOn w:val="Normal"/>
    <w:rsid w:val="00B130BB"/>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4">
    <w:name w:val="xl344"/>
    <w:basedOn w:val="Normal"/>
    <w:rsid w:val="00B130BB"/>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5">
    <w:name w:val="xl345"/>
    <w:basedOn w:val="Normal"/>
    <w:rsid w:val="00B13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6">
    <w:name w:val="xl346"/>
    <w:basedOn w:val="Normal"/>
    <w:rsid w:val="00B13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7">
    <w:name w:val="xl347"/>
    <w:basedOn w:val="Normal"/>
    <w:rsid w:val="00B130BB"/>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8">
    <w:name w:val="xl348"/>
    <w:basedOn w:val="Normal"/>
    <w:rsid w:val="00B130BB"/>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9">
    <w:name w:val="xl349"/>
    <w:basedOn w:val="Normal"/>
    <w:rsid w:val="00B130B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0">
    <w:name w:val="xl350"/>
    <w:basedOn w:val="Normal"/>
    <w:rsid w:val="00B130B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1">
    <w:name w:val="xl351"/>
    <w:basedOn w:val="Normal"/>
    <w:rsid w:val="00B130B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2">
    <w:name w:val="xl352"/>
    <w:basedOn w:val="Normal"/>
    <w:rsid w:val="00B130B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3">
    <w:name w:val="xl353"/>
    <w:basedOn w:val="Normal"/>
    <w:rsid w:val="00B130BB"/>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54">
    <w:name w:val="xl354"/>
    <w:basedOn w:val="Normal"/>
    <w:rsid w:val="00B130BB"/>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5">
    <w:name w:val="xl355"/>
    <w:basedOn w:val="Normal"/>
    <w:rsid w:val="00B130BB"/>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6">
    <w:name w:val="xl356"/>
    <w:basedOn w:val="Normal"/>
    <w:rsid w:val="00B130BB"/>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7">
    <w:name w:val="xl357"/>
    <w:basedOn w:val="Normal"/>
    <w:rsid w:val="00B130BB"/>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8">
    <w:name w:val="xl358"/>
    <w:basedOn w:val="Normal"/>
    <w:rsid w:val="00B130B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9">
    <w:name w:val="xl359"/>
    <w:basedOn w:val="Normal"/>
    <w:rsid w:val="00B130B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0">
    <w:name w:val="xl360"/>
    <w:basedOn w:val="Normal"/>
    <w:rsid w:val="00B130B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1">
    <w:name w:val="xl361"/>
    <w:basedOn w:val="Normal"/>
    <w:rsid w:val="00B130B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2">
    <w:name w:val="xl362"/>
    <w:basedOn w:val="Normal"/>
    <w:rsid w:val="00B130BB"/>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63">
    <w:name w:val="xl363"/>
    <w:basedOn w:val="Normal"/>
    <w:rsid w:val="00B130BB"/>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4">
    <w:name w:val="xl364"/>
    <w:basedOn w:val="Normal"/>
    <w:rsid w:val="00B130B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5">
    <w:name w:val="xl365"/>
    <w:basedOn w:val="Normal"/>
    <w:rsid w:val="00B130B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66">
    <w:name w:val="xl366"/>
    <w:basedOn w:val="Normal"/>
    <w:rsid w:val="00B130BB"/>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7">
    <w:name w:val="xl367"/>
    <w:basedOn w:val="Normal"/>
    <w:rsid w:val="00B130BB"/>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8">
    <w:name w:val="xl368"/>
    <w:basedOn w:val="Normal"/>
    <w:rsid w:val="00B130BB"/>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9">
    <w:name w:val="xl369"/>
    <w:basedOn w:val="Normal"/>
    <w:rsid w:val="00B130BB"/>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cs="Times New Roman"/>
      <w:sz w:val="18"/>
      <w:szCs w:val="18"/>
    </w:rPr>
  </w:style>
  <w:style w:type="paragraph" w:customStyle="1" w:styleId="xl370">
    <w:name w:val="xl370"/>
    <w:basedOn w:val="Normal"/>
    <w:rsid w:val="00B130BB"/>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1">
    <w:name w:val="xl371"/>
    <w:basedOn w:val="Normal"/>
    <w:rsid w:val="00B130B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2">
    <w:name w:val="xl372"/>
    <w:basedOn w:val="Normal"/>
    <w:rsid w:val="00B130BB"/>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73">
    <w:name w:val="xl373"/>
    <w:basedOn w:val="Normal"/>
    <w:rsid w:val="00B130BB"/>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4">
    <w:name w:val="xl374"/>
    <w:basedOn w:val="Normal"/>
    <w:rsid w:val="00B130B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5">
    <w:name w:val="xl375"/>
    <w:basedOn w:val="Normal"/>
    <w:rsid w:val="00B130BB"/>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6">
    <w:name w:val="xl376"/>
    <w:basedOn w:val="Normal"/>
    <w:rsid w:val="00B130BB"/>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77">
    <w:name w:val="xl377"/>
    <w:basedOn w:val="Normal"/>
    <w:rsid w:val="00B130B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8">
    <w:name w:val="xl378"/>
    <w:basedOn w:val="Normal"/>
    <w:rsid w:val="00B130BB"/>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9">
    <w:name w:val="xl379"/>
    <w:basedOn w:val="Normal"/>
    <w:rsid w:val="00B130BB"/>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0">
    <w:name w:val="xl380"/>
    <w:basedOn w:val="Normal"/>
    <w:rsid w:val="00B130B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1">
    <w:name w:val="xl381"/>
    <w:basedOn w:val="Normal"/>
    <w:rsid w:val="00B130BB"/>
    <w:pPr>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2">
    <w:name w:val="xl382"/>
    <w:basedOn w:val="Normal"/>
    <w:rsid w:val="00B130BB"/>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3">
    <w:name w:val="xl383"/>
    <w:basedOn w:val="Normal"/>
    <w:rsid w:val="00B130BB"/>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4">
    <w:name w:val="xl384"/>
    <w:basedOn w:val="Normal"/>
    <w:rsid w:val="00B130BB"/>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5">
    <w:name w:val="xl385"/>
    <w:basedOn w:val="Normal"/>
    <w:rsid w:val="00B130B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6">
    <w:name w:val="xl386"/>
    <w:basedOn w:val="Normal"/>
    <w:rsid w:val="00B130BB"/>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7">
    <w:name w:val="xl387"/>
    <w:basedOn w:val="Normal"/>
    <w:rsid w:val="00B130BB"/>
    <w:pP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8">
    <w:name w:val="xl388"/>
    <w:basedOn w:val="Normal"/>
    <w:rsid w:val="00B130BB"/>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9">
    <w:name w:val="xl389"/>
    <w:basedOn w:val="Normal"/>
    <w:rsid w:val="00B130BB"/>
    <w:pP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0">
    <w:name w:val="xl390"/>
    <w:basedOn w:val="Normal"/>
    <w:rsid w:val="00B130BB"/>
    <w:pPr>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1">
    <w:name w:val="xl391"/>
    <w:basedOn w:val="Normal"/>
    <w:rsid w:val="00B130BB"/>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2">
    <w:name w:val="xl392"/>
    <w:basedOn w:val="Normal"/>
    <w:rsid w:val="00B130BB"/>
    <w:pPr>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3">
    <w:name w:val="xl393"/>
    <w:basedOn w:val="Normal"/>
    <w:rsid w:val="00B130BB"/>
    <w:pPr>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font7">
    <w:name w:val="font7"/>
    <w:basedOn w:val="Normal"/>
    <w:rsid w:val="00B130BB"/>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B130BB"/>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CM7">
    <w:name w:val="CM7"/>
    <w:basedOn w:val="Normal"/>
    <w:next w:val="Normal"/>
    <w:uiPriority w:val="99"/>
    <w:rsid w:val="00B130B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Notedebasdepage">
    <w:name w:val="Note de bas de page_"/>
    <w:basedOn w:val="DefaultParagraphFont"/>
    <w:link w:val="Notedebasdepage0"/>
    <w:uiPriority w:val="99"/>
    <w:locked/>
    <w:rsid w:val="00B130BB"/>
    <w:rPr>
      <w:rFonts w:cs="Times New Roman"/>
      <w:sz w:val="19"/>
      <w:szCs w:val="19"/>
      <w:shd w:val="clear" w:color="auto" w:fill="FFFFFF"/>
    </w:rPr>
  </w:style>
  <w:style w:type="character" w:customStyle="1" w:styleId="En-tte1">
    <w:name w:val="En-tête #1_"/>
    <w:basedOn w:val="DefaultParagraphFont"/>
    <w:link w:val="En-tte10"/>
    <w:uiPriority w:val="99"/>
    <w:locked/>
    <w:rsid w:val="00B130B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B130BB"/>
    <w:rPr>
      <w:rFonts w:cs="Times New Roman"/>
      <w:sz w:val="20"/>
      <w:szCs w:val="20"/>
      <w:shd w:val="clear" w:color="auto" w:fill="FFFFFF"/>
    </w:rPr>
  </w:style>
  <w:style w:type="character" w:customStyle="1" w:styleId="En-tteoupieddepage0">
    <w:name w:val="En-tête ou pied de page"/>
    <w:basedOn w:val="En-tteoupieddepage"/>
    <w:uiPriority w:val="99"/>
    <w:rsid w:val="00B130B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B130BB"/>
    <w:rPr>
      <w:rFonts w:cs="Times New Roman"/>
      <w:sz w:val="31"/>
      <w:szCs w:val="31"/>
      <w:shd w:val="clear" w:color="auto" w:fill="FFFFFF"/>
    </w:rPr>
  </w:style>
  <w:style w:type="character" w:customStyle="1" w:styleId="Tabledesmatires2">
    <w:name w:val="Table des matières (2)"/>
    <w:basedOn w:val="DefaultParagraphFont"/>
    <w:uiPriority w:val="99"/>
    <w:rsid w:val="00B130BB"/>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B130BB"/>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B130BB"/>
    <w:rPr>
      <w:rFonts w:cs="Times New Roman"/>
      <w:b/>
      <w:bCs/>
      <w:sz w:val="30"/>
      <w:szCs w:val="30"/>
      <w:shd w:val="clear" w:color="auto" w:fill="FFFFFF"/>
    </w:rPr>
  </w:style>
  <w:style w:type="character" w:customStyle="1" w:styleId="En-tte3">
    <w:name w:val="En-tête #3_"/>
    <w:basedOn w:val="DefaultParagraphFont"/>
    <w:link w:val="En-tte30"/>
    <w:uiPriority w:val="99"/>
    <w:locked/>
    <w:rsid w:val="00B130B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B130BB"/>
    <w:rPr>
      <w:rFonts w:cs="Times New Roman"/>
      <w:shd w:val="clear" w:color="auto" w:fill="FFFFFF"/>
    </w:rPr>
  </w:style>
  <w:style w:type="character" w:customStyle="1" w:styleId="Corpsdutexte0">
    <w:name w:val="Corps du texte"/>
    <w:basedOn w:val="Corpsdutexte"/>
    <w:uiPriority w:val="99"/>
    <w:rsid w:val="00B130BB"/>
    <w:rPr>
      <w:rFonts w:cs="Times New Roman"/>
      <w:u w:val="single"/>
      <w:shd w:val="clear" w:color="auto" w:fill="FFFFFF"/>
    </w:rPr>
  </w:style>
  <w:style w:type="paragraph" w:customStyle="1" w:styleId="Notedebasdepage0">
    <w:name w:val="Note de bas de page"/>
    <w:basedOn w:val="Normal"/>
    <w:link w:val="Notedebasdepage"/>
    <w:uiPriority w:val="99"/>
    <w:rsid w:val="00B130BB"/>
    <w:pPr>
      <w:shd w:val="clear" w:color="auto" w:fill="FFFFFF"/>
      <w:spacing w:after="0" w:line="182" w:lineRule="exact"/>
      <w:ind w:left="562" w:right="40" w:hanging="539"/>
      <w:jc w:val="both"/>
    </w:pPr>
    <w:rPr>
      <w:rFonts w:cs="Times New Roman"/>
      <w:sz w:val="19"/>
      <w:szCs w:val="19"/>
    </w:rPr>
  </w:style>
  <w:style w:type="paragraph" w:customStyle="1" w:styleId="En-tte10">
    <w:name w:val="En-tête #1"/>
    <w:basedOn w:val="Normal"/>
    <w:link w:val="En-tte1"/>
    <w:uiPriority w:val="99"/>
    <w:rsid w:val="00B130BB"/>
    <w:pPr>
      <w:shd w:val="clear" w:color="auto" w:fill="FFFFFF"/>
      <w:spacing w:after="240" w:line="240" w:lineRule="atLeast"/>
      <w:ind w:left="562" w:right="40" w:hanging="539"/>
      <w:jc w:val="both"/>
      <w:outlineLvl w:val="0"/>
    </w:pPr>
    <w:rPr>
      <w:rFonts w:cs="Times New Roman"/>
      <w:b/>
      <w:bCs/>
      <w:sz w:val="30"/>
      <w:szCs w:val="30"/>
    </w:rPr>
  </w:style>
  <w:style w:type="paragraph" w:customStyle="1" w:styleId="En-tteoupieddepage1">
    <w:name w:val="En-tête ou pied de page1"/>
    <w:basedOn w:val="Normal"/>
    <w:link w:val="En-tteoupieddepage"/>
    <w:uiPriority w:val="99"/>
    <w:rsid w:val="00B130BB"/>
    <w:pPr>
      <w:shd w:val="clear" w:color="auto" w:fill="FFFFFF"/>
      <w:spacing w:after="0" w:line="274" w:lineRule="exact"/>
      <w:ind w:left="562" w:right="40" w:hanging="539"/>
      <w:jc w:val="both"/>
    </w:pPr>
    <w:rPr>
      <w:rFonts w:cs="Times New Roman"/>
      <w:sz w:val="20"/>
      <w:szCs w:val="20"/>
    </w:rPr>
  </w:style>
  <w:style w:type="paragraph" w:customStyle="1" w:styleId="Corpsdutexte20">
    <w:name w:val="Corps du texte (2)"/>
    <w:basedOn w:val="Normal"/>
    <w:link w:val="Corpsdutexte2"/>
    <w:uiPriority w:val="99"/>
    <w:rsid w:val="00B130BB"/>
    <w:pPr>
      <w:shd w:val="clear" w:color="auto" w:fill="FFFFFF"/>
      <w:spacing w:before="240" w:after="480" w:line="240" w:lineRule="atLeast"/>
      <w:ind w:left="562" w:right="40" w:hanging="539"/>
      <w:jc w:val="both"/>
    </w:pPr>
    <w:rPr>
      <w:rFonts w:cs="Times New Roman"/>
      <w:sz w:val="31"/>
      <w:szCs w:val="31"/>
    </w:rPr>
  </w:style>
  <w:style w:type="paragraph" w:customStyle="1" w:styleId="Corpsdutexte30">
    <w:name w:val="Corps du texte (3)"/>
    <w:basedOn w:val="Normal"/>
    <w:link w:val="Corpsdutexte3"/>
    <w:uiPriority w:val="99"/>
    <w:rsid w:val="00B130BB"/>
    <w:pPr>
      <w:shd w:val="clear" w:color="auto" w:fill="FFFFFF"/>
      <w:spacing w:after="0" w:line="475" w:lineRule="exact"/>
      <w:ind w:left="562" w:right="40" w:hanging="539"/>
      <w:jc w:val="center"/>
    </w:pPr>
    <w:rPr>
      <w:rFonts w:cs="Times New Roman"/>
      <w:b/>
      <w:bCs/>
      <w:sz w:val="30"/>
      <w:szCs w:val="30"/>
    </w:rPr>
  </w:style>
  <w:style w:type="paragraph" w:customStyle="1" w:styleId="En-tte30">
    <w:name w:val="En-tête #3"/>
    <w:basedOn w:val="Normal"/>
    <w:link w:val="En-tte3"/>
    <w:uiPriority w:val="99"/>
    <w:rsid w:val="00B130BB"/>
    <w:pPr>
      <w:shd w:val="clear" w:color="auto" w:fill="FFFFFF"/>
      <w:spacing w:after="180" w:line="240" w:lineRule="atLeast"/>
      <w:ind w:left="562" w:right="40" w:hanging="720"/>
      <w:jc w:val="both"/>
      <w:outlineLvl w:val="2"/>
    </w:pPr>
    <w:rPr>
      <w:rFonts w:cs="Times New Roman"/>
      <w:b/>
      <w:bCs/>
      <w:sz w:val="20"/>
      <w:szCs w:val="20"/>
    </w:rPr>
  </w:style>
  <w:style w:type="paragraph" w:customStyle="1" w:styleId="Corpsdutexte1">
    <w:name w:val="Corps du texte1"/>
    <w:basedOn w:val="Normal"/>
    <w:link w:val="Corpsdutexte"/>
    <w:uiPriority w:val="99"/>
    <w:rsid w:val="00B130BB"/>
    <w:pPr>
      <w:shd w:val="clear" w:color="auto" w:fill="FFFFFF"/>
      <w:spacing w:before="180" w:after="60" w:line="274" w:lineRule="exact"/>
      <w:ind w:left="562" w:right="40" w:hanging="840"/>
      <w:jc w:val="both"/>
    </w:pPr>
    <w:rPr>
      <w:rFonts w:cs="Times New Roman"/>
    </w:rPr>
  </w:style>
  <w:style w:type="paragraph" w:customStyle="1" w:styleId="Text3">
    <w:name w:val="Text 3"/>
    <w:basedOn w:val="Normal"/>
    <w:rsid w:val="00B130BB"/>
    <w:pPr>
      <w:tabs>
        <w:tab w:val="left" w:pos="2160"/>
      </w:tabs>
      <w:snapToGrid w:val="0"/>
      <w:spacing w:after="240" w:line="274" w:lineRule="exact"/>
      <w:ind w:left="1440" w:right="40" w:hanging="539"/>
      <w:jc w:val="both"/>
    </w:pPr>
    <w:rPr>
      <w:rFonts w:ascii="Times New Roman" w:eastAsia="Times New Roman" w:hAnsi="Times New Roman" w:cs="Times New Roman"/>
      <w:sz w:val="24"/>
      <w:szCs w:val="20"/>
      <w:lang w:val="sq-AL" w:eastAsia="sq-AL" w:bidi="sq-AL"/>
    </w:rPr>
  </w:style>
  <w:style w:type="numbering" w:customStyle="1" w:styleId="Style3">
    <w:name w:val="Style3"/>
    <w:rsid w:val="00B130BB"/>
    <w:pPr>
      <w:numPr>
        <w:numId w:val="17"/>
      </w:numPr>
    </w:pPr>
  </w:style>
  <w:style w:type="paragraph" w:customStyle="1" w:styleId="ListNumberLevel2">
    <w:name w:val="List Number (Level 2)"/>
    <w:basedOn w:val="Normal"/>
    <w:rsid w:val="00B130BB"/>
    <w:pPr>
      <w:tabs>
        <w:tab w:val="num" w:pos="1417"/>
      </w:tabs>
      <w:spacing w:before="120" w:after="120" w:line="274" w:lineRule="exact"/>
      <w:ind w:left="1417" w:right="40" w:hanging="708"/>
      <w:jc w:val="both"/>
    </w:pPr>
    <w:rPr>
      <w:rFonts w:ascii="Times New Roman" w:eastAsia="Times New Roman" w:hAnsi="Times New Roman" w:cs="Times New Roman"/>
      <w:sz w:val="24"/>
      <w:szCs w:val="20"/>
      <w:lang w:val="sq-AL" w:eastAsia="sq-AL" w:bidi="sq-AL"/>
    </w:rPr>
  </w:style>
  <w:style w:type="character" w:customStyle="1" w:styleId="NumPar1Char">
    <w:name w:val="NumPar 1 Char"/>
    <w:basedOn w:val="DefaultParagraphFont"/>
    <w:link w:val="NumPar1"/>
    <w:locked/>
    <w:rsid w:val="00B130B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B130BB"/>
    <w:pPr>
      <w:tabs>
        <w:tab w:val="num" w:pos="2126"/>
      </w:tabs>
      <w:spacing w:before="120" w:after="120" w:line="240" w:lineRule="auto"/>
      <w:ind w:left="2126" w:hanging="709"/>
      <w:jc w:val="both"/>
    </w:pPr>
    <w:rPr>
      <w:rFonts w:ascii="Times New Roman" w:eastAsia="Times New Roman" w:hAnsi="Times New Roman" w:cs="Times New Roman"/>
      <w:sz w:val="24"/>
      <w:szCs w:val="24"/>
      <w:lang w:val="sq-AL" w:eastAsia="sq-AL" w:bidi="sq-AL"/>
    </w:rPr>
  </w:style>
  <w:style w:type="paragraph" w:customStyle="1" w:styleId="ListNumberLevel4">
    <w:name w:val="List Number (Level 4)"/>
    <w:basedOn w:val="Normal"/>
    <w:rsid w:val="00B130BB"/>
    <w:pPr>
      <w:tabs>
        <w:tab w:val="num" w:pos="2835"/>
      </w:tabs>
      <w:spacing w:before="120" w:after="120" w:line="240" w:lineRule="auto"/>
      <w:ind w:left="2835" w:hanging="709"/>
      <w:jc w:val="both"/>
    </w:pPr>
    <w:rPr>
      <w:rFonts w:ascii="Times New Roman" w:eastAsia="Times New Roman" w:hAnsi="Times New Roman" w:cs="Times New Roman"/>
      <w:sz w:val="24"/>
      <w:szCs w:val="24"/>
      <w:lang w:val="sq-AL" w:eastAsia="sq-AL" w:bidi="sq-AL"/>
    </w:rPr>
  </w:style>
  <w:style w:type="character" w:customStyle="1" w:styleId="super">
    <w:name w:val="super"/>
    <w:basedOn w:val="DefaultParagraphFont"/>
    <w:rsid w:val="00B130BB"/>
  </w:style>
  <w:style w:type="paragraph" w:customStyle="1" w:styleId="Normal2">
    <w:name w:val="Normal2"/>
    <w:basedOn w:val="Normal"/>
    <w:rsid w:val="00B130BB"/>
    <w:pPr>
      <w:spacing w:before="100" w:beforeAutospacing="1" w:after="100" w:afterAutospacing="1" w:line="240" w:lineRule="auto"/>
    </w:pPr>
    <w:rPr>
      <w:rFonts w:ascii="Times New Roman" w:eastAsia="Times New Roman" w:hAnsi="Times New Roman" w:cs="Times New Roman"/>
      <w:sz w:val="24"/>
      <w:szCs w:val="24"/>
      <w:lang w:val="sq-AL" w:eastAsia="sq-AL" w:bidi="sq-AL"/>
    </w:rPr>
  </w:style>
  <w:style w:type="character" w:customStyle="1" w:styleId="italic">
    <w:name w:val="italic"/>
    <w:basedOn w:val="DefaultParagraphFont"/>
    <w:rsid w:val="00B130BB"/>
  </w:style>
  <w:style w:type="paragraph" w:customStyle="1" w:styleId="en-tte300">
    <w:name w:val="en-tte30"/>
    <w:basedOn w:val="Normal"/>
    <w:rsid w:val="00B130BB"/>
    <w:pPr>
      <w:shd w:val="clear" w:color="auto" w:fill="FFFFFF"/>
      <w:spacing w:after="180" w:line="240" w:lineRule="atLeast"/>
      <w:ind w:left="562" w:right="40" w:hanging="720"/>
      <w:jc w:val="both"/>
    </w:pPr>
    <w:rPr>
      <w:rFonts w:ascii="Times New Roman" w:hAnsi="Times New Roman" w:cs="Times New Roman"/>
      <w:b/>
      <w:bCs/>
      <w:sz w:val="20"/>
      <w:szCs w:val="20"/>
      <w:lang w:val="sq-AL" w:eastAsia="sq-AL" w:bidi="sq-AL"/>
    </w:rPr>
  </w:style>
  <w:style w:type="paragraph" w:customStyle="1" w:styleId="Point0number">
    <w:name w:val="Point 0 (number)"/>
    <w:basedOn w:val="Normal"/>
    <w:rsid w:val="00B130BB"/>
    <w:pPr>
      <w:numPr>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number">
    <w:name w:val="Point 1 (number)"/>
    <w:basedOn w:val="Normal"/>
    <w:rsid w:val="00B130BB"/>
    <w:pPr>
      <w:numPr>
        <w:ilvl w:val="2"/>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2number">
    <w:name w:val="Point 2 (number)"/>
    <w:basedOn w:val="Normal"/>
    <w:rsid w:val="00B130BB"/>
    <w:pPr>
      <w:numPr>
        <w:ilvl w:val="4"/>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number">
    <w:name w:val="Point 3 (number)"/>
    <w:basedOn w:val="Normal"/>
    <w:rsid w:val="00B130BB"/>
    <w:pPr>
      <w:numPr>
        <w:ilvl w:val="6"/>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0letter">
    <w:name w:val="Point 0 (letter)"/>
    <w:basedOn w:val="Normal"/>
    <w:rsid w:val="00B130BB"/>
    <w:pPr>
      <w:numPr>
        <w:ilvl w:val="1"/>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letter">
    <w:name w:val="Point 1 (letter)"/>
    <w:basedOn w:val="Normal"/>
    <w:rsid w:val="00B130BB"/>
    <w:pPr>
      <w:numPr>
        <w:ilvl w:val="3"/>
        <w:numId w:val="18"/>
      </w:numPr>
      <w:spacing w:before="120" w:after="120" w:line="240" w:lineRule="auto"/>
      <w:jc w:val="both"/>
    </w:pPr>
    <w:rPr>
      <w:rFonts w:ascii="Times New Roman" w:eastAsia="Times New Roman" w:hAnsi="Times New Roman" w:cs="Times New Roman"/>
      <w:lang w:val="sq-AL" w:eastAsia="sq-AL" w:bidi="sq-AL"/>
    </w:rPr>
  </w:style>
  <w:style w:type="paragraph" w:customStyle="1" w:styleId="Point2letter">
    <w:name w:val="Point 2 (letter)"/>
    <w:basedOn w:val="Normal"/>
    <w:rsid w:val="00B130BB"/>
    <w:pPr>
      <w:numPr>
        <w:ilvl w:val="5"/>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letter">
    <w:name w:val="Point 3 (letter)"/>
    <w:basedOn w:val="Normal"/>
    <w:rsid w:val="00B130BB"/>
    <w:pPr>
      <w:numPr>
        <w:ilvl w:val="7"/>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4letter">
    <w:name w:val="Point 4 (letter)"/>
    <w:basedOn w:val="Normal"/>
    <w:rsid w:val="00B130BB"/>
    <w:pPr>
      <w:numPr>
        <w:ilvl w:val="8"/>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character" w:customStyle="1" w:styleId="shorttext">
    <w:name w:val="short_text"/>
    <w:basedOn w:val="DefaultParagraphFont"/>
    <w:rsid w:val="00B130BB"/>
  </w:style>
  <w:style w:type="character" w:customStyle="1" w:styleId="Bodytext20">
    <w:name w:val="Body text (2)_"/>
    <w:link w:val="Bodytext24"/>
    <w:rsid w:val="00B130BB"/>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B130BB"/>
    <w:pPr>
      <w:widowControl w:val="0"/>
      <w:shd w:val="clear" w:color="auto" w:fill="FFFFFF"/>
      <w:spacing w:after="0" w:line="586" w:lineRule="exact"/>
      <w:ind w:hanging="580"/>
    </w:pPr>
    <w:rPr>
      <w:rFonts w:ascii="Book Antiqua" w:eastAsia="Book Antiqua" w:hAnsi="Book Antiqua" w:cs="Book Antiqua"/>
      <w:sz w:val="16"/>
      <w:szCs w:val="16"/>
    </w:rPr>
  </w:style>
  <w:style w:type="character" w:customStyle="1" w:styleId="Heading20">
    <w:name w:val="Heading #2_"/>
    <w:basedOn w:val="DefaultParagraphFont"/>
    <w:link w:val="Heading21"/>
    <w:rsid w:val="00B130BB"/>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B130BB"/>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B130BB"/>
    <w:pPr>
      <w:shd w:val="clear" w:color="auto" w:fill="FFFFFF"/>
      <w:spacing w:before="840" w:line="336" w:lineRule="exact"/>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B130BB"/>
    <w:pPr>
      <w:shd w:val="clear" w:color="auto" w:fill="FFFFFF"/>
      <w:spacing w:before="480" w:after="480" w:line="0" w:lineRule="atLeast"/>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B130BB"/>
    <w:pPr>
      <w:spacing w:before="100" w:beforeAutospacing="1" w:after="100" w:afterAutospacing="1" w:line="240" w:lineRule="auto"/>
    </w:pPr>
    <w:rPr>
      <w:rFonts w:ascii="Times New Roman" w:eastAsia="Calibri" w:hAnsi="Times New Roman" w:cs="Times New Roman"/>
      <w:sz w:val="24"/>
      <w:szCs w:val="24"/>
    </w:rPr>
  </w:style>
  <w:style w:type="paragraph" w:customStyle="1" w:styleId="Definition">
    <w:name w:val="Definition"/>
    <w:basedOn w:val="Normal"/>
    <w:link w:val="DefinitionChar"/>
    <w:rsid w:val="00B130B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cs="Times New Roman"/>
      <w:sz w:val="24"/>
      <w:szCs w:val="20"/>
    </w:rPr>
  </w:style>
  <w:style w:type="paragraph" w:customStyle="1" w:styleId="Definition1b">
    <w:name w:val="Definition 1b"/>
    <w:basedOn w:val="Definition"/>
    <w:rsid w:val="00B130BB"/>
    <w:pPr>
      <w:spacing w:before="0"/>
    </w:pPr>
  </w:style>
  <w:style w:type="paragraph" w:customStyle="1" w:styleId="Definition1a">
    <w:name w:val="Definition 1a"/>
    <w:basedOn w:val="Definition"/>
    <w:next w:val="Definition1b"/>
    <w:rsid w:val="00B130BB"/>
    <w:pPr>
      <w:keepNext/>
    </w:pPr>
  </w:style>
  <w:style w:type="paragraph" w:customStyle="1" w:styleId="Paragraph1">
    <w:name w:val="Paragraph (1)"/>
    <w:basedOn w:val="Normal"/>
    <w:rsid w:val="00B130B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cs="Times New Roman"/>
      <w:sz w:val="24"/>
      <w:szCs w:val="20"/>
      <w:lang w:val="en-GB" w:eastAsia="en-GB"/>
    </w:rPr>
  </w:style>
  <w:style w:type="paragraph" w:customStyle="1" w:styleId="ParagraphA0">
    <w:name w:val="Paragraph (A)"/>
    <w:basedOn w:val="Normal"/>
    <w:rsid w:val="00B130B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cs="Times New Roman"/>
      <w:sz w:val="24"/>
      <w:szCs w:val="20"/>
      <w:lang w:val="en-GB" w:eastAsia="en-GB"/>
    </w:rPr>
  </w:style>
  <w:style w:type="paragraph" w:customStyle="1" w:styleId="Section1">
    <w:name w:val="Section 1"/>
    <w:basedOn w:val="Normal"/>
    <w:rsid w:val="00B130B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cs="Times New Roman"/>
      <w:sz w:val="24"/>
      <w:szCs w:val="20"/>
      <w:lang w:val="en-GB" w:eastAsia="en-GB"/>
    </w:rPr>
  </w:style>
  <w:style w:type="paragraph" w:customStyle="1" w:styleId="Definition2">
    <w:name w:val="Definition 2"/>
    <w:basedOn w:val="Definition"/>
    <w:rsid w:val="00B130BB"/>
    <w:pPr>
      <w:tabs>
        <w:tab w:val="clear" w:pos="2835"/>
      </w:tabs>
      <w:ind w:firstLine="0"/>
    </w:pPr>
  </w:style>
  <w:style w:type="paragraph" w:customStyle="1" w:styleId="Definition3">
    <w:name w:val="Definition 3"/>
    <w:basedOn w:val="Definition2"/>
    <w:rsid w:val="00B130BB"/>
    <w:pPr>
      <w:tabs>
        <w:tab w:val="clear" w:pos="3402"/>
      </w:tabs>
      <w:ind w:left="3402"/>
    </w:pPr>
  </w:style>
  <w:style w:type="paragraph" w:customStyle="1" w:styleId="Definition4">
    <w:name w:val="Definition 4"/>
    <w:basedOn w:val="Definition3"/>
    <w:rsid w:val="00B130BB"/>
    <w:pPr>
      <w:tabs>
        <w:tab w:val="clear" w:pos="3969"/>
      </w:tabs>
      <w:ind w:left="3969"/>
    </w:pPr>
  </w:style>
  <w:style w:type="paragraph" w:customStyle="1" w:styleId="Paragraphi">
    <w:name w:val="Paragraph (i)"/>
    <w:basedOn w:val="Normal"/>
    <w:rsid w:val="00B130B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cs="Times New Roman"/>
      <w:sz w:val="24"/>
      <w:szCs w:val="20"/>
      <w:lang w:val="en-GB" w:eastAsia="en-GB"/>
    </w:rPr>
  </w:style>
  <w:style w:type="paragraph" w:customStyle="1" w:styleId="ScheduleHeading">
    <w:name w:val="Schedule Heading"/>
    <w:basedOn w:val="Title"/>
    <w:next w:val="Normal"/>
    <w:rsid w:val="00B130B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B130B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B130B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B130B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B130BB"/>
    <w:pPr>
      <w:spacing w:after="160" w:line="240" w:lineRule="exact"/>
    </w:pPr>
    <w:rPr>
      <w:rFonts w:ascii="Tahoma" w:eastAsia="Times New Roman" w:hAnsi="Tahoma" w:cs="Times New Roman"/>
      <w:sz w:val="20"/>
      <w:szCs w:val="20"/>
    </w:rPr>
  </w:style>
  <w:style w:type="paragraph" w:customStyle="1" w:styleId="Bodytext4">
    <w:name w:val="Body text (4)"/>
    <w:basedOn w:val="Normal"/>
    <w:link w:val="Bodytext40"/>
    <w:rsid w:val="00B130BB"/>
    <w:pPr>
      <w:widowControl w:val="0"/>
      <w:shd w:val="clear" w:color="auto" w:fill="FFFFFF"/>
      <w:spacing w:after="180" w:line="230" w:lineRule="exact"/>
      <w:jc w:val="both"/>
    </w:pPr>
    <w:rPr>
      <w:rFonts w:ascii="Arial" w:eastAsia="Calibri" w:hAnsi="Arial" w:cs="Times New Roman"/>
      <w:b/>
      <w:bCs/>
      <w:i/>
      <w:iCs/>
      <w:sz w:val="19"/>
      <w:szCs w:val="19"/>
    </w:rPr>
  </w:style>
  <w:style w:type="character" w:customStyle="1" w:styleId="Bodytext40">
    <w:name w:val="Body text (4)_"/>
    <w:link w:val="Bodytext4"/>
    <w:rsid w:val="00B130BB"/>
    <w:rPr>
      <w:rFonts w:ascii="Arial" w:eastAsia="Calibri" w:hAnsi="Arial" w:cs="Times New Roman"/>
      <w:b/>
      <w:bCs/>
      <w:i/>
      <w:iCs/>
      <w:sz w:val="19"/>
      <w:szCs w:val="19"/>
      <w:shd w:val="clear" w:color="auto" w:fill="FFFFFF"/>
    </w:rPr>
  </w:style>
  <w:style w:type="paragraph" w:customStyle="1" w:styleId="wfxFaxNum">
    <w:name w:val="&quot;wfxFaxNum&quot;"/>
    <w:rsid w:val="00B130BB"/>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B130BB"/>
    <w:rPr>
      <w:rFonts w:ascii="Calibri" w:eastAsia="MS Mincho" w:hAnsi="Calibri" w:cs="Times New Roman"/>
      <w:color w:val="000000"/>
      <w:sz w:val="20"/>
      <w:szCs w:val="20"/>
      <w:lang w:val="sq-AL"/>
    </w:rPr>
  </w:style>
  <w:style w:type="paragraph" w:customStyle="1" w:styleId="Default0">
    <w:name w:val="&quot;Default&quot;"/>
    <w:rsid w:val="00B130B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B130BB"/>
  </w:style>
  <w:style w:type="paragraph" w:customStyle="1" w:styleId="ListParagraph0">
    <w:name w:val="&quot;List Paragraph&quot;"/>
    <w:rsid w:val="00B130BB"/>
    <w:pPr>
      <w:ind w:left="720"/>
    </w:pPr>
    <w:rPr>
      <w:rFonts w:ascii="Calibri" w:eastAsia="Times New Roman" w:hAnsi="Calibri" w:cs="Times New Roman"/>
      <w:lang w:val="sq-AL"/>
    </w:rPr>
  </w:style>
  <w:style w:type="paragraph" w:customStyle="1" w:styleId="NoSpacing0">
    <w:name w:val="&quot;No Spacing&quot;"/>
    <w:rsid w:val="00B130BB"/>
    <w:pPr>
      <w:spacing w:after="0" w:line="240" w:lineRule="auto"/>
    </w:pPr>
    <w:rPr>
      <w:rFonts w:ascii="Calibri" w:eastAsia="Times New Roman" w:hAnsi="Calibri" w:cs="Times New Roman"/>
      <w:lang w:val="sq-AL"/>
    </w:rPr>
  </w:style>
  <w:style w:type="paragraph" w:customStyle="1" w:styleId="BodyText30">
    <w:name w:val="&quot;Body Text 3&quot;"/>
    <w:rsid w:val="00B130BB"/>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B130BB"/>
    <w:pPr>
      <w:spacing w:after="120" w:line="240" w:lineRule="auto"/>
    </w:pPr>
    <w:rPr>
      <w:rFonts w:ascii="Calibri" w:eastAsia="Calibri" w:hAnsi="Calibri" w:cs="Times New Roman"/>
      <w:sz w:val="21"/>
      <w:szCs w:val="20"/>
    </w:rPr>
  </w:style>
  <w:style w:type="paragraph" w:customStyle="1" w:styleId="Normal10">
    <w:name w:val="&quot;Normal1&quot;"/>
    <w:rsid w:val="00B130BB"/>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B130B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B130BB"/>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B130BB"/>
    <w:pPr>
      <w:autoSpaceDE w:val="0"/>
      <w:autoSpaceDN w:val="0"/>
      <w:adjustRightInd w:val="0"/>
      <w:spacing w:before="57" w:after="0" w:line="240" w:lineRule="auto"/>
      <w:ind w:left="720" w:hanging="720"/>
      <w:jc w:val="both"/>
    </w:pPr>
    <w:rPr>
      <w:rFonts w:ascii="Tahoma" w:eastAsia="Times New Roman" w:hAnsi="Tahoma" w:cs="Tahoma"/>
      <w:sz w:val="20"/>
      <w:szCs w:val="24"/>
    </w:rPr>
  </w:style>
  <w:style w:type="paragraph" w:customStyle="1" w:styleId="norm">
    <w:name w:val="norm"/>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face">
    <w:name w:val="boldface"/>
    <w:basedOn w:val="DefaultParagraphFont"/>
    <w:rsid w:val="00B130BB"/>
  </w:style>
  <w:style w:type="paragraph" w:customStyle="1" w:styleId="title-annex-1">
    <w:name w:val="title-annex-1"/>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table">
    <w:name w:val="title-table"/>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s">
    <w:name w:val="italics"/>
    <w:basedOn w:val="DefaultParagraphFont"/>
    <w:rsid w:val="00B130BB"/>
  </w:style>
  <w:style w:type="paragraph" w:customStyle="1" w:styleId="modref">
    <w:name w:val="modref"/>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l-norm">
    <w:name w:val="tbl-norm"/>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erscript">
    <w:name w:val="superscript"/>
    <w:basedOn w:val="DefaultParagraphFont"/>
    <w:rsid w:val="00B130BB"/>
  </w:style>
  <w:style w:type="paragraph" w:customStyle="1" w:styleId="title-gr-seq-level-1">
    <w:name w:val="title-gr-seq-level-1"/>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1">
    <w:name w:val="List1"/>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seq-level-3">
    <w:name w:val="title-gr-seq-level-3"/>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seq-level-2">
    <w:name w:val="title-gr-seq-level-2"/>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130BB"/>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Acronym"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2"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Heading 1.,Article Heading"/>
    <w:basedOn w:val="Normal"/>
    <w:next w:val="Normal"/>
    <w:link w:val="Heading1Char"/>
    <w:qFormat/>
    <w:rsid w:val="00B130BB"/>
    <w:pPr>
      <w:keepNext/>
      <w:numPr>
        <w:numId w:val="12"/>
      </w:numPr>
      <w:tabs>
        <w:tab w:val="clear" w:pos="907"/>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B130BB"/>
    <w:pPr>
      <w:numPr>
        <w:ilvl w:val="1"/>
        <w:numId w:val="12"/>
      </w:numPr>
      <w:tabs>
        <w:tab w:val="clear" w:pos="907"/>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130BB"/>
    <w:pPr>
      <w:numPr>
        <w:ilvl w:val="2"/>
        <w:numId w:val="12"/>
      </w:numPr>
      <w:tabs>
        <w:tab w:val="clear" w:pos="907"/>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qFormat/>
    <w:rsid w:val="00B130BB"/>
    <w:pPr>
      <w:numPr>
        <w:ilvl w:val="3"/>
        <w:numId w:val="12"/>
      </w:numPr>
      <w:tabs>
        <w:tab w:val="clear" w:pos="907"/>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B130BB"/>
    <w:pPr>
      <w:numPr>
        <w:ilvl w:val="4"/>
        <w:numId w:val="12"/>
      </w:numPr>
      <w:tabs>
        <w:tab w:val="clear" w:pos="907"/>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B130BB"/>
    <w:pPr>
      <w:numPr>
        <w:ilvl w:val="5"/>
        <w:numId w:val="12"/>
      </w:numPr>
      <w:tabs>
        <w:tab w:val="clear" w:pos="907"/>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B130BB"/>
    <w:pPr>
      <w:numPr>
        <w:ilvl w:val="6"/>
        <w:numId w:val="12"/>
      </w:numPr>
      <w:tabs>
        <w:tab w:val="clear" w:pos="907"/>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B130BB"/>
    <w:pPr>
      <w:numPr>
        <w:ilvl w:val="7"/>
        <w:numId w:val="12"/>
      </w:numPr>
      <w:tabs>
        <w:tab w:val="clear" w:pos="907"/>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130BB"/>
    <w:pPr>
      <w:numPr>
        <w:ilvl w:val="8"/>
        <w:numId w:val="12"/>
      </w:numPr>
      <w:tabs>
        <w:tab w:val="clear" w:pos="907"/>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B130BB"/>
    <w:rPr>
      <w:rFonts w:ascii="Arial" w:eastAsia="MS Mincho" w:hAnsi="Arial" w:cs="Arial"/>
      <w:b/>
      <w:bCs/>
      <w:kern w:val="32"/>
      <w:sz w:val="32"/>
      <w:szCs w:val="32"/>
    </w:rPr>
  </w:style>
  <w:style w:type="character" w:customStyle="1" w:styleId="Heading2Char">
    <w:name w:val="Heading 2 Char"/>
    <w:aliases w:val="Pika Char"/>
    <w:basedOn w:val="DefaultParagraphFont"/>
    <w:rsid w:val="00B130BB"/>
    <w:rPr>
      <w:rFonts w:ascii="Cambria" w:eastAsia="MS Mincho" w:hAnsi="Cambria" w:cs="Cambria"/>
      <w:b/>
      <w:bCs/>
      <w:sz w:val="26"/>
      <w:szCs w:val="26"/>
    </w:rPr>
  </w:style>
  <w:style w:type="character" w:customStyle="1" w:styleId="Heading3Char">
    <w:name w:val="Heading 3 Char"/>
    <w:aliases w:val="Germa Char"/>
    <w:basedOn w:val="DefaultParagraphFont"/>
    <w:uiPriority w:val="9"/>
    <w:rsid w:val="00B130BB"/>
    <w:rPr>
      <w:rFonts w:ascii="Cambria" w:eastAsia="MS Mincho" w:hAnsi="Cambria" w:cs="Cambria"/>
      <w:b/>
      <w:bCs/>
      <w:sz w:val="24"/>
      <w:szCs w:val="24"/>
    </w:rPr>
  </w:style>
  <w:style w:type="character" w:customStyle="1" w:styleId="Heading4Char">
    <w:name w:val="Heading 4 Char"/>
    <w:basedOn w:val="DefaultParagraphFont"/>
    <w:link w:val="Heading4"/>
    <w:rsid w:val="00B130BB"/>
    <w:rPr>
      <w:rFonts w:ascii="Cambria" w:eastAsia="MS Mincho" w:hAnsi="Cambria" w:cs="Cambria"/>
      <w:b/>
      <w:bCs/>
      <w:i/>
      <w:iCs/>
      <w:sz w:val="24"/>
      <w:szCs w:val="24"/>
    </w:rPr>
  </w:style>
  <w:style w:type="character" w:customStyle="1" w:styleId="Heading5Char">
    <w:name w:val="Heading 5 Char"/>
    <w:basedOn w:val="DefaultParagraphFont"/>
    <w:link w:val="Heading5"/>
    <w:rsid w:val="00B130B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B130B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B130B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B130BB"/>
    <w:rPr>
      <w:rFonts w:ascii="Cambria" w:eastAsia="MS Mincho" w:hAnsi="Cambria" w:cs="Cambria"/>
      <w:sz w:val="20"/>
      <w:szCs w:val="20"/>
    </w:rPr>
  </w:style>
  <w:style w:type="character" w:customStyle="1" w:styleId="Heading9Char">
    <w:name w:val="Heading 9 Char"/>
    <w:basedOn w:val="DefaultParagraphFont"/>
    <w:link w:val="Heading9"/>
    <w:uiPriority w:val="9"/>
    <w:rsid w:val="00B130BB"/>
    <w:rPr>
      <w:rFonts w:ascii="Cambria" w:eastAsia="MS Mincho" w:hAnsi="Cambria" w:cs="Cambria"/>
      <w:i/>
      <w:iCs/>
      <w:spacing w:val="5"/>
      <w:sz w:val="20"/>
      <w:szCs w:val="20"/>
    </w:rPr>
  </w:style>
  <w:style w:type="numbering" w:customStyle="1" w:styleId="NoList1">
    <w:name w:val="No List1"/>
    <w:next w:val="NoList"/>
    <w:uiPriority w:val="99"/>
    <w:semiHidden/>
    <w:unhideWhenUsed/>
    <w:rsid w:val="00B130BB"/>
  </w:style>
  <w:style w:type="paragraph" w:styleId="NoSpacing">
    <w:name w:val="No Spacing"/>
    <w:link w:val="NoSpacingChar"/>
    <w:uiPriority w:val="1"/>
    <w:qFormat/>
    <w:rsid w:val="00B130BB"/>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B130BB"/>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B130BB"/>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B130BB"/>
    <w:rPr>
      <w:rFonts w:ascii="Tahoma" w:eastAsia="Calibri" w:hAnsi="Tahoma" w:cs="Tahoma"/>
      <w:sz w:val="16"/>
      <w:szCs w:val="16"/>
    </w:rPr>
  </w:style>
  <w:style w:type="paragraph" w:styleId="Header">
    <w:name w:val="header"/>
    <w:basedOn w:val="Normal"/>
    <w:link w:val="HeaderChar"/>
    <w:uiPriority w:val="99"/>
    <w:unhideWhenUsed/>
    <w:rsid w:val="00B130BB"/>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B130BB"/>
    <w:rPr>
      <w:rFonts w:ascii="Calibri" w:eastAsia="Calibri" w:hAnsi="Calibri" w:cs="Times New Roman"/>
    </w:rPr>
  </w:style>
  <w:style w:type="paragraph" w:styleId="Footer">
    <w:name w:val="footer"/>
    <w:basedOn w:val="Normal"/>
    <w:link w:val="FooterChar"/>
    <w:uiPriority w:val="99"/>
    <w:unhideWhenUsed/>
    <w:rsid w:val="00B130BB"/>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B130BB"/>
    <w:rPr>
      <w:rFonts w:ascii="Calibri" w:eastAsia="Calibri" w:hAnsi="Calibri" w:cs="Times New Roman"/>
    </w:rPr>
  </w:style>
  <w:style w:type="paragraph" w:customStyle="1" w:styleId="Akti">
    <w:name w:val="Akti"/>
    <w:link w:val="AktiChar"/>
    <w:rsid w:val="00B130BB"/>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B130BB"/>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B130BB"/>
    <w:rPr>
      <w:rFonts w:ascii="Garamond" w:eastAsia="MS Mincho" w:hAnsi="Garamond" w:cs="CG Times"/>
      <w:b/>
      <w:bCs/>
      <w:sz w:val="24"/>
      <w:lang w:val="en-GB"/>
    </w:rPr>
  </w:style>
  <w:style w:type="paragraph" w:customStyle="1" w:styleId="Paragrafi">
    <w:name w:val="Paragrafi"/>
    <w:link w:val="ParagrafiChar"/>
    <w:rsid w:val="00B130BB"/>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B130BB"/>
    <w:rPr>
      <w:rFonts w:ascii="Garamond" w:eastAsia="MS Mincho" w:hAnsi="Garamond" w:cs="CG Times"/>
      <w:sz w:val="24"/>
    </w:rPr>
  </w:style>
  <w:style w:type="paragraph" w:customStyle="1" w:styleId="Titulli">
    <w:name w:val="Titulli"/>
    <w:next w:val="Normal"/>
    <w:link w:val="TitulliChar"/>
    <w:uiPriority w:val="99"/>
    <w:rsid w:val="00B130BB"/>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B130BB"/>
    <w:rPr>
      <w:rFonts w:ascii="Garamond" w:eastAsia="MS Mincho" w:hAnsi="Garamond" w:cs="CG Times"/>
      <w:b/>
      <w:bCs/>
      <w:caps/>
      <w:sz w:val="24"/>
      <w:lang w:val="en-GB"/>
    </w:rPr>
  </w:style>
  <w:style w:type="character" w:customStyle="1" w:styleId="AktiChar">
    <w:name w:val="Akti Char"/>
    <w:basedOn w:val="DefaultParagraphFont"/>
    <w:link w:val="Akti"/>
    <w:rsid w:val="00B130BB"/>
    <w:rPr>
      <w:rFonts w:ascii="Garamond" w:eastAsia="MS Mincho" w:hAnsi="Garamond" w:cs="CG Times"/>
      <w:b/>
      <w:bCs/>
      <w:caps/>
      <w:color w:val="000000"/>
      <w:sz w:val="24"/>
      <w:lang w:val="en-GB"/>
    </w:rPr>
  </w:style>
  <w:style w:type="paragraph" w:customStyle="1" w:styleId="NeniNr">
    <w:name w:val="Neni_Nr"/>
    <w:next w:val="Normal"/>
    <w:link w:val="NeniNrChar"/>
    <w:rsid w:val="00B130B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B130B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B130BB"/>
    <w:rPr>
      <w:rFonts w:ascii="Garamond" w:eastAsia="MS Mincho" w:hAnsi="Garamond" w:cs="CG Times"/>
      <w:sz w:val="24"/>
      <w:lang w:val="en-GB"/>
    </w:rPr>
  </w:style>
  <w:style w:type="paragraph" w:customStyle="1" w:styleId="Autoriteti">
    <w:name w:val="Autoriteti"/>
    <w:next w:val="Normal"/>
    <w:link w:val="AutoritetiChar"/>
    <w:rsid w:val="00B130BB"/>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B130BB"/>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B130BB"/>
    <w:rPr>
      <w:rFonts w:ascii="Garamond" w:eastAsia="MS Mincho" w:hAnsi="Garamond" w:cs="CG Times"/>
      <w:caps/>
      <w:sz w:val="24"/>
      <w:lang w:val="en-GB"/>
    </w:rPr>
  </w:style>
  <w:style w:type="character" w:customStyle="1" w:styleId="AutoritetiEmerChar">
    <w:name w:val="Autoriteti_Emer Char"/>
    <w:link w:val="AutoritetiEmer"/>
    <w:locked/>
    <w:rsid w:val="00B130BB"/>
    <w:rPr>
      <w:rFonts w:ascii="Garamond" w:eastAsia="MS Mincho" w:hAnsi="Garamond" w:cs="Times New Roman"/>
      <w:b/>
      <w:bCs/>
      <w:sz w:val="24"/>
      <w:lang w:val="en-GB"/>
    </w:rPr>
  </w:style>
  <w:style w:type="paragraph" w:customStyle="1" w:styleId="Titull-Titull">
    <w:name w:val="Titull-Titull"/>
    <w:basedOn w:val="Paragrafi"/>
    <w:qFormat/>
    <w:rsid w:val="00B130BB"/>
    <w:pPr>
      <w:ind w:firstLine="0"/>
      <w:jc w:val="center"/>
    </w:pPr>
    <w:rPr>
      <w:caps/>
      <w:szCs w:val="24"/>
    </w:rPr>
  </w:style>
  <w:style w:type="paragraph" w:customStyle="1" w:styleId="Vendosi">
    <w:name w:val="Vendosi"/>
    <w:basedOn w:val="Titull-Titull"/>
    <w:qFormat/>
    <w:rsid w:val="00B130BB"/>
  </w:style>
  <w:style w:type="paragraph" w:customStyle="1" w:styleId="Hapesira7">
    <w:name w:val="Hapesira 7"/>
    <w:basedOn w:val="Paragrafi"/>
    <w:qFormat/>
    <w:rsid w:val="00B130BB"/>
    <w:rPr>
      <w:sz w:val="14"/>
      <w:szCs w:val="24"/>
    </w:rPr>
  </w:style>
  <w:style w:type="paragraph" w:styleId="ListParagraph">
    <w:name w:val="List Paragraph"/>
    <w:aliases w:val="List Paragraph2"/>
    <w:basedOn w:val="Normal"/>
    <w:link w:val="ListParagraphChar"/>
    <w:uiPriority w:val="34"/>
    <w:qFormat/>
    <w:rsid w:val="00B130BB"/>
    <w:pPr>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B130BB"/>
    <w:rPr>
      <w:rFonts w:ascii="Calibri" w:eastAsia="Times New Roman" w:hAnsi="Calibri" w:cs="Times New Roman"/>
    </w:rPr>
  </w:style>
  <w:style w:type="paragraph" w:customStyle="1" w:styleId="Style1">
    <w:name w:val="Style1"/>
    <w:basedOn w:val="Akti"/>
    <w:link w:val="Style1Char"/>
    <w:qFormat/>
    <w:rsid w:val="00B130BB"/>
  </w:style>
  <w:style w:type="character" w:customStyle="1" w:styleId="Heading2Char1">
    <w:name w:val="Heading 2 Char1"/>
    <w:aliases w:val="Section Heading 2 Char,Section Heading Char"/>
    <w:link w:val="Heading2"/>
    <w:locked/>
    <w:rsid w:val="00B130BB"/>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B130BB"/>
    <w:rPr>
      <w:rFonts w:ascii="Cambria" w:eastAsia="MS Mincho" w:hAnsi="Cambria" w:cs="Cambria"/>
      <w:b/>
      <w:bCs/>
      <w:sz w:val="24"/>
      <w:szCs w:val="24"/>
    </w:rPr>
  </w:style>
  <w:style w:type="paragraph" w:customStyle="1" w:styleId="ADDRESS">
    <w:name w:val="ADDRESS"/>
    <w:basedOn w:val="Normal"/>
    <w:rsid w:val="00B130BB"/>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B130BB"/>
    <w:pPr>
      <w:spacing w:after="0" w:line="240" w:lineRule="auto"/>
      <w:jc w:val="both"/>
    </w:pPr>
    <w:rPr>
      <w:rFonts w:ascii="CG Times" w:eastAsia="MS Mincho" w:hAnsi="CG Times" w:cs="CG Times"/>
      <w:sz w:val="21"/>
      <w:lang w:val="en-GB"/>
    </w:rPr>
  </w:style>
  <w:style w:type="paragraph" w:customStyle="1" w:styleId="AneksiNr">
    <w:name w:val="Aneksi_Nr"/>
    <w:next w:val="Normal"/>
    <w:rsid w:val="00B130B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B130B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B130BB"/>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rsid w:val="00B130BB"/>
    <w:rPr>
      <w:rFonts w:ascii="Arial" w:eastAsia="Times New Roman" w:hAnsi="Arial" w:cs="Arial"/>
      <w:color w:val="000000"/>
      <w:sz w:val="24"/>
      <w:szCs w:val="24"/>
    </w:rPr>
  </w:style>
  <w:style w:type="paragraph" w:customStyle="1" w:styleId="BazLigjPropozues">
    <w:name w:val="Baz_Ligj_Propozues"/>
    <w:rsid w:val="00B130B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B130BB"/>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B130BB"/>
    <w:rPr>
      <w:rFonts w:ascii="Times New Roman" w:eastAsia="Times New Roman" w:hAnsi="Times New Roman" w:cs="Times New Roman"/>
      <w:caps/>
      <w:sz w:val="26"/>
      <w:szCs w:val="26"/>
      <w:lang w:val="en-GB"/>
    </w:rPr>
  </w:style>
  <w:style w:type="character" w:customStyle="1" w:styleId="apple-converted-space">
    <w:name w:val="apple-converted-space"/>
    <w:rsid w:val="00B130BB"/>
  </w:style>
  <w:style w:type="character" w:styleId="FollowedHyperlink">
    <w:name w:val="FollowedHyperlink"/>
    <w:uiPriority w:val="99"/>
    <w:unhideWhenUsed/>
    <w:rsid w:val="00B130BB"/>
    <w:rPr>
      <w:color w:val="800080"/>
      <w:u w:val="single"/>
    </w:rPr>
  </w:style>
  <w:style w:type="paragraph" w:customStyle="1" w:styleId="font5">
    <w:name w:val="font5"/>
    <w:basedOn w:val="Normal"/>
    <w:rsid w:val="00B130BB"/>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B130BB"/>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B130BB"/>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B130BB"/>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B130BB"/>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B130B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B130BB"/>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B130BB"/>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B130BB"/>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B130BB"/>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B130BB"/>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B130B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B130BB"/>
    <w:pPr>
      <w:pageBreakBefore/>
      <w:spacing w:after="0" w:line="240" w:lineRule="auto"/>
      <w:jc w:val="both"/>
    </w:pPr>
    <w:rPr>
      <w:rFonts w:ascii="CG Times" w:eastAsia="MS Mincho" w:hAnsi="CG Times" w:cs="CG Times"/>
      <w:b/>
      <w:bCs/>
      <w:sz w:val="21"/>
    </w:rPr>
  </w:style>
  <w:style w:type="paragraph" w:customStyle="1" w:styleId="KapitulliNr">
    <w:name w:val="Kapitulli_Nr"/>
    <w:rsid w:val="00B130B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B130B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B130B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B130B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B130BB"/>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B130BB"/>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B130BB"/>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B130BB"/>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B130BB"/>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B130BB"/>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B130BB"/>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B130BB"/>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B130B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B130B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B130B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B130BB"/>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B130BB"/>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B130BB"/>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B130BB"/>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B130BB"/>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B130BB"/>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B130BB"/>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B130BB"/>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B130B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B130BB"/>
  </w:style>
  <w:style w:type="paragraph" w:customStyle="1" w:styleId="PjesaNr">
    <w:name w:val="Pjesa_Nr"/>
    <w:next w:val="Normal"/>
    <w:rsid w:val="00B130B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B130B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B130BB"/>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B130BB"/>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B130B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B130BB"/>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B130BB"/>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B130BB"/>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B130BB"/>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B130BB"/>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B130B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B130BB"/>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B130BB"/>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B130BB"/>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TitulliNr">
    <w:name w:val="Titulli_Nr"/>
    <w:rsid w:val="00B130B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B13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B13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B130B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B13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B13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B130BB"/>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B130B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B130B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B130B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B130B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B130BB"/>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B130BB"/>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B130BB"/>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B130BB"/>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B130BB"/>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B130BB"/>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B130B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B13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B130B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B130B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B130B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B13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B130B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B130BB"/>
    <w:rPr>
      <w:b/>
      <w:bCs/>
    </w:rPr>
  </w:style>
  <w:style w:type="paragraph" w:customStyle="1" w:styleId="xl136">
    <w:name w:val="xl136"/>
    <w:basedOn w:val="Normal"/>
    <w:rsid w:val="00B130B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B130B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B130BB"/>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B130BB"/>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B130BB"/>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B130BB"/>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styleId="NormalWeb">
    <w:name w:val="Normal (Web)"/>
    <w:aliases w:val="Normal (Web) Char,Normal (Web) Char Char Char Char"/>
    <w:basedOn w:val="Normal"/>
    <w:uiPriority w:val="99"/>
    <w:unhideWhenUsed/>
    <w:rsid w:val="00B130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B130B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B130BB"/>
  </w:style>
  <w:style w:type="paragraph" w:styleId="Title">
    <w:name w:val="Title"/>
    <w:basedOn w:val="Heading1"/>
    <w:next w:val="Normal"/>
    <w:link w:val="TitleChar"/>
    <w:qFormat/>
    <w:rsid w:val="00B130BB"/>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B130B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B130BB"/>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B130BB"/>
    <w:pPr>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B130BB"/>
    <w:rPr>
      <w:rFonts w:ascii="Calibri" w:eastAsia="Calibri" w:hAnsi="Calibri" w:cs="Times New Roman"/>
    </w:rPr>
  </w:style>
  <w:style w:type="paragraph" w:customStyle="1" w:styleId="numridata0">
    <w:name w:val="numridata"/>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B130BB"/>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B130BB"/>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B130BB"/>
    <w:rPr>
      <w:rFonts w:ascii="Times New Roman" w:eastAsia="Times New Roman" w:hAnsi="Times New Roman" w:cs="Times New Roman"/>
      <w:sz w:val="16"/>
      <w:szCs w:val="16"/>
    </w:rPr>
  </w:style>
  <w:style w:type="paragraph" w:customStyle="1" w:styleId="s32b251d">
    <w:name w:val="s32b251d"/>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B130BB"/>
  </w:style>
  <w:style w:type="paragraph" w:customStyle="1" w:styleId="s30eec3f8">
    <w:name w:val="s30eec3f8"/>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B130BB"/>
    <w:rPr>
      <w:sz w:val="24"/>
      <w:lang w:val="en-GB" w:eastAsia="fr-FR"/>
    </w:rPr>
  </w:style>
  <w:style w:type="paragraph" w:customStyle="1" w:styleId="JuPara">
    <w:name w:val="Ju_Para"/>
    <w:basedOn w:val="Normal"/>
    <w:link w:val="JuParaCar"/>
    <w:rsid w:val="00B130BB"/>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Normal"/>
    <w:uiPriority w:val="99"/>
    <w:rsid w:val="00B130B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130BB"/>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B130B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B130BB"/>
    <w:rPr>
      <w:vertAlign w:val="superscript"/>
    </w:rPr>
  </w:style>
  <w:style w:type="paragraph" w:customStyle="1" w:styleId="ju-005fpara">
    <w:name w:val="ju-005fpara"/>
    <w:basedOn w:val="Normal"/>
    <w:rsid w:val="00B130BB"/>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B130BB"/>
  </w:style>
  <w:style w:type="character" w:customStyle="1" w:styleId="s7d2086b4">
    <w:name w:val="s7d2086b4"/>
    <w:basedOn w:val="DefaultParagraphFont"/>
    <w:uiPriority w:val="99"/>
    <w:rsid w:val="00B130BB"/>
  </w:style>
  <w:style w:type="character" w:customStyle="1" w:styleId="hps">
    <w:name w:val="hps"/>
    <w:basedOn w:val="DefaultParagraphFont"/>
    <w:rsid w:val="00B130BB"/>
  </w:style>
  <w:style w:type="paragraph" w:customStyle="1" w:styleId="paragrafi0">
    <w:name w:val="paragrafi"/>
    <w:basedOn w:val="Normal"/>
    <w:rsid w:val="00B130BB"/>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B130BB"/>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B130BB"/>
    <w:rPr>
      <w:rFonts w:cs="Times New Roman"/>
    </w:rPr>
  </w:style>
  <w:style w:type="paragraph" w:customStyle="1" w:styleId="titulli0">
    <w:name w:val="titulli"/>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B130BB"/>
  </w:style>
  <w:style w:type="paragraph" w:customStyle="1" w:styleId="akti0">
    <w:name w:val="akti"/>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B130BB"/>
  </w:style>
  <w:style w:type="paragraph" w:customStyle="1" w:styleId="CM49">
    <w:name w:val="CM49"/>
    <w:basedOn w:val="Normal"/>
    <w:next w:val="Normal"/>
    <w:rsid w:val="00B130BB"/>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B130BB"/>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B130BB"/>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B130BB"/>
    <w:pPr>
      <w:widowControl w:val="0"/>
    </w:pPr>
    <w:rPr>
      <w:rFonts w:ascii="Helvetica" w:eastAsia="Times New Roman" w:hAnsi="Helvetica" w:cs="Helvetica"/>
      <w:lang w:val="sq-AL"/>
    </w:rPr>
  </w:style>
  <w:style w:type="paragraph" w:customStyle="1" w:styleId="CM57">
    <w:name w:val="CM57"/>
    <w:basedOn w:val="Normal"/>
    <w:next w:val="Normal"/>
    <w:rsid w:val="00B130BB"/>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B130BB"/>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B130B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B130B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B130B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B130BB"/>
  </w:style>
  <w:style w:type="character" w:customStyle="1" w:styleId="StyleHeading6BoldChar">
    <w:name w:val="Style Heading 6 + Bold Char"/>
    <w:link w:val="StyleHeading6Bold"/>
    <w:rsid w:val="00B130BB"/>
    <w:rPr>
      <w:rFonts w:ascii="Cambria" w:eastAsia="MS Mincho" w:hAnsi="Cambria" w:cs="Cambria"/>
      <w:b/>
      <w:bCs/>
      <w:i/>
      <w:iCs/>
      <w:color w:val="7F7F7F"/>
      <w:sz w:val="24"/>
      <w:szCs w:val="24"/>
    </w:rPr>
  </w:style>
  <w:style w:type="paragraph" w:customStyle="1" w:styleId="tableheaders">
    <w:name w:val="table headers"/>
    <w:rsid w:val="00B130B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B130BB"/>
    <w:rPr>
      <w:b w:val="0"/>
    </w:rPr>
  </w:style>
  <w:style w:type="paragraph" w:styleId="PlainText">
    <w:name w:val="Plain Text"/>
    <w:basedOn w:val="Normal"/>
    <w:link w:val="PlainTextChar"/>
    <w:uiPriority w:val="99"/>
    <w:unhideWhenUsed/>
    <w:rsid w:val="00B130BB"/>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B130BB"/>
    <w:rPr>
      <w:rFonts w:ascii="Consolas" w:eastAsia="Calibri" w:hAnsi="Consolas" w:cs="Times New Roman"/>
      <w:sz w:val="21"/>
      <w:szCs w:val="21"/>
      <w:lang w:val="sq-AL"/>
    </w:rPr>
  </w:style>
  <w:style w:type="paragraph" w:customStyle="1" w:styleId="StyleStyle1Bold">
    <w:name w:val="Style Style1 + Bold"/>
    <w:basedOn w:val="Style1"/>
    <w:rsid w:val="00B130BB"/>
    <w:pPr>
      <w:keepNext w:val="0"/>
      <w:widowControl/>
      <w:outlineLvl w:val="9"/>
    </w:pPr>
    <w:rPr>
      <w:rFonts w:ascii="Times New Roman" w:eastAsia="Times New Roman" w:hAnsi="Times New Roman" w:cs="Arial"/>
      <w:b w:val="0"/>
      <w:caps w:val="0"/>
      <w:color w:val="auto"/>
      <w:lang w:val="sq-AL"/>
    </w:rPr>
  </w:style>
  <w:style w:type="paragraph" w:customStyle="1" w:styleId="CM1">
    <w:name w:val="CM1"/>
    <w:basedOn w:val="Default"/>
    <w:next w:val="Default"/>
    <w:uiPriority w:val="99"/>
    <w:rsid w:val="00B130BB"/>
    <w:rPr>
      <w:rFonts w:ascii="EUAlbertina" w:hAnsi="EUAlbertina"/>
      <w:color w:val="auto"/>
    </w:rPr>
  </w:style>
  <w:style w:type="paragraph" w:customStyle="1" w:styleId="CM4">
    <w:name w:val="CM4"/>
    <w:basedOn w:val="Normal"/>
    <w:next w:val="Normal"/>
    <w:uiPriority w:val="99"/>
    <w:rsid w:val="00B130BB"/>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uiPriority w:val="99"/>
    <w:rsid w:val="00B130BB"/>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rsid w:val="00B130BB"/>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rsid w:val="00B130BB"/>
    <w:rPr>
      <w:rFonts w:ascii="Tahoma" w:eastAsia="Times New Roman" w:hAnsi="Tahoma" w:cs="Times New Roman"/>
      <w:sz w:val="16"/>
      <w:szCs w:val="16"/>
      <w:lang w:val="sq-AL"/>
    </w:rPr>
  </w:style>
  <w:style w:type="numbering" w:customStyle="1" w:styleId="NoList3">
    <w:name w:val="No List3"/>
    <w:next w:val="NoList"/>
    <w:semiHidden/>
    <w:rsid w:val="00B130BB"/>
  </w:style>
  <w:style w:type="numbering" w:customStyle="1" w:styleId="NoList4">
    <w:name w:val="No List4"/>
    <w:next w:val="NoList"/>
    <w:semiHidden/>
    <w:rsid w:val="00B130BB"/>
  </w:style>
  <w:style w:type="paragraph" w:customStyle="1" w:styleId="Point1">
    <w:name w:val="Point 1"/>
    <w:basedOn w:val="Normal"/>
    <w:link w:val="Point1Char"/>
    <w:rsid w:val="00B130BB"/>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B130BB"/>
    <w:rPr>
      <w:rFonts w:ascii="Calibri" w:eastAsia="Times New Roman" w:hAnsi="Calibri" w:cs="Times New Roman"/>
      <w:sz w:val="24"/>
      <w:szCs w:val="24"/>
      <w:lang w:val="en-GB" w:eastAsia="en-GB"/>
    </w:rPr>
  </w:style>
  <w:style w:type="character" w:customStyle="1" w:styleId="longtext">
    <w:name w:val="long_text"/>
    <w:rsid w:val="00B130BB"/>
    <w:rPr>
      <w:rFonts w:ascii="Comic Sans MS" w:hAnsi="Comic Sans MS"/>
      <w:b/>
      <w:sz w:val="96"/>
      <w:szCs w:val="24"/>
      <w:lang w:val="pl-PL" w:eastAsia="pl-PL" w:bidi="ar-SA"/>
    </w:rPr>
  </w:style>
  <w:style w:type="paragraph" w:customStyle="1" w:styleId="Text1">
    <w:name w:val="Text 1"/>
    <w:basedOn w:val="Normal"/>
    <w:link w:val="Text1Char"/>
    <w:rsid w:val="00B130BB"/>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B130BB"/>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B130BB"/>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B130BB"/>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SubsectionTitleCharChar">
    <w:name w:val="SubsectionTitle Char Char"/>
    <w:basedOn w:val="SectionTitleCharChar"/>
    <w:link w:val="SubsectionTitleCharCharChar"/>
    <w:rsid w:val="00B130BB"/>
  </w:style>
  <w:style w:type="character" w:customStyle="1" w:styleId="SectionTitleCharCharChar">
    <w:name w:val="SectionTitle Char Char Char"/>
    <w:link w:val="SectionTitleCharChar"/>
    <w:rsid w:val="00B130B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B130BB"/>
    <w:rPr>
      <w:rFonts w:ascii="Calibri" w:eastAsia="Times New Roman" w:hAnsi="Calibri" w:cs="Times New Roman"/>
      <w:b/>
      <w:bCs/>
      <w:smallCaps/>
      <w:sz w:val="28"/>
      <w:szCs w:val="28"/>
      <w:lang w:val="en-GB" w:eastAsia="en-GB"/>
    </w:rPr>
  </w:style>
  <w:style w:type="character" w:customStyle="1" w:styleId="Text1Char">
    <w:name w:val="Text 1 Char"/>
    <w:link w:val="Text1"/>
    <w:rsid w:val="00B130BB"/>
    <w:rPr>
      <w:rFonts w:ascii="Calibri" w:eastAsia="Times New Roman" w:hAnsi="Calibri" w:cs="Times New Roman"/>
      <w:sz w:val="24"/>
      <w:szCs w:val="24"/>
      <w:lang w:val="en-GB" w:eastAsia="en-GB"/>
    </w:rPr>
  </w:style>
  <w:style w:type="character" w:customStyle="1" w:styleId="Point1CharChar">
    <w:name w:val="Point 1 Char Char"/>
    <w:rsid w:val="00B130BB"/>
    <w:rPr>
      <w:sz w:val="24"/>
      <w:szCs w:val="24"/>
      <w:lang w:val="en-GB" w:eastAsia="en-GB" w:bidi="ar-SA"/>
    </w:rPr>
  </w:style>
  <w:style w:type="paragraph" w:customStyle="1" w:styleId="Point0">
    <w:name w:val="Point 0"/>
    <w:basedOn w:val="Normal"/>
    <w:rsid w:val="00B130BB"/>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link w:val="NumPar1Char"/>
    <w:rsid w:val="00B130BB"/>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B130BB"/>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B130BB"/>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B130BB"/>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B130BB"/>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B130BB"/>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B130B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B130BB"/>
    <w:pPr>
      <w:keepNext/>
      <w:spacing w:before="120" w:after="360" w:line="240" w:lineRule="auto"/>
      <w:jc w:val="center"/>
    </w:pPr>
    <w:rPr>
      <w:rFonts w:ascii="Times New Roman" w:eastAsia="Times New Roman" w:hAnsi="Times New Roman" w:cs="Times New Roman"/>
      <w:b/>
      <w:bCs/>
      <w:sz w:val="32"/>
      <w:szCs w:val="32"/>
      <w:lang w:val="en-GB" w:eastAsia="en-GB"/>
    </w:rPr>
  </w:style>
  <w:style w:type="paragraph" w:customStyle="1" w:styleId="SectionTitle">
    <w:name w:val="SectionTitle"/>
    <w:basedOn w:val="Normal"/>
    <w:next w:val="Heading1"/>
    <w:rsid w:val="00B130BB"/>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B130BB"/>
  </w:style>
  <w:style w:type="paragraph" w:styleId="TableofFigures">
    <w:name w:val="table of figures"/>
    <w:basedOn w:val="Normal"/>
    <w:next w:val="Normal"/>
    <w:rsid w:val="00B130BB"/>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uiPriority w:val="99"/>
    <w:rsid w:val="00B130BB"/>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B130BB"/>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B130BB"/>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B130BB"/>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B130BB"/>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B130BB"/>
    <w:pPr>
      <w:keepNext/>
      <w:keepLines/>
      <w:spacing w:after="0" w:line="360" w:lineRule="auto"/>
    </w:pPr>
    <w:rPr>
      <w:rFonts w:ascii="Tahoma" w:eastAsia="Times New Roman" w:hAnsi="Tahoma" w:cs="Times New Roman"/>
      <w:sz w:val="16"/>
      <w:lang w:val="de-AT" w:eastAsia="de-DE"/>
    </w:rPr>
  </w:style>
  <w:style w:type="paragraph" w:styleId="Index6">
    <w:name w:val="index 6"/>
    <w:basedOn w:val="Normal"/>
    <w:next w:val="Normal"/>
    <w:autoRedefine/>
    <w:semiHidden/>
    <w:rsid w:val="00B130BB"/>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B130BB"/>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B130BB"/>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B130BB"/>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1">
    <w:name w:val="index 1"/>
    <w:basedOn w:val="Normal"/>
    <w:next w:val="Normal"/>
    <w:autoRedefine/>
    <w:uiPriority w:val="99"/>
    <w:semiHidden/>
    <w:unhideWhenUsed/>
    <w:rsid w:val="00B130BB"/>
    <w:pPr>
      <w:spacing w:after="0" w:line="240" w:lineRule="auto"/>
      <w:ind w:left="220" w:hanging="220"/>
    </w:pPr>
  </w:style>
  <w:style w:type="paragraph" w:styleId="IndexHeading">
    <w:name w:val="index heading"/>
    <w:basedOn w:val="Normal"/>
    <w:next w:val="Normal"/>
    <w:semiHidden/>
    <w:rsid w:val="00B130BB"/>
    <w:pPr>
      <w:spacing w:after="0" w:line="360" w:lineRule="auto"/>
    </w:pPr>
    <w:rPr>
      <w:rFonts w:ascii="Tahoma" w:eastAsia="Times New Roman" w:hAnsi="Tahoma" w:cs="Times New Roman"/>
      <w:lang w:val="de-AT" w:eastAsia="de-DE"/>
    </w:rPr>
  </w:style>
  <w:style w:type="paragraph" w:styleId="List">
    <w:name w:val="List"/>
    <w:basedOn w:val="Normal"/>
    <w:rsid w:val="00B130BB"/>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B130BB"/>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B130BB"/>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B130BB"/>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B130BB"/>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B130BB"/>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B130BB"/>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B130BB"/>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B130BB"/>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B130BB"/>
    <w:pPr>
      <w:spacing w:after="0" w:line="360" w:lineRule="auto"/>
      <w:ind w:left="1134"/>
    </w:pPr>
    <w:rPr>
      <w:rFonts w:ascii="Tahoma" w:eastAsia="Times New Roman" w:hAnsi="Tahoma" w:cs="Times New Roman"/>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B130BB"/>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B130BB"/>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B130BB"/>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B130BB"/>
    <w:rPr>
      <w:sz w:val="16"/>
      <w:szCs w:val="16"/>
    </w:rPr>
  </w:style>
  <w:style w:type="paragraph" w:styleId="CommentText">
    <w:name w:val="annotation text"/>
    <w:aliases w:val=" Char"/>
    <w:basedOn w:val="Normal"/>
    <w:link w:val="CommentTextChar"/>
    <w:uiPriority w:val="99"/>
    <w:unhideWhenUsed/>
    <w:rsid w:val="00B130BB"/>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B130B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B130BB"/>
    <w:rPr>
      <w:b/>
      <w:bCs/>
    </w:rPr>
  </w:style>
  <w:style w:type="character" w:customStyle="1" w:styleId="CommentSubjectChar">
    <w:name w:val="Comment Subject Char"/>
    <w:basedOn w:val="CommentTextChar"/>
    <w:link w:val="CommentSubject"/>
    <w:uiPriority w:val="99"/>
    <w:rsid w:val="00B130BB"/>
    <w:rPr>
      <w:rFonts w:ascii="Calibri" w:eastAsia="MS Mincho" w:hAnsi="Calibri" w:cs="Times New Roman"/>
      <w:b/>
      <w:bCs/>
      <w:sz w:val="20"/>
      <w:szCs w:val="20"/>
      <w:lang w:val="sq-AL"/>
    </w:rPr>
  </w:style>
  <w:style w:type="paragraph" w:styleId="ListNumber4">
    <w:name w:val="List Number 4"/>
    <w:basedOn w:val="Normal"/>
    <w:rsid w:val="00B130BB"/>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B130BB"/>
    <w:pPr>
      <w:numPr>
        <w:numId w:val="13"/>
      </w:numPr>
      <w:spacing w:after="0" w:line="360" w:lineRule="auto"/>
    </w:pPr>
    <w:rPr>
      <w:rFonts w:ascii="Tahoma" w:eastAsia="Times New Roman" w:hAnsi="Tahoma" w:cs="Times New Roman"/>
      <w:lang w:val="de-AT" w:eastAsia="de-DE"/>
    </w:rPr>
  </w:style>
  <w:style w:type="numbering" w:customStyle="1" w:styleId="NoList11">
    <w:name w:val="No List11"/>
    <w:next w:val="NoList"/>
    <w:uiPriority w:val="99"/>
    <w:semiHidden/>
    <w:unhideWhenUsed/>
    <w:rsid w:val="00B130BB"/>
  </w:style>
  <w:style w:type="paragraph" w:styleId="MacroText">
    <w:name w:val="macro"/>
    <w:link w:val="MacroTextChar"/>
    <w:semiHidden/>
    <w:rsid w:val="00B130B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B130BB"/>
    <w:rPr>
      <w:rFonts w:ascii="Courier New" w:eastAsia="Times New Roman" w:hAnsi="Courier New" w:cs="Times New Roman"/>
      <w:lang w:val="de-DE" w:eastAsia="de-DE"/>
    </w:rPr>
  </w:style>
  <w:style w:type="paragraph" w:styleId="NormalIndent">
    <w:name w:val="Normal Indent"/>
    <w:basedOn w:val="Normal"/>
    <w:link w:val="NormalIndentChar"/>
    <w:rsid w:val="00B130BB"/>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B130BB"/>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B130BB"/>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uiPriority w:val="99"/>
    <w:rsid w:val="00B130BB"/>
    <w:rPr>
      <w:rFonts w:ascii="Tahoma" w:hAnsi="Tahoma"/>
      <w:sz w:val="22"/>
    </w:rPr>
  </w:style>
  <w:style w:type="paragraph" w:styleId="BlockText">
    <w:name w:val="Block Text"/>
    <w:basedOn w:val="Normal"/>
    <w:rsid w:val="00B130BB"/>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B130BB"/>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B130BB"/>
    <w:rPr>
      <w:rFonts w:ascii="Tahoma" w:eastAsia="Times New Roman" w:hAnsi="Tahoma" w:cs="Times New Roman"/>
      <w:lang w:val="de-AT" w:eastAsia="de-DE"/>
    </w:rPr>
  </w:style>
  <w:style w:type="character" w:customStyle="1" w:styleId="Emphasis1">
    <w:name w:val="Emphasis1"/>
    <w:semiHidden/>
    <w:rsid w:val="00B130BB"/>
  </w:style>
  <w:style w:type="paragraph" w:styleId="NoteHeading">
    <w:name w:val="Note Heading"/>
    <w:basedOn w:val="Normal"/>
    <w:next w:val="Normal"/>
    <w:link w:val="NoteHeadingChar"/>
    <w:rsid w:val="00B130BB"/>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B130BB"/>
    <w:rPr>
      <w:rFonts w:ascii="Tahoma" w:eastAsia="Times New Roman" w:hAnsi="Tahoma" w:cs="Times New Roman"/>
      <w:lang w:val="de-AT" w:eastAsia="de-DE"/>
    </w:rPr>
  </w:style>
  <w:style w:type="paragraph" w:styleId="MessageHeader">
    <w:name w:val="Message Header"/>
    <w:basedOn w:val="Normal"/>
    <w:link w:val="MessageHeaderChar"/>
    <w:semiHidden/>
    <w:rsid w:val="00B130B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B130B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B130BB"/>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nhideWhenUsed/>
    <w:rsid w:val="00B130BB"/>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rsid w:val="00B130BB"/>
    <w:rPr>
      <w:rFonts w:ascii="Tahoma" w:eastAsia="Times New Roman" w:hAnsi="Tahoma" w:cs="Times New Roman"/>
      <w:sz w:val="20"/>
      <w:szCs w:val="20"/>
    </w:rPr>
  </w:style>
  <w:style w:type="character" w:styleId="EndnoteReference">
    <w:name w:val="endnote reference"/>
    <w:semiHidden/>
    <w:unhideWhenUsed/>
    <w:rsid w:val="00B130BB"/>
    <w:rPr>
      <w:vertAlign w:val="superscript"/>
    </w:rPr>
  </w:style>
  <w:style w:type="paragraph" w:styleId="BodyTextFirstIndent2">
    <w:name w:val="Body Text First Indent 2"/>
    <w:basedOn w:val="BodyTextIndent"/>
    <w:link w:val="BodyTextFirstIndent2Char"/>
    <w:semiHidden/>
    <w:rsid w:val="00B130B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B130BB"/>
    <w:rPr>
      <w:rFonts w:ascii="Tahoma" w:eastAsia="Times New Roman" w:hAnsi="Tahoma" w:cs="Times New Roman"/>
      <w:lang w:val="de-AT" w:eastAsia="de-DE"/>
    </w:rPr>
  </w:style>
  <w:style w:type="paragraph" w:customStyle="1" w:styleId="Zusatz2">
    <w:name w:val="Zusatz 2"/>
    <w:basedOn w:val="Normal"/>
    <w:next w:val="Normal"/>
    <w:semiHidden/>
    <w:rsid w:val="00B130BB"/>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B130BB"/>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B130BB"/>
    <w:pPr>
      <w:numPr>
        <w:numId w:val="15"/>
      </w:numPr>
    </w:pPr>
  </w:style>
  <w:style w:type="paragraph" w:styleId="Salutation">
    <w:name w:val="Salutation"/>
    <w:basedOn w:val="Normal"/>
    <w:next w:val="Normal"/>
    <w:link w:val="SalutationChar"/>
    <w:semiHidden/>
    <w:rsid w:val="00B130BB"/>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B130BB"/>
    <w:rPr>
      <w:rFonts w:ascii="Tahoma" w:eastAsia="Times New Roman" w:hAnsi="Tahoma" w:cs="Times New Roman"/>
      <w:lang w:val="de-AT" w:eastAsia="de-DE"/>
    </w:rPr>
  </w:style>
  <w:style w:type="numbering" w:styleId="ArticleSection">
    <w:name w:val="Outline List 3"/>
    <w:basedOn w:val="NoList"/>
    <w:semiHidden/>
    <w:rsid w:val="00B130BB"/>
    <w:pPr>
      <w:numPr>
        <w:numId w:val="16"/>
      </w:numPr>
    </w:pPr>
  </w:style>
  <w:style w:type="paragraph" w:styleId="Closing">
    <w:name w:val="Closing"/>
    <w:basedOn w:val="Normal"/>
    <w:link w:val="ClosingChar"/>
    <w:semiHidden/>
    <w:rsid w:val="00B130BB"/>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B130BB"/>
    <w:rPr>
      <w:rFonts w:ascii="Tahoma" w:eastAsia="Times New Roman" w:hAnsi="Tahoma" w:cs="Times New Roman"/>
      <w:lang w:val="de-AT" w:eastAsia="de-DE"/>
    </w:rPr>
  </w:style>
  <w:style w:type="character" w:styleId="Emphasis">
    <w:name w:val="Emphasis"/>
    <w:uiPriority w:val="99"/>
    <w:qFormat/>
    <w:rsid w:val="00B130BB"/>
    <w:rPr>
      <w:i/>
      <w:iCs/>
    </w:rPr>
  </w:style>
  <w:style w:type="paragraph" w:styleId="HTMLAddress">
    <w:name w:val="HTML Address"/>
    <w:basedOn w:val="Normal"/>
    <w:link w:val="HTMLAddressChar"/>
    <w:semiHidden/>
    <w:rsid w:val="00B130BB"/>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B130BB"/>
    <w:rPr>
      <w:rFonts w:ascii="Tahoma" w:eastAsia="Times New Roman" w:hAnsi="Tahoma" w:cs="Times New Roman"/>
      <w:i/>
      <w:iCs/>
      <w:lang w:val="de-AT" w:eastAsia="de-DE"/>
    </w:rPr>
  </w:style>
  <w:style w:type="character" w:styleId="HTMLCode">
    <w:name w:val="HTML Code"/>
    <w:semiHidden/>
    <w:rsid w:val="00B130BB"/>
    <w:rPr>
      <w:rFonts w:ascii="Courier New" w:hAnsi="Courier New" w:cs="Courier New"/>
      <w:sz w:val="20"/>
      <w:szCs w:val="20"/>
    </w:rPr>
  </w:style>
  <w:style w:type="character" w:styleId="HTMLCite">
    <w:name w:val="HTML Cite"/>
    <w:semiHidden/>
    <w:rsid w:val="00B130BB"/>
    <w:rPr>
      <w:i/>
      <w:iCs/>
    </w:rPr>
  </w:style>
  <w:style w:type="table" w:styleId="Table3Deffects1">
    <w:name w:val="Table 3D effects 1"/>
    <w:basedOn w:val="TableNormal"/>
    <w:semiHidden/>
    <w:rsid w:val="00B130B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130B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130B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B130B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B130B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130B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130B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B130B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B130B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130B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130B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B130B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130B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130B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130B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B130B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B130B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130B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130B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130B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130B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130B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130B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130B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B130B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B130B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B130B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B130B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B130B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B130B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130B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130B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130B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B130B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130B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130B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130B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130B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B130B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130B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B130B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130B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130B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B130B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B130B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B130BB"/>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B130BB"/>
    <w:rPr>
      <w:rFonts w:ascii="Tahoma" w:eastAsia="Times New Roman" w:hAnsi="Tahoma" w:cs="Times New Roman"/>
      <w:lang w:val="de-AT" w:eastAsia="de-DE"/>
    </w:rPr>
  </w:style>
  <w:style w:type="paragraph" w:styleId="E-mailSignature">
    <w:name w:val="E-mail Signature"/>
    <w:basedOn w:val="Normal"/>
    <w:link w:val="E-mailSignatureChar"/>
    <w:rsid w:val="00B130BB"/>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B130BB"/>
    <w:rPr>
      <w:rFonts w:ascii="Tahoma" w:eastAsia="Times New Roman" w:hAnsi="Tahoma" w:cs="Times New Roman"/>
      <w:lang w:val="de-AT" w:eastAsia="de-DE"/>
    </w:rPr>
  </w:style>
  <w:style w:type="paragraph" w:styleId="BodyText2">
    <w:name w:val="Body Text 2"/>
    <w:basedOn w:val="Normal"/>
    <w:link w:val="BodyText2Char"/>
    <w:rsid w:val="00B130BB"/>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B130BB"/>
    <w:rPr>
      <w:rFonts w:ascii="Tahoma" w:eastAsia="Times New Roman" w:hAnsi="Tahoma" w:cs="Times New Roman"/>
      <w:lang w:val="de-AT" w:eastAsia="de-DE"/>
    </w:rPr>
  </w:style>
  <w:style w:type="paragraph" w:styleId="BodyTextIndent2">
    <w:name w:val="Body Text Indent 2"/>
    <w:basedOn w:val="Normal"/>
    <w:link w:val="BodyTextIndent2Char"/>
    <w:rsid w:val="00B130BB"/>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B130B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B130BB"/>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B130B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B130B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B130B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B130BB"/>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B130B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B130BB"/>
    <w:rPr>
      <w:rFonts w:ascii="CG Times" w:eastAsia="Times New Roman" w:hAnsi="CG Times" w:cs="Times New Roman"/>
      <w:b/>
      <w:szCs w:val="24"/>
    </w:rPr>
  </w:style>
  <w:style w:type="character" w:customStyle="1" w:styleId="SubtitleChar1">
    <w:name w:val="Subtitle Char1"/>
    <w:locked/>
    <w:rsid w:val="00B130BB"/>
    <w:rPr>
      <w:rFonts w:ascii="Cambria" w:hAnsi="Cambria"/>
      <w:sz w:val="24"/>
      <w:szCs w:val="24"/>
    </w:rPr>
  </w:style>
  <w:style w:type="paragraph" w:customStyle="1" w:styleId="Char1">
    <w:name w:val="Char1"/>
    <w:basedOn w:val="Normal"/>
    <w:rsid w:val="00B130BB"/>
    <w:pPr>
      <w:spacing w:after="160" w:line="240" w:lineRule="exact"/>
    </w:pPr>
    <w:rPr>
      <w:rFonts w:ascii="Arial" w:eastAsia="Times New Roman" w:hAnsi="Arial" w:cs="Arial"/>
      <w:sz w:val="20"/>
      <w:szCs w:val="20"/>
    </w:rPr>
  </w:style>
  <w:style w:type="character" w:customStyle="1" w:styleId="CharChar11">
    <w:name w:val="Char Char11"/>
    <w:semiHidden/>
    <w:locked/>
    <w:rsid w:val="00B130BB"/>
    <w:rPr>
      <w:rFonts w:ascii="Tahoma" w:hAnsi="Tahoma" w:cs="Tahoma"/>
      <w:i/>
      <w:iCs/>
      <w:sz w:val="22"/>
      <w:szCs w:val="22"/>
      <w:lang w:val="de-AT" w:eastAsia="de-DE" w:bidi="ar-SA"/>
    </w:rPr>
  </w:style>
  <w:style w:type="character" w:customStyle="1" w:styleId="CharChar36">
    <w:name w:val="Char Char36"/>
    <w:locked/>
    <w:rsid w:val="00B130BB"/>
    <w:rPr>
      <w:rFonts w:ascii="Arial" w:hAnsi="Arial" w:cs="Arial"/>
      <w:b/>
      <w:bCs/>
      <w:kern w:val="32"/>
      <w:sz w:val="32"/>
      <w:szCs w:val="32"/>
      <w:lang w:val="sq-AL" w:eastAsia="en-US" w:bidi="ar-SA"/>
    </w:rPr>
  </w:style>
  <w:style w:type="character" w:customStyle="1" w:styleId="CharChar35">
    <w:name w:val="Char Char35"/>
    <w:locked/>
    <w:rsid w:val="00B130BB"/>
    <w:rPr>
      <w:rFonts w:ascii="Arial" w:hAnsi="Arial" w:cs="Arial"/>
      <w:b/>
      <w:bCs/>
      <w:i/>
      <w:iCs/>
      <w:sz w:val="28"/>
      <w:szCs w:val="28"/>
      <w:lang w:val="sq-AL" w:eastAsia="en-US" w:bidi="ar-SA"/>
    </w:rPr>
  </w:style>
  <w:style w:type="character" w:customStyle="1" w:styleId="CharChar34">
    <w:name w:val="Char Char34"/>
    <w:locked/>
    <w:rsid w:val="00B130BB"/>
    <w:rPr>
      <w:rFonts w:ascii="Tahoma" w:hAnsi="Tahoma"/>
      <w:b/>
      <w:kern w:val="28"/>
      <w:sz w:val="24"/>
      <w:szCs w:val="28"/>
      <w:lang w:val="de-AT" w:eastAsia="de-DE" w:bidi="ar-SA"/>
    </w:rPr>
  </w:style>
  <w:style w:type="character" w:customStyle="1" w:styleId="CharChar33">
    <w:name w:val="Char Char33"/>
    <w:locked/>
    <w:rsid w:val="00B130BB"/>
    <w:rPr>
      <w:rFonts w:ascii="Tahoma" w:hAnsi="Tahoma"/>
      <w:b/>
      <w:i/>
      <w:kern w:val="28"/>
      <w:sz w:val="22"/>
      <w:szCs w:val="22"/>
      <w:lang w:val="de-AT" w:eastAsia="de-DE" w:bidi="ar-SA"/>
    </w:rPr>
  </w:style>
  <w:style w:type="character" w:customStyle="1" w:styleId="CharChar32">
    <w:name w:val="Char Char32"/>
    <w:locked/>
    <w:rsid w:val="00B130BB"/>
    <w:rPr>
      <w:rFonts w:ascii="Tahoma" w:hAnsi="Tahoma"/>
      <w:b/>
      <w:i/>
      <w:kern w:val="28"/>
      <w:sz w:val="22"/>
      <w:szCs w:val="22"/>
      <w:lang w:val="de-AT" w:eastAsia="de-DE" w:bidi="ar-SA"/>
    </w:rPr>
  </w:style>
  <w:style w:type="character" w:customStyle="1" w:styleId="CharChar31">
    <w:name w:val="Char Char31"/>
    <w:locked/>
    <w:rsid w:val="00B130BB"/>
    <w:rPr>
      <w:rFonts w:ascii="Tahoma" w:hAnsi="Tahoma"/>
      <w:b/>
      <w:i/>
      <w:kern w:val="28"/>
      <w:sz w:val="22"/>
      <w:szCs w:val="22"/>
      <w:lang w:val="de-AT" w:eastAsia="de-DE" w:bidi="ar-SA"/>
    </w:rPr>
  </w:style>
  <w:style w:type="character" w:customStyle="1" w:styleId="CharChar10">
    <w:name w:val="Char Char10"/>
    <w:semiHidden/>
    <w:locked/>
    <w:rsid w:val="00B130BB"/>
    <w:rPr>
      <w:rFonts w:ascii="Courier New" w:hAnsi="Courier New" w:cs="Courier New"/>
      <w:szCs w:val="22"/>
      <w:lang w:val="de-AT" w:eastAsia="de-DE" w:bidi="ar-SA"/>
    </w:rPr>
  </w:style>
  <w:style w:type="character" w:customStyle="1" w:styleId="CharChar30">
    <w:name w:val="Char Char30"/>
    <w:locked/>
    <w:rsid w:val="00B130BB"/>
    <w:rPr>
      <w:rFonts w:ascii="Tahoma" w:hAnsi="Tahoma"/>
      <w:b/>
      <w:i/>
      <w:kern w:val="28"/>
      <w:sz w:val="22"/>
      <w:szCs w:val="22"/>
      <w:lang w:val="de-AT" w:eastAsia="de-DE" w:bidi="ar-SA"/>
    </w:rPr>
  </w:style>
  <w:style w:type="character" w:customStyle="1" w:styleId="CharChar29">
    <w:name w:val="Char Char29"/>
    <w:locked/>
    <w:rsid w:val="00B130BB"/>
    <w:rPr>
      <w:rFonts w:ascii="Tahoma" w:hAnsi="Tahoma"/>
      <w:b/>
      <w:i/>
      <w:kern w:val="28"/>
      <w:sz w:val="22"/>
      <w:szCs w:val="22"/>
      <w:lang w:val="de-AT" w:eastAsia="de-DE" w:bidi="ar-SA"/>
    </w:rPr>
  </w:style>
  <w:style w:type="character" w:customStyle="1" w:styleId="CharChar28">
    <w:name w:val="Char Char28"/>
    <w:locked/>
    <w:rsid w:val="00B130BB"/>
    <w:rPr>
      <w:rFonts w:ascii="Tahoma" w:hAnsi="Tahoma"/>
      <w:b/>
      <w:i/>
      <w:kern w:val="28"/>
      <w:sz w:val="22"/>
      <w:szCs w:val="22"/>
      <w:lang w:val="de-AT" w:eastAsia="de-DE" w:bidi="ar-SA"/>
    </w:rPr>
  </w:style>
  <w:style w:type="character" w:customStyle="1" w:styleId="CharChar27">
    <w:name w:val="Char Char27"/>
    <w:locked/>
    <w:rsid w:val="00B130BB"/>
    <w:rPr>
      <w:rFonts w:ascii="Calibri" w:eastAsia="Calibri" w:hAnsi="Calibri"/>
      <w:lang w:val="sq-AL" w:eastAsia="en-US" w:bidi="ar-SA"/>
    </w:rPr>
  </w:style>
  <w:style w:type="character" w:customStyle="1" w:styleId="CharChar24">
    <w:name w:val="Char Char24"/>
    <w:locked/>
    <w:rsid w:val="00B130BB"/>
    <w:rPr>
      <w:rFonts w:ascii="Tahoma" w:hAnsi="Tahoma" w:cs="Tahoma"/>
      <w:sz w:val="22"/>
      <w:szCs w:val="22"/>
      <w:lang w:val="de-AT" w:eastAsia="de-DE" w:bidi="ar-SA"/>
    </w:rPr>
  </w:style>
  <w:style w:type="character" w:customStyle="1" w:styleId="CharChar23">
    <w:name w:val="Char Char23"/>
    <w:locked/>
    <w:rsid w:val="00B130BB"/>
    <w:rPr>
      <w:rFonts w:ascii="Tahoma" w:hAnsi="Tahoma" w:cs="Tahoma"/>
      <w:sz w:val="22"/>
      <w:szCs w:val="22"/>
      <w:lang w:val="de-AT" w:eastAsia="de-DE" w:bidi="ar-SA"/>
    </w:rPr>
  </w:style>
  <w:style w:type="character" w:customStyle="1" w:styleId="CharChar22">
    <w:name w:val="Char Char22"/>
    <w:semiHidden/>
    <w:locked/>
    <w:rsid w:val="00B130BB"/>
    <w:rPr>
      <w:rFonts w:ascii="Courier New" w:hAnsi="Courier New" w:cs="Courier New"/>
      <w:sz w:val="22"/>
      <w:szCs w:val="22"/>
      <w:lang w:val="de-DE" w:eastAsia="de-DE" w:bidi="ar-SA"/>
    </w:rPr>
  </w:style>
  <w:style w:type="character" w:customStyle="1" w:styleId="CharChar21">
    <w:name w:val="Char Char21"/>
    <w:locked/>
    <w:rsid w:val="00B130BB"/>
    <w:rPr>
      <w:rFonts w:ascii="Tahoma" w:hAnsi="Tahoma" w:cs="Tahoma"/>
      <w:b/>
      <w:kern w:val="28"/>
      <w:sz w:val="36"/>
      <w:szCs w:val="36"/>
      <w:lang w:val="de-AT" w:eastAsia="de-DE" w:bidi="ar-SA"/>
    </w:rPr>
  </w:style>
  <w:style w:type="character" w:customStyle="1" w:styleId="CharChar12">
    <w:name w:val="Char Char12"/>
    <w:semiHidden/>
    <w:locked/>
    <w:rsid w:val="00B130BB"/>
    <w:rPr>
      <w:rFonts w:ascii="Tahoma" w:hAnsi="Tahoma" w:cs="Tahoma"/>
      <w:sz w:val="22"/>
      <w:szCs w:val="22"/>
      <w:lang w:val="de-AT" w:eastAsia="de-DE" w:bidi="ar-SA"/>
    </w:rPr>
  </w:style>
  <w:style w:type="character" w:customStyle="1" w:styleId="CharChar9">
    <w:name w:val="Char Char9"/>
    <w:semiHidden/>
    <w:locked/>
    <w:rsid w:val="00B130BB"/>
    <w:rPr>
      <w:rFonts w:ascii="Tahoma" w:hAnsi="Tahoma" w:cs="Tahoma"/>
      <w:sz w:val="22"/>
      <w:szCs w:val="22"/>
      <w:lang w:val="de-AT" w:eastAsia="de-DE" w:bidi="ar-SA"/>
    </w:rPr>
  </w:style>
  <w:style w:type="character" w:customStyle="1" w:styleId="CharChar25">
    <w:name w:val="Char Char25"/>
    <w:semiHidden/>
    <w:locked/>
    <w:rsid w:val="00B130BB"/>
    <w:rPr>
      <w:rFonts w:ascii="Tahoma" w:hAnsi="Tahoma" w:cs="Tahoma"/>
      <w:sz w:val="22"/>
      <w:szCs w:val="22"/>
      <w:lang w:val="de-AT" w:eastAsia="de-DE" w:bidi="ar-SA"/>
    </w:rPr>
  </w:style>
  <w:style w:type="character" w:customStyle="1" w:styleId="CharChar15">
    <w:name w:val="Char Char15"/>
    <w:semiHidden/>
    <w:locked/>
    <w:rsid w:val="00B130BB"/>
    <w:rPr>
      <w:rFonts w:ascii="Tahoma" w:hAnsi="Tahoma" w:cs="Tahoma"/>
      <w:sz w:val="22"/>
      <w:szCs w:val="22"/>
      <w:lang w:val="de-AT" w:eastAsia="de-DE" w:bidi="ar-SA"/>
    </w:rPr>
  </w:style>
  <w:style w:type="character" w:customStyle="1" w:styleId="CharChar16">
    <w:name w:val="Char Char16"/>
    <w:semiHidden/>
    <w:locked/>
    <w:rsid w:val="00B130BB"/>
    <w:rPr>
      <w:rFonts w:ascii="Tahoma" w:hAnsi="Tahoma" w:cs="Arial"/>
      <w:sz w:val="24"/>
      <w:szCs w:val="24"/>
      <w:lang w:val="de-AT" w:eastAsia="de-DE" w:bidi="ar-SA"/>
    </w:rPr>
  </w:style>
  <w:style w:type="character" w:customStyle="1" w:styleId="CharChar20">
    <w:name w:val="Char Char20"/>
    <w:locked/>
    <w:rsid w:val="00B130BB"/>
    <w:rPr>
      <w:rFonts w:ascii="Tahoma" w:hAnsi="Tahoma" w:cs="Tahoma"/>
      <w:b/>
      <w:kern w:val="28"/>
      <w:sz w:val="32"/>
      <w:szCs w:val="36"/>
      <w:lang w:val="de-AT" w:eastAsia="de-DE" w:bidi="ar-SA"/>
    </w:rPr>
  </w:style>
  <w:style w:type="character" w:customStyle="1" w:styleId="CharChar13">
    <w:name w:val="Char Char13"/>
    <w:semiHidden/>
    <w:locked/>
    <w:rsid w:val="00B130BB"/>
    <w:rPr>
      <w:rFonts w:ascii="Tahoma" w:hAnsi="Tahoma" w:cs="Tahoma"/>
      <w:sz w:val="22"/>
      <w:szCs w:val="22"/>
      <w:lang w:val="de-AT" w:eastAsia="de-DE" w:bidi="ar-SA"/>
    </w:rPr>
  </w:style>
  <w:style w:type="character" w:customStyle="1" w:styleId="CharChar19">
    <w:name w:val="Char Char19"/>
    <w:semiHidden/>
    <w:locked/>
    <w:rsid w:val="00B130BB"/>
    <w:rPr>
      <w:rFonts w:ascii="Tahoma" w:hAnsi="Tahoma" w:cs="Tahoma"/>
      <w:sz w:val="22"/>
      <w:szCs w:val="22"/>
      <w:lang w:val="de-AT" w:eastAsia="de-DE" w:bidi="ar-SA"/>
    </w:rPr>
  </w:style>
  <w:style w:type="character" w:customStyle="1" w:styleId="CharChar3">
    <w:name w:val="Char Char3"/>
    <w:semiHidden/>
    <w:locked/>
    <w:rsid w:val="00B130BB"/>
  </w:style>
  <w:style w:type="character" w:customStyle="1" w:styleId="CharChar14">
    <w:name w:val="Char Char14"/>
    <w:semiHidden/>
    <w:locked/>
    <w:rsid w:val="00B130BB"/>
  </w:style>
  <w:style w:type="character" w:customStyle="1" w:styleId="CharChar17">
    <w:name w:val="Char Char17"/>
    <w:locked/>
    <w:rsid w:val="00B130BB"/>
    <w:rPr>
      <w:rFonts w:ascii="Tahoma" w:hAnsi="Tahoma" w:cs="Tahoma"/>
      <w:sz w:val="22"/>
      <w:szCs w:val="22"/>
      <w:lang w:val="de-AT" w:eastAsia="de-DE" w:bidi="ar-SA"/>
    </w:rPr>
  </w:style>
  <w:style w:type="character" w:customStyle="1" w:styleId="CharChar7">
    <w:name w:val="Char Char7"/>
    <w:semiHidden/>
    <w:locked/>
    <w:rsid w:val="00B130BB"/>
    <w:rPr>
      <w:rFonts w:ascii="Tahoma" w:hAnsi="Tahoma" w:cs="Tahoma"/>
      <w:sz w:val="22"/>
      <w:szCs w:val="22"/>
      <w:lang w:val="de-AT" w:eastAsia="de-DE" w:bidi="ar-SA"/>
    </w:rPr>
  </w:style>
  <w:style w:type="character" w:customStyle="1" w:styleId="CharChar6">
    <w:name w:val="Char Char6"/>
    <w:semiHidden/>
    <w:locked/>
    <w:rsid w:val="00B130BB"/>
    <w:rPr>
      <w:rFonts w:ascii="Tahoma" w:hAnsi="Tahoma" w:cs="Tahoma"/>
      <w:sz w:val="16"/>
      <w:szCs w:val="16"/>
      <w:lang w:val="de-AT" w:eastAsia="de-DE" w:bidi="ar-SA"/>
    </w:rPr>
  </w:style>
  <w:style w:type="character" w:customStyle="1" w:styleId="CharChar5">
    <w:name w:val="Char Char5"/>
    <w:semiHidden/>
    <w:locked/>
    <w:rsid w:val="00B130BB"/>
    <w:rPr>
      <w:rFonts w:ascii="Tahoma" w:hAnsi="Tahoma" w:cs="Tahoma"/>
      <w:sz w:val="22"/>
      <w:szCs w:val="22"/>
      <w:lang w:val="de-AT" w:eastAsia="de-DE" w:bidi="ar-SA"/>
    </w:rPr>
  </w:style>
  <w:style w:type="character" w:customStyle="1" w:styleId="CharChar4">
    <w:name w:val="Char Char4"/>
    <w:semiHidden/>
    <w:locked/>
    <w:rsid w:val="00B130BB"/>
    <w:rPr>
      <w:rFonts w:ascii="Tahoma" w:hAnsi="Tahoma" w:cs="Tahoma"/>
      <w:sz w:val="16"/>
      <w:szCs w:val="16"/>
      <w:lang w:val="de-AT" w:eastAsia="de-DE" w:bidi="ar-SA"/>
    </w:rPr>
  </w:style>
  <w:style w:type="character" w:customStyle="1" w:styleId="CharChar18">
    <w:name w:val="Char Char18"/>
    <w:semiHidden/>
    <w:locked/>
    <w:rsid w:val="00B130BB"/>
    <w:rPr>
      <w:rFonts w:ascii="Tahoma" w:hAnsi="Tahoma" w:cs="Tahoma"/>
      <w:sz w:val="22"/>
      <w:szCs w:val="22"/>
      <w:lang w:val="de-AT" w:eastAsia="de-DE" w:bidi="ar-SA"/>
    </w:rPr>
  </w:style>
  <w:style w:type="character" w:customStyle="1" w:styleId="CharChar8">
    <w:name w:val="Char Char8"/>
    <w:locked/>
    <w:rsid w:val="00B130BB"/>
    <w:rPr>
      <w:rFonts w:ascii="Tahoma" w:hAnsi="Tahoma" w:cs="Tahoma"/>
      <w:sz w:val="22"/>
      <w:szCs w:val="22"/>
      <w:lang w:val="de-AT" w:eastAsia="de-DE" w:bidi="ar-SA"/>
    </w:rPr>
  </w:style>
  <w:style w:type="character" w:customStyle="1" w:styleId="CharChar2">
    <w:name w:val="Char Char2"/>
    <w:locked/>
    <w:rsid w:val="00B130BB"/>
    <w:rPr>
      <w:rFonts w:ascii="Calibri" w:eastAsia="Calibri" w:hAnsi="Calibri" w:cs="Times New Roman"/>
      <w:b/>
      <w:bCs/>
      <w:sz w:val="20"/>
      <w:szCs w:val="20"/>
      <w:lang w:val="sq-AL" w:eastAsia="en-US" w:bidi="ar-SA"/>
    </w:rPr>
  </w:style>
  <w:style w:type="character" w:customStyle="1" w:styleId="CharChar26">
    <w:name w:val="Char Char26"/>
    <w:semiHidden/>
    <w:locked/>
    <w:rsid w:val="00B130BB"/>
    <w:rPr>
      <w:rFonts w:ascii="Tahoma" w:hAnsi="Tahoma" w:cs="Tahoma"/>
      <w:sz w:val="16"/>
      <w:szCs w:val="16"/>
      <w:lang w:val="sq-AL" w:eastAsia="en-US" w:bidi="ar-SA"/>
    </w:rPr>
  </w:style>
  <w:style w:type="character" w:customStyle="1" w:styleId="CommentTextChar11">
    <w:name w:val="Comment Text Char11"/>
    <w:aliases w:val="Char Char37"/>
    <w:semiHidden/>
    <w:rsid w:val="00B130BB"/>
    <w:rPr>
      <w:rFonts w:ascii="Calibri" w:hAnsi="Calibri" w:hint="default"/>
      <w:lang w:val="sq-AL"/>
    </w:rPr>
  </w:style>
  <w:style w:type="character" w:customStyle="1" w:styleId="NormalIndentChar">
    <w:name w:val="Normal Indent Char"/>
    <w:link w:val="NormalIndent"/>
    <w:rsid w:val="00B130B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B130BB"/>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B130BB"/>
    <w:pPr>
      <w:tabs>
        <w:tab w:val="num" w:pos="360"/>
        <w:tab w:val="num" w:pos="1935"/>
        <w:tab w:val="num" w:pos="2563"/>
        <w:tab w:val="num" w:pos="3474"/>
      </w:tabs>
      <w:ind w:left="1935" w:hanging="360"/>
      <w:outlineLvl w:val="6"/>
    </w:pPr>
  </w:style>
  <w:style w:type="character" w:customStyle="1" w:styleId="AODefHeadChar">
    <w:name w:val="AODefHead Char"/>
    <w:link w:val="AODefHead"/>
    <w:rsid w:val="00B130BB"/>
    <w:rPr>
      <w:rFonts w:ascii="Times New Roman" w:eastAsia="Times New Roman" w:hAnsi="Times New Roman" w:cs="Times New Roman"/>
      <w:szCs w:val="20"/>
      <w:lang w:val="sq-AL" w:eastAsia="sq-AL" w:bidi="sq-AL"/>
    </w:rPr>
  </w:style>
  <w:style w:type="paragraph" w:customStyle="1" w:styleId="PARA">
    <w:name w:val="PARA"/>
    <w:basedOn w:val="Normal"/>
    <w:locked/>
    <w:rsid w:val="00B130BB"/>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B130BB"/>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B130B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B130BB"/>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B130B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B130BB"/>
    <w:rPr>
      <w:color w:val="0000FF"/>
      <w:spacing w:val="0"/>
      <w:u w:val="double"/>
    </w:rPr>
  </w:style>
  <w:style w:type="paragraph" w:customStyle="1" w:styleId="dia">
    <w:name w:val="di(a)"/>
    <w:basedOn w:val="Normal"/>
    <w:rsid w:val="00B130BB"/>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B130BB"/>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B130BB"/>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B130BB"/>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B130B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B130B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B130BB"/>
    <w:rPr>
      <w:rFonts w:cs="Times New Roman"/>
      <w:color w:val="808080"/>
    </w:rPr>
  </w:style>
  <w:style w:type="character" w:customStyle="1" w:styleId="az12">
    <w:name w:val="az12"/>
    <w:uiPriority w:val="99"/>
    <w:rsid w:val="00B130B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B130B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B130BB"/>
    <w:rPr>
      <w:rFonts w:ascii="Calibri" w:eastAsia="Times New Roman" w:hAnsi="Calibri" w:cs="Times New Roman"/>
      <w:sz w:val="24"/>
      <w:szCs w:val="24"/>
      <w:lang w:val="en-GB" w:eastAsia="en-GB"/>
    </w:rPr>
  </w:style>
  <w:style w:type="paragraph" w:customStyle="1" w:styleId="Paragraf02">
    <w:name w:val="Paragraf 0.2"/>
    <w:basedOn w:val="Paragrafi"/>
    <w:qFormat/>
    <w:rsid w:val="00B130BB"/>
    <w:pPr>
      <w:tabs>
        <w:tab w:val="left" w:pos="6575"/>
      </w:tabs>
    </w:pPr>
    <w:rPr>
      <w:spacing w:val="-4"/>
    </w:rPr>
  </w:style>
  <w:style w:type="table" w:customStyle="1" w:styleId="TableGrid30">
    <w:name w:val="Table Grid3"/>
    <w:basedOn w:val="TableNormal"/>
    <w:next w:val="TableGrid"/>
    <w:uiPriority w:val="59"/>
    <w:rsid w:val="00B130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130BB"/>
  </w:style>
  <w:style w:type="character" w:styleId="BookTitle">
    <w:name w:val="Book Title"/>
    <w:uiPriority w:val="33"/>
    <w:qFormat/>
    <w:rsid w:val="00B130BB"/>
    <w:rPr>
      <w:b/>
      <w:bCs/>
      <w:smallCaps/>
      <w:spacing w:val="5"/>
    </w:rPr>
  </w:style>
  <w:style w:type="paragraph" w:customStyle="1" w:styleId="Cover1">
    <w:name w:val="Cover1"/>
    <w:basedOn w:val="Normal"/>
    <w:next w:val="Normal"/>
    <w:rsid w:val="00B130BB"/>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B130BB"/>
    <w:pPr>
      <w:spacing w:after="240" w:line="240" w:lineRule="auto"/>
    </w:pPr>
    <w:rPr>
      <w:rFonts w:ascii="Arial" w:eastAsia="Times New Roman" w:hAnsi="Arial" w:cs="Times New Roman"/>
      <w:szCs w:val="20"/>
      <w:lang w:val="sq-AL" w:eastAsia="sq-AL" w:bidi="sq-AL"/>
    </w:rPr>
  </w:style>
  <w:style w:type="paragraph" w:customStyle="1" w:styleId="Stile">
    <w:name w:val="Stile"/>
    <w:rsid w:val="00B130BB"/>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B130BB"/>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B130BB"/>
    <w:rPr>
      <w:rFonts w:ascii="Times New Roman" w:eastAsia="Times New Roman" w:hAnsi="Times New Roman" w:cs="Times New Roman"/>
      <w:szCs w:val="20"/>
      <w:lang w:val="sq-AL"/>
    </w:rPr>
  </w:style>
  <w:style w:type="character" w:customStyle="1" w:styleId="Bodytext0">
    <w:name w:val="Body text_"/>
    <w:link w:val="BodyText1"/>
    <w:rsid w:val="00B130BB"/>
    <w:rPr>
      <w:rFonts w:ascii="Times New Roman" w:hAnsi="Times New Roman"/>
      <w:sz w:val="21"/>
      <w:szCs w:val="21"/>
      <w:shd w:val="clear" w:color="auto" w:fill="FFFFFF"/>
    </w:rPr>
  </w:style>
  <w:style w:type="paragraph" w:customStyle="1" w:styleId="BodyText1">
    <w:name w:val="Body Text1"/>
    <w:basedOn w:val="Normal"/>
    <w:link w:val="Bodytext0"/>
    <w:rsid w:val="00B130BB"/>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B130BB"/>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B130BB"/>
    <w:pPr>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B130BB"/>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B130BB"/>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B130BB"/>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B130BB"/>
    <w:pPr>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B130BB"/>
    <w:pPr>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B130BB"/>
    <w:pPr>
      <w:widowControl w:val="0"/>
      <w:spacing w:after="0" w:line="240" w:lineRule="auto"/>
    </w:pPr>
  </w:style>
  <w:style w:type="paragraph" w:customStyle="1" w:styleId="xl63">
    <w:name w:val="xl63"/>
    <w:basedOn w:val="Normal"/>
    <w:rsid w:val="00B13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B130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1">
    <w:name w:val="No List111"/>
    <w:next w:val="NoList"/>
    <w:uiPriority w:val="99"/>
    <w:semiHidden/>
    <w:unhideWhenUsed/>
    <w:rsid w:val="00B130BB"/>
  </w:style>
  <w:style w:type="paragraph" w:customStyle="1" w:styleId="Char2">
    <w:name w:val="Char2"/>
    <w:basedOn w:val="Normal"/>
    <w:link w:val="FootnoteReference"/>
    <w:uiPriority w:val="99"/>
    <w:rsid w:val="00B130BB"/>
    <w:pPr>
      <w:spacing w:after="160" w:line="240" w:lineRule="exact"/>
    </w:pPr>
    <w:rPr>
      <w:vertAlign w:val="superscript"/>
    </w:rPr>
  </w:style>
  <w:style w:type="paragraph" w:customStyle="1" w:styleId="ecxmsonormal">
    <w:name w:val="ecxmsonormal"/>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B130BB"/>
    <w:pPr>
      <w:keepNext/>
      <w:numPr>
        <w:ilvl w:val="0"/>
        <w:numId w:val="0"/>
      </w:numPr>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B130BB"/>
    <w:rPr>
      <w:rFonts w:ascii="Garamond" w:eastAsia="MS Mincho" w:hAnsi="Garamond" w:cs="CG Times"/>
      <w:b/>
      <w:bCs/>
      <w:caps/>
      <w:color w:val="000000"/>
      <w:sz w:val="24"/>
      <w:lang w:val="en-GB"/>
    </w:rPr>
  </w:style>
  <w:style w:type="paragraph" w:customStyle="1" w:styleId="Style20">
    <w:name w:val="Style 2"/>
    <w:basedOn w:val="Normal"/>
    <w:uiPriority w:val="99"/>
    <w:qFormat/>
    <w:rsid w:val="00B130BB"/>
    <w:pPr>
      <w:spacing w:before="120"/>
      <w:jc w:val="both"/>
      <w:outlineLvl w:val="0"/>
    </w:pPr>
    <w:rPr>
      <w:rFonts w:ascii="Garamond" w:eastAsia="Calibri" w:hAnsi="Garamond" w:cs="Times New Roman"/>
      <w:b/>
      <w:color w:val="0070C0"/>
      <w:sz w:val="36"/>
      <w:szCs w:val="28"/>
      <w:lang w:val="sq-AL"/>
    </w:rPr>
  </w:style>
  <w:style w:type="paragraph" w:customStyle="1" w:styleId="Style30">
    <w:name w:val="Style 3"/>
    <w:basedOn w:val="Style20"/>
    <w:uiPriority w:val="99"/>
    <w:qFormat/>
    <w:rsid w:val="00B130BB"/>
    <w:rPr>
      <w:sz w:val="24"/>
    </w:rPr>
  </w:style>
  <w:style w:type="character" w:customStyle="1" w:styleId="Style2Char">
    <w:name w:val="Style2 Char"/>
    <w:locked/>
    <w:rsid w:val="00B130BB"/>
    <w:rPr>
      <w:rFonts w:ascii="Times New Roman" w:eastAsia="Times New Roman" w:hAnsi="Times New Roman"/>
      <w:color w:val="0070C0"/>
      <w:sz w:val="28"/>
      <w:szCs w:val="24"/>
      <w:lang w:val="sq-AL"/>
    </w:rPr>
  </w:style>
  <w:style w:type="character" w:styleId="IntenseEmphasis">
    <w:name w:val="Intense Emphasis"/>
    <w:uiPriority w:val="21"/>
    <w:qFormat/>
    <w:rsid w:val="00B130BB"/>
    <w:rPr>
      <w:b/>
      <w:bCs/>
      <w:i/>
      <w:iCs/>
      <w:color w:val="4F81BD"/>
      <w:sz w:val="24"/>
    </w:rPr>
  </w:style>
  <w:style w:type="character" w:customStyle="1" w:styleId="longtext1">
    <w:name w:val="long_text1"/>
    <w:rsid w:val="00B130BB"/>
    <w:rPr>
      <w:sz w:val="20"/>
      <w:szCs w:val="20"/>
    </w:rPr>
  </w:style>
  <w:style w:type="character" w:customStyle="1" w:styleId="BodyTextChar1">
    <w:name w:val="Body Text Char1"/>
    <w:rsid w:val="00B130BB"/>
    <w:rPr>
      <w:rFonts w:ascii="Times New Roman" w:eastAsia="Times New Roman" w:hAnsi="Times New Roman"/>
      <w:sz w:val="24"/>
      <w:szCs w:val="24"/>
    </w:rPr>
  </w:style>
  <w:style w:type="character" w:customStyle="1" w:styleId="BodyText3Char1">
    <w:name w:val="Body Text 3 Char1"/>
    <w:uiPriority w:val="99"/>
    <w:semiHidden/>
    <w:rsid w:val="00B130BB"/>
    <w:rPr>
      <w:rFonts w:ascii="Times New Roman" w:eastAsia="Times New Roman" w:hAnsi="Times New Roman"/>
      <w:sz w:val="16"/>
      <w:szCs w:val="16"/>
    </w:rPr>
  </w:style>
  <w:style w:type="character" w:customStyle="1" w:styleId="BodyTextIndent2Char1">
    <w:name w:val="Body Text Indent 2 Char1"/>
    <w:uiPriority w:val="99"/>
    <w:semiHidden/>
    <w:rsid w:val="00B130BB"/>
    <w:rPr>
      <w:rFonts w:ascii="Times New Roman" w:eastAsia="Times New Roman" w:hAnsi="Times New Roman"/>
      <w:sz w:val="24"/>
      <w:szCs w:val="24"/>
    </w:rPr>
  </w:style>
  <w:style w:type="paragraph" w:customStyle="1" w:styleId="xl160">
    <w:name w:val="xl160"/>
    <w:basedOn w:val="Normal"/>
    <w:rsid w:val="00B130BB"/>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B130BB"/>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B130BB"/>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B130BB"/>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B130BB"/>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B130BB"/>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B130BB"/>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B130BB"/>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B130BB"/>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B130BB"/>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B130BB"/>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B130BB"/>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B130BB"/>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B130B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B130BB"/>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B130BB"/>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B130BB"/>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B130BB"/>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B130BB"/>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B130BB"/>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B130BB"/>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B130BB"/>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B130BB"/>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B130BB"/>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B130BB"/>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B130BB"/>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B130BB"/>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B130B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B130BB"/>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B130BB"/>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B130B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B130BB"/>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B130BB"/>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B130BB"/>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B130BB"/>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B130BB"/>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B130BB"/>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B130BB"/>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B130BB"/>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B130BB"/>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B130B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B130BB"/>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B130BB"/>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B130BB"/>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B130BB"/>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B130BB"/>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B130BB"/>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B130BB"/>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B130BB"/>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B130BB"/>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B130B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B130BB"/>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B130BB"/>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B130B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B130B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B130BB"/>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B130BB"/>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B130B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B130BB"/>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B130BB"/>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B130BB"/>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B130BB"/>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B130BB"/>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B130BB"/>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B130BB"/>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B130BB"/>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B130BB"/>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B130BB"/>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B130BB"/>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B130BB"/>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B130BB"/>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B130BB"/>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B130B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B130BB"/>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B130BB"/>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B130BB"/>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B130BB"/>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B130BB"/>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B130BB"/>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B130BB"/>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0">
    <w:name w:val="xl240"/>
    <w:basedOn w:val="Normal"/>
    <w:rsid w:val="00B130BB"/>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41">
    <w:name w:val="xl241"/>
    <w:basedOn w:val="Normal"/>
    <w:rsid w:val="00B130BB"/>
    <w:pPr>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2">
    <w:name w:val="xl242"/>
    <w:basedOn w:val="Normal"/>
    <w:rsid w:val="00B130BB"/>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3">
    <w:name w:val="xl243"/>
    <w:basedOn w:val="Normal"/>
    <w:rsid w:val="00B130BB"/>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4">
    <w:name w:val="xl244"/>
    <w:basedOn w:val="Normal"/>
    <w:rsid w:val="00B130BB"/>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5">
    <w:name w:val="xl245"/>
    <w:basedOn w:val="Normal"/>
    <w:rsid w:val="00B130BB"/>
    <w:pPr>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6">
    <w:name w:val="xl246"/>
    <w:basedOn w:val="Normal"/>
    <w:rsid w:val="00B130BB"/>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7">
    <w:name w:val="xl247"/>
    <w:basedOn w:val="Normal"/>
    <w:rsid w:val="00B130BB"/>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8">
    <w:name w:val="xl248"/>
    <w:basedOn w:val="Normal"/>
    <w:rsid w:val="00B130BB"/>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9">
    <w:name w:val="xl249"/>
    <w:basedOn w:val="Normal"/>
    <w:rsid w:val="00B130BB"/>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0">
    <w:name w:val="xl250"/>
    <w:basedOn w:val="Normal"/>
    <w:rsid w:val="00B130BB"/>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1">
    <w:name w:val="xl251"/>
    <w:basedOn w:val="Normal"/>
    <w:rsid w:val="00B130B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2">
    <w:name w:val="xl252"/>
    <w:basedOn w:val="Normal"/>
    <w:rsid w:val="00B130B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3">
    <w:name w:val="xl253"/>
    <w:basedOn w:val="Normal"/>
    <w:rsid w:val="00B130B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4">
    <w:name w:val="xl254"/>
    <w:basedOn w:val="Normal"/>
    <w:rsid w:val="00B130BB"/>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5">
    <w:name w:val="xl255"/>
    <w:basedOn w:val="Normal"/>
    <w:rsid w:val="00B130BB"/>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6">
    <w:name w:val="xl256"/>
    <w:basedOn w:val="Normal"/>
    <w:rsid w:val="00B13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7">
    <w:name w:val="xl257"/>
    <w:basedOn w:val="Normal"/>
    <w:rsid w:val="00B13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8">
    <w:name w:val="xl258"/>
    <w:basedOn w:val="Normal"/>
    <w:rsid w:val="00B130BB"/>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9">
    <w:name w:val="xl259"/>
    <w:basedOn w:val="Normal"/>
    <w:rsid w:val="00B130BB"/>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60">
    <w:name w:val="xl260"/>
    <w:basedOn w:val="Normal"/>
    <w:rsid w:val="00B130BB"/>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1">
    <w:name w:val="xl261"/>
    <w:basedOn w:val="Normal"/>
    <w:rsid w:val="00B130B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2">
    <w:name w:val="xl262"/>
    <w:basedOn w:val="Normal"/>
    <w:rsid w:val="00B130B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3">
    <w:name w:val="xl263"/>
    <w:basedOn w:val="Normal"/>
    <w:rsid w:val="00B130B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4">
    <w:name w:val="xl264"/>
    <w:basedOn w:val="Normal"/>
    <w:rsid w:val="00B130BB"/>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5">
    <w:name w:val="xl265"/>
    <w:basedOn w:val="Normal"/>
    <w:rsid w:val="00B130B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6">
    <w:name w:val="xl266"/>
    <w:basedOn w:val="Normal"/>
    <w:rsid w:val="00B130BB"/>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7">
    <w:name w:val="xl267"/>
    <w:basedOn w:val="Normal"/>
    <w:rsid w:val="00B130BB"/>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8">
    <w:name w:val="xl268"/>
    <w:basedOn w:val="Normal"/>
    <w:rsid w:val="00B13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9">
    <w:name w:val="xl269"/>
    <w:basedOn w:val="Normal"/>
    <w:rsid w:val="00B130B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0">
    <w:name w:val="xl270"/>
    <w:basedOn w:val="Normal"/>
    <w:rsid w:val="00B130BB"/>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1">
    <w:name w:val="xl271"/>
    <w:basedOn w:val="Normal"/>
    <w:rsid w:val="00B130B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2">
    <w:name w:val="xl272"/>
    <w:basedOn w:val="Normal"/>
    <w:rsid w:val="00B130B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3">
    <w:name w:val="xl273"/>
    <w:basedOn w:val="Normal"/>
    <w:rsid w:val="00B130B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4">
    <w:name w:val="xl274"/>
    <w:basedOn w:val="Normal"/>
    <w:rsid w:val="00B130BB"/>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5">
    <w:name w:val="xl275"/>
    <w:basedOn w:val="Normal"/>
    <w:rsid w:val="00B13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6">
    <w:name w:val="xl276"/>
    <w:basedOn w:val="Normal"/>
    <w:rsid w:val="00B130BB"/>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7">
    <w:name w:val="xl277"/>
    <w:basedOn w:val="Normal"/>
    <w:rsid w:val="00B130BB"/>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8">
    <w:name w:val="xl278"/>
    <w:basedOn w:val="Normal"/>
    <w:rsid w:val="00B130BB"/>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9">
    <w:name w:val="xl279"/>
    <w:basedOn w:val="Normal"/>
    <w:rsid w:val="00B130B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0">
    <w:name w:val="xl280"/>
    <w:basedOn w:val="Normal"/>
    <w:rsid w:val="00B130B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1">
    <w:name w:val="xl281"/>
    <w:basedOn w:val="Normal"/>
    <w:rsid w:val="00B130BB"/>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82">
    <w:name w:val="xl282"/>
    <w:basedOn w:val="Normal"/>
    <w:rsid w:val="00B130BB"/>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3">
    <w:name w:val="xl283"/>
    <w:basedOn w:val="Normal"/>
    <w:rsid w:val="00B130BB"/>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4">
    <w:name w:val="xl284"/>
    <w:basedOn w:val="Normal"/>
    <w:rsid w:val="00B130B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5">
    <w:name w:val="xl285"/>
    <w:basedOn w:val="Normal"/>
    <w:rsid w:val="00B130B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6">
    <w:name w:val="xl286"/>
    <w:basedOn w:val="Normal"/>
    <w:rsid w:val="00B130B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7">
    <w:name w:val="xl287"/>
    <w:basedOn w:val="Normal"/>
    <w:rsid w:val="00B130B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8">
    <w:name w:val="xl288"/>
    <w:basedOn w:val="Normal"/>
    <w:rsid w:val="00B130BB"/>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9">
    <w:name w:val="xl289"/>
    <w:basedOn w:val="Normal"/>
    <w:rsid w:val="00B130B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90">
    <w:name w:val="xl290"/>
    <w:basedOn w:val="Normal"/>
    <w:rsid w:val="00B130BB"/>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1">
    <w:name w:val="xl291"/>
    <w:basedOn w:val="Normal"/>
    <w:rsid w:val="00B130BB"/>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2">
    <w:name w:val="xl292"/>
    <w:basedOn w:val="Normal"/>
    <w:rsid w:val="00B130BB"/>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3">
    <w:name w:val="xl293"/>
    <w:basedOn w:val="Normal"/>
    <w:rsid w:val="00B130BB"/>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4">
    <w:name w:val="xl294"/>
    <w:basedOn w:val="Normal"/>
    <w:rsid w:val="00B130B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5">
    <w:name w:val="xl295"/>
    <w:basedOn w:val="Normal"/>
    <w:rsid w:val="00B130B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6">
    <w:name w:val="xl296"/>
    <w:basedOn w:val="Normal"/>
    <w:rsid w:val="00B130BB"/>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7">
    <w:name w:val="xl297"/>
    <w:basedOn w:val="Normal"/>
    <w:rsid w:val="00B130B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8">
    <w:name w:val="xl298"/>
    <w:basedOn w:val="Normal"/>
    <w:rsid w:val="00B13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9">
    <w:name w:val="xl299"/>
    <w:basedOn w:val="Normal"/>
    <w:rsid w:val="00B13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0">
    <w:name w:val="xl300"/>
    <w:basedOn w:val="Normal"/>
    <w:rsid w:val="00B130B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1">
    <w:name w:val="xl301"/>
    <w:basedOn w:val="Normal"/>
    <w:rsid w:val="00B130B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2">
    <w:name w:val="xl302"/>
    <w:basedOn w:val="Normal"/>
    <w:rsid w:val="00B130BB"/>
    <w:pPr>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3">
    <w:name w:val="xl303"/>
    <w:basedOn w:val="Normal"/>
    <w:rsid w:val="00B130BB"/>
    <w:pPr>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4">
    <w:name w:val="xl304"/>
    <w:basedOn w:val="Normal"/>
    <w:rsid w:val="00B130BB"/>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5">
    <w:name w:val="xl305"/>
    <w:basedOn w:val="Normal"/>
    <w:rsid w:val="00B130BB"/>
    <w:pPr>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6">
    <w:name w:val="xl306"/>
    <w:basedOn w:val="Normal"/>
    <w:rsid w:val="00B130BB"/>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7">
    <w:name w:val="xl307"/>
    <w:basedOn w:val="Normal"/>
    <w:rsid w:val="00B130B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8">
    <w:name w:val="xl308"/>
    <w:basedOn w:val="Normal"/>
    <w:rsid w:val="00B130BB"/>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9">
    <w:name w:val="xl309"/>
    <w:basedOn w:val="Normal"/>
    <w:rsid w:val="00B130BB"/>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0">
    <w:name w:val="xl310"/>
    <w:basedOn w:val="Normal"/>
    <w:rsid w:val="00B130BB"/>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1">
    <w:name w:val="xl311"/>
    <w:basedOn w:val="Normal"/>
    <w:rsid w:val="00B130B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2">
    <w:name w:val="xl312"/>
    <w:basedOn w:val="Normal"/>
    <w:rsid w:val="00B130BB"/>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3">
    <w:name w:val="xl313"/>
    <w:basedOn w:val="Normal"/>
    <w:rsid w:val="00B130BB"/>
    <w:pPr>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4">
    <w:name w:val="xl314"/>
    <w:basedOn w:val="Normal"/>
    <w:rsid w:val="00B130BB"/>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5">
    <w:name w:val="xl315"/>
    <w:basedOn w:val="Normal"/>
    <w:rsid w:val="00B130BB"/>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6">
    <w:name w:val="xl316"/>
    <w:basedOn w:val="Normal"/>
    <w:rsid w:val="00B130BB"/>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7">
    <w:name w:val="xl317"/>
    <w:basedOn w:val="Normal"/>
    <w:rsid w:val="00B130BB"/>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8">
    <w:name w:val="xl318"/>
    <w:basedOn w:val="Normal"/>
    <w:rsid w:val="00B130BB"/>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19">
    <w:name w:val="xl319"/>
    <w:basedOn w:val="Normal"/>
    <w:rsid w:val="00B130BB"/>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0">
    <w:name w:val="xl320"/>
    <w:basedOn w:val="Normal"/>
    <w:rsid w:val="00B130BB"/>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1">
    <w:name w:val="xl321"/>
    <w:basedOn w:val="Normal"/>
    <w:rsid w:val="00B130BB"/>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22">
    <w:name w:val="xl322"/>
    <w:basedOn w:val="Normal"/>
    <w:rsid w:val="00B130BB"/>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3">
    <w:name w:val="xl323"/>
    <w:basedOn w:val="Normal"/>
    <w:rsid w:val="00B130B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4">
    <w:name w:val="xl324"/>
    <w:basedOn w:val="Normal"/>
    <w:rsid w:val="00B130BB"/>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5">
    <w:name w:val="xl325"/>
    <w:basedOn w:val="Normal"/>
    <w:rsid w:val="00B130BB"/>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26">
    <w:name w:val="xl326"/>
    <w:basedOn w:val="Normal"/>
    <w:rsid w:val="00B130B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7">
    <w:name w:val="xl327"/>
    <w:basedOn w:val="Normal"/>
    <w:rsid w:val="00B130BB"/>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8">
    <w:name w:val="xl328"/>
    <w:basedOn w:val="Normal"/>
    <w:rsid w:val="00B130BB"/>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9">
    <w:name w:val="xl329"/>
    <w:basedOn w:val="Normal"/>
    <w:rsid w:val="00B130BB"/>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0">
    <w:name w:val="xl330"/>
    <w:basedOn w:val="Normal"/>
    <w:rsid w:val="00B130BB"/>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1">
    <w:name w:val="xl331"/>
    <w:basedOn w:val="Normal"/>
    <w:rsid w:val="00B130BB"/>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2">
    <w:name w:val="xl332"/>
    <w:basedOn w:val="Normal"/>
    <w:rsid w:val="00B130BB"/>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3">
    <w:name w:val="xl333"/>
    <w:basedOn w:val="Normal"/>
    <w:rsid w:val="00B130BB"/>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4">
    <w:name w:val="xl334"/>
    <w:basedOn w:val="Normal"/>
    <w:rsid w:val="00B130BB"/>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5">
    <w:name w:val="xl335"/>
    <w:basedOn w:val="Normal"/>
    <w:rsid w:val="00B130BB"/>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6">
    <w:name w:val="xl336"/>
    <w:basedOn w:val="Normal"/>
    <w:rsid w:val="00B130BB"/>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7">
    <w:name w:val="xl337"/>
    <w:basedOn w:val="Normal"/>
    <w:rsid w:val="00B130BB"/>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b/>
      <w:bCs/>
      <w:sz w:val="18"/>
      <w:szCs w:val="18"/>
    </w:rPr>
  </w:style>
  <w:style w:type="paragraph" w:customStyle="1" w:styleId="xl338">
    <w:name w:val="xl338"/>
    <w:basedOn w:val="Normal"/>
    <w:rsid w:val="00B130BB"/>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39">
    <w:name w:val="xl339"/>
    <w:basedOn w:val="Normal"/>
    <w:rsid w:val="00B130BB"/>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0">
    <w:name w:val="xl340"/>
    <w:basedOn w:val="Normal"/>
    <w:rsid w:val="00B130BB"/>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1">
    <w:name w:val="xl341"/>
    <w:basedOn w:val="Normal"/>
    <w:rsid w:val="00B130B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2">
    <w:name w:val="xl342"/>
    <w:basedOn w:val="Normal"/>
    <w:rsid w:val="00B130B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3">
    <w:name w:val="xl343"/>
    <w:basedOn w:val="Normal"/>
    <w:rsid w:val="00B130BB"/>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4">
    <w:name w:val="xl344"/>
    <w:basedOn w:val="Normal"/>
    <w:rsid w:val="00B130BB"/>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5">
    <w:name w:val="xl345"/>
    <w:basedOn w:val="Normal"/>
    <w:rsid w:val="00B13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6">
    <w:name w:val="xl346"/>
    <w:basedOn w:val="Normal"/>
    <w:rsid w:val="00B13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7">
    <w:name w:val="xl347"/>
    <w:basedOn w:val="Normal"/>
    <w:rsid w:val="00B130BB"/>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8">
    <w:name w:val="xl348"/>
    <w:basedOn w:val="Normal"/>
    <w:rsid w:val="00B130BB"/>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9">
    <w:name w:val="xl349"/>
    <w:basedOn w:val="Normal"/>
    <w:rsid w:val="00B130B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0">
    <w:name w:val="xl350"/>
    <w:basedOn w:val="Normal"/>
    <w:rsid w:val="00B130B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1">
    <w:name w:val="xl351"/>
    <w:basedOn w:val="Normal"/>
    <w:rsid w:val="00B130B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2">
    <w:name w:val="xl352"/>
    <w:basedOn w:val="Normal"/>
    <w:rsid w:val="00B130B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3">
    <w:name w:val="xl353"/>
    <w:basedOn w:val="Normal"/>
    <w:rsid w:val="00B130BB"/>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54">
    <w:name w:val="xl354"/>
    <w:basedOn w:val="Normal"/>
    <w:rsid w:val="00B130BB"/>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5">
    <w:name w:val="xl355"/>
    <w:basedOn w:val="Normal"/>
    <w:rsid w:val="00B130BB"/>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6">
    <w:name w:val="xl356"/>
    <w:basedOn w:val="Normal"/>
    <w:rsid w:val="00B130BB"/>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7">
    <w:name w:val="xl357"/>
    <w:basedOn w:val="Normal"/>
    <w:rsid w:val="00B130BB"/>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8">
    <w:name w:val="xl358"/>
    <w:basedOn w:val="Normal"/>
    <w:rsid w:val="00B130B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9">
    <w:name w:val="xl359"/>
    <w:basedOn w:val="Normal"/>
    <w:rsid w:val="00B130B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0">
    <w:name w:val="xl360"/>
    <w:basedOn w:val="Normal"/>
    <w:rsid w:val="00B130B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1">
    <w:name w:val="xl361"/>
    <w:basedOn w:val="Normal"/>
    <w:rsid w:val="00B130B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2">
    <w:name w:val="xl362"/>
    <w:basedOn w:val="Normal"/>
    <w:rsid w:val="00B130BB"/>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63">
    <w:name w:val="xl363"/>
    <w:basedOn w:val="Normal"/>
    <w:rsid w:val="00B130BB"/>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4">
    <w:name w:val="xl364"/>
    <w:basedOn w:val="Normal"/>
    <w:rsid w:val="00B130B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5">
    <w:name w:val="xl365"/>
    <w:basedOn w:val="Normal"/>
    <w:rsid w:val="00B130B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66">
    <w:name w:val="xl366"/>
    <w:basedOn w:val="Normal"/>
    <w:rsid w:val="00B130BB"/>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7">
    <w:name w:val="xl367"/>
    <w:basedOn w:val="Normal"/>
    <w:rsid w:val="00B130BB"/>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8">
    <w:name w:val="xl368"/>
    <w:basedOn w:val="Normal"/>
    <w:rsid w:val="00B130BB"/>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9">
    <w:name w:val="xl369"/>
    <w:basedOn w:val="Normal"/>
    <w:rsid w:val="00B130BB"/>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cs="Times New Roman"/>
      <w:sz w:val="18"/>
      <w:szCs w:val="18"/>
    </w:rPr>
  </w:style>
  <w:style w:type="paragraph" w:customStyle="1" w:styleId="xl370">
    <w:name w:val="xl370"/>
    <w:basedOn w:val="Normal"/>
    <w:rsid w:val="00B130BB"/>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1">
    <w:name w:val="xl371"/>
    <w:basedOn w:val="Normal"/>
    <w:rsid w:val="00B130B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2">
    <w:name w:val="xl372"/>
    <w:basedOn w:val="Normal"/>
    <w:rsid w:val="00B130BB"/>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73">
    <w:name w:val="xl373"/>
    <w:basedOn w:val="Normal"/>
    <w:rsid w:val="00B130BB"/>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4">
    <w:name w:val="xl374"/>
    <w:basedOn w:val="Normal"/>
    <w:rsid w:val="00B130B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5">
    <w:name w:val="xl375"/>
    <w:basedOn w:val="Normal"/>
    <w:rsid w:val="00B130BB"/>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6">
    <w:name w:val="xl376"/>
    <w:basedOn w:val="Normal"/>
    <w:rsid w:val="00B130BB"/>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77">
    <w:name w:val="xl377"/>
    <w:basedOn w:val="Normal"/>
    <w:rsid w:val="00B130B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8">
    <w:name w:val="xl378"/>
    <w:basedOn w:val="Normal"/>
    <w:rsid w:val="00B130BB"/>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9">
    <w:name w:val="xl379"/>
    <w:basedOn w:val="Normal"/>
    <w:rsid w:val="00B130BB"/>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0">
    <w:name w:val="xl380"/>
    <w:basedOn w:val="Normal"/>
    <w:rsid w:val="00B130B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1">
    <w:name w:val="xl381"/>
    <w:basedOn w:val="Normal"/>
    <w:rsid w:val="00B130BB"/>
    <w:pPr>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2">
    <w:name w:val="xl382"/>
    <w:basedOn w:val="Normal"/>
    <w:rsid w:val="00B130BB"/>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3">
    <w:name w:val="xl383"/>
    <w:basedOn w:val="Normal"/>
    <w:rsid w:val="00B130BB"/>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4">
    <w:name w:val="xl384"/>
    <w:basedOn w:val="Normal"/>
    <w:rsid w:val="00B130BB"/>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5">
    <w:name w:val="xl385"/>
    <w:basedOn w:val="Normal"/>
    <w:rsid w:val="00B130B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6">
    <w:name w:val="xl386"/>
    <w:basedOn w:val="Normal"/>
    <w:rsid w:val="00B130BB"/>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7">
    <w:name w:val="xl387"/>
    <w:basedOn w:val="Normal"/>
    <w:rsid w:val="00B130BB"/>
    <w:pP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8">
    <w:name w:val="xl388"/>
    <w:basedOn w:val="Normal"/>
    <w:rsid w:val="00B130BB"/>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9">
    <w:name w:val="xl389"/>
    <w:basedOn w:val="Normal"/>
    <w:rsid w:val="00B130BB"/>
    <w:pP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0">
    <w:name w:val="xl390"/>
    <w:basedOn w:val="Normal"/>
    <w:rsid w:val="00B130BB"/>
    <w:pPr>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1">
    <w:name w:val="xl391"/>
    <w:basedOn w:val="Normal"/>
    <w:rsid w:val="00B130BB"/>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2">
    <w:name w:val="xl392"/>
    <w:basedOn w:val="Normal"/>
    <w:rsid w:val="00B130BB"/>
    <w:pPr>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3">
    <w:name w:val="xl393"/>
    <w:basedOn w:val="Normal"/>
    <w:rsid w:val="00B130BB"/>
    <w:pPr>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font7">
    <w:name w:val="font7"/>
    <w:basedOn w:val="Normal"/>
    <w:rsid w:val="00B130BB"/>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B130BB"/>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CM7">
    <w:name w:val="CM7"/>
    <w:basedOn w:val="Normal"/>
    <w:next w:val="Normal"/>
    <w:uiPriority w:val="99"/>
    <w:rsid w:val="00B130B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Notedebasdepage">
    <w:name w:val="Note de bas de page_"/>
    <w:basedOn w:val="DefaultParagraphFont"/>
    <w:link w:val="Notedebasdepage0"/>
    <w:uiPriority w:val="99"/>
    <w:locked/>
    <w:rsid w:val="00B130BB"/>
    <w:rPr>
      <w:rFonts w:cs="Times New Roman"/>
      <w:sz w:val="19"/>
      <w:szCs w:val="19"/>
      <w:shd w:val="clear" w:color="auto" w:fill="FFFFFF"/>
    </w:rPr>
  </w:style>
  <w:style w:type="character" w:customStyle="1" w:styleId="En-tte1">
    <w:name w:val="En-tête #1_"/>
    <w:basedOn w:val="DefaultParagraphFont"/>
    <w:link w:val="En-tte10"/>
    <w:uiPriority w:val="99"/>
    <w:locked/>
    <w:rsid w:val="00B130B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B130BB"/>
    <w:rPr>
      <w:rFonts w:cs="Times New Roman"/>
      <w:sz w:val="20"/>
      <w:szCs w:val="20"/>
      <w:shd w:val="clear" w:color="auto" w:fill="FFFFFF"/>
    </w:rPr>
  </w:style>
  <w:style w:type="character" w:customStyle="1" w:styleId="En-tteoupieddepage0">
    <w:name w:val="En-tête ou pied de page"/>
    <w:basedOn w:val="En-tteoupieddepage"/>
    <w:uiPriority w:val="99"/>
    <w:rsid w:val="00B130B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B130BB"/>
    <w:rPr>
      <w:rFonts w:cs="Times New Roman"/>
      <w:sz w:val="31"/>
      <w:szCs w:val="31"/>
      <w:shd w:val="clear" w:color="auto" w:fill="FFFFFF"/>
    </w:rPr>
  </w:style>
  <w:style w:type="character" w:customStyle="1" w:styleId="Tabledesmatires2">
    <w:name w:val="Table des matières (2)"/>
    <w:basedOn w:val="DefaultParagraphFont"/>
    <w:uiPriority w:val="99"/>
    <w:rsid w:val="00B130BB"/>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B130BB"/>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B130BB"/>
    <w:rPr>
      <w:rFonts w:cs="Times New Roman"/>
      <w:b/>
      <w:bCs/>
      <w:sz w:val="30"/>
      <w:szCs w:val="30"/>
      <w:shd w:val="clear" w:color="auto" w:fill="FFFFFF"/>
    </w:rPr>
  </w:style>
  <w:style w:type="character" w:customStyle="1" w:styleId="En-tte3">
    <w:name w:val="En-tête #3_"/>
    <w:basedOn w:val="DefaultParagraphFont"/>
    <w:link w:val="En-tte30"/>
    <w:uiPriority w:val="99"/>
    <w:locked/>
    <w:rsid w:val="00B130B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B130BB"/>
    <w:rPr>
      <w:rFonts w:cs="Times New Roman"/>
      <w:shd w:val="clear" w:color="auto" w:fill="FFFFFF"/>
    </w:rPr>
  </w:style>
  <w:style w:type="character" w:customStyle="1" w:styleId="Corpsdutexte0">
    <w:name w:val="Corps du texte"/>
    <w:basedOn w:val="Corpsdutexte"/>
    <w:uiPriority w:val="99"/>
    <w:rsid w:val="00B130BB"/>
    <w:rPr>
      <w:rFonts w:cs="Times New Roman"/>
      <w:u w:val="single"/>
      <w:shd w:val="clear" w:color="auto" w:fill="FFFFFF"/>
    </w:rPr>
  </w:style>
  <w:style w:type="paragraph" w:customStyle="1" w:styleId="Notedebasdepage0">
    <w:name w:val="Note de bas de page"/>
    <w:basedOn w:val="Normal"/>
    <w:link w:val="Notedebasdepage"/>
    <w:uiPriority w:val="99"/>
    <w:rsid w:val="00B130BB"/>
    <w:pPr>
      <w:shd w:val="clear" w:color="auto" w:fill="FFFFFF"/>
      <w:spacing w:after="0" w:line="182" w:lineRule="exact"/>
      <w:ind w:left="562" w:right="40" w:hanging="539"/>
      <w:jc w:val="both"/>
    </w:pPr>
    <w:rPr>
      <w:rFonts w:cs="Times New Roman"/>
      <w:sz w:val="19"/>
      <w:szCs w:val="19"/>
    </w:rPr>
  </w:style>
  <w:style w:type="paragraph" w:customStyle="1" w:styleId="En-tte10">
    <w:name w:val="En-tête #1"/>
    <w:basedOn w:val="Normal"/>
    <w:link w:val="En-tte1"/>
    <w:uiPriority w:val="99"/>
    <w:rsid w:val="00B130BB"/>
    <w:pPr>
      <w:shd w:val="clear" w:color="auto" w:fill="FFFFFF"/>
      <w:spacing w:after="240" w:line="240" w:lineRule="atLeast"/>
      <w:ind w:left="562" w:right="40" w:hanging="539"/>
      <w:jc w:val="both"/>
      <w:outlineLvl w:val="0"/>
    </w:pPr>
    <w:rPr>
      <w:rFonts w:cs="Times New Roman"/>
      <w:b/>
      <w:bCs/>
      <w:sz w:val="30"/>
      <w:szCs w:val="30"/>
    </w:rPr>
  </w:style>
  <w:style w:type="paragraph" w:customStyle="1" w:styleId="En-tteoupieddepage1">
    <w:name w:val="En-tête ou pied de page1"/>
    <w:basedOn w:val="Normal"/>
    <w:link w:val="En-tteoupieddepage"/>
    <w:uiPriority w:val="99"/>
    <w:rsid w:val="00B130BB"/>
    <w:pPr>
      <w:shd w:val="clear" w:color="auto" w:fill="FFFFFF"/>
      <w:spacing w:after="0" w:line="274" w:lineRule="exact"/>
      <w:ind w:left="562" w:right="40" w:hanging="539"/>
      <w:jc w:val="both"/>
    </w:pPr>
    <w:rPr>
      <w:rFonts w:cs="Times New Roman"/>
      <w:sz w:val="20"/>
      <w:szCs w:val="20"/>
    </w:rPr>
  </w:style>
  <w:style w:type="paragraph" w:customStyle="1" w:styleId="Corpsdutexte20">
    <w:name w:val="Corps du texte (2)"/>
    <w:basedOn w:val="Normal"/>
    <w:link w:val="Corpsdutexte2"/>
    <w:uiPriority w:val="99"/>
    <w:rsid w:val="00B130BB"/>
    <w:pPr>
      <w:shd w:val="clear" w:color="auto" w:fill="FFFFFF"/>
      <w:spacing w:before="240" w:after="480" w:line="240" w:lineRule="atLeast"/>
      <w:ind w:left="562" w:right="40" w:hanging="539"/>
      <w:jc w:val="both"/>
    </w:pPr>
    <w:rPr>
      <w:rFonts w:cs="Times New Roman"/>
      <w:sz w:val="31"/>
      <w:szCs w:val="31"/>
    </w:rPr>
  </w:style>
  <w:style w:type="paragraph" w:customStyle="1" w:styleId="Corpsdutexte30">
    <w:name w:val="Corps du texte (3)"/>
    <w:basedOn w:val="Normal"/>
    <w:link w:val="Corpsdutexte3"/>
    <w:uiPriority w:val="99"/>
    <w:rsid w:val="00B130BB"/>
    <w:pPr>
      <w:shd w:val="clear" w:color="auto" w:fill="FFFFFF"/>
      <w:spacing w:after="0" w:line="475" w:lineRule="exact"/>
      <w:ind w:left="562" w:right="40" w:hanging="539"/>
      <w:jc w:val="center"/>
    </w:pPr>
    <w:rPr>
      <w:rFonts w:cs="Times New Roman"/>
      <w:b/>
      <w:bCs/>
      <w:sz w:val="30"/>
      <w:szCs w:val="30"/>
    </w:rPr>
  </w:style>
  <w:style w:type="paragraph" w:customStyle="1" w:styleId="En-tte30">
    <w:name w:val="En-tête #3"/>
    <w:basedOn w:val="Normal"/>
    <w:link w:val="En-tte3"/>
    <w:uiPriority w:val="99"/>
    <w:rsid w:val="00B130BB"/>
    <w:pPr>
      <w:shd w:val="clear" w:color="auto" w:fill="FFFFFF"/>
      <w:spacing w:after="180" w:line="240" w:lineRule="atLeast"/>
      <w:ind w:left="562" w:right="40" w:hanging="720"/>
      <w:jc w:val="both"/>
      <w:outlineLvl w:val="2"/>
    </w:pPr>
    <w:rPr>
      <w:rFonts w:cs="Times New Roman"/>
      <w:b/>
      <w:bCs/>
      <w:sz w:val="20"/>
      <w:szCs w:val="20"/>
    </w:rPr>
  </w:style>
  <w:style w:type="paragraph" w:customStyle="1" w:styleId="Corpsdutexte1">
    <w:name w:val="Corps du texte1"/>
    <w:basedOn w:val="Normal"/>
    <w:link w:val="Corpsdutexte"/>
    <w:uiPriority w:val="99"/>
    <w:rsid w:val="00B130BB"/>
    <w:pPr>
      <w:shd w:val="clear" w:color="auto" w:fill="FFFFFF"/>
      <w:spacing w:before="180" w:after="60" w:line="274" w:lineRule="exact"/>
      <w:ind w:left="562" w:right="40" w:hanging="840"/>
      <w:jc w:val="both"/>
    </w:pPr>
    <w:rPr>
      <w:rFonts w:cs="Times New Roman"/>
    </w:rPr>
  </w:style>
  <w:style w:type="paragraph" w:customStyle="1" w:styleId="Text3">
    <w:name w:val="Text 3"/>
    <w:basedOn w:val="Normal"/>
    <w:rsid w:val="00B130BB"/>
    <w:pPr>
      <w:tabs>
        <w:tab w:val="left" w:pos="2160"/>
      </w:tabs>
      <w:snapToGrid w:val="0"/>
      <w:spacing w:after="240" w:line="274" w:lineRule="exact"/>
      <w:ind w:left="1440" w:right="40" w:hanging="539"/>
      <w:jc w:val="both"/>
    </w:pPr>
    <w:rPr>
      <w:rFonts w:ascii="Times New Roman" w:eastAsia="Times New Roman" w:hAnsi="Times New Roman" w:cs="Times New Roman"/>
      <w:sz w:val="24"/>
      <w:szCs w:val="20"/>
      <w:lang w:val="sq-AL" w:eastAsia="sq-AL" w:bidi="sq-AL"/>
    </w:rPr>
  </w:style>
  <w:style w:type="numbering" w:customStyle="1" w:styleId="Style3">
    <w:name w:val="Style3"/>
    <w:rsid w:val="00B130BB"/>
    <w:pPr>
      <w:numPr>
        <w:numId w:val="17"/>
      </w:numPr>
    </w:pPr>
  </w:style>
  <w:style w:type="paragraph" w:customStyle="1" w:styleId="ListNumberLevel2">
    <w:name w:val="List Number (Level 2)"/>
    <w:basedOn w:val="Normal"/>
    <w:rsid w:val="00B130BB"/>
    <w:pPr>
      <w:tabs>
        <w:tab w:val="num" w:pos="1417"/>
      </w:tabs>
      <w:spacing w:before="120" w:after="120" w:line="274" w:lineRule="exact"/>
      <w:ind w:left="1417" w:right="40" w:hanging="708"/>
      <w:jc w:val="both"/>
    </w:pPr>
    <w:rPr>
      <w:rFonts w:ascii="Times New Roman" w:eastAsia="Times New Roman" w:hAnsi="Times New Roman" w:cs="Times New Roman"/>
      <w:sz w:val="24"/>
      <w:szCs w:val="20"/>
      <w:lang w:val="sq-AL" w:eastAsia="sq-AL" w:bidi="sq-AL"/>
    </w:rPr>
  </w:style>
  <w:style w:type="character" w:customStyle="1" w:styleId="NumPar1Char">
    <w:name w:val="NumPar 1 Char"/>
    <w:basedOn w:val="DefaultParagraphFont"/>
    <w:link w:val="NumPar1"/>
    <w:locked/>
    <w:rsid w:val="00B130B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B130BB"/>
    <w:pPr>
      <w:tabs>
        <w:tab w:val="num" w:pos="2126"/>
      </w:tabs>
      <w:spacing w:before="120" w:after="120" w:line="240" w:lineRule="auto"/>
      <w:ind w:left="2126" w:hanging="709"/>
      <w:jc w:val="both"/>
    </w:pPr>
    <w:rPr>
      <w:rFonts w:ascii="Times New Roman" w:eastAsia="Times New Roman" w:hAnsi="Times New Roman" w:cs="Times New Roman"/>
      <w:sz w:val="24"/>
      <w:szCs w:val="24"/>
      <w:lang w:val="sq-AL" w:eastAsia="sq-AL" w:bidi="sq-AL"/>
    </w:rPr>
  </w:style>
  <w:style w:type="paragraph" w:customStyle="1" w:styleId="ListNumberLevel4">
    <w:name w:val="List Number (Level 4)"/>
    <w:basedOn w:val="Normal"/>
    <w:rsid w:val="00B130BB"/>
    <w:pPr>
      <w:tabs>
        <w:tab w:val="num" w:pos="2835"/>
      </w:tabs>
      <w:spacing w:before="120" w:after="120" w:line="240" w:lineRule="auto"/>
      <w:ind w:left="2835" w:hanging="709"/>
      <w:jc w:val="both"/>
    </w:pPr>
    <w:rPr>
      <w:rFonts w:ascii="Times New Roman" w:eastAsia="Times New Roman" w:hAnsi="Times New Roman" w:cs="Times New Roman"/>
      <w:sz w:val="24"/>
      <w:szCs w:val="24"/>
      <w:lang w:val="sq-AL" w:eastAsia="sq-AL" w:bidi="sq-AL"/>
    </w:rPr>
  </w:style>
  <w:style w:type="character" w:customStyle="1" w:styleId="super">
    <w:name w:val="super"/>
    <w:basedOn w:val="DefaultParagraphFont"/>
    <w:rsid w:val="00B130BB"/>
  </w:style>
  <w:style w:type="paragraph" w:customStyle="1" w:styleId="Normal2">
    <w:name w:val="Normal2"/>
    <w:basedOn w:val="Normal"/>
    <w:rsid w:val="00B130BB"/>
    <w:pPr>
      <w:spacing w:before="100" w:beforeAutospacing="1" w:after="100" w:afterAutospacing="1" w:line="240" w:lineRule="auto"/>
    </w:pPr>
    <w:rPr>
      <w:rFonts w:ascii="Times New Roman" w:eastAsia="Times New Roman" w:hAnsi="Times New Roman" w:cs="Times New Roman"/>
      <w:sz w:val="24"/>
      <w:szCs w:val="24"/>
      <w:lang w:val="sq-AL" w:eastAsia="sq-AL" w:bidi="sq-AL"/>
    </w:rPr>
  </w:style>
  <w:style w:type="character" w:customStyle="1" w:styleId="italic">
    <w:name w:val="italic"/>
    <w:basedOn w:val="DefaultParagraphFont"/>
    <w:rsid w:val="00B130BB"/>
  </w:style>
  <w:style w:type="paragraph" w:customStyle="1" w:styleId="en-tte300">
    <w:name w:val="en-tte30"/>
    <w:basedOn w:val="Normal"/>
    <w:rsid w:val="00B130BB"/>
    <w:pPr>
      <w:shd w:val="clear" w:color="auto" w:fill="FFFFFF"/>
      <w:spacing w:after="180" w:line="240" w:lineRule="atLeast"/>
      <w:ind w:left="562" w:right="40" w:hanging="720"/>
      <w:jc w:val="both"/>
    </w:pPr>
    <w:rPr>
      <w:rFonts w:ascii="Times New Roman" w:hAnsi="Times New Roman" w:cs="Times New Roman"/>
      <w:b/>
      <w:bCs/>
      <w:sz w:val="20"/>
      <w:szCs w:val="20"/>
      <w:lang w:val="sq-AL" w:eastAsia="sq-AL" w:bidi="sq-AL"/>
    </w:rPr>
  </w:style>
  <w:style w:type="paragraph" w:customStyle="1" w:styleId="Point0number">
    <w:name w:val="Point 0 (number)"/>
    <w:basedOn w:val="Normal"/>
    <w:rsid w:val="00B130BB"/>
    <w:pPr>
      <w:numPr>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number">
    <w:name w:val="Point 1 (number)"/>
    <w:basedOn w:val="Normal"/>
    <w:rsid w:val="00B130BB"/>
    <w:pPr>
      <w:numPr>
        <w:ilvl w:val="2"/>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2number">
    <w:name w:val="Point 2 (number)"/>
    <w:basedOn w:val="Normal"/>
    <w:rsid w:val="00B130BB"/>
    <w:pPr>
      <w:numPr>
        <w:ilvl w:val="4"/>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number">
    <w:name w:val="Point 3 (number)"/>
    <w:basedOn w:val="Normal"/>
    <w:rsid w:val="00B130BB"/>
    <w:pPr>
      <w:numPr>
        <w:ilvl w:val="6"/>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0letter">
    <w:name w:val="Point 0 (letter)"/>
    <w:basedOn w:val="Normal"/>
    <w:rsid w:val="00B130BB"/>
    <w:pPr>
      <w:numPr>
        <w:ilvl w:val="1"/>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letter">
    <w:name w:val="Point 1 (letter)"/>
    <w:basedOn w:val="Normal"/>
    <w:rsid w:val="00B130BB"/>
    <w:pPr>
      <w:numPr>
        <w:ilvl w:val="3"/>
        <w:numId w:val="18"/>
      </w:numPr>
      <w:spacing w:before="120" w:after="120" w:line="240" w:lineRule="auto"/>
      <w:jc w:val="both"/>
    </w:pPr>
    <w:rPr>
      <w:rFonts w:ascii="Times New Roman" w:eastAsia="Times New Roman" w:hAnsi="Times New Roman" w:cs="Times New Roman"/>
      <w:lang w:val="sq-AL" w:eastAsia="sq-AL" w:bidi="sq-AL"/>
    </w:rPr>
  </w:style>
  <w:style w:type="paragraph" w:customStyle="1" w:styleId="Point2letter">
    <w:name w:val="Point 2 (letter)"/>
    <w:basedOn w:val="Normal"/>
    <w:rsid w:val="00B130BB"/>
    <w:pPr>
      <w:numPr>
        <w:ilvl w:val="5"/>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letter">
    <w:name w:val="Point 3 (letter)"/>
    <w:basedOn w:val="Normal"/>
    <w:rsid w:val="00B130BB"/>
    <w:pPr>
      <w:numPr>
        <w:ilvl w:val="7"/>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4letter">
    <w:name w:val="Point 4 (letter)"/>
    <w:basedOn w:val="Normal"/>
    <w:rsid w:val="00B130BB"/>
    <w:pPr>
      <w:numPr>
        <w:ilvl w:val="8"/>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character" w:customStyle="1" w:styleId="shorttext">
    <w:name w:val="short_text"/>
    <w:basedOn w:val="DefaultParagraphFont"/>
    <w:rsid w:val="00B130BB"/>
  </w:style>
  <w:style w:type="character" w:customStyle="1" w:styleId="Bodytext20">
    <w:name w:val="Body text (2)_"/>
    <w:link w:val="Bodytext24"/>
    <w:rsid w:val="00B130BB"/>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B130BB"/>
    <w:pPr>
      <w:widowControl w:val="0"/>
      <w:shd w:val="clear" w:color="auto" w:fill="FFFFFF"/>
      <w:spacing w:after="0" w:line="586" w:lineRule="exact"/>
      <w:ind w:hanging="580"/>
    </w:pPr>
    <w:rPr>
      <w:rFonts w:ascii="Book Antiqua" w:eastAsia="Book Antiqua" w:hAnsi="Book Antiqua" w:cs="Book Antiqua"/>
      <w:sz w:val="16"/>
      <w:szCs w:val="16"/>
    </w:rPr>
  </w:style>
  <w:style w:type="character" w:customStyle="1" w:styleId="Heading20">
    <w:name w:val="Heading #2_"/>
    <w:basedOn w:val="DefaultParagraphFont"/>
    <w:link w:val="Heading21"/>
    <w:rsid w:val="00B130BB"/>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B130BB"/>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B130BB"/>
    <w:pPr>
      <w:shd w:val="clear" w:color="auto" w:fill="FFFFFF"/>
      <w:spacing w:before="840" w:line="336" w:lineRule="exact"/>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B130BB"/>
    <w:pPr>
      <w:shd w:val="clear" w:color="auto" w:fill="FFFFFF"/>
      <w:spacing w:before="480" w:after="480" w:line="0" w:lineRule="atLeast"/>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B130BB"/>
    <w:pPr>
      <w:spacing w:before="100" w:beforeAutospacing="1" w:after="100" w:afterAutospacing="1" w:line="240" w:lineRule="auto"/>
    </w:pPr>
    <w:rPr>
      <w:rFonts w:ascii="Times New Roman" w:eastAsia="Calibri" w:hAnsi="Times New Roman" w:cs="Times New Roman"/>
      <w:sz w:val="24"/>
      <w:szCs w:val="24"/>
    </w:rPr>
  </w:style>
  <w:style w:type="paragraph" w:customStyle="1" w:styleId="Definition">
    <w:name w:val="Definition"/>
    <w:basedOn w:val="Normal"/>
    <w:link w:val="DefinitionChar"/>
    <w:rsid w:val="00B130B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cs="Times New Roman"/>
      <w:sz w:val="24"/>
      <w:szCs w:val="20"/>
    </w:rPr>
  </w:style>
  <w:style w:type="paragraph" w:customStyle="1" w:styleId="Definition1b">
    <w:name w:val="Definition 1b"/>
    <w:basedOn w:val="Definition"/>
    <w:rsid w:val="00B130BB"/>
    <w:pPr>
      <w:spacing w:before="0"/>
    </w:pPr>
  </w:style>
  <w:style w:type="paragraph" w:customStyle="1" w:styleId="Definition1a">
    <w:name w:val="Definition 1a"/>
    <w:basedOn w:val="Definition"/>
    <w:next w:val="Definition1b"/>
    <w:rsid w:val="00B130BB"/>
    <w:pPr>
      <w:keepNext/>
    </w:pPr>
  </w:style>
  <w:style w:type="paragraph" w:customStyle="1" w:styleId="Paragraph1">
    <w:name w:val="Paragraph (1)"/>
    <w:basedOn w:val="Normal"/>
    <w:rsid w:val="00B130B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cs="Times New Roman"/>
      <w:sz w:val="24"/>
      <w:szCs w:val="20"/>
      <w:lang w:val="en-GB" w:eastAsia="en-GB"/>
    </w:rPr>
  </w:style>
  <w:style w:type="paragraph" w:customStyle="1" w:styleId="ParagraphA0">
    <w:name w:val="Paragraph (A)"/>
    <w:basedOn w:val="Normal"/>
    <w:rsid w:val="00B130B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cs="Times New Roman"/>
      <w:sz w:val="24"/>
      <w:szCs w:val="20"/>
      <w:lang w:val="en-GB" w:eastAsia="en-GB"/>
    </w:rPr>
  </w:style>
  <w:style w:type="paragraph" w:customStyle="1" w:styleId="Section1">
    <w:name w:val="Section 1"/>
    <w:basedOn w:val="Normal"/>
    <w:rsid w:val="00B130B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cs="Times New Roman"/>
      <w:sz w:val="24"/>
      <w:szCs w:val="20"/>
      <w:lang w:val="en-GB" w:eastAsia="en-GB"/>
    </w:rPr>
  </w:style>
  <w:style w:type="paragraph" w:customStyle="1" w:styleId="Definition2">
    <w:name w:val="Definition 2"/>
    <w:basedOn w:val="Definition"/>
    <w:rsid w:val="00B130BB"/>
    <w:pPr>
      <w:tabs>
        <w:tab w:val="clear" w:pos="2835"/>
      </w:tabs>
      <w:ind w:firstLine="0"/>
    </w:pPr>
  </w:style>
  <w:style w:type="paragraph" w:customStyle="1" w:styleId="Definition3">
    <w:name w:val="Definition 3"/>
    <w:basedOn w:val="Definition2"/>
    <w:rsid w:val="00B130BB"/>
    <w:pPr>
      <w:tabs>
        <w:tab w:val="clear" w:pos="3402"/>
      </w:tabs>
      <w:ind w:left="3402"/>
    </w:pPr>
  </w:style>
  <w:style w:type="paragraph" w:customStyle="1" w:styleId="Definition4">
    <w:name w:val="Definition 4"/>
    <w:basedOn w:val="Definition3"/>
    <w:rsid w:val="00B130BB"/>
    <w:pPr>
      <w:tabs>
        <w:tab w:val="clear" w:pos="3969"/>
      </w:tabs>
      <w:ind w:left="3969"/>
    </w:pPr>
  </w:style>
  <w:style w:type="paragraph" w:customStyle="1" w:styleId="Paragraphi">
    <w:name w:val="Paragraph (i)"/>
    <w:basedOn w:val="Normal"/>
    <w:rsid w:val="00B130B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cs="Times New Roman"/>
      <w:sz w:val="24"/>
      <w:szCs w:val="20"/>
      <w:lang w:val="en-GB" w:eastAsia="en-GB"/>
    </w:rPr>
  </w:style>
  <w:style w:type="paragraph" w:customStyle="1" w:styleId="ScheduleHeading">
    <w:name w:val="Schedule Heading"/>
    <w:basedOn w:val="Title"/>
    <w:next w:val="Normal"/>
    <w:rsid w:val="00B130B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B130B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B130B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B130B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B130BB"/>
    <w:pPr>
      <w:spacing w:after="160" w:line="240" w:lineRule="exact"/>
    </w:pPr>
    <w:rPr>
      <w:rFonts w:ascii="Tahoma" w:eastAsia="Times New Roman" w:hAnsi="Tahoma" w:cs="Times New Roman"/>
      <w:sz w:val="20"/>
      <w:szCs w:val="20"/>
    </w:rPr>
  </w:style>
  <w:style w:type="paragraph" w:customStyle="1" w:styleId="Bodytext4">
    <w:name w:val="Body text (4)"/>
    <w:basedOn w:val="Normal"/>
    <w:link w:val="Bodytext40"/>
    <w:rsid w:val="00B130BB"/>
    <w:pPr>
      <w:widowControl w:val="0"/>
      <w:shd w:val="clear" w:color="auto" w:fill="FFFFFF"/>
      <w:spacing w:after="180" w:line="230" w:lineRule="exact"/>
      <w:jc w:val="both"/>
    </w:pPr>
    <w:rPr>
      <w:rFonts w:ascii="Arial" w:eastAsia="Calibri" w:hAnsi="Arial" w:cs="Times New Roman"/>
      <w:b/>
      <w:bCs/>
      <w:i/>
      <w:iCs/>
      <w:sz w:val="19"/>
      <w:szCs w:val="19"/>
    </w:rPr>
  </w:style>
  <w:style w:type="character" w:customStyle="1" w:styleId="Bodytext40">
    <w:name w:val="Body text (4)_"/>
    <w:link w:val="Bodytext4"/>
    <w:rsid w:val="00B130BB"/>
    <w:rPr>
      <w:rFonts w:ascii="Arial" w:eastAsia="Calibri" w:hAnsi="Arial" w:cs="Times New Roman"/>
      <w:b/>
      <w:bCs/>
      <w:i/>
      <w:iCs/>
      <w:sz w:val="19"/>
      <w:szCs w:val="19"/>
      <w:shd w:val="clear" w:color="auto" w:fill="FFFFFF"/>
    </w:rPr>
  </w:style>
  <w:style w:type="paragraph" w:customStyle="1" w:styleId="wfxFaxNum">
    <w:name w:val="&quot;wfxFaxNum&quot;"/>
    <w:rsid w:val="00B130BB"/>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B130BB"/>
    <w:rPr>
      <w:rFonts w:ascii="Calibri" w:eastAsia="MS Mincho" w:hAnsi="Calibri" w:cs="Times New Roman"/>
      <w:color w:val="000000"/>
      <w:sz w:val="20"/>
      <w:szCs w:val="20"/>
      <w:lang w:val="sq-AL"/>
    </w:rPr>
  </w:style>
  <w:style w:type="paragraph" w:customStyle="1" w:styleId="Default0">
    <w:name w:val="&quot;Default&quot;"/>
    <w:rsid w:val="00B130B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B130BB"/>
  </w:style>
  <w:style w:type="paragraph" w:customStyle="1" w:styleId="ListParagraph0">
    <w:name w:val="&quot;List Paragraph&quot;"/>
    <w:rsid w:val="00B130BB"/>
    <w:pPr>
      <w:ind w:left="720"/>
    </w:pPr>
    <w:rPr>
      <w:rFonts w:ascii="Calibri" w:eastAsia="Times New Roman" w:hAnsi="Calibri" w:cs="Times New Roman"/>
      <w:lang w:val="sq-AL"/>
    </w:rPr>
  </w:style>
  <w:style w:type="paragraph" w:customStyle="1" w:styleId="NoSpacing0">
    <w:name w:val="&quot;No Spacing&quot;"/>
    <w:rsid w:val="00B130BB"/>
    <w:pPr>
      <w:spacing w:after="0" w:line="240" w:lineRule="auto"/>
    </w:pPr>
    <w:rPr>
      <w:rFonts w:ascii="Calibri" w:eastAsia="Times New Roman" w:hAnsi="Calibri" w:cs="Times New Roman"/>
      <w:lang w:val="sq-AL"/>
    </w:rPr>
  </w:style>
  <w:style w:type="paragraph" w:customStyle="1" w:styleId="BodyText30">
    <w:name w:val="&quot;Body Text 3&quot;"/>
    <w:rsid w:val="00B130BB"/>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B130BB"/>
    <w:pPr>
      <w:spacing w:after="120" w:line="240" w:lineRule="auto"/>
    </w:pPr>
    <w:rPr>
      <w:rFonts w:ascii="Calibri" w:eastAsia="Calibri" w:hAnsi="Calibri" w:cs="Times New Roman"/>
      <w:sz w:val="21"/>
      <w:szCs w:val="20"/>
    </w:rPr>
  </w:style>
  <w:style w:type="paragraph" w:customStyle="1" w:styleId="Normal10">
    <w:name w:val="&quot;Normal1&quot;"/>
    <w:rsid w:val="00B130BB"/>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B130B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B130BB"/>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B130BB"/>
    <w:pPr>
      <w:autoSpaceDE w:val="0"/>
      <w:autoSpaceDN w:val="0"/>
      <w:adjustRightInd w:val="0"/>
      <w:spacing w:before="57" w:after="0" w:line="240" w:lineRule="auto"/>
      <w:ind w:left="720" w:hanging="720"/>
      <w:jc w:val="both"/>
    </w:pPr>
    <w:rPr>
      <w:rFonts w:ascii="Tahoma" w:eastAsia="Times New Roman" w:hAnsi="Tahoma" w:cs="Tahoma"/>
      <w:sz w:val="20"/>
      <w:szCs w:val="24"/>
    </w:rPr>
  </w:style>
  <w:style w:type="paragraph" w:customStyle="1" w:styleId="norm">
    <w:name w:val="norm"/>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face">
    <w:name w:val="boldface"/>
    <w:basedOn w:val="DefaultParagraphFont"/>
    <w:rsid w:val="00B130BB"/>
  </w:style>
  <w:style w:type="paragraph" w:customStyle="1" w:styleId="title-annex-1">
    <w:name w:val="title-annex-1"/>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table">
    <w:name w:val="title-table"/>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s">
    <w:name w:val="italics"/>
    <w:basedOn w:val="DefaultParagraphFont"/>
    <w:rsid w:val="00B130BB"/>
  </w:style>
  <w:style w:type="paragraph" w:customStyle="1" w:styleId="modref">
    <w:name w:val="modref"/>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l-norm">
    <w:name w:val="tbl-norm"/>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erscript">
    <w:name w:val="superscript"/>
    <w:basedOn w:val="DefaultParagraphFont"/>
    <w:rsid w:val="00B130BB"/>
  </w:style>
  <w:style w:type="paragraph" w:customStyle="1" w:styleId="title-gr-seq-level-1">
    <w:name w:val="title-gr-seq-level-1"/>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1">
    <w:name w:val="List1"/>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seq-level-3">
    <w:name w:val="title-gr-seq-level-3"/>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seq-level-2">
    <w:name w:val="title-gr-seq-level-2"/>
    <w:basedOn w:val="Normal"/>
    <w:rsid w:val="00B130B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130B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184</Pages>
  <Words>62113</Words>
  <Characters>354049</Characters>
  <Application>Microsoft Office Word</Application>
  <DocSecurity>0</DocSecurity>
  <Lines>2950</Lines>
  <Paragraphs>830</Paragraphs>
  <ScaleCrop>false</ScaleCrop>
  <Company/>
  <LinksUpToDate>false</LinksUpToDate>
  <CharactersWithSpaces>415332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2018-01-31T14:04:00Z</dcterms:created>
  <dcterms:modified xsi:type="dcterms:W3CDTF">2018-01-31T14:06:00Z</dcterms:modified>
</cp:coreProperties>
</file>