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10B" w:rsidRDefault="00B4010B" w:rsidP="00B4010B">
      <w:pPr>
        <w:pStyle w:val="NeniTitull"/>
        <w:keepNext w:val="0"/>
        <w:rPr>
          <w:lang w:val="sq-AL"/>
        </w:rPr>
      </w:pPr>
      <w:r>
        <w:rPr>
          <w:lang w:val="sq-AL"/>
        </w:rPr>
        <w:t>VENDIM</w:t>
      </w:r>
    </w:p>
    <w:p w:rsidR="00B4010B" w:rsidRDefault="00B4010B" w:rsidP="00B4010B">
      <w:pPr>
        <w:pStyle w:val="NeniTitull"/>
        <w:keepNext w:val="0"/>
        <w:rPr>
          <w:lang w:val="sq-AL"/>
        </w:rPr>
      </w:pPr>
      <w:r>
        <w:rPr>
          <w:lang w:val="sq-AL"/>
        </w:rPr>
        <w:t>Nr. 140, datë 13.3.2018</w:t>
      </w:r>
    </w:p>
    <w:p w:rsidR="00B4010B" w:rsidRDefault="00B4010B" w:rsidP="00B4010B">
      <w:pPr>
        <w:pStyle w:val="NeniTitull"/>
        <w:keepNext w:val="0"/>
        <w:rPr>
          <w:sz w:val="14"/>
          <w:lang w:val="sq-AL"/>
        </w:rPr>
      </w:pPr>
    </w:p>
    <w:p w:rsidR="00B4010B" w:rsidRDefault="00B4010B" w:rsidP="00B4010B">
      <w:pPr>
        <w:pStyle w:val="NeniTitull"/>
        <w:keepNext w:val="0"/>
        <w:rPr>
          <w:lang w:val="sq-AL"/>
        </w:rPr>
      </w:pPr>
      <w:r>
        <w:rPr>
          <w:lang w:val="sq-AL"/>
        </w:rPr>
        <w:t>PËR TRANSFERIMIN NË PRONËSI TË BASHKISË GRAMSH, NË NJËSINË ADMINISTRATIVE PISHAJ, TË PRONAVE ME NR. 1274–1297, DHE PËR NJË NDRYSHIM NË VENDIMIN NR. 273, DATË 18.4.2012, TË KËSHILLIT TË MINISTRAVE, “PËR MIRATIMIN E LISTËS PËRFUNDIMTARE TË PRONAVE TË PALUAJTSHME PUBLIKE, SHTETËRORE, QË TRANSFEROHEN NË PRONËSI OSE NË PËRDORIM TË KOMUNËS PISHAJ, TË QARKUT TË ELBASANIT”</w:t>
      </w:r>
    </w:p>
    <w:p w:rsidR="00B4010B" w:rsidRDefault="00B4010B" w:rsidP="00B4010B">
      <w:pPr>
        <w:pStyle w:val="Paragrafi"/>
        <w:rPr>
          <w:sz w:val="14"/>
          <w:lang w:val="sq-AL"/>
        </w:rPr>
      </w:pPr>
    </w:p>
    <w:p w:rsidR="00B4010B" w:rsidRDefault="00B4010B" w:rsidP="00B4010B">
      <w:pPr>
        <w:pStyle w:val="Paragrafi"/>
        <w:rPr>
          <w:lang w:val="sq-AL"/>
        </w:rPr>
      </w:pPr>
      <w:r>
        <w:rPr>
          <w:lang w:val="sq-AL"/>
        </w:rPr>
        <w:t xml:space="preserve">Në mbështetje të nenit 100 të Kushtetutës, të neneve 3, shkronja “k”, 5, 7, 8 e 17, të ligjit nr. 8744, datë 22.2.2001, “Për transferimin e pronave të paluajtshme publike të shtetit në njësitë e qeverisjes vendore”, të ndryshuar, me propozimin e ministrit të Brendshëm, Këshilli i Ministrave </w:t>
      </w:r>
    </w:p>
    <w:p w:rsidR="00B4010B" w:rsidRDefault="00B4010B" w:rsidP="00B4010B">
      <w:pPr>
        <w:pStyle w:val="Paragrafi"/>
        <w:rPr>
          <w:sz w:val="14"/>
          <w:lang w:val="sq-AL"/>
        </w:rPr>
      </w:pPr>
    </w:p>
    <w:p w:rsidR="00B4010B" w:rsidRDefault="00B4010B" w:rsidP="00B4010B">
      <w:pPr>
        <w:pStyle w:val="NeniNr"/>
        <w:keepNext w:val="0"/>
        <w:rPr>
          <w:lang w:val="sq-AL"/>
        </w:rPr>
      </w:pPr>
    </w:p>
    <w:p w:rsidR="00B4010B" w:rsidRDefault="00B4010B" w:rsidP="00B4010B">
      <w:pPr>
        <w:pStyle w:val="NeniNr"/>
        <w:keepNext w:val="0"/>
        <w:rPr>
          <w:lang w:val="sq-AL"/>
        </w:rPr>
      </w:pPr>
      <w:r>
        <w:rPr>
          <w:lang w:val="sq-AL"/>
        </w:rPr>
        <w:t xml:space="preserve">VENDOSI: </w:t>
      </w:r>
    </w:p>
    <w:p w:rsidR="00B4010B" w:rsidRDefault="00B4010B" w:rsidP="00B4010B">
      <w:pPr>
        <w:pStyle w:val="Paragrafi"/>
        <w:rPr>
          <w:spacing w:val="-4"/>
          <w:sz w:val="14"/>
          <w:lang w:val="sq-AL"/>
        </w:rPr>
      </w:pPr>
      <w:bookmarkStart w:id="0" w:name="_GoBack"/>
      <w:bookmarkEnd w:id="0"/>
    </w:p>
    <w:p w:rsidR="00B4010B" w:rsidRDefault="00B4010B" w:rsidP="00B4010B">
      <w:pPr>
        <w:pStyle w:val="Paragrafi"/>
        <w:rPr>
          <w:spacing w:val="-4"/>
          <w:lang w:val="sq-AL"/>
        </w:rPr>
      </w:pPr>
      <w:r>
        <w:rPr>
          <w:spacing w:val="-4"/>
          <w:lang w:val="sq-AL"/>
        </w:rPr>
        <w:t>1. Në vendimin nr. 273, datë 18.4.2012, të Këshillit të Ministrave, kudo në titull dhe në përmbajtjen e tij, fjalët “… të Komunës Pishaj …” zëvendësohen me “… në njësinë administrative Pishaj, Bashkia Gramsh…”.</w:t>
      </w:r>
    </w:p>
    <w:p w:rsidR="00B4010B" w:rsidRDefault="00B4010B" w:rsidP="00B4010B">
      <w:pPr>
        <w:pStyle w:val="Paragrafi"/>
        <w:rPr>
          <w:spacing w:val="-4"/>
          <w:lang w:val="sq-AL"/>
        </w:rPr>
      </w:pPr>
      <w:r>
        <w:rPr>
          <w:spacing w:val="-4"/>
          <w:lang w:val="sq-AL"/>
        </w:rPr>
        <w:t>2. Transferimin në pronësi të Bashkisë Gramsh, në Njësinë Administrative Pishaj, të pronave me nr. 1274–1297, gjithsej 5 (pesë) fletë, sipas lidhjes 1 dhe formularëve, që i bashkëlidhen këtij vendimi dhe janë pjesë përbërëse të tij.</w:t>
      </w:r>
    </w:p>
    <w:p w:rsidR="00B4010B" w:rsidRDefault="00B4010B" w:rsidP="00B4010B">
      <w:pPr>
        <w:pStyle w:val="Paragrafi"/>
        <w:rPr>
          <w:spacing w:val="-4"/>
          <w:lang w:val="sq-AL"/>
        </w:rPr>
      </w:pPr>
      <w:r>
        <w:rPr>
          <w:spacing w:val="-4"/>
          <w:lang w:val="sq-AL"/>
        </w:rPr>
        <w:t xml:space="preserve">3. Në listën e inventarit të pronave të paluajtshme shtetërore, që i bashkëlidhet vendimit nr. 273, datë 18.4.2012, të Këshillit të Ministrave, shtohen pronat e përmendura në pikën 2. </w:t>
      </w:r>
    </w:p>
    <w:p w:rsidR="00B4010B" w:rsidRDefault="00B4010B" w:rsidP="00B4010B">
      <w:pPr>
        <w:pStyle w:val="Paragrafi"/>
        <w:rPr>
          <w:spacing w:val="-4"/>
          <w:lang w:val="sq-AL"/>
        </w:rPr>
      </w:pPr>
      <w:r>
        <w:rPr>
          <w:spacing w:val="-4"/>
          <w:lang w:val="sq-AL"/>
        </w:rPr>
        <w:t>4. Pronave me numër rendor 51–59 t’u ndryshojë sipërfaqja sipas formularëve bashkë-lidhur, gjithsej 2 (dy) fletë.</w:t>
      </w:r>
    </w:p>
    <w:p w:rsidR="00B4010B" w:rsidRDefault="00B4010B" w:rsidP="00B4010B">
      <w:pPr>
        <w:pStyle w:val="Paragrafi"/>
        <w:rPr>
          <w:spacing w:val="-4"/>
          <w:lang w:val="sq-AL"/>
        </w:rPr>
      </w:pPr>
      <w:r>
        <w:rPr>
          <w:spacing w:val="-4"/>
          <w:lang w:val="sq-AL"/>
        </w:rPr>
        <w:t>5. Bashkisë Gramsh i ndalohet të ndryshojë destinacionin e pronave të përcaktuara në pikën 2 të këtij vendimi.</w:t>
      </w:r>
    </w:p>
    <w:p w:rsidR="00B4010B" w:rsidRDefault="00B4010B" w:rsidP="00B4010B">
      <w:pPr>
        <w:pStyle w:val="Paragrafi"/>
        <w:rPr>
          <w:spacing w:val="-4"/>
          <w:lang w:val="sq-AL"/>
        </w:rPr>
      </w:pPr>
      <w:r>
        <w:rPr>
          <w:spacing w:val="-4"/>
          <w:lang w:val="sq-AL"/>
        </w:rPr>
        <w:t>6. Ngarkohen ministri i Brendshëm, kryetari i Bashkisë Gramsh dhe kryeregjistruesi i Pasurive të Paluajtshme të Republikës së Shqipërisë për ndjekjen dhe zbatimin e këtij vendimi.</w:t>
      </w:r>
    </w:p>
    <w:p w:rsidR="00B4010B" w:rsidRDefault="00B4010B" w:rsidP="00B4010B">
      <w:pPr>
        <w:pStyle w:val="Paragrafi"/>
        <w:rPr>
          <w:spacing w:val="-4"/>
          <w:lang w:val="sq-AL"/>
        </w:rPr>
      </w:pPr>
      <w:r>
        <w:rPr>
          <w:spacing w:val="-4"/>
          <w:lang w:val="sq-AL"/>
        </w:rPr>
        <w:tab/>
        <w:t>Ky vendim hyn në fuqi pas botimit në Fletoren Zyrtare.</w:t>
      </w:r>
    </w:p>
    <w:p w:rsidR="00B4010B" w:rsidRDefault="00B4010B" w:rsidP="00B4010B">
      <w:pPr>
        <w:pStyle w:val="Paragrafi"/>
        <w:rPr>
          <w:spacing w:val="-4"/>
          <w:sz w:val="14"/>
          <w:lang w:val="sq-AL"/>
        </w:rPr>
      </w:pPr>
    </w:p>
    <w:p w:rsidR="00B4010B" w:rsidRDefault="00B4010B" w:rsidP="00B4010B">
      <w:pPr>
        <w:pStyle w:val="Paragrafi"/>
        <w:jc w:val="right"/>
        <w:rPr>
          <w:spacing w:val="-4"/>
          <w:lang w:val="sq-AL"/>
        </w:rPr>
      </w:pPr>
      <w:r>
        <w:rPr>
          <w:spacing w:val="-4"/>
          <w:lang w:val="sq-AL"/>
        </w:rPr>
        <w:t>KRYEMINISTRI</w:t>
      </w:r>
    </w:p>
    <w:p w:rsidR="00B4010B" w:rsidRDefault="00B4010B" w:rsidP="00B4010B">
      <w:pPr>
        <w:pStyle w:val="Paragrafi"/>
        <w:jc w:val="right"/>
        <w:rPr>
          <w:b/>
          <w:spacing w:val="-4"/>
          <w:lang w:val="sq-AL"/>
        </w:rPr>
      </w:pPr>
      <w:r>
        <w:rPr>
          <w:b/>
          <w:spacing w:val="-4"/>
          <w:lang w:val="sq-AL"/>
        </w:rPr>
        <w:t>Edi Rama</w:t>
      </w:r>
    </w:p>
    <w:p w:rsidR="00B4010B" w:rsidRDefault="00B4010B" w:rsidP="00B4010B">
      <w:pPr>
        <w:pStyle w:val="Paragrafi"/>
        <w:jc w:val="right"/>
        <w:rPr>
          <w:lang w:val="sq-AL"/>
        </w:rPr>
      </w:pPr>
    </w:p>
    <w:p w:rsidR="00B4010B" w:rsidRDefault="00B4010B" w:rsidP="00B4010B">
      <w:pPr>
        <w:pStyle w:val="Paragrafi"/>
        <w:rPr>
          <w:lang w:val="sq-AL"/>
        </w:rPr>
      </w:pPr>
      <w:r>
        <w:rPr>
          <w:lang w:val="sq-AL"/>
        </w:rPr>
        <w:t>Bashkia Gramsh</w:t>
      </w:r>
    </w:p>
    <w:p w:rsidR="00B4010B" w:rsidRDefault="00B4010B" w:rsidP="00B4010B">
      <w:pPr>
        <w:pStyle w:val="Paragrafi"/>
        <w:rPr>
          <w:lang w:val="sq-AL"/>
        </w:rPr>
      </w:pPr>
      <w:r>
        <w:rPr>
          <w:spacing w:val="-4"/>
          <w:lang w:val="sq-AL"/>
        </w:rPr>
        <w:t>Njësia Administrative Pishaj</w:t>
      </w:r>
    </w:p>
    <w:p w:rsidR="00B4010B" w:rsidRDefault="00B4010B" w:rsidP="00B4010B">
      <w:pPr>
        <w:pStyle w:val="Paragrafi"/>
        <w:jc w:val="right"/>
        <w:rPr>
          <w:lang w:val="sq-AL"/>
        </w:rPr>
      </w:pPr>
      <w:r>
        <w:rPr>
          <w:lang w:val="sq-AL"/>
        </w:rPr>
        <w:t>Lidhja 1</w:t>
      </w:r>
    </w:p>
    <w:p w:rsidR="00B4010B" w:rsidRDefault="00B4010B" w:rsidP="00B4010B">
      <w:pPr>
        <w:pStyle w:val="Paragrafi"/>
        <w:rPr>
          <w:sz w:val="14"/>
          <w:lang w:val="sq-AL"/>
        </w:rPr>
      </w:pPr>
      <w:r>
        <w:rPr>
          <w:lang w:val="sq-AL"/>
        </w:rPr>
        <w:tab/>
      </w:r>
    </w:p>
    <w:tbl>
      <w:tblPr>
        <w:tblStyle w:val="TableGrid"/>
        <w:tblW w:w="5000" w:type="pct"/>
        <w:jc w:val="center"/>
        <w:tblInd w:w="0" w:type="dxa"/>
        <w:tblLook w:val="04A0" w:firstRow="1" w:lastRow="0" w:firstColumn="1" w:lastColumn="0" w:noHBand="0" w:noVBand="1"/>
      </w:tblPr>
      <w:tblGrid>
        <w:gridCol w:w="2746"/>
        <w:gridCol w:w="4002"/>
        <w:gridCol w:w="2881"/>
      </w:tblGrid>
      <w:tr w:rsidR="00B4010B" w:rsidTr="00B4010B">
        <w:trPr>
          <w:jc w:val="center"/>
        </w:trPr>
        <w:tc>
          <w:tcPr>
            <w:tcW w:w="1426" w:type="pct"/>
            <w:tcBorders>
              <w:top w:val="single" w:sz="4" w:space="0" w:color="auto"/>
              <w:left w:val="single" w:sz="4" w:space="0" w:color="auto"/>
              <w:bottom w:val="single" w:sz="4" w:space="0" w:color="auto"/>
              <w:right w:val="single" w:sz="4" w:space="0" w:color="auto"/>
            </w:tcBorders>
            <w:vAlign w:val="center"/>
            <w:hideMark/>
          </w:tcPr>
          <w:p w:rsidR="00B4010B" w:rsidRDefault="00B4010B">
            <w:pPr>
              <w:widowControl w:val="0"/>
              <w:spacing w:after="0" w:line="240" w:lineRule="auto"/>
              <w:ind w:firstLine="0"/>
              <w:jc w:val="center"/>
              <w:rPr>
                <w:lang w:val="sq-AL"/>
              </w:rPr>
            </w:pPr>
            <w:r>
              <w:rPr>
                <w:rFonts w:ascii="Garamond" w:hAnsi="Garamond"/>
                <w:b/>
                <w:lang w:val="sq-AL"/>
              </w:rPr>
              <w:t>Numrat rendorë të pronave në listën e inventarit</w:t>
            </w:r>
          </w:p>
        </w:tc>
        <w:tc>
          <w:tcPr>
            <w:tcW w:w="2078" w:type="pct"/>
            <w:tcBorders>
              <w:top w:val="single" w:sz="4" w:space="0" w:color="auto"/>
              <w:left w:val="single" w:sz="4" w:space="0" w:color="auto"/>
              <w:bottom w:val="single" w:sz="4" w:space="0" w:color="auto"/>
              <w:right w:val="single" w:sz="4" w:space="0" w:color="auto"/>
            </w:tcBorders>
            <w:vAlign w:val="center"/>
            <w:hideMark/>
          </w:tcPr>
          <w:p w:rsidR="00B4010B" w:rsidRDefault="00B4010B">
            <w:pPr>
              <w:pStyle w:val="Paragrafi"/>
              <w:ind w:firstLine="0"/>
              <w:jc w:val="center"/>
              <w:rPr>
                <w:sz w:val="20"/>
                <w:lang w:val="sq-AL"/>
              </w:rPr>
            </w:pPr>
            <w:r>
              <w:rPr>
                <w:b/>
                <w:sz w:val="20"/>
                <w:lang w:val="sq-AL"/>
              </w:rPr>
              <w:t>Fusha e përdorimit të pronës</w:t>
            </w:r>
          </w:p>
        </w:tc>
        <w:tc>
          <w:tcPr>
            <w:tcW w:w="1496" w:type="pct"/>
            <w:tcBorders>
              <w:top w:val="single" w:sz="4" w:space="0" w:color="auto"/>
              <w:left w:val="single" w:sz="4" w:space="0" w:color="auto"/>
              <w:bottom w:val="single" w:sz="4" w:space="0" w:color="auto"/>
              <w:right w:val="single" w:sz="4" w:space="0" w:color="auto"/>
            </w:tcBorders>
            <w:vAlign w:val="center"/>
            <w:hideMark/>
          </w:tcPr>
          <w:p w:rsidR="00B4010B" w:rsidRDefault="00B4010B">
            <w:pPr>
              <w:pStyle w:val="Paragrafi"/>
              <w:ind w:firstLine="0"/>
              <w:jc w:val="center"/>
              <w:rPr>
                <w:sz w:val="20"/>
                <w:lang w:val="sq-AL"/>
              </w:rPr>
            </w:pPr>
            <w:r>
              <w:rPr>
                <w:b/>
                <w:sz w:val="20"/>
                <w:lang w:val="sq-AL"/>
              </w:rPr>
              <w:t>Lloji i transferimit</w:t>
            </w:r>
          </w:p>
        </w:tc>
      </w:tr>
      <w:tr w:rsidR="00B4010B" w:rsidTr="00B4010B">
        <w:trPr>
          <w:jc w:val="center"/>
        </w:trPr>
        <w:tc>
          <w:tcPr>
            <w:tcW w:w="1426" w:type="pct"/>
            <w:tcBorders>
              <w:top w:val="single" w:sz="4" w:space="0" w:color="auto"/>
              <w:left w:val="single" w:sz="4" w:space="0" w:color="auto"/>
              <w:bottom w:val="single" w:sz="4" w:space="0" w:color="auto"/>
              <w:right w:val="single" w:sz="4" w:space="0" w:color="auto"/>
            </w:tcBorders>
            <w:vAlign w:val="center"/>
            <w:hideMark/>
          </w:tcPr>
          <w:p w:rsidR="00B4010B" w:rsidRDefault="00B4010B">
            <w:pPr>
              <w:pStyle w:val="Paragrafi"/>
              <w:ind w:firstLine="0"/>
              <w:jc w:val="center"/>
              <w:rPr>
                <w:sz w:val="20"/>
                <w:lang w:val="sq-AL"/>
              </w:rPr>
            </w:pPr>
            <w:r>
              <w:rPr>
                <w:sz w:val="20"/>
                <w:lang w:val="sq-AL"/>
              </w:rPr>
              <w:t>1274–1295</w:t>
            </w:r>
          </w:p>
        </w:tc>
        <w:tc>
          <w:tcPr>
            <w:tcW w:w="2078" w:type="pct"/>
            <w:tcBorders>
              <w:top w:val="single" w:sz="4" w:space="0" w:color="auto"/>
              <w:left w:val="single" w:sz="4" w:space="0" w:color="auto"/>
              <w:bottom w:val="single" w:sz="4" w:space="0" w:color="auto"/>
              <w:right w:val="single" w:sz="4" w:space="0" w:color="auto"/>
            </w:tcBorders>
            <w:hideMark/>
          </w:tcPr>
          <w:p w:rsidR="00B4010B" w:rsidRDefault="00B4010B">
            <w:pPr>
              <w:widowControl w:val="0"/>
              <w:spacing w:after="0" w:line="240" w:lineRule="auto"/>
              <w:ind w:firstLine="0"/>
              <w:jc w:val="left"/>
              <w:rPr>
                <w:rFonts w:ascii="Garamond" w:hAnsi="Garamond"/>
                <w:lang w:val="sq-AL"/>
              </w:rPr>
            </w:pPr>
            <w:r>
              <w:rPr>
                <w:rFonts w:ascii="Garamond" w:hAnsi="Garamond"/>
                <w:lang w:val="sq-AL"/>
              </w:rPr>
              <w:t xml:space="preserve">Prona që përdoren për realizimin e programeve në fushën e strehimit </w:t>
            </w:r>
          </w:p>
        </w:tc>
        <w:tc>
          <w:tcPr>
            <w:tcW w:w="1496" w:type="pct"/>
            <w:tcBorders>
              <w:top w:val="single" w:sz="4" w:space="0" w:color="auto"/>
              <w:left w:val="single" w:sz="4" w:space="0" w:color="auto"/>
              <w:bottom w:val="single" w:sz="4" w:space="0" w:color="auto"/>
              <w:right w:val="single" w:sz="4" w:space="0" w:color="auto"/>
            </w:tcBorders>
            <w:hideMark/>
          </w:tcPr>
          <w:p w:rsidR="00B4010B" w:rsidRDefault="00B4010B">
            <w:pPr>
              <w:pStyle w:val="Paragrafi"/>
              <w:ind w:firstLine="0"/>
              <w:rPr>
                <w:sz w:val="20"/>
                <w:lang w:val="sq-AL"/>
              </w:rPr>
            </w:pPr>
            <w:r>
              <w:rPr>
                <w:sz w:val="20"/>
                <w:lang w:val="sq-AL"/>
              </w:rPr>
              <w:t>Në pronësi</w:t>
            </w:r>
          </w:p>
        </w:tc>
      </w:tr>
      <w:tr w:rsidR="00B4010B" w:rsidTr="00B4010B">
        <w:trPr>
          <w:jc w:val="center"/>
        </w:trPr>
        <w:tc>
          <w:tcPr>
            <w:tcW w:w="1426" w:type="pct"/>
            <w:tcBorders>
              <w:top w:val="single" w:sz="4" w:space="0" w:color="auto"/>
              <w:left w:val="single" w:sz="4" w:space="0" w:color="auto"/>
              <w:bottom w:val="single" w:sz="4" w:space="0" w:color="auto"/>
              <w:right w:val="single" w:sz="4" w:space="0" w:color="auto"/>
            </w:tcBorders>
            <w:vAlign w:val="center"/>
            <w:hideMark/>
          </w:tcPr>
          <w:p w:rsidR="00B4010B" w:rsidRDefault="00B4010B">
            <w:pPr>
              <w:pStyle w:val="Paragrafi"/>
              <w:ind w:firstLine="0"/>
              <w:jc w:val="center"/>
              <w:rPr>
                <w:sz w:val="20"/>
                <w:lang w:val="sq-AL"/>
              </w:rPr>
            </w:pPr>
            <w:r>
              <w:rPr>
                <w:sz w:val="20"/>
                <w:lang w:val="sq-AL"/>
              </w:rPr>
              <w:t>1296–1297</w:t>
            </w:r>
          </w:p>
        </w:tc>
        <w:tc>
          <w:tcPr>
            <w:tcW w:w="2078" w:type="pct"/>
            <w:tcBorders>
              <w:top w:val="single" w:sz="4" w:space="0" w:color="auto"/>
              <w:left w:val="single" w:sz="4" w:space="0" w:color="auto"/>
              <w:bottom w:val="single" w:sz="4" w:space="0" w:color="auto"/>
              <w:right w:val="single" w:sz="4" w:space="0" w:color="auto"/>
            </w:tcBorders>
            <w:hideMark/>
          </w:tcPr>
          <w:p w:rsidR="00B4010B" w:rsidRDefault="00B4010B">
            <w:pPr>
              <w:pStyle w:val="Paragrafi"/>
              <w:ind w:firstLine="0"/>
              <w:jc w:val="left"/>
              <w:rPr>
                <w:sz w:val="20"/>
                <w:lang w:val="sq-AL"/>
              </w:rPr>
            </w:pPr>
            <w:r>
              <w:rPr>
                <w:sz w:val="20"/>
                <w:lang w:val="sq-AL" w:eastAsia="ja-JP"/>
              </w:rPr>
              <w:t>Troje të lira dhe hapësira publike të pazëna ndërmjet ndërtesave ose objekteve të çdo lloji</w:t>
            </w:r>
          </w:p>
        </w:tc>
        <w:tc>
          <w:tcPr>
            <w:tcW w:w="1496" w:type="pct"/>
            <w:tcBorders>
              <w:top w:val="single" w:sz="4" w:space="0" w:color="auto"/>
              <w:left w:val="single" w:sz="4" w:space="0" w:color="auto"/>
              <w:bottom w:val="single" w:sz="4" w:space="0" w:color="auto"/>
              <w:right w:val="single" w:sz="4" w:space="0" w:color="auto"/>
            </w:tcBorders>
            <w:hideMark/>
          </w:tcPr>
          <w:p w:rsidR="00B4010B" w:rsidRDefault="00B4010B">
            <w:pPr>
              <w:pStyle w:val="Paragrafi"/>
              <w:ind w:firstLine="0"/>
              <w:rPr>
                <w:sz w:val="20"/>
                <w:lang w:val="sq-AL"/>
              </w:rPr>
            </w:pPr>
            <w:r>
              <w:rPr>
                <w:sz w:val="20"/>
                <w:lang w:val="sq-AL"/>
              </w:rPr>
              <w:t>Në pronësi</w:t>
            </w:r>
          </w:p>
        </w:tc>
      </w:tr>
    </w:tbl>
    <w:p w:rsidR="00B4010B" w:rsidRDefault="00B4010B" w:rsidP="00B4010B">
      <w:pPr>
        <w:pStyle w:val="Paragrafi"/>
        <w:rPr>
          <w:lang w:val="sq-AL"/>
        </w:rPr>
      </w:pPr>
      <w:r>
        <w:rPr>
          <w:lang w:val="sq-AL"/>
        </w:rPr>
        <w:t xml:space="preserve"> </w:t>
      </w:r>
    </w:p>
    <w:p w:rsidR="00B4010B" w:rsidRDefault="00B4010B" w:rsidP="00B4010B">
      <w:pPr>
        <w:pStyle w:val="Paragrafi"/>
        <w:rPr>
          <w:lang w:val="sq-AL"/>
        </w:rPr>
      </w:pPr>
    </w:p>
    <w:p w:rsidR="00B4010B" w:rsidRDefault="00B4010B" w:rsidP="00B4010B">
      <w:pPr>
        <w:pStyle w:val="Paragrafi"/>
        <w:rPr>
          <w:lang w:val="sq-AL"/>
        </w:rPr>
      </w:pPr>
    </w:p>
    <w:p w:rsidR="00B4010B" w:rsidRDefault="00B4010B" w:rsidP="00B4010B">
      <w:pPr>
        <w:spacing w:after="0" w:line="240" w:lineRule="auto"/>
        <w:ind w:firstLine="0"/>
        <w:jc w:val="left"/>
        <w:rPr>
          <w:rFonts w:ascii="Garamond" w:eastAsia="MS Mincho" w:hAnsi="Garamond" w:cs="CG Times"/>
          <w:sz w:val="24"/>
          <w:lang w:val="sq-AL"/>
        </w:rPr>
        <w:sectPr w:rsidR="00B4010B" w:rsidSect="00B4010B">
          <w:pgSz w:w="11907" w:h="16840"/>
          <w:pgMar w:top="720" w:right="1134" w:bottom="720" w:left="1134" w:header="851" w:footer="851" w:gutter="0"/>
          <w:pgNumType w:start="2363"/>
          <w:cols w:space="454"/>
        </w:sectPr>
      </w:pPr>
    </w:p>
    <w:p w:rsidR="00B4010B" w:rsidRDefault="00B4010B" w:rsidP="00B4010B">
      <w:pPr>
        <w:pStyle w:val="Paragrafi"/>
        <w:rPr>
          <w:lang w:val="sq-AL"/>
        </w:rPr>
      </w:pP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427355</wp:posOffset>
                </wp:positionH>
                <wp:positionV relativeFrom="paragraph">
                  <wp:posOffset>1905</wp:posOffset>
                </wp:positionV>
                <wp:extent cx="90805" cy="90805"/>
                <wp:effectExtent l="8255" t="11430" r="5715" b="12065"/>
                <wp:wrapNone/>
                <wp:docPr id="12" name="Oval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5105F99" id="Oval 12" o:spid="_x0000_s1026" style="position:absolute;margin-left:33.65pt;margin-top:.1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" strokecolor="white [3212]"/>
            </w:pict>
          </mc:Fallback>
        </mc:AlternateContent>
      </w:r>
      <w:r>
        <w:rPr>
          <w:noProof/>
        </w:rPr>
        <w:drawing>
          <wp:inline distT="0" distB="0" distL="0" distR="0">
            <wp:extent cx="5591175" cy="7924800"/>
            <wp:effectExtent l="0" t="0" r="9525" b="0"/>
            <wp:docPr id="7" name="Picture 7" descr="Formulare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Formularet_Page_1.jpg"/>
                    <pic:cNvPicPr>
                      <a:picLocks noChangeAspect="1" noChangeArrowheads="1"/>
                    </pic:cNvPicPr>
                  </pic:nvPicPr>
                  <pic:blipFill>
                    <a:blip r:embed="rId4">
                      <a:lum bright="10000"/>
                      <a:extLst>
                        <a:ext uri="{28A0092B-C50C-407E-A947-70E740481C1C}">
                          <a14:useLocalDpi xmlns:a14="http://schemas.microsoft.com/office/drawing/2010/main" val="0"/>
                        </a:ext>
                      </a:extLst>
                    </a:blip>
                    <a:srcRect l="3775" t="3581" r="16911" b="9366"/>
                    <a:stretch>
                      <a:fillRect/>
                    </a:stretch>
                  </pic:blipFill>
                  <pic:spPr bwMode="auto">
                    <a:xfrm>
                      <a:off x="0" y="0"/>
                      <a:ext cx="5591175" cy="7924800"/>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185420</wp:posOffset>
                </wp:positionH>
                <wp:positionV relativeFrom="paragraph">
                  <wp:posOffset>19050</wp:posOffset>
                </wp:positionV>
                <wp:extent cx="90805" cy="90805"/>
                <wp:effectExtent l="13970" t="9525" r="9525" b="13970"/>
                <wp:wrapNone/>
                <wp:docPr id="11" name="Oval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0D8437" id="Oval 11" o:spid="_x0000_s1026" style="position:absolute;margin-left:14.6pt;margin-top:1.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"/>
            </w:pict>
          </mc:Fallback>
        </mc:AlternateContent>
      </w:r>
      <w:r>
        <w:rPr>
          <w:noProof/>
        </w:rPr>
        <w:drawing>
          <wp:inline distT="0" distB="0" distL="0" distR="0">
            <wp:extent cx="5895975" cy="7867650"/>
            <wp:effectExtent l="0" t="0" r="9525" b="0"/>
            <wp:docPr id="6" name="Picture 6" descr="Formulare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rmularet_Page_2.jpg"/>
                    <pic:cNvPicPr>
                      <a:picLocks noChangeAspect="1" noChangeArrowheads="1"/>
                    </pic:cNvPicPr>
                  </pic:nvPicPr>
                  <pic:blipFill>
                    <a:blip r:embed="rId5">
                      <a:lum bright="10000"/>
                      <a:extLst>
                        <a:ext uri="{28A0092B-C50C-407E-A947-70E740481C1C}">
                          <a14:useLocalDpi xmlns:a14="http://schemas.microsoft.com/office/drawing/2010/main" val="0"/>
                        </a:ext>
                      </a:extLst>
                    </a:blip>
                    <a:srcRect l="3775" t="3889" r="15361" b="9151"/>
                    <a:stretch>
                      <a:fillRect/>
                    </a:stretch>
                  </pic:blipFill>
                  <pic:spPr bwMode="auto">
                    <a:xfrm>
                      <a:off x="0" y="0"/>
                      <a:ext cx="5895975" cy="7867650"/>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168910</wp:posOffset>
                </wp:positionH>
                <wp:positionV relativeFrom="paragraph">
                  <wp:posOffset>15240</wp:posOffset>
                </wp:positionV>
                <wp:extent cx="90805" cy="90805"/>
                <wp:effectExtent l="6985" t="5715" r="6985" b="8255"/>
                <wp:wrapNone/>
                <wp:docPr id="1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7DF8A4B" id="Oval 10" o:spid="_x0000_s1026" style="position:absolute;margin-left:13.3pt;margin-top:1.2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" strokecolor="white [3212]"/>
            </w:pict>
          </mc:Fallback>
        </mc:AlternateContent>
      </w:r>
      <w:r>
        <w:rPr>
          <w:noProof/>
        </w:rPr>
        <w:drawing>
          <wp:inline distT="0" distB="0" distL="0" distR="0">
            <wp:extent cx="4981575" cy="7781925"/>
            <wp:effectExtent l="0" t="0" r="9525" b="9525"/>
            <wp:docPr id="5" name="Picture 5" descr="Formularet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rmularet_Page_3.jpg"/>
                    <pic:cNvPicPr>
                      <a:picLocks noChangeAspect="1" noChangeArrowheads="1"/>
                    </pic:cNvPicPr>
                  </pic:nvPicPr>
                  <pic:blipFill>
                    <a:blip r:embed="rId6">
                      <a:lum bright="10000"/>
                      <a:extLst>
                        <a:ext uri="{28A0092B-C50C-407E-A947-70E740481C1C}">
                          <a14:useLocalDpi xmlns:a14="http://schemas.microsoft.com/office/drawing/2010/main" val="0"/>
                        </a:ext>
                      </a:extLst>
                    </a:blip>
                    <a:srcRect l="4056" t="4298" r="16451" b="8368"/>
                    <a:stretch>
                      <a:fillRect/>
                    </a:stretch>
                  </pic:blipFill>
                  <pic:spPr bwMode="auto">
                    <a:xfrm>
                      <a:off x="0" y="0"/>
                      <a:ext cx="4981575" cy="7781925"/>
                    </a:xfrm>
                    <a:prstGeom prst="rect">
                      <a:avLst/>
                    </a:prstGeom>
                    <a:noFill/>
                    <a:ln>
                      <a:noFill/>
                    </a:ln>
                  </pic:spPr>
                </pic:pic>
              </a:graphicData>
            </a:graphic>
          </wp:inline>
        </w:drawing>
      </w:r>
      <w:r>
        <w:rPr>
          <w:noProof/>
        </w:rPr>
        <w:drawing>
          <wp:inline distT="0" distB="0" distL="0" distR="0">
            <wp:extent cx="971550" cy="7324725"/>
            <wp:effectExtent l="0" t="0" r="0" b="9525"/>
            <wp:docPr id="4" name="Picture 4" descr="Formularet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ormularet_Page_4.jpg"/>
                    <pic:cNvPicPr>
                      <a:picLocks noChangeAspect="1" noChangeArrowheads="1"/>
                    </pic:cNvPicPr>
                  </pic:nvPicPr>
                  <pic:blipFill>
                    <a:blip r:embed="rId7">
                      <a:lum bright="10000" contrast="10000"/>
                      <a:extLst>
                        <a:ext uri="{28A0092B-C50C-407E-A947-70E740481C1C}">
                          <a14:useLocalDpi xmlns:a14="http://schemas.microsoft.com/office/drawing/2010/main" val="0"/>
                        </a:ext>
                      </a:extLst>
                    </a:blip>
                    <a:srcRect l="13506" t="3685" r="73431" b="9418"/>
                    <a:stretch>
                      <a:fillRect/>
                    </a:stretch>
                  </pic:blipFill>
                  <pic:spPr bwMode="auto">
                    <a:xfrm>
                      <a:off x="0" y="0"/>
                      <a:ext cx="971550" cy="7324725"/>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213360</wp:posOffset>
                </wp:positionH>
                <wp:positionV relativeFrom="paragraph">
                  <wp:posOffset>15240</wp:posOffset>
                </wp:positionV>
                <wp:extent cx="90805" cy="90805"/>
                <wp:effectExtent l="13335" t="5715" r="10160" b="8255"/>
                <wp:wrapNone/>
                <wp:docPr id="9" name="Oval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8AA24F" id="Oval 9" o:spid="_x0000_s1026" style="position:absolute;margin-left:16.8pt;margin-top:1.2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" strokecolor="white [3212]"/>
            </w:pict>
          </mc:Fallback>
        </mc:AlternateContent>
      </w:r>
      <w:r>
        <w:rPr>
          <w:noProof/>
        </w:rPr>
        <w:drawing>
          <wp:inline distT="0" distB="0" distL="0" distR="0">
            <wp:extent cx="5534025" cy="7781925"/>
            <wp:effectExtent l="0" t="0" r="9525" b="9525"/>
            <wp:docPr id="3" name="Picture 3" descr="Formularet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ormularet_Page_5.jpg"/>
                    <pic:cNvPicPr>
                      <a:picLocks noChangeAspect="1" noChangeArrowheads="1"/>
                    </pic:cNvPicPr>
                  </pic:nvPicPr>
                  <pic:blipFill>
                    <a:blip r:embed="rId8">
                      <a:lum bright="10000"/>
                      <a:extLst>
                        <a:ext uri="{28A0092B-C50C-407E-A947-70E740481C1C}">
                          <a14:useLocalDpi xmlns:a14="http://schemas.microsoft.com/office/drawing/2010/main" val="0"/>
                        </a:ext>
                      </a:extLst>
                    </a:blip>
                    <a:srcRect l="4198" t="3581" r="15767" b="8495"/>
                    <a:stretch>
                      <a:fillRect/>
                    </a:stretch>
                  </pic:blipFill>
                  <pic:spPr bwMode="auto">
                    <a:xfrm>
                      <a:off x="0" y="0"/>
                      <a:ext cx="5534025" cy="7781925"/>
                    </a:xfrm>
                    <a:prstGeom prst="rect">
                      <a:avLst/>
                    </a:prstGeom>
                    <a:noFill/>
                    <a:ln>
                      <a:noFill/>
                    </a:ln>
                  </pic:spPr>
                </pic:pic>
              </a:graphicData>
            </a:graphic>
          </wp:inline>
        </w:drawing>
      </w:r>
      <w:r>
        <w:rPr>
          <w:noProof/>
        </w:rPr>
        <w:lastRenderedPageBreak/>
        <mc:AlternateContent>
          <mc:Choice Requires="wps">
            <w:drawing>
              <wp:anchor distT="0" distB="0" distL="114300" distR="114300" simplePos="0" relativeHeight="251658240" behindDoc="0" locked="0" layoutInCell="1" allowOverlap="1">
                <wp:simplePos x="0" y="0"/>
                <wp:positionH relativeFrom="column">
                  <wp:posOffset>207010</wp:posOffset>
                </wp:positionH>
                <wp:positionV relativeFrom="paragraph">
                  <wp:posOffset>2540</wp:posOffset>
                </wp:positionV>
                <wp:extent cx="90805" cy="90805"/>
                <wp:effectExtent l="6985" t="12065" r="6985" b="11430"/>
                <wp:wrapNone/>
                <wp:docPr id="8" name="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E1A955" id="Oval 8" o:spid="_x0000_s1026" style="position:absolute;margin-left:16.3pt;margin-top:.2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" strokecolor="white [3212]"/>
            </w:pict>
          </mc:Fallback>
        </mc:AlternateContent>
      </w:r>
      <w:r>
        <w:rPr>
          <w:noProof/>
        </w:rPr>
        <w:drawing>
          <wp:inline distT="0" distB="0" distL="0" distR="0">
            <wp:extent cx="5610225" cy="7839075"/>
            <wp:effectExtent l="0" t="0" r="9525" b="9525"/>
            <wp:docPr id="2" name="Picture 2" descr="Formularet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rmularet_Page_6.jpg"/>
                    <pic:cNvPicPr>
                      <a:picLocks noChangeAspect="1" noChangeArrowheads="1"/>
                    </pic:cNvPicPr>
                  </pic:nvPicPr>
                  <pic:blipFill>
                    <a:blip r:embed="rId9">
                      <a:lum bright="10000"/>
                      <a:extLst>
                        <a:ext uri="{28A0092B-C50C-407E-A947-70E740481C1C}">
                          <a14:useLocalDpi xmlns:a14="http://schemas.microsoft.com/office/drawing/2010/main" val="0"/>
                        </a:ext>
                      </a:extLst>
                    </a:blip>
                    <a:srcRect l="4056" t="3685" r="14233" b="9212"/>
                    <a:stretch>
                      <a:fillRect/>
                    </a:stretch>
                  </pic:blipFill>
                  <pic:spPr bwMode="auto">
                    <a:xfrm>
                      <a:off x="0" y="0"/>
                      <a:ext cx="5610225" cy="7839075"/>
                    </a:xfrm>
                    <a:prstGeom prst="rect">
                      <a:avLst/>
                    </a:prstGeom>
                    <a:noFill/>
                    <a:ln>
                      <a:noFill/>
                    </a:ln>
                  </pic:spPr>
                </pic:pic>
              </a:graphicData>
            </a:graphic>
          </wp:inline>
        </w:drawing>
      </w:r>
      <w:r>
        <w:rPr>
          <w:noProof/>
        </w:rPr>
        <w:lastRenderedPageBreak/>
        <w:drawing>
          <wp:inline distT="0" distB="0" distL="0" distR="0">
            <wp:extent cx="5753100" cy="7667625"/>
            <wp:effectExtent l="0" t="0" r="0" b="9525"/>
            <wp:docPr id="1" name="Picture 1" descr="Formularet_Page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rmularet_Page_7.jpg"/>
                    <pic:cNvPicPr>
                      <a:picLocks noChangeAspect="1" noChangeArrowheads="1"/>
                    </pic:cNvPicPr>
                  </pic:nvPicPr>
                  <pic:blipFill>
                    <a:blip r:embed="rId10">
                      <a:lum bright="10000"/>
                      <a:extLst>
                        <a:ext uri="{28A0092B-C50C-407E-A947-70E740481C1C}">
                          <a14:useLocalDpi xmlns:a14="http://schemas.microsoft.com/office/drawing/2010/main" val="0"/>
                        </a:ext>
                      </a:extLst>
                    </a:blip>
                    <a:srcRect l="3635" t="3992" r="13126" b="8698"/>
                    <a:stretch>
                      <a:fillRect/>
                    </a:stretch>
                  </pic:blipFill>
                  <pic:spPr bwMode="auto">
                    <a:xfrm>
                      <a:off x="0" y="0"/>
                      <a:ext cx="5753100" cy="7667625"/>
                    </a:xfrm>
                    <a:prstGeom prst="rect">
                      <a:avLst/>
                    </a:prstGeom>
                    <a:noFill/>
                    <a:ln>
                      <a:noFill/>
                    </a:ln>
                  </pic:spPr>
                </pic:pic>
              </a:graphicData>
            </a:graphic>
          </wp:inline>
        </w:drawing>
      </w:r>
    </w:p>
    <w:p w:rsidR="00B4010B" w:rsidRDefault="00B4010B" w:rsidP="00B4010B">
      <w:pPr>
        <w:pStyle w:val="Paragrafi"/>
        <w:ind w:firstLine="0"/>
        <w:rPr>
          <w:rFonts w:eastAsia="Times New Roman"/>
          <w:spacing w:val="-4"/>
          <w:lang w:val="sq-AL" w:eastAsia="en-GB"/>
        </w:rPr>
      </w:pPr>
    </w:p>
    <w:p w:rsidR="00B4010B" w:rsidRDefault="00B4010B" w:rsidP="00B4010B">
      <w:pPr>
        <w:pStyle w:val="NeniTitull"/>
        <w:keepNext w:val="0"/>
        <w:rPr>
          <w:lang w:val="sq-AL"/>
        </w:rPr>
      </w:pPr>
    </w:p>
    <w:p w:rsidR="00B4010B" w:rsidRDefault="00B4010B" w:rsidP="00B4010B">
      <w:pPr>
        <w:pStyle w:val="NeniTitull"/>
        <w:keepNext w:val="0"/>
        <w:rPr>
          <w:lang w:val="sq-AL"/>
        </w:rPr>
      </w:pPr>
    </w:p>
    <w:p w:rsidR="00B4010B" w:rsidRDefault="00B4010B" w:rsidP="00B4010B">
      <w:pPr>
        <w:pStyle w:val="NeniTitull"/>
        <w:keepNext w:val="0"/>
        <w:rPr>
          <w:lang w:val="sq-AL"/>
        </w:rPr>
      </w:pPr>
    </w:p>
    <w:p w:rsidR="00B4010B" w:rsidRDefault="00B4010B" w:rsidP="00B4010B">
      <w:pPr>
        <w:pStyle w:val="NeniTitull"/>
        <w:keepNext w:val="0"/>
        <w:rPr>
          <w:lang w:val="sq-AL"/>
        </w:rPr>
      </w:pPr>
    </w:p>
    <w:p w:rsidR="00B4010B" w:rsidRDefault="00B4010B" w:rsidP="00B4010B">
      <w:pPr>
        <w:spacing w:after="0" w:line="240" w:lineRule="auto"/>
        <w:ind w:firstLine="0"/>
        <w:jc w:val="left"/>
        <w:rPr>
          <w:rFonts w:ascii="Garamond" w:eastAsia="MS Mincho" w:hAnsi="Garamond" w:cs="CG Times"/>
          <w:b/>
          <w:bCs/>
          <w:sz w:val="24"/>
          <w:lang w:val="sq-AL"/>
        </w:rPr>
        <w:sectPr w:rsidR="00B4010B" w:rsidSect="00B4010B">
          <w:type w:val="continuous"/>
          <w:pgSz w:w="11907" w:h="16840"/>
          <w:pgMar w:top="720" w:right="1134" w:bottom="720" w:left="1134" w:header="851" w:footer="851" w:gutter="0"/>
          <w:cols w:space="720"/>
        </w:sectPr>
      </w:pPr>
    </w:p>
    <w:p w:rsidR="00AA015E" w:rsidRDefault="00AA015E" w:rsidP="00B4010B"/>
    <w:sectPr w:rsidR="00AA015E" w:rsidSect="00B401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012"/>
    <w:rsid w:val="00666012"/>
    <w:rsid w:val="00AA015E"/>
    <w:rsid w:val="00B40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5:chartTrackingRefBased/>
  <w15:docId w15:val="{AE7E8B24-13CA-4F4B-ABE3-BDF2B943E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010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4010B"/>
    <w:rPr>
      <w:rFonts w:ascii="Garamond" w:eastAsia="MS Mincho" w:hAnsi="Garamond" w:cs="CG Times"/>
      <w:sz w:val="24"/>
    </w:rPr>
  </w:style>
  <w:style w:type="paragraph" w:customStyle="1" w:styleId="Paragrafi">
    <w:name w:val="Paragrafi"/>
    <w:link w:val="ParagrafiChar"/>
    <w:rsid w:val="00B4010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4010B"/>
    <w:rPr>
      <w:rFonts w:ascii="Garamond" w:eastAsia="MS Mincho" w:hAnsi="Garamond" w:cs="CG Times"/>
      <w:sz w:val="24"/>
      <w:lang w:val="en-GB"/>
    </w:rPr>
  </w:style>
  <w:style w:type="paragraph" w:customStyle="1" w:styleId="NeniNr">
    <w:name w:val="Neni_Nr"/>
    <w:next w:val="Normal"/>
    <w:link w:val="NeniNrChar"/>
    <w:rsid w:val="00B401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4010B"/>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B4010B"/>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4174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329</Words>
  <Characters>1877</Characters>
  <Application>Microsoft Office Word</Application>
  <DocSecurity>0</DocSecurity>
  <Lines>15</Lines>
  <Paragraphs>4</Paragraphs>
  <ScaleCrop>false</ScaleCrop>
  <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2018-03-20T14:55:00Z</dcterms:created>
  <dcterms:modified xsi:type="dcterms:W3CDTF">2018-03-20T14:56:00Z</dcterms:modified>
</cp:coreProperties>
</file>