
<file path=[Content_Types].xml><?xml version="1.0" encoding="utf-8"?>
<Types xmlns="http://schemas.openxmlformats.org/package/2006/content-types">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16C" w:rsidRPr="009E22FE" w:rsidRDefault="0065716C" w:rsidP="0065716C">
      <w:pPr>
        <w:pStyle w:val="NeniTitull"/>
        <w:rPr>
          <w:spacing w:val="-4"/>
          <w:lang w:val="sq-AL"/>
        </w:rPr>
      </w:pPr>
      <w:r w:rsidRPr="009E22FE">
        <w:rPr>
          <w:spacing w:val="-4"/>
          <w:lang w:val="sq-AL"/>
        </w:rPr>
        <w:t>VENDIM</w:t>
      </w:r>
    </w:p>
    <w:p w:rsidR="0065716C" w:rsidRPr="009E22FE" w:rsidRDefault="0065716C" w:rsidP="0065716C">
      <w:pPr>
        <w:pStyle w:val="NeniTitull"/>
        <w:rPr>
          <w:spacing w:val="-4"/>
          <w:lang w:val="sq-AL"/>
        </w:rPr>
      </w:pPr>
      <w:r w:rsidRPr="009E22FE">
        <w:rPr>
          <w:spacing w:val="-4"/>
          <w:lang w:val="sq-AL"/>
        </w:rPr>
        <w:t>Nr. 179, datë 28.3.2018</w:t>
      </w:r>
    </w:p>
    <w:p w:rsidR="0065716C" w:rsidRPr="009E22FE" w:rsidRDefault="0065716C" w:rsidP="0065716C">
      <w:pPr>
        <w:pStyle w:val="Paragrafi"/>
        <w:rPr>
          <w:rFonts w:eastAsia="Times New Roman"/>
          <w:spacing w:val="-4"/>
          <w:sz w:val="14"/>
          <w:lang w:val="sq-AL" w:eastAsia="en-GB"/>
        </w:rPr>
      </w:pPr>
    </w:p>
    <w:p w:rsidR="0065716C" w:rsidRPr="009E22FE" w:rsidRDefault="0065716C" w:rsidP="0065716C">
      <w:pPr>
        <w:pStyle w:val="NeniTitull"/>
        <w:rPr>
          <w:spacing w:val="-4"/>
          <w:lang w:val="sq-AL"/>
        </w:rPr>
      </w:pPr>
      <w:r w:rsidRPr="009E22FE">
        <w:rPr>
          <w:spacing w:val="-4"/>
          <w:lang w:val="sq-AL"/>
        </w:rPr>
        <w:t xml:space="preserve">PËR MIRATIMIN E PLANIT KOMBËTAR TË VEPRIMIT PËR BURIMET E RINOVUESHME TË ENERGJISË, </w:t>
      </w:r>
    </w:p>
    <w:p w:rsidR="0065716C" w:rsidRPr="009E22FE" w:rsidRDefault="0065716C" w:rsidP="0065716C">
      <w:pPr>
        <w:pStyle w:val="NeniTitull"/>
        <w:rPr>
          <w:spacing w:val="-4"/>
          <w:lang w:val="sq-AL"/>
        </w:rPr>
      </w:pPr>
      <w:r w:rsidRPr="009E22FE">
        <w:rPr>
          <w:spacing w:val="-4"/>
          <w:lang w:val="sq-AL"/>
        </w:rPr>
        <w:t>2018-2020</w:t>
      </w:r>
    </w:p>
    <w:p w:rsidR="0065716C" w:rsidRPr="009E22FE" w:rsidRDefault="0065716C" w:rsidP="0065716C">
      <w:pPr>
        <w:pStyle w:val="Paragrafi"/>
        <w:rPr>
          <w:spacing w:val="-4"/>
          <w:sz w:val="14"/>
          <w:lang w:val="sq-AL"/>
        </w:rPr>
      </w:pPr>
    </w:p>
    <w:p w:rsidR="0065716C" w:rsidRPr="009E22FE" w:rsidRDefault="0065716C" w:rsidP="0065716C">
      <w:pPr>
        <w:pStyle w:val="Paragrafi"/>
        <w:rPr>
          <w:spacing w:val="-4"/>
          <w:lang w:val="sq-AL"/>
        </w:rPr>
      </w:pPr>
      <w:r w:rsidRPr="009E22FE">
        <w:rPr>
          <w:spacing w:val="-4"/>
          <w:lang w:val="sq-AL"/>
        </w:rPr>
        <w:t>Në mbështetje të nenit 100 të Kushtetutës dhe të pikës 3, të nenit 5, të ligjit nr. 7/2017, “Për nxitjen e përdorimit të energjisë nga burimet e rinovueshme”, me propozimin e ministrit të Infrastrukturës dhe Energjisë, Këshilli i Ministrave</w:t>
      </w:r>
    </w:p>
    <w:p w:rsidR="0065716C" w:rsidRPr="009E22FE" w:rsidRDefault="0065716C" w:rsidP="0065716C">
      <w:pPr>
        <w:pStyle w:val="Paragrafi"/>
        <w:rPr>
          <w:spacing w:val="-4"/>
          <w:sz w:val="16"/>
          <w:lang w:val="sq-AL"/>
        </w:rPr>
      </w:pPr>
    </w:p>
    <w:p w:rsidR="0065716C" w:rsidRPr="009E22FE" w:rsidRDefault="0065716C" w:rsidP="0065716C">
      <w:pPr>
        <w:pStyle w:val="NeniNr"/>
        <w:rPr>
          <w:spacing w:val="-4"/>
          <w:lang w:val="sq-AL"/>
        </w:rPr>
      </w:pPr>
      <w:r w:rsidRPr="009E22FE">
        <w:rPr>
          <w:spacing w:val="-4"/>
          <w:lang w:val="sq-AL"/>
        </w:rPr>
        <w:t>VENDOSI:</w:t>
      </w:r>
    </w:p>
    <w:p w:rsidR="0065716C" w:rsidRPr="009E22FE" w:rsidRDefault="0065716C" w:rsidP="0065716C">
      <w:pPr>
        <w:pStyle w:val="Paragrafi"/>
        <w:rPr>
          <w:spacing w:val="-4"/>
          <w:sz w:val="16"/>
          <w:lang w:val="sq-AL"/>
        </w:rPr>
      </w:pPr>
    </w:p>
    <w:p w:rsidR="0065716C" w:rsidRPr="009E22FE" w:rsidRDefault="0065716C" w:rsidP="0065716C">
      <w:pPr>
        <w:pStyle w:val="Paragrafi"/>
        <w:rPr>
          <w:spacing w:val="-4"/>
          <w:lang w:val="sq-AL"/>
        </w:rPr>
      </w:pPr>
      <w:r w:rsidRPr="009E22FE">
        <w:rPr>
          <w:spacing w:val="-4"/>
          <w:lang w:val="sq-AL"/>
        </w:rPr>
        <w:t>1. Miratimin e Planit Kombëtar të Veprimit për Burimet e Rinovueshme të Energjisë, 2018–2020, sipas tekstit që i bashkëlidhet këtij vendimi.</w:t>
      </w:r>
    </w:p>
    <w:p w:rsidR="0065716C" w:rsidRPr="009E22FE" w:rsidRDefault="0065716C" w:rsidP="0065716C">
      <w:pPr>
        <w:pStyle w:val="Paragrafi"/>
        <w:rPr>
          <w:spacing w:val="-4"/>
          <w:lang w:val="sq-AL"/>
        </w:rPr>
      </w:pPr>
      <w:r w:rsidRPr="009E22FE">
        <w:rPr>
          <w:spacing w:val="-4"/>
          <w:lang w:val="sq-AL"/>
        </w:rPr>
        <w:t xml:space="preserve">2. Vendimi nr. 27, datë 20.1.2016, i Këshillit të Ministrave, “Për miratimin e Planit Kombëtar të Veprimit për Burimet e Energjisë së Rinovueshme, 2015–2020”, shfuqizohet. </w:t>
      </w:r>
    </w:p>
    <w:p w:rsidR="0065716C" w:rsidRPr="009E22FE" w:rsidRDefault="0065716C" w:rsidP="0065716C">
      <w:pPr>
        <w:pStyle w:val="Paragrafi"/>
        <w:rPr>
          <w:spacing w:val="-4"/>
          <w:lang w:val="sq-AL"/>
        </w:rPr>
      </w:pPr>
      <w:r w:rsidRPr="009E22FE">
        <w:rPr>
          <w:spacing w:val="-4"/>
          <w:lang w:val="sq-AL"/>
        </w:rPr>
        <w:t>3. Ngarkohet Ministria e Infrastrukturës dhe Energjisë për zbatimin e këtij vendimi.</w:t>
      </w:r>
    </w:p>
    <w:p w:rsidR="0065716C" w:rsidRPr="009E22FE" w:rsidRDefault="0065716C" w:rsidP="0065716C">
      <w:pPr>
        <w:pStyle w:val="Paragrafi"/>
        <w:rPr>
          <w:spacing w:val="-4"/>
          <w:lang w:val="sq-AL"/>
        </w:rPr>
      </w:pPr>
      <w:r w:rsidRPr="009E22FE">
        <w:rPr>
          <w:spacing w:val="-4"/>
          <w:lang w:val="sq-AL"/>
        </w:rPr>
        <w:t>Ky vendim hyn në fuqi pas botimit në Fletoren Zyrtare.</w:t>
      </w:r>
    </w:p>
    <w:p w:rsidR="0065716C" w:rsidRPr="009E22FE" w:rsidRDefault="0065716C" w:rsidP="0065716C">
      <w:pPr>
        <w:pStyle w:val="Paragrafi"/>
        <w:rPr>
          <w:rFonts w:eastAsia="Times New Roman"/>
          <w:spacing w:val="-4"/>
          <w:sz w:val="14"/>
          <w:lang w:val="sq-AL" w:eastAsia="en-GB"/>
        </w:rPr>
      </w:pPr>
    </w:p>
    <w:p w:rsidR="0065716C" w:rsidRPr="009E22FE" w:rsidRDefault="0065716C" w:rsidP="0065716C">
      <w:pPr>
        <w:pStyle w:val="Paragrafi"/>
        <w:jc w:val="right"/>
        <w:rPr>
          <w:spacing w:val="-4"/>
          <w:lang w:val="sq-AL"/>
        </w:rPr>
      </w:pPr>
      <w:r w:rsidRPr="009E22FE">
        <w:rPr>
          <w:spacing w:val="-4"/>
          <w:lang w:val="sq-AL"/>
        </w:rPr>
        <w:t>KRYEMINISTRI</w:t>
      </w:r>
    </w:p>
    <w:p w:rsidR="0065716C" w:rsidRPr="009E22FE" w:rsidRDefault="0065716C" w:rsidP="0065716C">
      <w:pPr>
        <w:pStyle w:val="Paragrafi"/>
        <w:jc w:val="right"/>
        <w:rPr>
          <w:b/>
          <w:spacing w:val="-4"/>
          <w:lang w:val="sq-AL"/>
        </w:rPr>
      </w:pPr>
      <w:r w:rsidRPr="009E22FE">
        <w:rPr>
          <w:b/>
          <w:spacing w:val="-4"/>
          <w:lang w:val="sq-AL"/>
        </w:rPr>
        <w:t>Edi Rama</w:t>
      </w:r>
    </w:p>
    <w:p w:rsidR="0065716C" w:rsidRDefault="0065716C"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Default="006B49C6" w:rsidP="0065716C">
      <w:pPr>
        <w:pStyle w:val="Paragrafi"/>
        <w:rPr>
          <w:rFonts w:eastAsia="Times New Roman"/>
          <w:spacing w:val="-4"/>
          <w:lang w:val="sq-AL" w:eastAsia="en-GB"/>
        </w:rPr>
      </w:pPr>
    </w:p>
    <w:p w:rsidR="006B49C6" w:rsidRPr="009E22FE" w:rsidRDefault="006B49C6" w:rsidP="0065716C">
      <w:pPr>
        <w:pStyle w:val="Paragrafi"/>
        <w:rPr>
          <w:rFonts w:eastAsia="Times New Roman"/>
          <w:spacing w:val="-4"/>
          <w:lang w:val="sq-AL" w:eastAsia="en-GB"/>
        </w:rPr>
      </w:pPr>
    </w:p>
    <w:p w:rsidR="0065716C" w:rsidRPr="009E22FE" w:rsidRDefault="0065716C" w:rsidP="0065716C">
      <w:pPr>
        <w:pStyle w:val="NeniTitull"/>
        <w:rPr>
          <w:b w:val="0"/>
          <w:spacing w:val="-4"/>
          <w:lang w:val="sq-AL"/>
        </w:rPr>
      </w:pPr>
      <w:r w:rsidRPr="009E22FE">
        <w:rPr>
          <w:b w:val="0"/>
          <w:spacing w:val="-4"/>
          <w:lang w:val="sq-AL"/>
        </w:rPr>
        <w:t xml:space="preserve">PLANI KOMBËTAR I VEPRIMIT </w:t>
      </w:r>
    </w:p>
    <w:p w:rsidR="0065716C" w:rsidRPr="009E22FE" w:rsidRDefault="0065716C" w:rsidP="0065716C">
      <w:pPr>
        <w:pStyle w:val="NeniTitull"/>
        <w:rPr>
          <w:b w:val="0"/>
          <w:spacing w:val="-4"/>
          <w:lang w:val="sq-AL"/>
        </w:rPr>
      </w:pPr>
      <w:r w:rsidRPr="009E22FE">
        <w:rPr>
          <w:b w:val="0"/>
          <w:spacing w:val="-4"/>
          <w:lang w:val="sq-AL"/>
        </w:rPr>
        <w:t>PËR BURIMET E RINOVUESHME TË ENERGJISË NË SHQIPËRI</w:t>
      </w:r>
    </w:p>
    <w:p w:rsidR="0065716C" w:rsidRPr="009E22FE" w:rsidRDefault="0065716C" w:rsidP="0065716C">
      <w:pPr>
        <w:pStyle w:val="NeniTitull"/>
        <w:rPr>
          <w:b w:val="0"/>
          <w:spacing w:val="-4"/>
          <w:lang w:val="sq-AL"/>
        </w:rPr>
      </w:pPr>
      <w:r w:rsidRPr="009E22FE">
        <w:rPr>
          <w:b w:val="0"/>
          <w:spacing w:val="-4"/>
          <w:lang w:val="sq-AL"/>
        </w:rPr>
        <w:t>(I RISHIKUAR) 2018–2020</w:t>
      </w:r>
    </w:p>
    <w:p w:rsidR="0065716C" w:rsidRPr="009E22FE" w:rsidRDefault="0065716C" w:rsidP="0065716C">
      <w:pPr>
        <w:pStyle w:val="Paragrafi"/>
        <w:rPr>
          <w:rFonts w:eastAsia="Times New Roman"/>
          <w:spacing w:val="-4"/>
          <w:sz w:val="16"/>
          <w:lang w:val="sq-AL" w:eastAsia="en-GB"/>
        </w:rPr>
      </w:pPr>
    </w:p>
    <w:p w:rsidR="0065716C" w:rsidRPr="009E22FE" w:rsidRDefault="0065716C" w:rsidP="0065716C">
      <w:pPr>
        <w:pStyle w:val="NeniNr"/>
        <w:rPr>
          <w:spacing w:val="-4"/>
          <w:lang w:val="sq-AL"/>
        </w:rPr>
      </w:pPr>
      <w:r w:rsidRPr="009E22FE">
        <w:rPr>
          <w:spacing w:val="-4"/>
          <w:lang w:val="sq-AL"/>
        </w:rPr>
        <w:t>LISTA E AKRONIMEVE</w:t>
      </w:r>
    </w:p>
    <w:p w:rsidR="0065716C" w:rsidRPr="009E22FE" w:rsidRDefault="0065716C" w:rsidP="0065716C">
      <w:pPr>
        <w:spacing w:after="0" w:line="240" w:lineRule="auto"/>
        <w:rPr>
          <w:rFonts w:ascii="Garamond" w:hAnsi="Garamond"/>
          <w:spacing w:val="-4"/>
          <w:sz w:val="14"/>
          <w:lang w:val="sq-AL"/>
        </w:rPr>
      </w:pPr>
    </w:p>
    <w:tbl>
      <w:tblPr>
        <w:tblW w:w="0" w:type="auto"/>
        <w:tblLook w:val="00A0" w:firstRow="1" w:lastRow="0" w:firstColumn="1" w:lastColumn="0" w:noHBand="0" w:noVBand="0"/>
      </w:tblPr>
      <w:tblGrid>
        <w:gridCol w:w="1216"/>
        <w:gridCol w:w="3841"/>
      </w:tblGrid>
      <w:tr w:rsidR="009E22FE" w:rsidRPr="009E22FE" w:rsidTr="0065716C">
        <w:trPr>
          <w:trHeight w:hRule="exact" w:val="273"/>
        </w:trPr>
        <w:tc>
          <w:tcPr>
            <w:tcW w:w="0" w:type="auto"/>
            <w:vAlign w:val="center"/>
            <w:hideMark/>
          </w:tcPr>
          <w:p w:rsidR="0065716C" w:rsidRPr="009E22FE" w:rsidRDefault="0065716C">
            <w:pPr>
              <w:spacing w:line="240" w:lineRule="auto"/>
              <w:ind w:firstLine="0"/>
              <w:jc w:val="left"/>
              <w:rPr>
                <w:rFonts w:ascii="Garamond" w:hAnsi="Garamond"/>
                <w:spacing w:val="-4"/>
                <w:sz w:val="20"/>
                <w:szCs w:val="20"/>
                <w:highlight w:val="yellow"/>
                <w:lang w:val="sq-AL"/>
              </w:rPr>
            </w:pPr>
            <w:r w:rsidRPr="009E22FE">
              <w:rPr>
                <w:rFonts w:ascii="Garamond" w:hAnsi="Garamond"/>
                <w:spacing w:val="-4"/>
                <w:sz w:val="20"/>
                <w:szCs w:val="20"/>
                <w:lang w:val="sq-AL"/>
              </w:rPr>
              <w:t>AKBN</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 xml:space="preserve">Agjencia Kombëtare e Burimeve Natyrore </w:t>
            </w:r>
          </w:p>
        </w:tc>
      </w:tr>
      <w:tr w:rsidR="009E22FE" w:rsidRPr="009E22FE" w:rsidTr="0065716C">
        <w:trPr>
          <w:trHeight w:hRule="exact" w:val="245"/>
        </w:trPr>
        <w:tc>
          <w:tcPr>
            <w:tcW w:w="0" w:type="auto"/>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BE</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Bashkimi Evropian</w:t>
            </w:r>
          </w:p>
        </w:tc>
      </w:tr>
      <w:tr w:rsidR="009E22FE" w:rsidRPr="009E22FE" w:rsidTr="0065716C">
        <w:trPr>
          <w:trHeight w:hRule="exact" w:val="208"/>
        </w:trPr>
        <w:tc>
          <w:tcPr>
            <w:tcW w:w="0" w:type="auto"/>
            <w:vAlign w:val="center"/>
            <w:hideMark/>
          </w:tcPr>
          <w:p w:rsidR="0065716C" w:rsidRPr="009E22FE" w:rsidRDefault="0065716C">
            <w:pPr>
              <w:spacing w:line="240" w:lineRule="auto"/>
              <w:ind w:firstLine="0"/>
              <w:jc w:val="left"/>
              <w:rPr>
                <w:rFonts w:ascii="Garamond" w:hAnsi="Garamond"/>
                <w:spacing w:val="-4"/>
                <w:sz w:val="20"/>
                <w:szCs w:val="20"/>
                <w:highlight w:val="yellow"/>
                <w:lang w:val="sq-AL"/>
              </w:rPr>
            </w:pPr>
            <w:r w:rsidRPr="009E22FE">
              <w:rPr>
                <w:rFonts w:ascii="Garamond" w:hAnsi="Garamond"/>
                <w:spacing w:val="-4"/>
                <w:sz w:val="20"/>
                <w:szCs w:val="20"/>
                <w:lang w:val="sq-AL"/>
              </w:rPr>
              <w:t>BRE</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 xml:space="preserve">Burimet e Rinovueshme të Energjisë </w:t>
            </w:r>
          </w:p>
        </w:tc>
      </w:tr>
      <w:tr w:rsidR="009E22FE" w:rsidRPr="009E22FE" w:rsidTr="0065716C">
        <w:trPr>
          <w:trHeight w:hRule="exact" w:val="524"/>
        </w:trPr>
        <w:tc>
          <w:tcPr>
            <w:tcW w:w="0" w:type="auto"/>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BRE-E</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Burimet e rinovueshme të energjisë për prodhimin e energjisë elektrike</w:t>
            </w:r>
          </w:p>
        </w:tc>
      </w:tr>
      <w:tr w:rsidR="009E22FE" w:rsidRPr="009E22FE" w:rsidTr="0065716C">
        <w:trPr>
          <w:trHeight w:hRule="exact" w:val="574"/>
        </w:trPr>
        <w:tc>
          <w:tcPr>
            <w:tcW w:w="0" w:type="auto"/>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BRE-N&amp;F</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Burimet e rinovueshme të energjisë për ngrohjen dhe ftohjen</w:t>
            </w:r>
          </w:p>
        </w:tc>
      </w:tr>
      <w:tr w:rsidR="009E22FE" w:rsidRPr="009E22FE" w:rsidTr="0065716C">
        <w:trPr>
          <w:trHeight w:hRule="exact" w:val="426"/>
        </w:trPr>
        <w:tc>
          <w:tcPr>
            <w:tcW w:w="0" w:type="auto"/>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BRE-T</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Burimet e rinovueshme të energjisë për transport</w:t>
            </w:r>
          </w:p>
        </w:tc>
      </w:tr>
      <w:tr w:rsidR="009E22FE" w:rsidRPr="009E22FE" w:rsidTr="0065716C">
        <w:trPr>
          <w:trHeight w:hRule="exact" w:val="245"/>
        </w:trPr>
        <w:tc>
          <w:tcPr>
            <w:tcW w:w="0" w:type="auto"/>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EE</w:t>
            </w:r>
          </w:p>
        </w:tc>
        <w:tc>
          <w:tcPr>
            <w:tcW w:w="3841" w:type="dxa"/>
            <w:vAlign w:val="center"/>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Efiçienca e energjisë</w:t>
            </w:r>
          </w:p>
          <w:p w:rsidR="0065716C" w:rsidRPr="009E22FE" w:rsidRDefault="0065716C">
            <w:pPr>
              <w:spacing w:line="240" w:lineRule="auto"/>
              <w:ind w:firstLine="0"/>
              <w:jc w:val="left"/>
              <w:rPr>
                <w:rFonts w:ascii="Garamond" w:hAnsi="Garamond"/>
                <w:spacing w:val="-4"/>
                <w:sz w:val="20"/>
                <w:szCs w:val="20"/>
                <w:lang w:val="sq-AL"/>
              </w:rPr>
            </w:pPr>
          </w:p>
        </w:tc>
      </w:tr>
      <w:tr w:rsidR="009E22FE" w:rsidRPr="009E22FE" w:rsidTr="0065716C">
        <w:trPr>
          <w:trHeight w:hRule="exact" w:val="245"/>
        </w:trPr>
        <w:tc>
          <w:tcPr>
            <w:tcW w:w="0" w:type="auto"/>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ERE</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Enti Rregullator i Energjisë</w:t>
            </w:r>
          </w:p>
        </w:tc>
      </w:tr>
      <w:tr w:rsidR="009E22FE" w:rsidRPr="009E22FE" w:rsidTr="0065716C">
        <w:trPr>
          <w:trHeight w:hRule="exact" w:val="245"/>
        </w:trPr>
        <w:tc>
          <w:tcPr>
            <w:tcW w:w="0" w:type="auto"/>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EUROSTAT</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Statistikat evropiane</w:t>
            </w:r>
          </w:p>
        </w:tc>
      </w:tr>
      <w:tr w:rsidR="009E22FE" w:rsidRPr="009E22FE" w:rsidTr="0065716C">
        <w:trPr>
          <w:trHeight w:hRule="exact" w:val="245"/>
        </w:trPr>
        <w:tc>
          <w:tcPr>
            <w:tcW w:w="0" w:type="auto"/>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FMN</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Fondi Monetar Ndërkombëtar</w:t>
            </w:r>
          </w:p>
        </w:tc>
      </w:tr>
      <w:tr w:rsidR="009E22FE" w:rsidRPr="009E22FE" w:rsidTr="0065716C">
        <w:trPr>
          <w:trHeight w:hRule="exact" w:val="245"/>
        </w:trPr>
        <w:tc>
          <w:tcPr>
            <w:tcW w:w="0" w:type="auto"/>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HEC</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Hidrocentral</w:t>
            </w:r>
          </w:p>
        </w:tc>
      </w:tr>
      <w:tr w:rsidR="009E22FE" w:rsidRPr="009E22FE" w:rsidTr="0065716C">
        <w:trPr>
          <w:trHeight w:hRule="exact" w:val="245"/>
        </w:trPr>
        <w:tc>
          <w:tcPr>
            <w:tcW w:w="0" w:type="auto"/>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HECV</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Hidrocentral i vogël</w:t>
            </w:r>
          </w:p>
        </w:tc>
      </w:tr>
      <w:tr w:rsidR="009E22FE" w:rsidRPr="009E22FE" w:rsidTr="0065716C">
        <w:trPr>
          <w:trHeight w:hRule="exact" w:val="245"/>
        </w:trPr>
        <w:tc>
          <w:tcPr>
            <w:tcW w:w="0" w:type="auto"/>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INSTAT</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Instituti i Statistikave</w:t>
            </w:r>
          </w:p>
        </w:tc>
      </w:tr>
      <w:tr w:rsidR="009E22FE" w:rsidRPr="009E22FE" w:rsidTr="0065716C">
        <w:trPr>
          <w:trHeight w:hRule="exact" w:val="245"/>
        </w:trPr>
        <w:tc>
          <w:tcPr>
            <w:tcW w:w="0" w:type="auto"/>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KFBE</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Konsumi final bruto i energjisë</w:t>
            </w:r>
          </w:p>
        </w:tc>
      </w:tr>
      <w:tr w:rsidR="009E22FE" w:rsidRPr="009E22FE" w:rsidTr="0065716C">
        <w:trPr>
          <w:trHeight w:hRule="exact" w:val="245"/>
        </w:trPr>
        <w:tc>
          <w:tcPr>
            <w:tcW w:w="0" w:type="auto"/>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ktoe</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Kiloton ekuivalent nafte</w:t>
            </w:r>
          </w:p>
        </w:tc>
      </w:tr>
      <w:tr w:rsidR="009E22FE" w:rsidRPr="009E22FE" w:rsidTr="0065716C">
        <w:trPr>
          <w:trHeight w:hRule="exact" w:val="245"/>
        </w:trPr>
        <w:tc>
          <w:tcPr>
            <w:tcW w:w="0" w:type="auto"/>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KM</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Këshilli i Ministrave</w:t>
            </w:r>
          </w:p>
        </w:tc>
      </w:tr>
      <w:tr w:rsidR="009E22FE" w:rsidRPr="009E22FE" w:rsidTr="0065716C">
        <w:trPr>
          <w:trHeight w:hRule="exact" w:val="320"/>
        </w:trPr>
        <w:tc>
          <w:tcPr>
            <w:tcW w:w="0" w:type="auto"/>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MIE</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 xml:space="preserve">Ministria e Infrastrukturës dhe Energjisë </w:t>
            </w:r>
          </w:p>
        </w:tc>
      </w:tr>
      <w:tr w:rsidR="009E22FE" w:rsidRPr="009E22FE" w:rsidTr="0065716C">
        <w:trPr>
          <w:trHeight w:hRule="exact" w:val="282"/>
        </w:trPr>
        <w:tc>
          <w:tcPr>
            <w:tcW w:w="0" w:type="auto"/>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 xml:space="preserve">OST </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 xml:space="preserve">Operatori Shqiptar i Sistemit të Transmetimit </w:t>
            </w:r>
          </w:p>
        </w:tc>
      </w:tr>
      <w:tr w:rsidR="009E22FE" w:rsidRPr="009E22FE" w:rsidTr="0065716C">
        <w:trPr>
          <w:trHeight w:hRule="exact" w:val="245"/>
        </w:trPr>
        <w:tc>
          <w:tcPr>
            <w:tcW w:w="0" w:type="auto"/>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PBB</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Produkti i brendshëm bruto</w:t>
            </w:r>
          </w:p>
        </w:tc>
      </w:tr>
      <w:tr w:rsidR="009E22FE" w:rsidRPr="009E22FE" w:rsidTr="0065716C">
        <w:trPr>
          <w:trHeight w:hRule="exact" w:val="460"/>
        </w:trPr>
        <w:tc>
          <w:tcPr>
            <w:tcW w:w="0" w:type="auto"/>
            <w:vAlign w:val="center"/>
            <w:hideMark/>
          </w:tcPr>
          <w:p w:rsidR="0065716C" w:rsidRPr="009E22FE" w:rsidRDefault="0065716C">
            <w:pPr>
              <w:spacing w:line="240" w:lineRule="auto"/>
              <w:ind w:firstLine="0"/>
              <w:jc w:val="left"/>
              <w:rPr>
                <w:rFonts w:ascii="Garamond" w:hAnsi="Garamond"/>
                <w:spacing w:val="-4"/>
                <w:sz w:val="20"/>
                <w:szCs w:val="20"/>
                <w:highlight w:val="yellow"/>
                <w:lang w:val="sq-AL"/>
              </w:rPr>
            </w:pPr>
            <w:r w:rsidRPr="009E22FE">
              <w:rPr>
                <w:rFonts w:ascii="Garamond" w:hAnsi="Garamond"/>
                <w:spacing w:val="-4"/>
                <w:sz w:val="20"/>
                <w:szCs w:val="20"/>
                <w:lang w:val="sq-AL"/>
              </w:rPr>
              <w:t>PKVEE</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Plani kombëtar i veprimit për eficiencën e energjisë</w:t>
            </w:r>
          </w:p>
        </w:tc>
      </w:tr>
      <w:tr w:rsidR="009E22FE" w:rsidRPr="009E22FE" w:rsidTr="0065716C">
        <w:trPr>
          <w:trHeight w:hRule="exact" w:val="462"/>
        </w:trPr>
        <w:tc>
          <w:tcPr>
            <w:tcW w:w="0" w:type="auto"/>
            <w:vAlign w:val="center"/>
            <w:hideMark/>
          </w:tcPr>
          <w:p w:rsidR="0065716C" w:rsidRPr="009E22FE" w:rsidRDefault="0065716C">
            <w:pPr>
              <w:spacing w:line="240" w:lineRule="auto"/>
              <w:ind w:firstLine="0"/>
              <w:jc w:val="left"/>
              <w:rPr>
                <w:rFonts w:ascii="Garamond" w:hAnsi="Garamond"/>
                <w:spacing w:val="-4"/>
                <w:sz w:val="20"/>
                <w:szCs w:val="20"/>
                <w:highlight w:val="yellow"/>
                <w:lang w:val="sq-AL"/>
              </w:rPr>
            </w:pPr>
            <w:r w:rsidRPr="009E22FE">
              <w:rPr>
                <w:rFonts w:ascii="Garamond" w:hAnsi="Garamond"/>
                <w:spacing w:val="-4"/>
                <w:sz w:val="20"/>
                <w:szCs w:val="20"/>
                <w:lang w:val="sq-AL"/>
              </w:rPr>
              <w:t>PKVBRE</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 xml:space="preserve">Plani kombëtar i veprimit për burimet e rinovueshme të energjisë </w:t>
            </w:r>
          </w:p>
        </w:tc>
      </w:tr>
      <w:tr w:rsidR="009E22FE" w:rsidRPr="009E22FE" w:rsidTr="0065716C">
        <w:trPr>
          <w:trHeight w:hRule="exact" w:val="530"/>
        </w:trPr>
        <w:tc>
          <w:tcPr>
            <w:tcW w:w="0" w:type="auto"/>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 xml:space="preserve">PNUD </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 xml:space="preserve">Programi për zhvillimin i Kombeve të Bashkuara </w:t>
            </w:r>
          </w:p>
        </w:tc>
      </w:tr>
      <w:tr w:rsidR="009E22FE" w:rsidRPr="009E22FE" w:rsidTr="0065716C">
        <w:trPr>
          <w:trHeight w:hRule="exact" w:val="245"/>
        </w:trPr>
        <w:tc>
          <w:tcPr>
            <w:tcW w:w="0" w:type="auto"/>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TFE</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Totali i furnizimit me energji</w:t>
            </w:r>
          </w:p>
        </w:tc>
      </w:tr>
      <w:tr w:rsidR="009E22FE" w:rsidRPr="009E22FE" w:rsidTr="0065716C">
        <w:trPr>
          <w:trHeight w:hRule="exact" w:val="245"/>
        </w:trPr>
        <w:tc>
          <w:tcPr>
            <w:tcW w:w="0" w:type="auto"/>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TPK</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Totali i konsumit përfundimtar</w:t>
            </w:r>
          </w:p>
        </w:tc>
      </w:tr>
      <w:tr w:rsidR="009E22FE" w:rsidRPr="009E22FE" w:rsidTr="0065716C">
        <w:trPr>
          <w:trHeight w:hRule="exact" w:val="245"/>
        </w:trPr>
        <w:tc>
          <w:tcPr>
            <w:tcW w:w="0" w:type="auto"/>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TVSH</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 xml:space="preserve">Tatimi mbi vlerën e shtuar </w:t>
            </w:r>
          </w:p>
        </w:tc>
      </w:tr>
      <w:tr w:rsidR="009E22FE" w:rsidRPr="009E22FE" w:rsidTr="0065716C">
        <w:trPr>
          <w:trHeight w:hRule="exact" w:val="548"/>
        </w:trPr>
        <w:tc>
          <w:tcPr>
            <w:tcW w:w="0" w:type="auto"/>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 xml:space="preserve">UNFCCC </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Konventa Kuadër e Kombeve të Bashkuara për Ndryshimet Klimatike</w:t>
            </w:r>
          </w:p>
        </w:tc>
      </w:tr>
      <w:tr w:rsidR="009E22FE" w:rsidRPr="009E22FE" w:rsidTr="0065716C">
        <w:trPr>
          <w:trHeight w:hRule="exact" w:val="245"/>
        </w:trPr>
        <w:tc>
          <w:tcPr>
            <w:tcW w:w="0" w:type="auto"/>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lastRenderedPageBreak/>
              <w:t>VNM</w:t>
            </w:r>
          </w:p>
        </w:tc>
        <w:tc>
          <w:tcPr>
            <w:tcW w:w="3841" w:type="dxa"/>
            <w:vAlign w:val="center"/>
            <w:hideMark/>
          </w:tcPr>
          <w:p w:rsidR="0065716C" w:rsidRPr="009E22FE" w:rsidRDefault="0065716C">
            <w:pPr>
              <w:spacing w:line="240" w:lineRule="auto"/>
              <w:ind w:firstLine="0"/>
              <w:jc w:val="left"/>
              <w:rPr>
                <w:rFonts w:ascii="Garamond" w:hAnsi="Garamond"/>
                <w:spacing w:val="-4"/>
                <w:sz w:val="20"/>
                <w:szCs w:val="20"/>
                <w:lang w:val="sq-AL"/>
              </w:rPr>
            </w:pPr>
            <w:r w:rsidRPr="009E22FE">
              <w:rPr>
                <w:rFonts w:ascii="Garamond" w:hAnsi="Garamond"/>
                <w:spacing w:val="-4"/>
                <w:sz w:val="20"/>
                <w:szCs w:val="20"/>
                <w:lang w:val="sq-AL"/>
              </w:rPr>
              <w:t>Vlerësim i ndikimit në mjedis</w:t>
            </w:r>
          </w:p>
        </w:tc>
      </w:tr>
    </w:tbl>
    <w:p w:rsidR="0065716C" w:rsidRPr="009E22FE" w:rsidRDefault="0065716C" w:rsidP="0065716C">
      <w:pPr>
        <w:pStyle w:val="Paragrafi"/>
        <w:rPr>
          <w:rFonts w:eastAsia="Times New Roman"/>
          <w:spacing w:val="-4"/>
          <w:sz w:val="14"/>
          <w:lang w:val="sq-AL" w:eastAsia="en-GB"/>
        </w:rPr>
      </w:pPr>
    </w:p>
    <w:p w:rsidR="0065716C" w:rsidRPr="009E22FE" w:rsidRDefault="0065716C" w:rsidP="0065716C">
      <w:pPr>
        <w:pStyle w:val="Heading1"/>
        <w:keepNext w:val="0"/>
        <w:keepLines w:val="0"/>
        <w:widowControl w:val="0"/>
        <w:numPr>
          <w:ilvl w:val="0"/>
          <w:numId w:val="19"/>
        </w:numPr>
        <w:spacing w:before="0" w:line="240" w:lineRule="auto"/>
        <w:ind w:left="0" w:firstLine="284"/>
        <w:rPr>
          <w:rFonts w:ascii="Garamond" w:hAnsi="Garamond"/>
          <w:color w:val="auto"/>
          <w:spacing w:val="-4"/>
          <w:sz w:val="24"/>
          <w:szCs w:val="24"/>
          <w:lang w:val="sq-AL"/>
        </w:rPr>
      </w:pPr>
      <w:bookmarkStart w:id="0" w:name="_Toc505599660"/>
      <w:r w:rsidRPr="009E22FE">
        <w:rPr>
          <w:rFonts w:ascii="Garamond" w:hAnsi="Garamond"/>
          <w:color w:val="auto"/>
          <w:spacing w:val="-4"/>
          <w:sz w:val="24"/>
          <w:szCs w:val="24"/>
          <w:lang w:val="sq-AL"/>
        </w:rPr>
        <w:t xml:space="preserve"> Përmbledhje e ndryshimeve të PKVBRE-së 2015–2020</w:t>
      </w:r>
      <w:bookmarkEnd w:id="0"/>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Rishikimi i Plani Kombëtar të Veprimit për Burimet e Rinovueshme të Energjisë (PKVBRE ), 2015–2020, është një detyrim ligjor që buron nga neni 5, i ligjit nr. 7, datë 2.2.2017, “Për nxitjen e burimeve të Rinovueshme të Energjisë”, si dhe një nga detyrimet e Shqipërisë në kuadër të Traktatit të Komunitetit të Energjisë. PKVBRE-ja lidhet me vendimmarrjen dhe angazhimin e qeverisë shqiptare për të arritur objektivin kombëtar të prodhimit të energjisë në territorin e Shqipërisë, nga Burimet e Rinovueshme të Energjisë (BRE), në masën 38% në raport me konsumin final bruto të energjisë (KFBE), deri në vitin 2020. PKVBRE-ja i miratuar me vendimin e Këshillit të Ministrave nr. 27, datë 20.1.2016, vendosi objektiva ambiciozë për të plotësuar legjislacionin primar dhe sekondar për energjinë e rinovueshme për përmbushjen e objektivit kombëtar deri më 2020-ën: 38% e energjisë që prodhohet në vendin tonë, krahasuar me KFBE-në, do të jetë me prejardhje të rinovueshme, jofosile.</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 xml:space="preserve">Ky angazhim vjen, gjithashtu në kuadër të Strategjisë Kombëtare të Energjisë 2017–2030 (draft) dhe Planit Kombëtar për Integrimin Evropian (i rishikuar), që përfshin masa afatshkurtra dhe afatmesme për të arritur prodhimin e BRE-ve deri në vitin 2020, me synimin që Shqipëria të ketë përafruar plotësisht legjislacionin në përputhje me </w:t>
      </w:r>
      <w:r w:rsidRPr="009E22FE">
        <w:rPr>
          <w:rFonts w:ascii="Garamond" w:hAnsi="Garamond"/>
          <w:i/>
          <w:spacing w:val="-4"/>
          <w:sz w:val="24"/>
          <w:szCs w:val="24"/>
          <w:lang w:val="sq-AL"/>
        </w:rPr>
        <w:t xml:space="preserve">Acquis </w:t>
      </w:r>
      <w:r w:rsidRPr="009E22FE">
        <w:rPr>
          <w:rFonts w:ascii="Garamond" w:hAnsi="Garamond"/>
          <w:spacing w:val="-4"/>
          <w:sz w:val="24"/>
          <w:szCs w:val="24"/>
          <w:lang w:val="sq-AL"/>
        </w:rPr>
        <w:t xml:space="preserve">për energjinë të BE-së, ku të gjithë sektorët që ndikohen nga energjia të përmbushin standardet e përcaktuara në kapitujt e </w:t>
      </w:r>
      <w:r w:rsidRPr="009E22FE">
        <w:rPr>
          <w:rFonts w:ascii="Garamond" w:hAnsi="Garamond"/>
          <w:i/>
          <w:spacing w:val="-4"/>
          <w:sz w:val="24"/>
          <w:szCs w:val="24"/>
          <w:lang w:val="sq-AL"/>
        </w:rPr>
        <w:t>Acquis</w:t>
      </w:r>
      <w:r w:rsidRPr="009E22FE">
        <w:rPr>
          <w:rFonts w:ascii="Garamond" w:hAnsi="Garamond"/>
          <w:spacing w:val="-4"/>
          <w:sz w:val="24"/>
          <w:szCs w:val="24"/>
          <w:lang w:val="sq-AL"/>
        </w:rPr>
        <w:t>-it.</w:t>
      </w:r>
    </w:p>
    <w:p w:rsidR="0065716C" w:rsidRPr="009E22FE" w:rsidRDefault="0065716C" w:rsidP="0065716C">
      <w:pPr>
        <w:pStyle w:val="Heading2"/>
        <w:keepNext w:val="0"/>
        <w:keepLines w:val="0"/>
        <w:widowControl w:val="0"/>
        <w:numPr>
          <w:ilvl w:val="1"/>
          <w:numId w:val="19"/>
        </w:numPr>
        <w:spacing w:before="0" w:line="240" w:lineRule="auto"/>
        <w:ind w:left="0" w:firstLine="284"/>
        <w:rPr>
          <w:rFonts w:ascii="Garamond" w:hAnsi="Garamond"/>
          <w:b/>
          <w:color w:val="auto"/>
          <w:spacing w:val="-4"/>
          <w:sz w:val="24"/>
          <w:szCs w:val="24"/>
          <w:lang w:val="sq-AL"/>
        </w:rPr>
      </w:pPr>
      <w:bookmarkStart w:id="1" w:name="_Toc505599661"/>
      <w:r w:rsidRPr="009E22FE">
        <w:rPr>
          <w:rFonts w:ascii="Garamond" w:hAnsi="Garamond"/>
          <w:color w:val="auto"/>
          <w:spacing w:val="-4"/>
          <w:sz w:val="24"/>
          <w:szCs w:val="24"/>
          <w:lang w:val="sq-AL"/>
        </w:rPr>
        <w:t xml:space="preserve"> Nevoja e rishikimit të Planit Kombëtar të Burimeve të Rinovueshme të Energjisë për periudhën 2018–2020</w:t>
      </w:r>
      <w:bookmarkEnd w:id="1"/>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Ligji 7/2017, “Për nxitjen e përdorimit të energjisë nga burimet e rinovueshme”, u miratua më 2 shkurt 2017. Ky ligj është harmonizuar me ligjin 43/2015 për Sektorin e Energjisë Elektrike dhe reflekton në mënyrë të plotë mundësinë e hyrjes në tregun e liberalizuar të energjisë elektrike të gjeneratorëve nga burime të rinovueshme. Ligji nr. 7/2017, ndër të tjera, reflekton transpozimin thuajse të plotë të direktivës 2009/28/BE dhe praktikisht merr në konsideratë jo vetëm hidrocentralet e vogla dhe tarifën e stimuluar (</w:t>
      </w:r>
      <w:r w:rsidRPr="009E22FE">
        <w:rPr>
          <w:rFonts w:ascii="Garamond" w:hAnsi="Garamond"/>
          <w:i/>
          <w:spacing w:val="-4"/>
          <w:sz w:val="24"/>
          <w:szCs w:val="24"/>
          <w:lang w:val="sq-AL"/>
        </w:rPr>
        <w:t>Feed-</w:t>
      </w:r>
      <w:r w:rsidRPr="009E22FE">
        <w:rPr>
          <w:rFonts w:ascii="Garamond" w:hAnsi="Garamond"/>
          <w:spacing w:val="-4"/>
          <w:sz w:val="24"/>
          <w:szCs w:val="24"/>
          <w:lang w:val="sq-AL"/>
        </w:rPr>
        <w:t>in), për prodhuesit me përparësi, duke përcaktuar OSHEE sh.a. si blerësin e vetëm, por edhe nxitjen e burimeve të tjera me prejardhje të rinovueshme, si eoliket, PV, biomasë etj.</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Në këtë kuadër, për të paraprirë reformat në sektorin e energjisë elektrike dhe për të realizuar objektivin 38% të BRE-ve në KFBE, në PKVBRE, të rishikuar, të periudhës së mbetur 2018–2020, rekomandohen:</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 xml:space="preserve">i) masa efektive për miratimin e kuadrit nënligjor, që parashikon ligji nr. 7/2017 dhe gjithëpërfshirjen dhe diversifikimin e burimeve të rinovueshme në Shqipëri; </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 xml:space="preserve">ii) analizë tekniko-ekonomike më të gjerë lidhur me interesat e të gjithë operatorëve të tregut të burimeve të rinovueshme në aplikimin e “skemave mbështetëse” për promovimin e BRE-ve pa dallim; dhe </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iii) përforcimin e legjislacionit për biokarbu-rantet në sektorin e transportit në drejtim të kritereve të qëndrueshmërisë, informimin/ raportimin, si dhe vendosja e masave për nxitjen e tregtimit të tyre te konsumatori fundor.</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 xml:space="preserve">Plani Kombëtar i Veprimit për Burimet e Energjisë së Rinovueshme (2015–2020) përcakton udhërrëfyesin e arritjes së objektivit kombëtar për përqindjen e energjisë nga burimet e rinovueshme që konsumohet në sektorin e energjisë elektrike (BRE-E), të transportit (BRE-T) dhe në sektorin e ngrohjes dhe ftohjes (BRE-N&amp;F) deri në vitin 2020. PKVBRE-ja vendos, gjithashtu, objektiva tregues sasiorë dhe specifikë për teknologjinë e prodhimit të energjisë elektrike nga burime të rinovueshme të energjisë. </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 xml:space="preserve">Ligji nr. 7/2017, </w:t>
      </w:r>
      <w:r w:rsidRPr="009E22FE">
        <w:rPr>
          <w:rFonts w:ascii="Garamond" w:eastAsia="Times New Roman" w:hAnsi="Garamond"/>
          <w:spacing w:val="-4"/>
          <w:sz w:val="24"/>
          <w:szCs w:val="24"/>
          <w:lang w:val="sq-AL" w:eastAsia="de-AT"/>
        </w:rPr>
        <w:t>përmes agjencisë përgjegjëse për burimet e rinovueshme të energjisë do të sigurojë që, informacioni rreth përfitimeve, kostove dhe hollësive praktike të zhvillimit dhe përdorimit të energjisë nga burimet e rinovueshme dhe rreth masave mbështetëse, të bëhet i disponueshëm për të gjithë aktorët, të tillë si: konsumatorët, zhvilluesit, hartuesit, sponsorizuesit, investitorët, institucionet financiare, ndërtuesit, instaluesit, arkitektët dhe furnizuesit e pajisjeve dhe sistemeve të ngrohjes dhe ftohjes, dhe pajisjeve të tjera që përdorin energjinë nga burimet e rinovueshme.</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Menjëherë sa filloi zbatimi i ligjit nr. 7/2017, datë 2.2.2017, “Për nxitjen e përdorimit të energjisë nga burimet e rinovueshme”, u mundësua hapi i parë i aplikimit të menjëhershëm në skemat promovuese deri në 2 Mw për impiantet fotovoltaike (PV) dhe 3 mw për impiantet eolike. Në prill të vitit 2017, MIE propozoi “Metodologjinë e përcaktimit të çmimit të blerjes së energjisë elektrike të prodhuar nga burimet e vogla të rinovueshme (dielli dhe era)”, e cila u miratua me vendimin e Këshillit të Ministrave nr. 369, datë 26.4.2017. Tre muaj më vonë, më 27.7.2017, ERE miratoi këtë metodologji, e cila përcaktoi tarifën promovuese 100 €/mwh për impiantet PV deri në 2 mw dhe 76 €/mwh për impiantet eolike deri në 3 mw të instaluara. ERE do të rishikoje këtë çmim promovues bazuar në metodologjinë e mësipërme sipas parimeve të njohura të LCOE (</w:t>
      </w:r>
      <w:r w:rsidRPr="009E22FE">
        <w:rPr>
          <w:rFonts w:ascii="Garamond" w:hAnsi="Garamond"/>
          <w:i/>
          <w:spacing w:val="-4"/>
          <w:sz w:val="24"/>
          <w:szCs w:val="24"/>
          <w:lang w:val="sq-AL"/>
        </w:rPr>
        <w:t>Levelized Cost of Energy</w:t>
      </w:r>
      <w:r w:rsidRPr="009E22FE">
        <w:rPr>
          <w:rFonts w:ascii="Garamond" w:hAnsi="Garamond"/>
          <w:spacing w:val="-4"/>
          <w:sz w:val="24"/>
          <w:szCs w:val="24"/>
          <w:lang w:val="sq-AL"/>
        </w:rPr>
        <w:t xml:space="preserve">) për skemat promovuese, me çmime të mbështetura në trendin e çmimeve të këtyre impianteve në tregun ndërkombëtar dhe për të kthyer investimin në kohë të arsyeshme. Deri më 31 </w:t>
      </w:r>
      <w:r w:rsidRPr="009E22FE">
        <w:rPr>
          <w:rFonts w:ascii="Garamond" w:hAnsi="Garamond"/>
          <w:spacing w:val="-4"/>
          <w:sz w:val="24"/>
          <w:szCs w:val="24"/>
          <w:lang w:val="sq-AL"/>
        </w:rPr>
        <w:lastRenderedPageBreak/>
        <w:t>dhjetor 2017, në MIE janë paraqitur të paktën 30 aplikime për impiante PV deri në 2 mw dhe 6 prej tyre janë pajisur me “Miratimin përfundimtar”, ku 3 kompani kanë nënshkruar kontratën me MIE për ndërtimin e fermave me energji diellore. Për impiante eolike deri në 3 mw instalime, nuk ka pasur asnjë aplikim deri tani. Në PKVBRE 2015–2020 janë parashikuar 50 mw impiante diellore PV dhe 30 mw impiante eolike.</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Në qershor 2017, MIE nënshkroi një memorandum mirëkuptimi me BERZH-in për asistencën teknike lidhur me organizimin e ankandeve për skemat mbi 2 mw për PV-në. Asistenca do të jetë aktive në maj të vitit 2018 dhe do të plotësojë kuadrin ligjor lidhur me aplikimet e skemave mbi 2 mw për PV-në. Asistenca do të jetë e vlefshme për dy vite për MIE-n dhe do të hedhë bazat e organizimit të ankandeve. MIE është në përgatitje për të vlerësuar tokën në të cilën është më e favorshme vendosja e tyre</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Me vendimin e Këshillit të Ministrave nr. 27, datë 17.1.2018, “Për miratimin e metodologjisë për përcaktimin e çmimit të blerjes së energjisë elektrike të prodhuar nga gjeneratorët e vegjël me burime të rinovueshme nga pjesa e biodegradueshme të mbetjeve të ngurta që shfrytëzojnë mbeturinat industriale, urbane dhe rurale”, është hedhur një hap tjetër për burimet e rinovueshme nga djegia e mbetjeve urbane dhe rurale, duke kthyer mbeturinat e biodegradueshme në energji. Çmimet e propozuara nga MIE janë mbështetur në Strategjinë Kombëtare të Menaxhimit të Integruar të Mbetjeve Urbane dhe Rurale për pjesën e biodegradueshme, e cila llogaritet në masën 60%. Ky potencial do t’i japë një shtysë edhe më të madhe zhvillimit të impianteve të shkatërrimit të këtyre mbetjeve, duke reduktuar ndjeshëm depozitimin e tyre në qendra të nxehta mjedisore. Sa i përket kësaj, pritet së shpejti aprovimi nga ERE.</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Me gjithë masat tepër të shpejta pas daljes së ligjit nr. 7/2017, BRE-të në Shqipëri, janë dominuar nga skemat e mbështetjes financiare dhe mundësisë për aksesin në rrjet të energjisë elektrike të prodhuar nga burimet hidrike. Politika shtetërore, me qëllim nxitjen e investimeve në energji, përgjithësisht krijoi klimën e favorshme të dhënies se koncesioneve për ndërtimin e veprave të prodhimit të energjisë elektrike dhe garantimin për parablerjen e energjisë për një periudhë 15-vjeçare. Gjatë këtij 10-vjeçari, shteti shqiptar ka dhënë rreth 194 koncesione për ndërtimin e rreth 540 HEC-eve të vogla në mbarë vendin. Sot, nga HECV me koncesion, deri në shkurt 2018 janë instaluar vetëm 27% e tyre, të cilat përfaqësojnë 31% të gjenerimit të parashikuar, që është vetëm 43% e konsumit të energjisë elektrike të parashikuar më 2020-ën. Pritshmëria e HECV-ve në fazë ndërtimi mund të rrisë me rreth 8% prodhimin hidro deri më 2020-ën. Në PKVBRE 2015–2020 janë parashikuar 750 mw impiante të HEC-eve të vogla nga të cilat janë ndërtuar 163 mw.</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Ligji nr. 7/2017, “Për nxitjen e përdorimit të energjisë nga burimet e rinovueshme” është, gjithashtu, bazë ligjore për një sërë aktesh nënligjore lidhur me HECV-në, të cilat në raport me ligjin, sigurojnë vazhdimësinë e kontratave me qeverinë shqiptare. Kështu, mbështetur në nenin 22 pika 2 dhe 3, të ligjit nr. 7/2017, është miratuar vendimi i Këshillit të Ministrave nr. 687, datë 22.11.2017, “Për miratimin e metodologjisë për përcaktimin e çmimit të blerjes së energjisë elektrike, që do t’u paguhet prodhuesve ekzistues me përparësi”. Çmimi vjetor i blerjes së energjisë elektrike që do t’u paguhet prodhuesve ekzistues me përparësi, nga përllogaritjet e bëra sipas metodologjisë dhe i miratuar nga Enti Rregullator i Energjisë, për vitin 2018 ka rezultuar në 8.56 lekë/kwh. Ky çmim do t’u paguhet prodhuesve privatë të HEC-eve nga ana e OSHEE sh.a. me të cilin kanë edhe kontratë. Në raport me vitin 2017 dhe 2016, kur çmimi ishte i njëjtë, fiksuar në 7.4 lekë, kemi një rritje me 15%. Kjo përqasje siguron një efektivitet të investimeve të prodhuesve dhe mbrojtje të konsumatorit nga shtrembërimet e përkohshme që mund të rezultojnë në treg në kushte të ndryshme. Gjithashtu, me këtë metodologji merret në konsideratë kthimi i investimit, i cili llogaritet për pjesën e mbetur të koncesionit.</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Gjithsesi, ligji nr. 7/2017 kërkon një përpjekje edhe më të madhe lidhur me aktet nënligjore që mbetet për t’u miratuar nga Këshilli i Ministrave, siç janë:</w:t>
      </w:r>
    </w:p>
    <w:p w:rsidR="0065716C" w:rsidRPr="009E22FE" w:rsidRDefault="0065716C" w:rsidP="0065716C">
      <w:pPr>
        <w:pStyle w:val="ListParagraph"/>
        <w:widowControl w:val="0"/>
        <w:numPr>
          <w:ilvl w:val="0"/>
          <w:numId w:val="20"/>
        </w:numPr>
        <w:spacing w:after="0" w:line="240" w:lineRule="auto"/>
        <w:ind w:left="0" w:firstLine="284"/>
        <w:jc w:val="both"/>
        <w:rPr>
          <w:rFonts w:ascii="Garamond" w:hAnsi="Garamond"/>
          <w:spacing w:val="-4"/>
          <w:sz w:val="24"/>
          <w:szCs w:val="24"/>
          <w:lang w:val="sq-AL"/>
        </w:rPr>
      </w:pPr>
      <w:r w:rsidRPr="009E22FE">
        <w:rPr>
          <w:rFonts w:ascii="Garamond" w:hAnsi="Garamond"/>
          <w:spacing w:val="-4"/>
          <w:sz w:val="24"/>
          <w:szCs w:val="24"/>
          <w:lang w:val="sq-AL"/>
        </w:rPr>
        <w:t xml:space="preserve"> Projektakti për metodologjinë e llogaritjes se “Objektivave kombëtarë”;</w:t>
      </w:r>
    </w:p>
    <w:p w:rsidR="0065716C" w:rsidRPr="009E22FE" w:rsidRDefault="0065716C" w:rsidP="0065716C">
      <w:pPr>
        <w:pStyle w:val="ListParagraph"/>
        <w:widowControl w:val="0"/>
        <w:numPr>
          <w:ilvl w:val="0"/>
          <w:numId w:val="20"/>
        </w:numPr>
        <w:spacing w:after="0" w:line="240" w:lineRule="auto"/>
        <w:ind w:left="0" w:firstLine="284"/>
        <w:jc w:val="both"/>
        <w:rPr>
          <w:rFonts w:ascii="Garamond" w:hAnsi="Garamond"/>
          <w:spacing w:val="-4"/>
          <w:sz w:val="24"/>
          <w:szCs w:val="24"/>
          <w:lang w:val="sq-AL"/>
        </w:rPr>
      </w:pPr>
      <w:r w:rsidRPr="009E22FE">
        <w:rPr>
          <w:rFonts w:ascii="Garamond" w:hAnsi="Garamond"/>
          <w:spacing w:val="-4"/>
          <w:sz w:val="24"/>
          <w:szCs w:val="24"/>
          <w:lang w:val="sq-AL"/>
        </w:rPr>
        <w:t xml:space="preserve"> Përcaktimi i agjencisë përgjegjëse për burimet e rinovueshme të energjisë;</w:t>
      </w:r>
    </w:p>
    <w:p w:rsidR="0065716C" w:rsidRPr="009E22FE" w:rsidRDefault="0065716C" w:rsidP="0065716C">
      <w:pPr>
        <w:pStyle w:val="ListParagraph"/>
        <w:widowControl w:val="0"/>
        <w:numPr>
          <w:ilvl w:val="0"/>
          <w:numId w:val="20"/>
        </w:numPr>
        <w:spacing w:after="0" w:line="240" w:lineRule="auto"/>
        <w:ind w:left="0" w:firstLine="284"/>
        <w:jc w:val="both"/>
        <w:rPr>
          <w:rFonts w:ascii="Garamond" w:hAnsi="Garamond"/>
          <w:spacing w:val="-4"/>
          <w:sz w:val="24"/>
          <w:szCs w:val="24"/>
          <w:lang w:val="sq-AL"/>
        </w:rPr>
      </w:pPr>
      <w:r w:rsidRPr="009E22FE">
        <w:rPr>
          <w:rFonts w:ascii="Garamond" w:hAnsi="Garamond"/>
          <w:spacing w:val="-4"/>
          <w:sz w:val="24"/>
          <w:szCs w:val="24"/>
          <w:lang w:val="sq-AL"/>
        </w:rPr>
        <w:t xml:space="preserve"> Projektakti për mbështetjen e “Kontratave për diferencë”, në mënyrë që, BRE-të të integrohen në sistemin elektroenergjetik sipas rregullave të tregut të liberalizuar;</w:t>
      </w:r>
    </w:p>
    <w:p w:rsidR="0065716C" w:rsidRPr="009E22FE" w:rsidRDefault="0065716C" w:rsidP="0065716C">
      <w:pPr>
        <w:pStyle w:val="ListParagraph"/>
        <w:widowControl w:val="0"/>
        <w:numPr>
          <w:ilvl w:val="0"/>
          <w:numId w:val="20"/>
        </w:numPr>
        <w:spacing w:after="0" w:line="240" w:lineRule="auto"/>
        <w:ind w:left="0" w:firstLine="284"/>
        <w:jc w:val="both"/>
        <w:rPr>
          <w:rFonts w:ascii="Garamond" w:hAnsi="Garamond"/>
          <w:spacing w:val="-4"/>
          <w:sz w:val="24"/>
          <w:szCs w:val="24"/>
          <w:lang w:val="sq-AL"/>
        </w:rPr>
      </w:pPr>
      <w:r w:rsidRPr="009E22FE">
        <w:rPr>
          <w:rFonts w:ascii="Garamond" w:hAnsi="Garamond"/>
          <w:spacing w:val="-4"/>
          <w:sz w:val="24"/>
          <w:szCs w:val="24"/>
          <w:lang w:val="sq-AL"/>
        </w:rPr>
        <w:t xml:space="preserve"> Projektakti për “Skemat e matjes neto të energjisë” për vetëkonsumin deri në 500 kw instalime PV;</w:t>
      </w:r>
    </w:p>
    <w:p w:rsidR="0065716C" w:rsidRPr="009E22FE" w:rsidRDefault="0065716C" w:rsidP="0065716C">
      <w:pPr>
        <w:pStyle w:val="ListParagraph"/>
        <w:widowControl w:val="0"/>
        <w:numPr>
          <w:ilvl w:val="0"/>
          <w:numId w:val="20"/>
        </w:numPr>
        <w:spacing w:after="0" w:line="240" w:lineRule="auto"/>
        <w:ind w:left="0" w:firstLine="284"/>
        <w:jc w:val="both"/>
        <w:rPr>
          <w:rFonts w:ascii="Garamond" w:hAnsi="Garamond"/>
          <w:spacing w:val="-4"/>
          <w:sz w:val="24"/>
          <w:szCs w:val="24"/>
          <w:lang w:val="sq-AL"/>
        </w:rPr>
      </w:pPr>
      <w:r w:rsidRPr="009E22FE">
        <w:rPr>
          <w:rFonts w:ascii="Garamond" w:hAnsi="Garamond"/>
          <w:spacing w:val="-4"/>
          <w:sz w:val="24"/>
          <w:szCs w:val="24"/>
          <w:lang w:val="sq-AL"/>
        </w:rPr>
        <w:t xml:space="preserve"> Projektakti për përcaktimin e “Operatorit të Energjisë së Rinovueshme”;</w:t>
      </w:r>
      <w:r w:rsidRPr="009E22FE">
        <w:rPr>
          <w:rFonts w:ascii="Garamond" w:hAnsi="Garamond"/>
          <w:spacing w:val="-4"/>
          <w:sz w:val="24"/>
          <w:szCs w:val="24"/>
          <w:lang w:val="sq-AL"/>
        </w:rPr>
        <w:tab/>
      </w:r>
    </w:p>
    <w:p w:rsidR="0065716C" w:rsidRPr="009E22FE" w:rsidRDefault="0065716C" w:rsidP="0065716C">
      <w:pPr>
        <w:pStyle w:val="ListParagraph"/>
        <w:widowControl w:val="0"/>
        <w:numPr>
          <w:ilvl w:val="0"/>
          <w:numId w:val="20"/>
        </w:numPr>
        <w:spacing w:after="0" w:line="240" w:lineRule="auto"/>
        <w:ind w:left="0" w:firstLine="284"/>
        <w:jc w:val="both"/>
        <w:rPr>
          <w:rFonts w:ascii="Garamond" w:hAnsi="Garamond"/>
          <w:spacing w:val="-4"/>
          <w:sz w:val="24"/>
          <w:szCs w:val="24"/>
          <w:lang w:val="sq-AL"/>
        </w:rPr>
      </w:pPr>
      <w:r w:rsidRPr="009E22FE">
        <w:rPr>
          <w:rFonts w:ascii="Garamond" w:hAnsi="Garamond"/>
          <w:spacing w:val="-4"/>
          <w:sz w:val="24"/>
          <w:szCs w:val="24"/>
          <w:lang w:val="sq-AL"/>
        </w:rPr>
        <w:t xml:space="preserve"> Projektakti për rregullat e “Aksesit në rrjet” dhe “Lidhja me rrjetin”;</w:t>
      </w:r>
      <w:r w:rsidRPr="009E22FE">
        <w:rPr>
          <w:rFonts w:ascii="Garamond" w:hAnsi="Garamond"/>
          <w:spacing w:val="-4"/>
          <w:sz w:val="24"/>
          <w:szCs w:val="24"/>
          <w:lang w:val="sq-AL"/>
        </w:rPr>
        <w:tab/>
      </w:r>
    </w:p>
    <w:p w:rsidR="0065716C" w:rsidRPr="009E22FE" w:rsidRDefault="0065716C" w:rsidP="0065716C">
      <w:pPr>
        <w:pStyle w:val="ListParagraph"/>
        <w:widowControl w:val="0"/>
        <w:numPr>
          <w:ilvl w:val="0"/>
          <w:numId w:val="20"/>
        </w:numPr>
        <w:spacing w:after="0" w:line="240" w:lineRule="auto"/>
        <w:ind w:left="0" w:firstLine="284"/>
        <w:jc w:val="both"/>
        <w:rPr>
          <w:rFonts w:ascii="Garamond" w:hAnsi="Garamond"/>
          <w:spacing w:val="-4"/>
          <w:sz w:val="24"/>
          <w:szCs w:val="24"/>
          <w:lang w:val="sq-AL"/>
        </w:rPr>
      </w:pPr>
      <w:r w:rsidRPr="009E22FE">
        <w:rPr>
          <w:rFonts w:ascii="Garamond" w:hAnsi="Garamond"/>
          <w:spacing w:val="-4"/>
          <w:sz w:val="24"/>
          <w:szCs w:val="24"/>
          <w:lang w:val="sq-AL"/>
        </w:rPr>
        <w:t xml:space="preserve"> Projektakti për “Garancitë e origjinës” të burimeve të rinovueshme, me qëllim këmbimin e energjisë të rinovueshme, për të arritur objektivat në vende të tjera që mund të investojnë në BRE.</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 xml:space="preserve">Rishikimi i Planit Kombëtar të Veprimit për Burimet e Rinovueshme të Energjisë, 2018–2020, përveç masave të mësipërme në kuadrin ligjor, përcakton metodologjitë e vendosjes së çmimit të blerjes së energjisë nëpërmjet “Skemave të mbështetjes financiare”, si angazhim i drejtpërdrejtë i qeverisë shqiptare me qëllim arritjen e objektivit kombëtar. </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 xml:space="preserve">PKVBRE 2018–2020, i rishikuar, është në koherencë me direktivën, bën vlerësimin dhe më pas analizën </w:t>
      </w:r>
      <w:r w:rsidRPr="009E22FE">
        <w:rPr>
          <w:rFonts w:ascii="Garamond" w:hAnsi="Garamond"/>
          <w:spacing w:val="-4"/>
          <w:sz w:val="24"/>
          <w:szCs w:val="24"/>
          <w:lang w:val="sq-AL"/>
        </w:rPr>
        <w:lastRenderedPageBreak/>
        <w:t xml:space="preserve">e lehtësisë dhe barrierave të </w:t>
      </w:r>
      <w:r w:rsidRPr="009E22FE">
        <w:rPr>
          <w:rFonts w:ascii="Garamond" w:hAnsi="Garamond"/>
          <w:bCs/>
          <w:spacing w:val="-4"/>
          <w:sz w:val="24"/>
          <w:szCs w:val="24"/>
          <w:lang w:val="sq-AL"/>
        </w:rPr>
        <w:t xml:space="preserve">procedurave administrative kombëtare për promovimin e burimeve të rinovueshme. </w:t>
      </w:r>
      <w:r w:rsidRPr="009E22FE">
        <w:rPr>
          <w:rFonts w:ascii="Garamond" w:hAnsi="Garamond"/>
          <w:spacing w:val="-4"/>
          <w:sz w:val="24"/>
          <w:szCs w:val="24"/>
          <w:lang w:val="sq-AL"/>
        </w:rPr>
        <w:t xml:space="preserve">Bazuar në parimin e “kush të vijë më parë - i pari shërbehet”, procedurat janë lehtësuar ndjeshëm, por gjithsesi, koncesionet e HECV-ve janë dhënë në bazë të një procesi të konkurrimit të ofertave, dhe autorizimet për gjenerime të energjisë elektrike me burime të rinovueshme, si edhe autorizimet për PV-në deri në 2 mw dhe eolike deri në 3 mw, deri tani, janë dhënë mbi baza transparente. </w:t>
      </w:r>
    </w:p>
    <w:p w:rsidR="0065716C" w:rsidRPr="009E22FE" w:rsidRDefault="0065716C" w:rsidP="0065716C">
      <w:pPr>
        <w:pStyle w:val="Heading2"/>
        <w:keepNext w:val="0"/>
        <w:keepLines w:val="0"/>
        <w:widowControl w:val="0"/>
        <w:numPr>
          <w:ilvl w:val="1"/>
          <w:numId w:val="19"/>
        </w:numPr>
        <w:spacing w:before="0" w:line="240" w:lineRule="auto"/>
        <w:ind w:left="0" w:firstLine="284"/>
        <w:rPr>
          <w:rFonts w:ascii="Garamond" w:hAnsi="Garamond"/>
          <w:b/>
          <w:color w:val="auto"/>
          <w:spacing w:val="-4"/>
          <w:sz w:val="24"/>
          <w:szCs w:val="24"/>
          <w:lang w:val="sq-AL"/>
        </w:rPr>
      </w:pPr>
      <w:bookmarkStart w:id="2" w:name="_Toc505599662"/>
      <w:r w:rsidRPr="009E22FE">
        <w:rPr>
          <w:rFonts w:ascii="Garamond" w:hAnsi="Garamond"/>
          <w:color w:val="auto"/>
          <w:spacing w:val="-4"/>
          <w:sz w:val="24"/>
          <w:szCs w:val="24"/>
          <w:lang w:val="sq-AL"/>
        </w:rPr>
        <w:t xml:space="preserve"> Gjendja e burimeve të energjisë të rinovueshme deri në dhjetor 2017</w:t>
      </w:r>
      <w:bookmarkEnd w:id="2"/>
    </w:p>
    <w:p w:rsidR="0065716C" w:rsidRPr="009E22FE" w:rsidRDefault="0065716C" w:rsidP="0065716C">
      <w:pPr>
        <w:pStyle w:val="Heading3"/>
        <w:keepNext w:val="0"/>
        <w:keepLines w:val="0"/>
        <w:widowControl w:val="0"/>
        <w:numPr>
          <w:ilvl w:val="2"/>
          <w:numId w:val="19"/>
        </w:numPr>
        <w:tabs>
          <w:tab w:val="left" w:pos="900"/>
        </w:tabs>
        <w:spacing w:before="0" w:line="240" w:lineRule="auto"/>
        <w:ind w:left="0" w:firstLine="284"/>
        <w:rPr>
          <w:rFonts w:ascii="Garamond" w:hAnsi="Garamond"/>
          <w:b/>
          <w:color w:val="auto"/>
          <w:spacing w:val="-4"/>
          <w:lang w:val="sq-AL"/>
        </w:rPr>
      </w:pPr>
      <w:bookmarkStart w:id="3" w:name="_Toc505599663"/>
      <w:bookmarkStart w:id="4" w:name="_Toc425777120"/>
      <w:r w:rsidRPr="009E22FE">
        <w:rPr>
          <w:rFonts w:ascii="Garamond" w:hAnsi="Garamond"/>
          <w:color w:val="auto"/>
          <w:spacing w:val="-4"/>
          <w:lang w:val="sq-AL"/>
        </w:rPr>
        <w:t>Burimet e rinovueshme për prodhimin e energjisë elektrike (BRE-E)</w:t>
      </w:r>
      <w:bookmarkEnd w:id="3"/>
      <w:bookmarkEnd w:id="4"/>
    </w:p>
    <w:p w:rsidR="0065716C" w:rsidRPr="009E22FE" w:rsidRDefault="0065716C" w:rsidP="0065716C">
      <w:pPr>
        <w:pStyle w:val="Heading3"/>
        <w:keepNext w:val="0"/>
        <w:keepLines w:val="0"/>
        <w:widowControl w:val="0"/>
        <w:numPr>
          <w:ilvl w:val="3"/>
          <w:numId w:val="19"/>
        </w:numPr>
        <w:tabs>
          <w:tab w:val="left" w:pos="900"/>
        </w:tabs>
        <w:spacing w:before="0" w:line="240" w:lineRule="auto"/>
        <w:ind w:left="0" w:firstLine="284"/>
        <w:rPr>
          <w:rFonts w:ascii="Garamond" w:hAnsi="Garamond"/>
          <w:b/>
          <w:color w:val="auto"/>
          <w:spacing w:val="-4"/>
          <w:lang w:val="sq-AL"/>
        </w:rPr>
      </w:pPr>
      <w:r w:rsidRPr="009E22FE">
        <w:rPr>
          <w:rFonts w:ascii="Garamond" w:hAnsi="Garamond"/>
          <w:color w:val="auto"/>
          <w:spacing w:val="-4"/>
          <w:lang w:val="sq-AL"/>
        </w:rPr>
        <w:t xml:space="preserve"> Burimet hidrike</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Në rajon Shqipëria përbën një rast të veçantë, sepse sot, prodhimi i energjisë elektrike në vend realizohet nga hidrocentralet e mëdhenj, të mesëm dhe të vegjël. Por, fakti që Shqipëria mbështet bazën e konsumit të energjisë elektrike, në energjinë hidrike, e bën atë vulnerabël ndaj ndryshimeve të kushteve hidrologjike dhe kjo gjë ka zvogëluar ndjeshëm sigurinë e furnizimit me energji elektrike. Kështu, pavarësisht vitit rekord 2016 kur Shqipëria ishte eksportuese neto e energjisë, viti 2017, ishte pothuajse i qartë se prodhimi i energjisë elektrike nga hidrocentralet është më i ulët se vlera mesatare shumëvjeçare (4,682 gwh). Gjithsesi, pas vitit 2000, Shqipëria është importuese neto e energjisë elektrike</w:t>
      </w:r>
      <w:r w:rsidRPr="009E22FE">
        <w:rPr>
          <w:rStyle w:val="FootnoteReference"/>
          <w:rFonts w:ascii="Garamond" w:hAnsi="Garamond"/>
          <w:spacing w:val="-4"/>
          <w:sz w:val="24"/>
          <w:szCs w:val="24"/>
          <w:lang w:val="sq-AL"/>
        </w:rPr>
        <w:footnoteReference w:id="1"/>
      </w:r>
      <w:r w:rsidRPr="009E22FE">
        <w:rPr>
          <w:rFonts w:ascii="Garamond" w:hAnsi="Garamond"/>
          <w:spacing w:val="-4"/>
          <w:sz w:val="24"/>
          <w:szCs w:val="24"/>
          <w:lang w:val="sq-AL"/>
        </w:rPr>
        <w:t>, importe të cilat variojnë në varësi të kushteve, midis 30 dhe 60% e kërkesës për energji elektrike</w:t>
      </w:r>
      <w:r w:rsidRPr="009E22FE">
        <w:rPr>
          <w:rStyle w:val="FootnoteReference"/>
          <w:rFonts w:ascii="Garamond" w:hAnsi="Garamond"/>
          <w:spacing w:val="-4"/>
          <w:sz w:val="24"/>
          <w:szCs w:val="24"/>
          <w:lang w:val="sq-AL"/>
        </w:rPr>
        <w:footnoteReference w:id="2"/>
      </w:r>
      <w:r w:rsidRPr="009E22FE">
        <w:rPr>
          <w:rFonts w:ascii="Garamond" w:hAnsi="Garamond"/>
          <w:spacing w:val="-4"/>
          <w:sz w:val="24"/>
          <w:szCs w:val="24"/>
          <w:lang w:val="sq-AL"/>
        </w:rPr>
        <w:t>.</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Referuar tabelës së paraqitjes së kontributit të burimeve të rinovueshme për arritjen e objektivit 38%, vlerësohet se ecuria e vënies në punë të hidrocentraleve për periudhën 2015–2020, ndjek këtë ritëm, më 2015 janë vënë në punë 32 mw me prodhim vjetor 58 gwh, për vitin 2016, kanë hyrë për herë të parë në operim edhe 25 HEC-e, me fuqi totale të instaluar prej 116 mw dhe prodhim 133 ghh, ndërsa për vitin 2017 janë vënë në punë 15 mw hidrocentrale me prodhim vjetor 26 ghh. Nisur nga kjo ecuri e vënies në punë e HEC-eve deri në vitin 2020 parashikohet të vihen në punë vetëm 330 mw, me prodhim vjetor vetëm 458 gwh.</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Në 10 vitet e fundit, pjesa më e madhe e diskutimeve në lidhje me promovimin e BRE-ve në Shqipëri, ka qenë e përqendruar në skemat e mbështetjes financiare dhe mundësisë për aksesin në rrjet të energjisë elektrike të prodhuar nga burimet hidrike. Politika shtetërore, me qëllim nxitjen e investimeve në energji, përgjithësisht krijoi klimën e favorshme të dhënies se koncesioneve për ndërtimin e veprave të prodhimit BER-E. Sipas AKBN-së, gjatë viteve 2002 – janar 2018, shteti shqiptar ka dhënë rreth 194 koncesione për ndërtimin e rreth 540 HEC-eve në mbarë vendin. Dhënia e koncesioneve në këto vite ka qenë në varësi të politikave shtetërore dhe jo të një politike të qëndrueshme energjetike.</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Investimet e parashikuara në HEC-e, për koncesionet deri në vitin 2020, përllogariten të jenë mbi 275 miliardë lekë, me një fuqi të instaluar prej 1390 mw dhe prodhim vjetor të parashikuar të energjisë BER-E, përreth 5901 gwh. Nëse marrim në konsideratë edhe prodhimin vjetor nga KESH sh.a., me një mesatare prej 4,000 gwh, atëherë prodhimi vjetor i parashikuar nga KESH dhe HEC-et me koncesion, i afrohet nevojës energjetike të vendit prej rreth 10,000 gwh deri më 2020-ën. Rrjeti aktual i transmetimit ka një kapacitet absorbues rezervë edhe për 180–200 mw dhe, për të bërë realitet këto parashikime, do të duhej përforcimi i rrjetit të transmetimit dhe të shpërndarjes me të paktën 1,251 mw deri në vitin 2025.</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Gjithsesi, faktet tregojnë se nga 540 HEC-et me koncesion, 147 të tilla, me fuqi të instaluar prej 833 mw, kanë filluar prodhimin, ndërsa 109 HEC-e janë në fazën e ndërtimit me kapacitet 557 mw dhe ndërkohë nuk kanë filluar ende ndërtimin 284 prej tyre (tabela 1). Pritshmëria e koncesioneve për prodhimin e energjisë elektrike nga burimet hidro, deri në vitin janar 2018 ka rezultuar:</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Në fazën e prodhimit:</w:t>
      </w:r>
    </w:p>
    <w:p w:rsidR="0065716C" w:rsidRPr="009E22FE" w:rsidRDefault="0065716C" w:rsidP="0065716C">
      <w:pPr>
        <w:pStyle w:val="ListParagraph"/>
        <w:widowControl w:val="0"/>
        <w:spacing w:after="0" w:line="240" w:lineRule="auto"/>
        <w:ind w:left="284"/>
        <w:jc w:val="both"/>
        <w:rPr>
          <w:rFonts w:ascii="Garamond" w:hAnsi="Garamond"/>
          <w:spacing w:val="-4"/>
          <w:sz w:val="24"/>
          <w:szCs w:val="24"/>
          <w:lang w:val="sq-AL"/>
        </w:rPr>
      </w:pPr>
      <w:r w:rsidRPr="009E22FE">
        <w:rPr>
          <w:rFonts w:ascii="Garamond" w:hAnsi="Garamond"/>
          <w:spacing w:val="-4"/>
          <w:sz w:val="24"/>
          <w:szCs w:val="24"/>
          <w:lang w:val="sq-AL"/>
        </w:rPr>
        <w:t xml:space="preserve">- 27% të realizuar për nga numri i HEC-eve (147 nga 540); </w:t>
      </w:r>
    </w:p>
    <w:p w:rsidR="0065716C" w:rsidRPr="009E22FE" w:rsidRDefault="0065716C" w:rsidP="0065716C">
      <w:pPr>
        <w:pStyle w:val="ListParagraph"/>
        <w:widowControl w:val="0"/>
        <w:spacing w:after="0" w:line="240" w:lineRule="auto"/>
        <w:ind w:left="284"/>
        <w:jc w:val="both"/>
        <w:rPr>
          <w:rFonts w:ascii="Garamond" w:hAnsi="Garamond"/>
          <w:spacing w:val="-4"/>
          <w:sz w:val="24"/>
          <w:szCs w:val="24"/>
          <w:lang w:val="sq-AL"/>
        </w:rPr>
      </w:pPr>
      <w:r w:rsidRPr="009E22FE">
        <w:rPr>
          <w:rFonts w:ascii="Garamond" w:hAnsi="Garamond"/>
          <w:spacing w:val="-4"/>
          <w:sz w:val="24"/>
          <w:szCs w:val="24"/>
          <w:lang w:val="sq-AL"/>
        </w:rPr>
        <w:t>- 32 % të realizuar për nga fuqia e instaluar (833 nga 2594 mw); dhe</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- 31% për nga prodhimi i parashikuar (3467.1 nga 11292.8 gwh).</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Në fazën e ndërtimit:</w:t>
      </w:r>
    </w:p>
    <w:p w:rsidR="0065716C" w:rsidRPr="009E22FE" w:rsidRDefault="0065716C" w:rsidP="0065716C">
      <w:pPr>
        <w:pStyle w:val="ListParagraph"/>
        <w:widowControl w:val="0"/>
        <w:spacing w:after="0" w:line="240" w:lineRule="auto"/>
        <w:ind w:left="284"/>
        <w:jc w:val="both"/>
        <w:rPr>
          <w:rFonts w:ascii="Garamond" w:hAnsi="Garamond"/>
          <w:spacing w:val="-4"/>
          <w:sz w:val="24"/>
          <w:szCs w:val="24"/>
          <w:lang w:val="sq-AL"/>
        </w:rPr>
      </w:pPr>
      <w:r w:rsidRPr="009E22FE">
        <w:rPr>
          <w:rFonts w:ascii="Garamond" w:hAnsi="Garamond"/>
          <w:spacing w:val="-4"/>
          <w:sz w:val="24"/>
          <w:szCs w:val="24"/>
          <w:lang w:val="sq-AL"/>
        </w:rPr>
        <w:t xml:space="preserve">- 53% në ndërtim për nga numri i HEC-eve (109 nga 540); </w:t>
      </w:r>
    </w:p>
    <w:p w:rsidR="0065716C" w:rsidRPr="009E22FE" w:rsidRDefault="0065716C" w:rsidP="0065716C">
      <w:pPr>
        <w:pStyle w:val="ListParagraph"/>
        <w:widowControl w:val="0"/>
        <w:spacing w:after="0" w:line="240" w:lineRule="auto"/>
        <w:ind w:left="284"/>
        <w:jc w:val="both"/>
        <w:rPr>
          <w:rFonts w:ascii="Garamond" w:hAnsi="Garamond"/>
          <w:spacing w:val="-4"/>
          <w:sz w:val="24"/>
          <w:szCs w:val="24"/>
          <w:lang w:val="sq-AL"/>
        </w:rPr>
      </w:pPr>
      <w:r w:rsidRPr="009E22FE">
        <w:rPr>
          <w:rFonts w:ascii="Garamond" w:hAnsi="Garamond"/>
          <w:spacing w:val="-4"/>
          <w:sz w:val="24"/>
          <w:szCs w:val="24"/>
          <w:lang w:val="sq-AL"/>
        </w:rPr>
        <w:t>- 22% në ndërtim për nga fuqia e instaluar (557.8 nga 2594mw); dhe</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- 22 % do të shtohen për nga prodhimi i parashikuar (2,434 nga 11292.8 gwh).</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Hidrocentralet që nuk kanë filluar ndërtimet:</w:t>
      </w:r>
    </w:p>
    <w:p w:rsidR="0065716C" w:rsidRPr="009E22FE" w:rsidRDefault="0065716C" w:rsidP="0065716C">
      <w:pPr>
        <w:pStyle w:val="ListParagraph"/>
        <w:widowControl w:val="0"/>
        <w:spacing w:after="0" w:line="240" w:lineRule="auto"/>
        <w:ind w:left="284"/>
        <w:jc w:val="both"/>
        <w:rPr>
          <w:rFonts w:ascii="Garamond" w:hAnsi="Garamond"/>
          <w:spacing w:val="-4"/>
          <w:sz w:val="24"/>
          <w:szCs w:val="24"/>
          <w:lang w:val="sq-AL"/>
        </w:rPr>
      </w:pPr>
      <w:r w:rsidRPr="009E22FE">
        <w:rPr>
          <w:rFonts w:ascii="Garamond" w:hAnsi="Garamond"/>
          <w:spacing w:val="-4"/>
          <w:sz w:val="24"/>
          <w:szCs w:val="24"/>
          <w:lang w:val="sq-AL"/>
        </w:rPr>
        <w:t xml:space="preserve">- 20% për nga numri i HEC-eve (284 nga 540); </w:t>
      </w:r>
    </w:p>
    <w:p w:rsidR="0065716C" w:rsidRPr="009E22FE" w:rsidRDefault="0065716C" w:rsidP="0065716C">
      <w:pPr>
        <w:pStyle w:val="ListParagraph"/>
        <w:widowControl w:val="0"/>
        <w:spacing w:after="0" w:line="240" w:lineRule="auto"/>
        <w:ind w:left="284"/>
        <w:jc w:val="both"/>
        <w:rPr>
          <w:rFonts w:ascii="Garamond" w:hAnsi="Garamond"/>
          <w:spacing w:val="-4"/>
          <w:sz w:val="24"/>
          <w:szCs w:val="24"/>
          <w:lang w:val="sq-AL"/>
        </w:rPr>
      </w:pPr>
      <w:r w:rsidRPr="009E22FE">
        <w:rPr>
          <w:rFonts w:ascii="Garamond" w:hAnsi="Garamond"/>
          <w:spacing w:val="-4"/>
          <w:sz w:val="24"/>
          <w:szCs w:val="24"/>
          <w:lang w:val="sq-AL"/>
        </w:rPr>
        <w:t>- 46% për nga fuqia e instaluar (1203 nga 2594 mw); dhe</w:t>
      </w:r>
    </w:p>
    <w:p w:rsidR="0065716C" w:rsidRPr="009E22FE" w:rsidRDefault="0065716C" w:rsidP="0065716C">
      <w:pPr>
        <w:pStyle w:val="ListParagraph"/>
        <w:widowControl w:val="0"/>
        <w:spacing w:after="0" w:line="240" w:lineRule="auto"/>
        <w:ind w:left="284"/>
        <w:jc w:val="both"/>
        <w:rPr>
          <w:rFonts w:ascii="Garamond" w:hAnsi="Garamond"/>
          <w:spacing w:val="-4"/>
          <w:sz w:val="24"/>
          <w:szCs w:val="24"/>
          <w:lang w:val="sq-AL"/>
        </w:rPr>
      </w:pPr>
      <w:r w:rsidRPr="009E22FE">
        <w:rPr>
          <w:rFonts w:ascii="Garamond" w:hAnsi="Garamond"/>
          <w:spacing w:val="-4"/>
          <w:sz w:val="24"/>
          <w:szCs w:val="24"/>
          <w:lang w:val="sq-AL"/>
        </w:rPr>
        <w:t>- 48 % për nga prodhimi i parashikuar (5391 nga 11292.8 gwh).</w:t>
      </w:r>
    </w:p>
    <w:p w:rsidR="0065716C" w:rsidRPr="009E22FE" w:rsidRDefault="0065716C" w:rsidP="0065716C">
      <w:pPr>
        <w:pStyle w:val="Tabela"/>
        <w:widowControl w:val="0"/>
        <w:spacing w:before="0"/>
        <w:ind w:firstLine="284"/>
        <w:rPr>
          <w:rFonts w:ascii="Garamond" w:hAnsi="Garamond"/>
          <w:i w:val="0"/>
          <w:noProof w:val="0"/>
          <w:spacing w:val="-4"/>
          <w:sz w:val="24"/>
        </w:rPr>
      </w:pPr>
    </w:p>
    <w:p w:rsidR="0065716C" w:rsidRPr="009E22FE" w:rsidRDefault="0065716C" w:rsidP="0065716C">
      <w:pPr>
        <w:spacing w:after="0" w:line="240" w:lineRule="auto"/>
        <w:ind w:firstLine="0"/>
        <w:jc w:val="left"/>
        <w:rPr>
          <w:rFonts w:ascii="Garamond" w:hAnsi="Garamond"/>
          <w:spacing w:val="-4"/>
          <w:kern w:val="28"/>
          <w:sz w:val="24"/>
          <w:szCs w:val="24"/>
          <w:lang w:val="sq-AL"/>
        </w:rPr>
        <w:sectPr w:rsidR="0065716C" w:rsidRPr="009E22FE" w:rsidSect="0065716C">
          <w:pgSz w:w="11907" w:h="16840"/>
          <w:pgMar w:top="720" w:right="1134" w:bottom="720" w:left="1134" w:header="851" w:footer="851" w:gutter="0"/>
          <w:pgNumType w:start="2623"/>
          <w:cols w:space="454"/>
        </w:sectPr>
      </w:pPr>
    </w:p>
    <w:p w:rsidR="0065716C" w:rsidRPr="009E22FE" w:rsidRDefault="0065716C" w:rsidP="0065716C">
      <w:pPr>
        <w:pStyle w:val="Tabela"/>
        <w:widowControl w:val="0"/>
        <w:spacing w:before="0"/>
        <w:ind w:firstLine="284"/>
        <w:rPr>
          <w:rFonts w:ascii="Garamond" w:hAnsi="Garamond"/>
          <w:i w:val="0"/>
          <w:noProof w:val="0"/>
          <w:sz w:val="10"/>
        </w:rPr>
      </w:pPr>
    </w:p>
    <w:p w:rsidR="0065716C" w:rsidRPr="009E22FE" w:rsidRDefault="0065716C" w:rsidP="0065716C">
      <w:pPr>
        <w:pStyle w:val="Tabela"/>
        <w:widowControl w:val="0"/>
        <w:spacing w:before="0"/>
        <w:ind w:firstLine="284"/>
        <w:rPr>
          <w:rFonts w:ascii="Garamond" w:hAnsi="Garamond"/>
          <w:i w:val="0"/>
          <w:noProof w:val="0"/>
          <w:sz w:val="24"/>
        </w:rPr>
      </w:pPr>
      <w:r w:rsidRPr="009E22FE">
        <w:rPr>
          <w:rFonts w:ascii="Garamond" w:hAnsi="Garamond"/>
          <w:i w:val="0"/>
          <w:noProof w:val="0"/>
          <w:sz w:val="24"/>
        </w:rPr>
        <w:t>Tabela 1. Gjendja e HECV-ve me koncesion deri në janar 2018</w:t>
      </w:r>
    </w:p>
    <w:tbl>
      <w:tblPr>
        <w:tblW w:w="5000" w:type="pct"/>
        <w:jc w:val="cente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firstRow="1" w:lastRow="0" w:firstColumn="1" w:lastColumn="0" w:noHBand="0" w:noVBand="1"/>
      </w:tblPr>
      <w:tblGrid>
        <w:gridCol w:w="2883"/>
        <w:gridCol w:w="1718"/>
        <w:gridCol w:w="1718"/>
        <w:gridCol w:w="1622"/>
        <w:gridCol w:w="1678"/>
      </w:tblGrid>
      <w:tr w:rsidR="009E22FE" w:rsidRPr="009E22FE" w:rsidTr="0065716C">
        <w:trPr>
          <w:trHeight w:val="610"/>
          <w:jc w:val="center"/>
        </w:trPr>
        <w:tc>
          <w:tcPr>
            <w:tcW w:w="1499" w:type="pct"/>
            <w:tcBorders>
              <w:top w:val="single" w:sz="8" w:space="0" w:color="4BACC6"/>
              <w:left w:val="single" w:sz="8" w:space="0" w:color="4BACC6"/>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center"/>
              <w:rPr>
                <w:rFonts w:ascii="Garamond" w:hAnsi="Garamond"/>
                <w:b/>
                <w:sz w:val="20"/>
                <w:szCs w:val="20"/>
                <w:lang w:val="sq-AL" w:eastAsia="sq-AL"/>
              </w:rPr>
            </w:pPr>
            <w:r w:rsidRPr="009E22FE">
              <w:rPr>
                <w:rFonts w:ascii="Garamond" w:hAnsi="Garamond"/>
                <w:b/>
                <w:sz w:val="20"/>
                <w:szCs w:val="20"/>
                <w:lang w:val="sq-AL" w:eastAsia="sq-AL"/>
              </w:rPr>
              <w:t>Janar 2018</w:t>
            </w:r>
          </w:p>
          <w:p w:rsidR="0065716C" w:rsidRPr="009E22FE" w:rsidRDefault="0065716C">
            <w:pPr>
              <w:widowControl w:val="0"/>
              <w:spacing w:after="0" w:line="240" w:lineRule="auto"/>
              <w:ind w:firstLine="0"/>
              <w:jc w:val="center"/>
              <w:rPr>
                <w:rFonts w:ascii="Garamond" w:hAnsi="Garamond"/>
                <w:b/>
                <w:sz w:val="20"/>
                <w:szCs w:val="20"/>
                <w:lang w:val="sq-AL" w:eastAsia="sq-AL"/>
              </w:rPr>
            </w:pPr>
            <w:r w:rsidRPr="009E22FE">
              <w:rPr>
                <w:rFonts w:ascii="Garamond" w:hAnsi="Garamond"/>
                <w:b/>
                <w:sz w:val="20"/>
                <w:szCs w:val="20"/>
                <w:lang w:val="sq-AL" w:eastAsia="sq-AL"/>
              </w:rPr>
              <w:t>Faza në të cilën ndodhet koncesioni (2003–janar 2018)</w:t>
            </w:r>
          </w:p>
        </w:tc>
        <w:tc>
          <w:tcPr>
            <w:tcW w:w="893" w:type="pct"/>
            <w:tcBorders>
              <w:top w:val="single" w:sz="8" w:space="0" w:color="4BACC6"/>
              <w:left w:val="single" w:sz="8" w:space="0" w:color="4BACC6"/>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center"/>
              <w:rPr>
                <w:rFonts w:ascii="Garamond" w:hAnsi="Garamond"/>
                <w:b/>
                <w:sz w:val="20"/>
                <w:szCs w:val="20"/>
                <w:lang w:val="sq-AL" w:eastAsia="sq-AL"/>
              </w:rPr>
            </w:pPr>
            <w:r w:rsidRPr="009E22FE">
              <w:rPr>
                <w:rFonts w:ascii="Garamond" w:hAnsi="Garamond"/>
                <w:b/>
                <w:sz w:val="20"/>
                <w:szCs w:val="20"/>
                <w:lang w:val="sq-AL" w:eastAsia="sq-AL"/>
              </w:rPr>
              <w:t>Numri i</w:t>
            </w:r>
          </w:p>
          <w:p w:rsidR="0065716C" w:rsidRPr="009E22FE" w:rsidRDefault="0065716C">
            <w:pPr>
              <w:widowControl w:val="0"/>
              <w:spacing w:after="0" w:line="240" w:lineRule="auto"/>
              <w:ind w:firstLine="0"/>
              <w:jc w:val="center"/>
              <w:rPr>
                <w:rFonts w:ascii="Garamond" w:hAnsi="Garamond"/>
                <w:b/>
                <w:sz w:val="20"/>
                <w:szCs w:val="20"/>
                <w:lang w:val="sq-AL" w:eastAsia="sq-AL"/>
              </w:rPr>
            </w:pPr>
            <w:r w:rsidRPr="009E22FE">
              <w:rPr>
                <w:rFonts w:ascii="Garamond" w:hAnsi="Garamond"/>
                <w:b/>
                <w:sz w:val="20"/>
                <w:szCs w:val="20"/>
                <w:lang w:val="sq-AL" w:eastAsia="sq-AL"/>
              </w:rPr>
              <w:t>HEC-eve</w:t>
            </w:r>
          </w:p>
        </w:tc>
        <w:tc>
          <w:tcPr>
            <w:tcW w:w="893" w:type="pct"/>
            <w:tcBorders>
              <w:top w:val="single" w:sz="8" w:space="0" w:color="4BACC6"/>
              <w:left w:val="single" w:sz="8" w:space="0" w:color="4BACC6"/>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center"/>
              <w:rPr>
                <w:rFonts w:ascii="Garamond" w:hAnsi="Garamond"/>
                <w:b/>
                <w:sz w:val="20"/>
                <w:szCs w:val="20"/>
                <w:lang w:val="sq-AL" w:eastAsia="sq-AL"/>
              </w:rPr>
            </w:pPr>
            <w:r w:rsidRPr="009E22FE">
              <w:rPr>
                <w:rFonts w:ascii="Garamond" w:hAnsi="Garamond"/>
                <w:b/>
                <w:sz w:val="20"/>
                <w:szCs w:val="20"/>
                <w:lang w:val="sq-AL" w:eastAsia="sq-AL"/>
              </w:rPr>
              <w:t>Fuqia</w:t>
            </w:r>
          </w:p>
          <w:p w:rsidR="0065716C" w:rsidRPr="009E22FE" w:rsidRDefault="0065716C">
            <w:pPr>
              <w:widowControl w:val="0"/>
              <w:spacing w:after="0" w:line="240" w:lineRule="auto"/>
              <w:ind w:firstLine="0"/>
              <w:jc w:val="center"/>
              <w:rPr>
                <w:rFonts w:ascii="Garamond" w:hAnsi="Garamond"/>
                <w:b/>
                <w:sz w:val="20"/>
                <w:szCs w:val="20"/>
                <w:lang w:val="sq-AL" w:eastAsia="sq-AL"/>
              </w:rPr>
            </w:pPr>
            <w:r w:rsidRPr="009E22FE">
              <w:rPr>
                <w:rFonts w:ascii="Garamond" w:hAnsi="Garamond"/>
                <w:b/>
                <w:sz w:val="20"/>
                <w:szCs w:val="20"/>
                <w:lang w:val="sq-AL" w:eastAsia="sq-AL"/>
              </w:rPr>
              <w:t>e instaluar</w:t>
            </w:r>
          </w:p>
          <w:p w:rsidR="0065716C" w:rsidRPr="009E22FE" w:rsidRDefault="0065716C">
            <w:pPr>
              <w:widowControl w:val="0"/>
              <w:spacing w:after="0" w:line="240" w:lineRule="auto"/>
              <w:ind w:firstLine="0"/>
              <w:jc w:val="center"/>
              <w:rPr>
                <w:rFonts w:ascii="Garamond" w:hAnsi="Garamond"/>
                <w:b/>
                <w:sz w:val="20"/>
                <w:szCs w:val="20"/>
                <w:lang w:val="sq-AL" w:eastAsia="sq-AL"/>
              </w:rPr>
            </w:pPr>
            <w:r w:rsidRPr="009E22FE">
              <w:rPr>
                <w:rFonts w:ascii="Garamond" w:hAnsi="Garamond"/>
                <w:b/>
                <w:sz w:val="20"/>
                <w:szCs w:val="20"/>
                <w:lang w:val="sq-AL" w:eastAsia="sq-AL"/>
              </w:rPr>
              <w:t>(mw)</w:t>
            </w:r>
          </w:p>
        </w:tc>
        <w:tc>
          <w:tcPr>
            <w:tcW w:w="843" w:type="pct"/>
            <w:tcBorders>
              <w:top w:val="single" w:sz="8" w:space="0" w:color="4BACC6"/>
              <w:left w:val="single" w:sz="8" w:space="0" w:color="4BACC6"/>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center"/>
              <w:rPr>
                <w:rFonts w:ascii="Garamond" w:hAnsi="Garamond"/>
                <w:b/>
                <w:sz w:val="20"/>
                <w:szCs w:val="20"/>
                <w:lang w:val="sq-AL" w:eastAsia="sq-AL"/>
              </w:rPr>
            </w:pPr>
            <w:r w:rsidRPr="009E22FE">
              <w:rPr>
                <w:rFonts w:ascii="Garamond" w:hAnsi="Garamond"/>
                <w:b/>
                <w:sz w:val="20"/>
                <w:szCs w:val="20"/>
                <w:lang w:val="sq-AL" w:eastAsia="sq-AL"/>
              </w:rPr>
              <w:t>Prodhimi i parashikuar</w:t>
            </w:r>
          </w:p>
          <w:p w:rsidR="0065716C" w:rsidRPr="009E22FE" w:rsidRDefault="0065716C">
            <w:pPr>
              <w:widowControl w:val="0"/>
              <w:spacing w:after="0" w:line="240" w:lineRule="auto"/>
              <w:ind w:firstLine="0"/>
              <w:jc w:val="center"/>
              <w:rPr>
                <w:rFonts w:ascii="Garamond" w:hAnsi="Garamond"/>
                <w:b/>
                <w:sz w:val="20"/>
                <w:szCs w:val="20"/>
                <w:lang w:val="sq-AL" w:eastAsia="sq-AL"/>
              </w:rPr>
            </w:pPr>
            <w:r w:rsidRPr="009E22FE">
              <w:rPr>
                <w:rFonts w:ascii="Garamond" w:hAnsi="Garamond"/>
                <w:b/>
                <w:sz w:val="20"/>
                <w:szCs w:val="20"/>
                <w:lang w:val="sq-AL" w:eastAsia="sq-AL"/>
              </w:rPr>
              <w:t>në gwh</w:t>
            </w:r>
          </w:p>
        </w:tc>
        <w:tc>
          <w:tcPr>
            <w:tcW w:w="872" w:type="pct"/>
            <w:tcBorders>
              <w:top w:val="single" w:sz="8" w:space="0" w:color="4BACC6"/>
              <w:left w:val="single" w:sz="8" w:space="0" w:color="4BACC6"/>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center"/>
              <w:rPr>
                <w:rFonts w:ascii="Garamond" w:hAnsi="Garamond"/>
                <w:b/>
                <w:sz w:val="20"/>
                <w:szCs w:val="20"/>
                <w:lang w:val="sq-AL" w:eastAsia="sq-AL"/>
              </w:rPr>
            </w:pPr>
            <w:r w:rsidRPr="009E22FE">
              <w:rPr>
                <w:rFonts w:ascii="Garamond" w:hAnsi="Garamond"/>
                <w:b/>
                <w:sz w:val="20"/>
                <w:szCs w:val="20"/>
                <w:lang w:val="sq-AL" w:eastAsia="sq-AL"/>
              </w:rPr>
              <w:t>Vlera</w:t>
            </w:r>
          </w:p>
          <w:p w:rsidR="0065716C" w:rsidRPr="009E22FE" w:rsidRDefault="0065716C">
            <w:pPr>
              <w:widowControl w:val="0"/>
              <w:spacing w:after="0" w:line="240" w:lineRule="auto"/>
              <w:ind w:firstLine="0"/>
              <w:jc w:val="center"/>
              <w:rPr>
                <w:rFonts w:ascii="Garamond" w:hAnsi="Garamond"/>
                <w:b/>
                <w:sz w:val="20"/>
                <w:szCs w:val="20"/>
                <w:lang w:val="sq-AL" w:eastAsia="sq-AL"/>
              </w:rPr>
            </w:pPr>
            <w:r w:rsidRPr="009E22FE">
              <w:rPr>
                <w:rFonts w:ascii="Garamond" w:hAnsi="Garamond"/>
                <w:b/>
                <w:sz w:val="20"/>
                <w:szCs w:val="20"/>
                <w:lang w:val="sq-AL" w:eastAsia="sq-AL"/>
              </w:rPr>
              <w:t>e investimit</w:t>
            </w:r>
          </w:p>
          <w:p w:rsidR="0065716C" w:rsidRPr="009E22FE" w:rsidRDefault="0065716C">
            <w:pPr>
              <w:widowControl w:val="0"/>
              <w:spacing w:after="0" w:line="240" w:lineRule="auto"/>
              <w:ind w:firstLine="0"/>
              <w:jc w:val="center"/>
              <w:rPr>
                <w:rFonts w:ascii="Garamond" w:hAnsi="Garamond"/>
                <w:b/>
                <w:sz w:val="20"/>
                <w:szCs w:val="20"/>
                <w:lang w:val="sq-AL" w:eastAsia="sq-AL"/>
              </w:rPr>
            </w:pPr>
            <w:r w:rsidRPr="009E22FE">
              <w:rPr>
                <w:rFonts w:ascii="Garamond" w:hAnsi="Garamond"/>
                <w:b/>
                <w:sz w:val="20"/>
                <w:szCs w:val="20"/>
                <w:lang w:val="sq-AL" w:eastAsia="sq-AL"/>
              </w:rPr>
              <w:t>(miliardë lekë)</w:t>
            </w:r>
          </w:p>
        </w:tc>
      </w:tr>
      <w:tr w:rsidR="009E22FE" w:rsidRPr="009E22FE" w:rsidTr="0065716C">
        <w:trPr>
          <w:jc w:val="center"/>
        </w:trPr>
        <w:tc>
          <w:tcPr>
            <w:tcW w:w="1499" w:type="pct"/>
            <w:tcBorders>
              <w:top w:val="single" w:sz="8" w:space="0" w:color="4BACC6"/>
              <w:left w:val="single" w:sz="8" w:space="0" w:color="4BACC6"/>
              <w:bottom w:val="single" w:sz="8" w:space="0" w:color="4BACC6"/>
              <w:right w:val="single" w:sz="8" w:space="0" w:color="4BACC6"/>
            </w:tcBorders>
            <w:shd w:val="clear" w:color="auto" w:fill="D2EAF1"/>
            <w:noWrap/>
            <w:hideMark/>
          </w:tcPr>
          <w:p w:rsidR="0065716C" w:rsidRPr="009E22FE" w:rsidRDefault="0065716C">
            <w:pPr>
              <w:widowControl w:val="0"/>
              <w:spacing w:after="0" w:line="240" w:lineRule="auto"/>
              <w:ind w:firstLine="0"/>
              <w:rPr>
                <w:rFonts w:ascii="Garamond" w:hAnsi="Garamond"/>
                <w:sz w:val="20"/>
                <w:szCs w:val="20"/>
                <w:lang w:val="sq-AL" w:eastAsia="sq-AL"/>
              </w:rPr>
            </w:pPr>
            <w:r w:rsidRPr="009E22FE">
              <w:rPr>
                <w:rFonts w:ascii="Garamond" w:hAnsi="Garamond"/>
                <w:sz w:val="20"/>
                <w:szCs w:val="20"/>
                <w:lang w:val="sq-AL" w:eastAsia="sq-AL"/>
              </w:rPr>
              <w:t>Në fazën e ndërtimit</w:t>
            </w:r>
          </w:p>
        </w:tc>
        <w:tc>
          <w:tcPr>
            <w:tcW w:w="893" w:type="pct"/>
            <w:tcBorders>
              <w:top w:val="single" w:sz="8" w:space="0" w:color="4BACC6"/>
              <w:left w:val="single" w:sz="8" w:space="0" w:color="4BACC6"/>
              <w:bottom w:val="single" w:sz="8" w:space="0" w:color="4BACC6"/>
              <w:right w:val="single" w:sz="8" w:space="0" w:color="4BACC6"/>
            </w:tcBorders>
            <w:shd w:val="clear" w:color="auto" w:fill="D2EAF1"/>
            <w:noWrap/>
            <w:hideMark/>
          </w:tcPr>
          <w:p w:rsidR="0065716C" w:rsidRPr="009E22FE" w:rsidRDefault="0065716C">
            <w:pPr>
              <w:widowControl w:val="0"/>
              <w:spacing w:after="0" w:line="240" w:lineRule="auto"/>
              <w:ind w:firstLine="0"/>
              <w:jc w:val="right"/>
              <w:rPr>
                <w:rFonts w:ascii="Garamond" w:hAnsi="Garamond"/>
                <w:sz w:val="20"/>
                <w:szCs w:val="20"/>
                <w:lang w:val="sq-AL"/>
              </w:rPr>
            </w:pPr>
            <w:r w:rsidRPr="009E22FE">
              <w:rPr>
                <w:rFonts w:ascii="Garamond" w:hAnsi="Garamond"/>
                <w:sz w:val="20"/>
                <w:szCs w:val="20"/>
                <w:lang w:val="sq-AL" w:eastAsia="sq-AL"/>
              </w:rPr>
              <w:t>109</w:t>
            </w:r>
          </w:p>
        </w:tc>
        <w:tc>
          <w:tcPr>
            <w:tcW w:w="893" w:type="pct"/>
            <w:tcBorders>
              <w:top w:val="single" w:sz="8" w:space="0" w:color="4BACC6"/>
              <w:left w:val="single" w:sz="8" w:space="0" w:color="4BACC6"/>
              <w:bottom w:val="single" w:sz="8" w:space="0" w:color="4BACC6"/>
              <w:right w:val="single" w:sz="8" w:space="0" w:color="4BACC6"/>
            </w:tcBorders>
            <w:shd w:val="clear" w:color="auto" w:fill="D2EAF1"/>
            <w:noWrap/>
            <w:hideMark/>
          </w:tcPr>
          <w:p w:rsidR="0065716C" w:rsidRPr="009E22FE" w:rsidRDefault="0065716C">
            <w:pPr>
              <w:widowControl w:val="0"/>
              <w:spacing w:after="0" w:line="240" w:lineRule="auto"/>
              <w:ind w:firstLine="0"/>
              <w:jc w:val="right"/>
              <w:rPr>
                <w:rFonts w:ascii="Garamond" w:hAnsi="Garamond"/>
                <w:sz w:val="20"/>
                <w:szCs w:val="20"/>
                <w:lang w:val="sq-AL"/>
              </w:rPr>
            </w:pPr>
            <w:r w:rsidRPr="009E22FE">
              <w:rPr>
                <w:rFonts w:ascii="Garamond" w:hAnsi="Garamond"/>
                <w:sz w:val="20"/>
                <w:szCs w:val="20"/>
                <w:lang w:val="sq-AL" w:eastAsia="sq-AL"/>
              </w:rPr>
              <w:t>557.8</w:t>
            </w:r>
          </w:p>
        </w:tc>
        <w:tc>
          <w:tcPr>
            <w:tcW w:w="843" w:type="pct"/>
            <w:tcBorders>
              <w:top w:val="single" w:sz="8" w:space="0" w:color="4BACC6"/>
              <w:left w:val="single" w:sz="8" w:space="0" w:color="4BACC6"/>
              <w:bottom w:val="single" w:sz="8" w:space="0" w:color="4BACC6"/>
              <w:right w:val="single" w:sz="8" w:space="0" w:color="4BACC6"/>
            </w:tcBorders>
            <w:shd w:val="clear" w:color="auto" w:fill="D2EAF1"/>
            <w:noWrap/>
            <w:hideMark/>
          </w:tcPr>
          <w:p w:rsidR="0065716C" w:rsidRPr="009E22FE" w:rsidRDefault="0065716C">
            <w:pPr>
              <w:widowControl w:val="0"/>
              <w:spacing w:after="0" w:line="240" w:lineRule="auto"/>
              <w:ind w:firstLine="0"/>
              <w:jc w:val="right"/>
              <w:rPr>
                <w:rFonts w:ascii="Garamond" w:hAnsi="Garamond"/>
                <w:sz w:val="20"/>
                <w:szCs w:val="20"/>
                <w:lang w:val="sq-AL"/>
              </w:rPr>
            </w:pPr>
            <w:r w:rsidRPr="009E22FE">
              <w:rPr>
                <w:rFonts w:ascii="Garamond" w:hAnsi="Garamond"/>
                <w:sz w:val="20"/>
                <w:szCs w:val="20"/>
                <w:lang w:val="sq-AL" w:eastAsia="sq-AL"/>
              </w:rPr>
              <w:t>2,435</w:t>
            </w:r>
          </w:p>
        </w:tc>
        <w:tc>
          <w:tcPr>
            <w:tcW w:w="872" w:type="pct"/>
            <w:tcBorders>
              <w:top w:val="single" w:sz="8" w:space="0" w:color="4BACC6"/>
              <w:left w:val="single" w:sz="8" w:space="0" w:color="4BACC6"/>
              <w:bottom w:val="single" w:sz="8" w:space="0" w:color="4BACC6"/>
              <w:right w:val="single" w:sz="8" w:space="0" w:color="4BACC6"/>
            </w:tcBorders>
            <w:shd w:val="clear" w:color="auto" w:fill="D2EAF1"/>
            <w:noWrap/>
            <w:hideMark/>
          </w:tcPr>
          <w:p w:rsidR="0065716C" w:rsidRPr="009E22FE" w:rsidRDefault="0065716C">
            <w:pPr>
              <w:widowControl w:val="0"/>
              <w:spacing w:after="0" w:line="240" w:lineRule="auto"/>
              <w:ind w:firstLine="0"/>
              <w:jc w:val="right"/>
              <w:rPr>
                <w:rFonts w:ascii="Garamond" w:hAnsi="Garamond"/>
                <w:sz w:val="20"/>
                <w:szCs w:val="20"/>
                <w:lang w:val="sq-AL"/>
              </w:rPr>
            </w:pPr>
            <w:r w:rsidRPr="009E22FE">
              <w:rPr>
                <w:rFonts w:ascii="Garamond" w:hAnsi="Garamond"/>
                <w:sz w:val="20"/>
                <w:szCs w:val="20"/>
                <w:lang w:val="sq-AL"/>
              </w:rPr>
              <w:t>162</w:t>
            </w:r>
          </w:p>
        </w:tc>
      </w:tr>
      <w:tr w:rsidR="009E22FE" w:rsidRPr="009E22FE" w:rsidTr="0065716C">
        <w:trPr>
          <w:jc w:val="center"/>
        </w:trPr>
        <w:tc>
          <w:tcPr>
            <w:tcW w:w="1499" w:type="pct"/>
            <w:tcBorders>
              <w:top w:val="single" w:sz="8" w:space="0" w:color="4BACC6"/>
              <w:left w:val="single" w:sz="8" w:space="0" w:color="4BACC6"/>
              <w:bottom w:val="single" w:sz="8" w:space="0" w:color="4BACC6"/>
              <w:right w:val="single" w:sz="8" w:space="0" w:color="4BACC6"/>
            </w:tcBorders>
            <w:noWrap/>
            <w:hideMark/>
          </w:tcPr>
          <w:p w:rsidR="0065716C" w:rsidRPr="009E22FE" w:rsidRDefault="0065716C">
            <w:pPr>
              <w:widowControl w:val="0"/>
              <w:spacing w:after="0" w:line="240" w:lineRule="auto"/>
              <w:ind w:firstLine="0"/>
              <w:rPr>
                <w:rFonts w:ascii="Garamond" w:hAnsi="Garamond"/>
                <w:sz w:val="20"/>
                <w:szCs w:val="20"/>
                <w:lang w:val="sq-AL" w:eastAsia="sq-AL"/>
              </w:rPr>
            </w:pPr>
            <w:r w:rsidRPr="009E22FE">
              <w:rPr>
                <w:rFonts w:ascii="Garamond" w:hAnsi="Garamond"/>
                <w:sz w:val="20"/>
                <w:szCs w:val="20"/>
                <w:lang w:val="sq-AL" w:eastAsia="sq-AL"/>
              </w:rPr>
              <w:t>Pa filluar ndërtimin</w:t>
            </w:r>
          </w:p>
        </w:tc>
        <w:tc>
          <w:tcPr>
            <w:tcW w:w="893" w:type="pct"/>
            <w:tcBorders>
              <w:top w:val="single" w:sz="8" w:space="0" w:color="4BACC6"/>
              <w:left w:val="single" w:sz="8" w:space="0" w:color="4BACC6"/>
              <w:bottom w:val="single" w:sz="8" w:space="0" w:color="4BACC6"/>
              <w:right w:val="single" w:sz="8" w:space="0" w:color="4BACC6"/>
            </w:tcBorders>
            <w:noWrap/>
            <w:hideMark/>
          </w:tcPr>
          <w:p w:rsidR="0065716C" w:rsidRPr="009E22FE" w:rsidRDefault="0065716C">
            <w:pPr>
              <w:widowControl w:val="0"/>
              <w:spacing w:after="0" w:line="240" w:lineRule="auto"/>
              <w:ind w:firstLine="0"/>
              <w:jc w:val="right"/>
              <w:rPr>
                <w:rFonts w:ascii="Garamond" w:hAnsi="Garamond"/>
                <w:sz w:val="20"/>
                <w:szCs w:val="20"/>
                <w:lang w:val="sq-AL"/>
              </w:rPr>
            </w:pPr>
            <w:r w:rsidRPr="009E22FE">
              <w:rPr>
                <w:rFonts w:ascii="Garamond" w:hAnsi="Garamond"/>
                <w:sz w:val="20"/>
                <w:szCs w:val="20"/>
                <w:lang w:val="sq-AL" w:eastAsia="sq-AL"/>
              </w:rPr>
              <w:t>284</w:t>
            </w:r>
          </w:p>
        </w:tc>
        <w:tc>
          <w:tcPr>
            <w:tcW w:w="893" w:type="pct"/>
            <w:tcBorders>
              <w:top w:val="single" w:sz="8" w:space="0" w:color="4BACC6"/>
              <w:left w:val="single" w:sz="8" w:space="0" w:color="4BACC6"/>
              <w:bottom w:val="single" w:sz="8" w:space="0" w:color="4BACC6"/>
              <w:right w:val="single" w:sz="8" w:space="0" w:color="4BACC6"/>
            </w:tcBorders>
            <w:noWrap/>
            <w:hideMark/>
          </w:tcPr>
          <w:p w:rsidR="0065716C" w:rsidRPr="009E22FE" w:rsidRDefault="0065716C">
            <w:pPr>
              <w:widowControl w:val="0"/>
              <w:spacing w:after="0" w:line="240" w:lineRule="auto"/>
              <w:ind w:firstLine="0"/>
              <w:jc w:val="right"/>
              <w:rPr>
                <w:rFonts w:ascii="Garamond" w:hAnsi="Garamond"/>
                <w:sz w:val="20"/>
                <w:szCs w:val="20"/>
                <w:lang w:val="sq-AL"/>
              </w:rPr>
            </w:pPr>
            <w:r w:rsidRPr="009E22FE">
              <w:rPr>
                <w:rFonts w:ascii="Garamond" w:hAnsi="Garamond"/>
                <w:sz w:val="20"/>
                <w:szCs w:val="20"/>
                <w:lang w:val="sq-AL" w:eastAsia="sq-AL"/>
              </w:rPr>
              <w:t>1,204</w:t>
            </w:r>
          </w:p>
        </w:tc>
        <w:tc>
          <w:tcPr>
            <w:tcW w:w="843" w:type="pct"/>
            <w:tcBorders>
              <w:top w:val="single" w:sz="8" w:space="0" w:color="4BACC6"/>
              <w:left w:val="single" w:sz="8" w:space="0" w:color="4BACC6"/>
              <w:bottom w:val="single" w:sz="8" w:space="0" w:color="4BACC6"/>
              <w:right w:val="single" w:sz="8" w:space="0" w:color="4BACC6"/>
            </w:tcBorders>
            <w:noWrap/>
            <w:hideMark/>
          </w:tcPr>
          <w:p w:rsidR="0065716C" w:rsidRPr="009E22FE" w:rsidRDefault="0065716C">
            <w:pPr>
              <w:widowControl w:val="0"/>
              <w:spacing w:after="0" w:line="240" w:lineRule="auto"/>
              <w:ind w:firstLine="0"/>
              <w:jc w:val="right"/>
              <w:rPr>
                <w:rFonts w:ascii="Garamond" w:hAnsi="Garamond"/>
                <w:sz w:val="20"/>
                <w:szCs w:val="20"/>
                <w:lang w:val="sq-AL"/>
              </w:rPr>
            </w:pPr>
            <w:r w:rsidRPr="009E22FE">
              <w:rPr>
                <w:rFonts w:ascii="Garamond" w:hAnsi="Garamond"/>
                <w:sz w:val="20"/>
                <w:szCs w:val="20"/>
                <w:lang w:val="sq-AL" w:eastAsia="sq-AL"/>
              </w:rPr>
              <w:t>5,391</w:t>
            </w:r>
          </w:p>
        </w:tc>
        <w:tc>
          <w:tcPr>
            <w:tcW w:w="872" w:type="pct"/>
            <w:tcBorders>
              <w:top w:val="single" w:sz="8" w:space="0" w:color="4BACC6"/>
              <w:left w:val="single" w:sz="8" w:space="0" w:color="4BACC6"/>
              <w:bottom w:val="single" w:sz="8" w:space="0" w:color="4BACC6"/>
              <w:right w:val="single" w:sz="8" w:space="0" w:color="4BACC6"/>
            </w:tcBorders>
            <w:noWrap/>
            <w:hideMark/>
          </w:tcPr>
          <w:p w:rsidR="0065716C" w:rsidRPr="009E22FE" w:rsidRDefault="0065716C">
            <w:pPr>
              <w:widowControl w:val="0"/>
              <w:spacing w:after="0" w:line="240" w:lineRule="auto"/>
              <w:ind w:firstLine="0"/>
              <w:jc w:val="right"/>
              <w:rPr>
                <w:rFonts w:ascii="Garamond" w:hAnsi="Garamond"/>
                <w:sz w:val="20"/>
                <w:szCs w:val="20"/>
                <w:lang w:val="sq-AL"/>
              </w:rPr>
            </w:pPr>
            <w:r w:rsidRPr="009E22FE">
              <w:rPr>
                <w:rFonts w:ascii="Garamond" w:hAnsi="Garamond"/>
                <w:sz w:val="20"/>
                <w:szCs w:val="20"/>
                <w:lang w:val="sq-AL"/>
              </w:rPr>
              <w:t>160</w:t>
            </w:r>
          </w:p>
        </w:tc>
      </w:tr>
      <w:tr w:rsidR="009E22FE" w:rsidRPr="009E22FE" w:rsidTr="0065716C">
        <w:trPr>
          <w:jc w:val="center"/>
        </w:trPr>
        <w:tc>
          <w:tcPr>
            <w:tcW w:w="1499" w:type="pct"/>
            <w:tcBorders>
              <w:top w:val="single" w:sz="8" w:space="0" w:color="4BACC6"/>
              <w:left w:val="single" w:sz="8" w:space="0" w:color="4BACC6"/>
              <w:bottom w:val="single" w:sz="8" w:space="0" w:color="4BACC6"/>
              <w:right w:val="single" w:sz="8" w:space="0" w:color="4BACC6"/>
            </w:tcBorders>
            <w:shd w:val="clear" w:color="auto" w:fill="D2EAF1"/>
            <w:noWrap/>
            <w:hideMark/>
          </w:tcPr>
          <w:p w:rsidR="0065716C" w:rsidRPr="009E22FE" w:rsidRDefault="0065716C">
            <w:pPr>
              <w:widowControl w:val="0"/>
              <w:spacing w:after="0" w:line="240" w:lineRule="auto"/>
              <w:ind w:firstLine="0"/>
              <w:rPr>
                <w:rFonts w:ascii="Garamond" w:hAnsi="Garamond"/>
                <w:sz w:val="20"/>
                <w:szCs w:val="20"/>
                <w:lang w:val="sq-AL" w:eastAsia="sq-AL"/>
              </w:rPr>
            </w:pPr>
            <w:r w:rsidRPr="009E22FE">
              <w:rPr>
                <w:rFonts w:ascii="Garamond" w:hAnsi="Garamond"/>
                <w:sz w:val="20"/>
                <w:szCs w:val="20"/>
                <w:lang w:val="sq-AL" w:eastAsia="sq-AL"/>
              </w:rPr>
              <w:t>Në fazën e prodhimit</w:t>
            </w:r>
          </w:p>
        </w:tc>
        <w:tc>
          <w:tcPr>
            <w:tcW w:w="893" w:type="pct"/>
            <w:tcBorders>
              <w:top w:val="single" w:sz="8" w:space="0" w:color="4BACC6"/>
              <w:left w:val="single" w:sz="8" w:space="0" w:color="4BACC6"/>
              <w:bottom w:val="single" w:sz="8" w:space="0" w:color="4BACC6"/>
              <w:right w:val="single" w:sz="8" w:space="0" w:color="4BACC6"/>
            </w:tcBorders>
            <w:shd w:val="clear" w:color="auto" w:fill="D2EAF1"/>
            <w:noWrap/>
            <w:hideMark/>
          </w:tcPr>
          <w:p w:rsidR="0065716C" w:rsidRPr="009E22FE" w:rsidRDefault="0065716C">
            <w:pPr>
              <w:widowControl w:val="0"/>
              <w:spacing w:after="0" w:line="240" w:lineRule="auto"/>
              <w:ind w:firstLine="0"/>
              <w:jc w:val="right"/>
              <w:rPr>
                <w:rFonts w:ascii="Garamond" w:hAnsi="Garamond"/>
                <w:sz w:val="20"/>
                <w:szCs w:val="20"/>
                <w:lang w:val="sq-AL"/>
              </w:rPr>
            </w:pPr>
            <w:r w:rsidRPr="009E22FE">
              <w:rPr>
                <w:rFonts w:ascii="Garamond" w:hAnsi="Garamond"/>
                <w:sz w:val="20"/>
                <w:szCs w:val="20"/>
                <w:lang w:val="sq-AL" w:eastAsia="sq-AL"/>
              </w:rPr>
              <w:t>147</w:t>
            </w:r>
          </w:p>
        </w:tc>
        <w:tc>
          <w:tcPr>
            <w:tcW w:w="893" w:type="pct"/>
            <w:tcBorders>
              <w:top w:val="single" w:sz="8" w:space="0" w:color="4BACC6"/>
              <w:left w:val="single" w:sz="8" w:space="0" w:color="4BACC6"/>
              <w:bottom w:val="single" w:sz="8" w:space="0" w:color="4BACC6"/>
              <w:right w:val="single" w:sz="8" w:space="0" w:color="4BACC6"/>
            </w:tcBorders>
            <w:shd w:val="clear" w:color="auto" w:fill="D2EAF1"/>
            <w:noWrap/>
            <w:hideMark/>
          </w:tcPr>
          <w:p w:rsidR="0065716C" w:rsidRPr="009E22FE" w:rsidRDefault="0065716C">
            <w:pPr>
              <w:widowControl w:val="0"/>
              <w:spacing w:after="0" w:line="240" w:lineRule="auto"/>
              <w:ind w:firstLine="0"/>
              <w:jc w:val="right"/>
              <w:rPr>
                <w:rFonts w:ascii="Garamond" w:hAnsi="Garamond"/>
                <w:sz w:val="20"/>
                <w:szCs w:val="20"/>
                <w:lang w:val="sq-AL"/>
              </w:rPr>
            </w:pPr>
            <w:r w:rsidRPr="009E22FE">
              <w:rPr>
                <w:rFonts w:ascii="Garamond" w:hAnsi="Garamond"/>
                <w:sz w:val="20"/>
                <w:szCs w:val="20"/>
                <w:lang w:val="sq-AL" w:eastAsia="sq-AL"/>
              </w:rPr>
              <w:t>833</w:t>
            </w:r>
          </w:p>
        </w:tc>
        <w:tc>
          <w:tcPr>
            <w:tcW w:w="843" w:type="pct"/>
            <w:tcBorders>
              <w:top w:val="single" w:sz="8" w:space="0" w:color="4BACC6"/>
              <w:left w:val="single" w:sz="8" w:space="0" w:color="4BACC6"/>
              <w:bottom w:val="single" w:sz="8" w:space="0" w:color="4BACC6"/>
              <w:right w:val="single" w:sz="8" w:space="0" w:color="4BACC6"/>
            </w:tcBorders>
            <w:shd w:val="clear" w:color="auto" w:fill="D2EAF1"/>
            <w:noWrap/>
            <w:hideMark/>
          </w:tcPr>
          <w:p w:rsidR="0065716C" w:rsidRPr="009E22FE" w:rsidRDefault="0065716C">
            <w:pPr>
              <w:widowControl w:val="0"/>
              <w:spacing w:after="0" w:line="240" w:lineRule="auto"/>
              <w:ind w:firstLine="0"/>
              <w:jc w:val="right"/>
              <w:rPr>
                <w:rFonts w:ascii="Garamond" w:hAnsi="Garamond"/>
                <w:sz w:val="20"/>
                <w:szCs w:val="20"/>
                <w:lang w:val="sq-AL"/>
              </w:rPr>
            </w:pPr>
            <w:r w:rsidRPr="009E22FE">
              <w:rPr>
                <w:rFonts w:ascii="Garamond" w:hAnsi="Garamond"/>
                <w:sz w:val="20"/>
                <w:szCs w:val="20"/>
                <w:lang w:val="sq-AL" w:eastAsia="sq-AL"/>
              </w:rPr>
              <w:t>3,467</w:t>
            </w:r>
          </w:p>
        </w:tc>
        <w:tc>
          <w:tcPr>
            <w:tcW w:w="872" w:type="pct"/>
            <w:tcBorders>
              <w:top w:val="single" w:sz="8" w:space="0" w:color="4BACC6"/>
              <w:left w:val="single" w:sz="8" w:space="0" w:color="4BACC6"/>
              <w:bottom w:val="single" w:sz="8" w:space="0" w:color="4BACC6"/>
              <w:right w:val="single" w:sz="8" w:space="0" w:color="4BACC6"/>
            </w:tcBorders>
            <w:shd w:val="clear" w:color="auto" w:fill="D2EAF1"/>
            <w:noWrap/>
            <w:hideMark/>
          </w:tcPr>
          <w:p w:rsidR="0065716C" w:rsidRPr="009E22FE" w:rsidRDefault="0065716C">
            <w:pPr>
              <w:widowControl w:val="0"/>
              <w:spacing w:after="0" w:line="240" w:lineRule="auto"/>
              <w:ind w:firstLine="0"/>
              <w:jc w:val="right"/>
              <w:rPr>
                <w:rFonts w:ascii="Garamond" w:hAnsi="Garamond"/>
                <w:sz w:val="20"/>
                <w:szCs w:val="20"/>
                <w:lang w:val="sq-AL"/>
              </w:rPr>
            </w:pPr>
            <w:r w:rsidRPr="009E22FE">
              <w:rPr>
                <w:rFonts w:ascii="Garamond" w:hAnsi="Garamond"/>
                <w:sz w:val="20"/>
                <w:szCs w:val="20"/>
                <w:lang w:val="sq-AL"/>
              </w:rPr>
              <w:t>113</w:t>
            </w:r>
          </w:p>
        </w:tc>
      </w:tr>
      <w:tr w:rsidR="009E22FE" w:rsidRPr="009E22FE" w:rsidTr="0065716C">
        <w:trPr>
          <w:jc w:val="center"/>
        </w:trPr>
        <w:tc>
          <w:tcPr>
            <w:tcW w:w="1499" w:type="pct"/>
            <w:tcBorders>
              <w:top w:val="single" w:sz="8" w:space="0" w:color="4BACC6"/>
              <w:left w:val="single" w:sz="8" w:space="0" w:color="4BACC6"/>
              <w:bottom w:val="single" w:sz="8" w:space="0" w:color="4BACC6"/>
              <w:right w:val="single" w:sz="8" w:space="0" w:color="4BACC6"/>
            </w:tcBorders>
            <w:noWrap/>
            <w:hideMark/>
          </w:tcPr>
          <w:p w:rsidR="0065716C" w:rsidRPr="009E22FE" w:rsidRDefault="0065716C">
            <w:pPr>
              <w:widowControl w:val="0"/>
              <w:spacing w:after="0" w:line="240" w:lineRule="auto"/>
              <w:ind w:firstLine="0"/>
              <w:rPr>
                <w:rFonts w:ascii="Garamond" w:hAnsi="Garamond"/>
                <w:b/>
                <w:sz w:val="20"/>
                <w:szCs w:val="20"/>
                <w:lang w:val="sq-AL" w:eastAsia="sq-AL"/>
              </w:rPr>
            </w:pPr>
            <w:r w:rsidRPr="009E22FE">
              <w:rPr>
                <w:rFonts w:ascii="Garamond" w:hAnsi="Garamond"/>
                <w:b/>
                <w:sz w:val="20"/>
                <w:szCs w:val="20"/>
                <w:lang w:val="sq-AL" w:eastAsia="sq-AL"/>
              </w:rPr>
              <w:t>TOTAL</w:t>
            </w:r>
          </w:p>
        </w:tc>
        <w:tc>
          <w:tcPr>
            <w:tcW w:w="893" w:type="pct"/>
            <w:tcBorders>
              <w:top w:val="single" w:sz="8" w:space="0" w:color="4BACC6"/>
              <w:left w:val="single" w:sz="8" w:space="0" w:color="4BACC6"/>
              <w:bottom w:val="single" w:sz="8" w:space="0" w:color="4BACC6"/>
              <w:right w:val="single" w:sz="8" w:space="0" w:color="4BACC6"/>
            </w:tcBorders>
            <w:noWrap/>
            <w:hideMark/>
          </w:tcPr>
          <w:p w:rsidR="0065716C" w:rsidRPr="009E22FE" w:rsidRDefault="0065716C">
            <w:pPr>
              <w:widowControl w:val="0"/>
              <w:spacing w:after="0" w:line="240" w:lineRule="auto"/>
              <w:ind w:firstLine="0"/>
              <w:jc w:val="right"/>
              <w:rPr>
                <w:rFonts w:ascii="Garamond" w:hAnsi="Garamond"/>
                <w:b/>
                <w:bCs/>
                <w:sz w:val="20"/>
                <w:szCs w:val="20"/>
                <w:lang w:val="sq-AL"/>
              </w:rPr>
            </w:pPr>
            <w:r w:rsidRPr="009E22FE">
              <w:rPr>
                <w:rFonts w:ascii="Garamond" w:hAnsi="Garamond"/>
                <w:b/>
                <w:bCs/>
                <w:sz w:val="20"/>
                <w:szCs w:val="20"/>
                <w:lang w:val="sq-AL" w:eastAsia="sq-AL"/>
              </w:rPr>
              <w:t>540</w:t>
            </w:r>
          </w:p>
        </w:tc>
        <w:tc>
          <w:tcPr>
            <w:tcW w:w="893" w:type="pct"/>
            <w:tcBorders>
              <w:top w:val="single" w:sz="8" w:space="0" w:color="4BACC6"/>
              <w:left w:val="single" w:sz="8" w:space="0" w:color="4BACC6"/>
              <w:bottom w:val="single" w:sz="8" w:space="0" w:color="4BACC6"/>
              <w:right w:val="single" w:sz="8" w:space="0" w:color="4BACC6"/>
            </w:tcBorders>
            <w:noWrap/>
            <w:hideMark/>
          </w:tcPr>
          <w:p w:rsidR="0065716C" w:rsidRPr="009E22FE" w:rsidRDefault="0065716C">
            <w:pPr>
              <w:widowControl w:val="0"/>
              <w:spacing w:after="0" w:line="240" w:lineRule="auto"/>
              <w:ind w:firstLine="0"/>
              <w:jc w:val="right"/>
              <w:rPr>
                <w:rFonts w:ascii="Garamond" w:hAnsi="Garamond"/>
                <w:b/>
                <w:bCs/>
                <w:sz w:val="20"/>
                <w:szCs w:val="20"/>
                <w:lang w:val="sq-AL"/>
              </w:rPr>
            </w:pPr>
            <w:r w:rsidRPr="009E22FE">
              <w:rPr>
                <w:rFonts w:ascii="Garamond" w:hAnsi="Garamond"/>
                <w:b/>
                <w:bCs/>
                <w:sz w:val="20"/>
                <w:szCs w:val="20"/>
                <w:lang w:val="sq-AL" w:eastAsia="sq-AL"/>
              </w:rPr>
              <w:t>2594</w:t>
            </w:r>
          </w:p>
        </w:tc>
        <w:tc>
          <w:tcPr>
            <w:tcW w:w="843" w:type="pct"/>
            <w:tcBorders>
              <w:top w:val="single" w:sz="8" w:space="0" w:color="4BACC6"/>
              <w:left w:val="single" w:sz="8" w:space="0" w:color="4BACC6"/>
              <w:bottom w:val="single" w:sz="8" w:space="0" w:color="4BACC6"/>
              <w:right w:val="single" w:sz="8" w:space="0" w:color="4BACC6"/>
            </w:tcBorders>
            <w:noWrap/>
            <w:hideMark/>
          </w:tcPr>
          <w:p w:rsidR="0065716C" w:rsidRPr="009E22FE" w:rsidRDefault="0065716C">
            <w:pPr>
              <w:widowControl w:val="0"/>
              <w:spacing w:after="0" w:line="240" w:lineRule="auto"/>
              <w:ind w:firstLine="0"/>
              <w:jc w:val="right"/>
              <w:rPr>
                <w:rFonts w:ascii="Garamond" w:hAnsi="Garamond"/>
                <w:b/>
                <w:bCs/>
                <w:sz w:val="20"/>
                <w:szCs w:val="20"/>
                <w:lang w:val="sq-AL"/>
              </w:rPr>
            </w:pPr>
            <w:r w:rsidRPr="009E22FE">
              <w:rPr>
                <w:rFonts w:ascii="Garamond" w:hAnsi="Garamond"/>
                <w:b/>
                <w:bCs/>
                <w:sz w:val="20"/>
                <w:szCs w:val="20"/>
                <w:lang w:val="sq-AL" w:eastAsia="sq-AL"/>
              </w:rPr>
              <w:t>11293</w:t>
            </w:r>
          </w:p>
        </w:tc>
        <w:tc>
          <w:tcPr>
            <w:tcW w:w="872" w:type="pct"/>
            <w:tcBorders>
              <w:top w:val="single" w:sz="8" w:space="0" w:color="4BACC6"/>
              <w:left w:val="single" w:sz="8" w:space="0" w:color="4BACC6"/>
              <w:bottom w:val="single" w:sz="8" w:space="0" w:color="4BACC6"/>
              <w:right w:val="single" w:sz="8" w:space="0" w:color="4BACC6"/>
            </w:tcBorders>
            <w:noWrap/>
            <w:hideMark/>
          </w:tcPr>
          <w:p w:rsidR="0065716C" w:rsidRPr="009E22FE" w:rsidRDefault="0065716C">
            <w:pPr>
              <w:widowControl w:val="0"/>
              <w:spacing w:after="0" w:line="240" w:lineRule="auto"/>
              <w:ind w:firstLine="0"/>
              <w:jc w:val="right"/>
              <w:rPr>
                <w:rFonts w:ascii="Garamond" w:hAnsi="Garamond"/>
                <w:b/>
                <w:bCs/>
                <w:sz w:val="20"/>
                <w:szCs w:val="20"/>
                <w:lang w:val="sq-AL"/>
              </w:rPr>
            </w:pPr>
            <w:r w:rsidRPr="009E22FE">
              <w:rPr>
                <w:rFonts w:ascii="Garamond" w:hAnsi="Garamond"/>
                <w:b/>
                <w:bCs/>
                <w:sz w:val="20"/>
                <w:szCs w:val="20"/>
                <w:lang w:val="sq-AL" w:eastAsia="sq-AL"/>
              </w:rPr>
              <w:t>435</w:t>
            </w:r>
          </w:p>
        </w:tc>
      </w:tr>
      <w:tr w:rsidR="009E22FE" w:rsidRPr="009E22FE" w:rsidTr="0065716C">
        <w:trPr>
          <w:jc w:val="center"/>
        </w:trPr>
        <w:tc>
          <w:tcPr>
            <w:tcW w:w="1499" w:type="pct"/>
            <w:tcBorders>
              <w:top w:val="single" w:sz="8" w:space="0" w:color="4BACC6"/>
              <w:left w:val="single" w:sz="8" w:space="0" w:color="4BACC6"/>
              <w:bottom w:val="single" w:sz="8" w:space="0" w:color="4BACC6"/>
              <w:right w:val="single" w:sz="8" w:space="0" w:color="4BACC6"/>
            </w:tcBorders>
            <w:shd w:val="clear" w:color="auto" w:fill="B4C6E7" w:themeFill="accent5" w:themeFillTint="66"/>
            <w:noWrap/>
            <w:hideMark/>
          </w:tcPr>
          <w:p w:rsidR="0065716C" w:rsidRPr="009E22FE" w:rsidRDefault="0065716C">
            <w:pPr>
              <w:widowControl w:val="0"/>
              <w:spacing w:after="0" w:line="240" w:lineRule="auto"/>
              <w:ind w:firstLine="0"/>
              <w:rPr>
                <w:rFonts w:ascii="Garamond" w:hAnsi="Garamond"/>
                <w:sz w:val="20"/>
                <w:szCs w:val="20"/>
                <w:lang w:val="sq-AL" w:eastAsia="sq-AL"/>
              </w:rPr>
            </w:pPr>
            <w:r w:rsidRPr="009E22FE">
              <w:rPr>
                <w:rFonts w:ascii="Garamond" w:hAnsi="Garamond"/>
                <w:sz w:val="20"/>
                <w:szCs w:val="20"/>
                <w:lang w:val="sq-AL" w:eastAsia="sq-AL"/>
              </w:rPr>
              <w:t>Pritshmëria në 3–4 vite</w:t>
            </w:r>
          </w:p>
        </w:tc>
        <w:tc>
          <w:tcPr>
            <w:tcW w:w="893" w:type="pct"/>
            <w:tcBorders>
              <w:top w:val="single" w:sz="8" w:space="0" w:color="4BACC6"/>
              <w:left w:val="single" w:sz="8" w:space="0" w:color="4BACC6"/>
              <w:bottom w:val="single" w:sz="8" w:space="0" w:color="4BACC6"/>
              <w:right w:val="single" w:sz="8" w:space="0" w:color="4BACC6"/>
            </w:tcBorders>
            <w:shd w:val="clear" w:color="auto" w:fill="B4C6E7" w:themeFill="accent5" w:themeFillTint="66"/>
            <w:noWrap/>
            <w:hideMark/>
          </w:tcPr>
          <w:p w:rsidR="0065716C" w:rsidRPr="009E22FE" w:rsidRDefault="0065716C">
            <w:pPr>
              <w:widowControl w:val="0"/>
              <w:spacing w:after="0" w:line="240" w:lineRule="auto"/>
              <w:ind w:firstLine="0"/>
              <w:jc w:val="right"/>
              <w:rPr>
                <w:rFonts w:ascii="Garamond" w:hAnsi="Garamond"/>
                <w:sz w:val="20"/>
                <w:szCs w:val="20"/>
                <w:lang w:val="sq-AL" w:eastAsia="sq-AL"/>
              </w:rPr>
            </w:pPr>
            <w:r w:rsidRPr="009E22FE">
              <w:rPr>
                <w:rFonts w:ascii="Garamond" w:hAnsi="Garamond"/>
                <w:sz w:val="20"/>
                <w:szCs w:val="20"/>
                <w:lang w:val="sq-AL" w:eastAsia="sq-AL"/>
              </w:rPr>
              <w:t>14–39%</w:t>
            </w:r>
          </w:p>
        </w:tc>
        <w:tc>
          <w:tcPr>
            <w:tcW w:w="893" w:type="pct"/>
            <w:tcBorders>
              <w:top w:val="single" w:sz="8" w:space="0" w:color="4BACC6"/>
              <w:left w:val="single" w:sz="8" w:space="0" w:color="4BACC6"/>
              <w:bottom w:val="single" w:sz="8" w:space="0" w:color="4BACC6"/>
              <w:right w:val="single" w:sz="8" w:space="0" w:color="4BACC6"/>
            </w:tcBorders>
            <w:shd w:val="clear" w:color="auto" w:fill="B4C6E7" w:themeFill="accent5" w:themeFillTint="66"/>
            <w:noWrap/>
            <w:hideMark/>
          </w:tcPr>
          <w:p w:rsidR="0065716C" w:rsidRPr="009E22FE" w:rsidRDefault="0065716C">
            <w:pPr>
              <w:widowControl w:val="0"/>
              <w:spacing w:after="0" w:line="240" w:lineRule="auto"/>
              <w:ind w:firstLine="0"/>
              <w:jc w:val="right"/>
              <w:rPr>
                <w:rFonts w:ascii="Garamond" w:hAnsi="Garamond"/>
                <w:sz w:val="20"/>
                <w:szCs w:val="20"/>
                <w:lang w:val="sq-AL" w:eastAsia="sq-AL"/>
              </w:rPr>
            </w:pPr>
            <w:r w:rsidRPr="009E22FE">
              <w:rPr>
                <w:rFonts w:ascii="Garamond" w:hAnsi="Garamond"/>
                <w:sz w:val="20"/>
                <w:szCs w:val="20"/>
                <w:lang w:val="sq-AL" w:eastAsia="sq-AL"/>
              </w:rPr>
              <w:t>30–46%</w:t>
            </w:r>
          </w:p>
        </w:tc>
        <w:tc>
          <w:tcPr>
            <w:tcW w:w="843" w:type="pct"/>
            <w:tcBorders>
              <w:top w:val="single" w:sz="8" w:space="0" w:color="4BACC6"/>
              <w:left w:val="single" w:sz="8" w:space="0" w:color="4BACC6"/>
              <w:bottom w:val="single" w:sz="8" w:space="0" w:color="4BACC6"/>
              <w:right w:val="single" w:sz="8" w:space="0" w:color="4BACC6"/>
            </w:tcBorders>
            <w:shd w:val="clear" w:color="auto" w:fill="B4C6E7" w:themeFill="accent5" w:themeFillTint="66"/>
            <w:noWrap/>
            <w:hideMark/>
          </w:tcPr>
          <w:p w:rsidR="0065716C" w:rsidRPr="009E22FE" w:rsidRDefault="0065716C">
            <w:pPr>
              <w:widowControl w:val="0"/>
              <w:spacing w:after="0" w:line="240" w:lineRule="auto"/>
              <w:ind w:firstLine="0"/>
              <w:jc w:val="right"/>
              <w:rPr>
                <w:rFonts w:ascii="Garamond" w:hAnsi="Garamond"/>
                <w:sz w:val="20"/>
                <w:szCs w:val="20"/>
                <w:lang w:val="sq-AL" w:eastAsia="sq-AL"/>
              </w:rPr>
            </w:pPr>
            <w:r w:rsidRPr="009E22FE">
              <w:rPr>
                <w:rFonts w:ascii="Garamond" w:hAnsi="Garamond"/>
                <w:sz w:val="20"/>
                <w:szCs w:val="20"/>
                <w:lang w:val="sq-AL" w:eastAsia="sq-AL"/>
              </w:rPr>
              <w:t>27–41%</w:t>
            </w:r>
          </w:p>
        </w:tc>
        <w:tc>
          <w:tcPr>
            <w:tcW w:w="872" w:type="pct"/>
            <w:tcBorders>
              <w:top w:val="single" w:sz="8" w:space="0" w:color="4BACC6"/>
              <w:left w:val="single" w:sz="8" w:space="0" w:color="4BACC6"/>
              <w:bottom w:val="single" w:sz="8" w:space="0" w:color="4BACC6"/>
              <w:right w:val="single" w:sz="8" w:space="0" w:color="4BACC6"/>
            </w:tcBorders>
            <w:shd w:val="clear" w:color="auto" w:fill="B4C6E7" w:themeFill="accent5" w:themeFillTint="66"/>
            <w:noWrap/>
            <w:hideMark/>
          </w:tcPr>
          <w:p w:rsidR="0065716C" w:rsidRPr="009E22FE" w:rsidRDefault="0065716C">
            <w:pPr>
              <w:widowControl w:val="0"/>
              <w:spacing w:after="0" w:line="240" w:lineRule="auto"/>
              <w:ind w:firstLine="0"/>
              <w:jc w:val="right"/>
              <w:rPr>
                <w:rFonts w:ascii="Garamond" w:hAnsi="Garamond"/>
                <w:sz w:val="20"/>
                <w:szCs w:val="20"/>
                <w:lang w:val="sq-AL" w:eastAsia="sq-AL"/>
              </w:rPr>
            </w:pPr>
            <w:r w:rsidRPr="009E22FE">
              <w:rPr>
                <w:rFonts w:ascii="Garamond" w:hAnsi="Garamond"/>
                <w:sz w:val="20"/>
                <w:szCs w:val="20"/>
                <w:lang w:val="sq-AL" w:eastAsia="sq-AL"/>
              </w:rPr>
              <w:t>12-60%</w:t>
            </w:r>
          </w:p>
        </w:tc>
      </w:tr>
    </w:tbl>
    <w:p w:rsidR="0065716C" w:rsidRPr="009E22FE" w:rsidRDefault="0065716C" w:rsidP="0065716C">
      <w:pPr>
        <w:rPr>
          <w:sz w:val="2"/>
          <w:lang w:val="sq-AL"/>
        </w:rPr>
      </w:pPr>
    </w:p>
    <w:p w:rsidR="0065716C" w:rsidRPr="009E22FE" w:rsidRDefault="0065716C" w:rsidP="0065716C">
      <w:pPr>
        <w:spacing w:after="0"/>
        <w:ind w:firstLine="0"/>
        <w:jc w:val="left"/>
        <w:rPr>
          <w:lang w:val="sq-AL"/>
        </w:rPr>
        <w:sectPr w:rsidR="0065716C" w:rsidRPr="009E22FE" w:rsidSect="0065716C">
          <w:type w:val="continuous"/>
          <w:pgSz w:w="11907" w:h="16840"/>
          <w:pgMar w:top="720" w:right="1134" w:bottom="720" w:left="1134" w:header="851" w:footer="851" w:gutter="0"/>
          <w:cols w:space="720"/>
        </w:sectPr>
      </w:pPr>
    </w:p>
    <w:p w:rsidR="0065716C" w:rsidRPr="009E22FE" w:rsidRDefault="0065716C" w:rsidP="006B49C6">
      <w:pPr>
        <w:pStyle w:val="Heading4"/>
        <w:widowControl w:val="0"/>
        <w:numPr>
          <w:ilvl w:val="0"/>
          <w:numId w:val="0"/>
        </w:numPr>
        <w:spacing w:before="0"/>
        <w:ind w:left="284"/>
        <w:rPr>
          <w:rFonts w:ascii="Garamond" w:hAnsi="Garamond"/>
          <w:b/>
          <w:i w:val="0"/>
          <w:color w:val="auto"/>
          <w:spacing w:val="-4"/>
          <w:lang w:val="sq-AL"/>
        </w:rPr>
      </w:pPr>
      <w:r w:rsidRPr="009E22FE">
        <w:rPr>
          <w:rFonts w:ascii="Garamond" w:hAnsi="Garamond"/>
          <w:i w:val="0"/>
          <w:color w:val="auto"/>
          <w:spacing w:val="-4"/>
          <w:lang w:val="sq-AL"/>
        </w:rPr>
        <w:t>1.2.1.2. Energjia diellore fotovoltaike (PV)</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Plani Kombëtar i Veprimit të Burimeve të Energjisë së Rinovueshme (PKVBRE), 2015–2020, parashikon edhe kapacitetin e nevojshëm të impianteve diellore PV për të arritur objektivin kombëtar për vitin 2020, duke vendosur 50 mw PV diellore. Në kuadër të këtij parashikimi, gjatë periudhës korrik 2017</w:t>
      </w:r>
      <w:r w:rsidRPr="009E22FE">
        <w:rPr>
          <w:rFonts w:ascii="Garamond" w:hAnsi="Garamond"/>
          <w:spacing w:val="-4"/>
          <w:sz w:val="21"/>
          <w:szCs w:val="21"/>
          <w:lang w:val="sq-AL" w:eastAsia="sq-AL"/>
        </w:rPr>
        <w:t>–</w:t>
      </w:r>
      <w:r w:rsidRPr="009E22FE">
        <w:rPr>
          <w:rFonts w:ascii="Garamond" w:hAnsi="Garamond"/>
          <w:spacing w:val="-4"/>
          <w:sz w:val="24"/>
          <w:szCs w:val="24"/>
          <w:lang w:val="sq-AL"/>
        </w:rPr>
        <w:t>janar 2018 janë rezervuar në MIE, gjatë vitit 2017, rreth 58 aplikime për impiante deri në 2 mw PV. Kjo situatë kërkon rishikimin e PKVBRE-së në fund të shkurtit 2018, ashtu siç parashikohet në ligjin nr. 7/2017.</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Ligji i ri (7/2017) parashikon vendosjen e tarifave FIP (</w:t>
      </w:r>
      <w:r w:rsidRPr="009E22FE">
        <w:rPr>
          <w:rFonts w:ascii="Garamond" w:hAnsi="Garamond"/>
          <w:i/>
          <w:spacing w:val="-4"/>
          <w:sz w:val="24"/>
          <w:szCs w:val="24"/>
          <w:lang w:val="sq-AL"/>
        </w:rPr>
        <w:t>Feed-in-Premium</w:t>
      </w:r>
      <w:r w:rsidRPr="009E22FE">
        <w:rPr>
          <w:rFonts w:ascii="Garamond" w:hAnsi="Garamond"/>
          <w:spacing w:val="-4"/>
          <w:sz w:val="24"/>
          <w:szCs w:val="24"/>
          <w:lang w:val="sq-AL"/>
        </w:rPr>
        <w:t xml:space="preserve">) me anë të një procesi konkurrues, jodiskriminues të tenderimit (ankande) për instalimet e reja mbi 2 mw, ndërsa instalimet e reja deri në 2 mw, përjashtohen nga procesi konkurrues me çmimin tavan që do të vendoset, bazuar në metodologjinë e aprovuar me vendimin e Këshillit të Ministrave nr. 369, datë 26.4.2017 dhe të miratuar nga ERE me vendimin nr. 120, datë 27.7.2017. Në ligjin e ri, gjithashtu, është menduar edhe për të promovuar zhvillimin e një sistemi neto të matjes për njësi për vetëprodhuesit deri në 500 kw. Për këtë qëllim, MIE ka përgatitur projektaktin përkatës. </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Në Shqipëri, i vetmi impiant fotovoltaik, me fuqi të instaluar rreth 1 mw, që aktualisht është në operim, vjen nga shoqëria “UKKO” sh.a. Korçë. Me statusin e “vetëprodhuesit” kjo kompani ka filluar prodhimin e energjisë elektrike për nevojat e veta. Statusi i vetëprodhuesit parashikon shkëmbimin e energjisë elektrike me rrjetin e shpërndarjes dhe bilancin e prodhimit vjetor të energjisë nga impianti fotovoltaik, më pak se nevojat vjetore të kompanisë. Në këtë kuptim UKKO sh.a. Korçë nuk është prodhues i energjisë elektrike, por konsumator i saj.</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Kapaciteti i mesatar i gjenerimit të energjisë elektrike nga centrali fotovoltaik për matjet e kryera në periudhën 1-vjeçare 2016</w:t>
      </w:r>
      <w:r w:rsidRPr="009E22FE">
        <w:rPr>
          <w:rFonts w:ascii="Garamond" w:hAnsi="Garamond"/>
          <w:spacing w:val="-4"/>
          <w:sz w:val="21"/>
          <w:szCs w:val="21"/>
          <w:lang w:val="sq-AL" w:eastAsia="sq-AL"/>
        </w:rPr>
        <w:t>–</w:t>
      </w:r>
      <w:r w:rsidRPr="009E22FE">
        <w:rPr>
          <w:rFonts w:ascii="Garamond" w:hAnsi="Garamond"/>
          <w:spacing w:val="-4"/>
          <w:sz w:val="24"/>
          <w:szCs w:val="24"/>
          <w:lang w:val="sq-AL"/>
        </w:rPr>
        <w:t xml:space="preserve">2017 ka qenë </w:t>
      </w:r>
      <w:r w:rsidRPr="009E22FE">
        <w:rPr>
          <w:rFonts w:ascii="Garamond" w:hAnsi="Garamond"/>
          <w:bCs/>
          <w:spacing w:val="-4"/>
          <w:sz w:val="24"/>
          <w:szCs w:val="24"/>
          <w:lang w:val="sq-AL"/>
        </w:rPr>
        <w:t xml:space="preserve">92.8 toe ose </w:t>
      </w:r>
      <w:r w:rsidRPr="009E22FE">
        <w:rPr>
          <w:rFonts w:ascii="Garamond" w:hAnsi="Garamond"/>
          <w:spacing w:val="-4"/>
          <w:sz w:val="24"/>
          <w:szCs w:val="24"/>
          <w:lang w:val="sq-AL"/>
        </w:rPr>
        <w:t>1,080 mwh dhe ka funksionuar me ngarkesë të plotë (8:30</w:t>
      </w:r>
      <w:r w:rsidRPr="009E22FE">
        <w:rPr>
          <w:rFonts w:ascii="Garamond" w:hAnsi="Garamond"/>
          <w:spacing w:val="-4"/>
          <w:sz w:val="21"/>
          <w:szCs w:val="21"/>
          <w:lang w:val="sq-AL" w:eastAsia="sq-AL"/>
        </w:rPr>
        <w:t>–</w:t>
      </w:r>
      <w:r w:rsidRPr="009E22FE">
        <w:rPr>
          <w:rFonts w:ascii="Garamond" w:hAnsi="Garamond"/>
          <w:spacing w:val="-4"/>
          <w:sz w:val="24"/>
          <w:szCs w:val="24"/>
          <w:lang w:val="sq-AL"/>
        </w:rPr>
        <w:t>16:30), mesatarisht 1290 orë/vit. Vlera pik e energjisë është arritur në muajin maj 2016 me rreth 7.1 mwh. Faktori i ngarkesës për këtë impiant eksperimental është 18%.</w:t>
      </w:r>
    </w:p>
    <w:p w:rsidR="0065716C" w:rsidRPr="009E22FE" w:rsidRDefault="0065716C" w:rsidP="006B49C6">
      <w:pPr>
        <w:pStyle w:val="Heading4"/>
        <w:widowControl w:val="0"/>
        <w:numPr>
          <w:ilvl w:val="0"/>
          <w:numId w:val="0"/>
        </w:numPr>
        <w:spacing w:before="0"/>
        <w:ind w:left="284"/>
        <w:rPr>
          <w:rFonts w:ascii="Garamond" w:hAnsi="Garamond"/>
          <w:b/>
          <w:i w:val="0"/>
          <w:color w:val="auto"/>
          <w:spacing w:val="-4"/>
          <w:lang w:val="sq-AL"/>
        </w:rPr>
      </w:pPr>
      <w:r w:rsidRPr="009E22FE">
        <w:rPr>
          <w:rFonts w:ascii="Garamond" w:hAnsi="Garamond"/>
          <w:i w:val="0"/>
          <w:color w:val="auto"/>
          <w:spacing w:val="-4"/>
          <w:lang w:val="sq-AL"/>
        </w:rPr>
        <w:t>1.2.1.3 Kostot konkurruese për të prodhuar energjinë elektrike nga PV-ja</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Për shkak të burimeve potencialisht të larta të energjisë diellore (mbi 1700 kw/m</w:t>
      </w:r>
      <w:r w:rsidRPr="009E22FE">
        <w:rPr>
          <w:rFonts w:ascii="Garamond" w:hAnsi="Garamond"/>
          <w:spacing w:val="-4"/>
          <w:sz w:val="24"/>
          <w:szCs w:val="24"/>
          <w:vertAlign w:val="superscript"/>
          <w:lang w:val="sq-AL"/>
        </w:rPr>
        <w:t>2</w:t>
      </w:r>
      <w:r w:rsidRPr="009E22FE">
        <w:rPr>
          <w:rFonts w:ascii="Garamond" w:hAnsi="Garamond"/>
          <w:spacing w:val="-4"/>
          <w:sz w:val="24"/>
          <w:szCs w:val="24"/>
          <w:lang w:val="sq-AL"/>
        </w:rPr>
        <w:t>/vit), në rajone të kufizuara, potenciali i pashfrytëzuar për vendosjen e PV në tokë jopjellore është deri në 1,900 mw (p.sh., në toka të kripura deri në 4,500 ha). Ky burim është tashmë mundësia e “artë” që ka Shqipëria dhe tashmë mund të konsiderohet, së bashku me energjinë eolike, si alternativa në diversifikimin e burimeve të rinovueshme në Shqipëri, me qëllim arritjen e objektivit kombëtar për vitin 2020, që është 38%.</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Natyrshëm lind pyetja, cili është çmimi i energjisë (€/mwh) ose LCOE, “kostoja e niveluar e energjisë elektrike” (</w:t>
      </w:r>
      <w:r w:rsidRPr="009E22FE">
        <w:rPr>
          <w:rFonts w:ascii="Garamond" w:hAnsi="Garamond"/>
          <w:i/>
          <w:spacing w:val="-4"/>
          <w:sz w:val="24"/>
          <w:szCs w:val="24"/>
          <w:lang w:val="sq-AL"/>
        </w:rPr>
        <w:t xml:space="preserve">“LCOE” - Levelized Cost of Energy </w:t>
      </w:r>
      <w:r w:rsidRPr="009E22FE">
        <w:rPr>
          <w:rFonts w:ascii="Garamond" w:hAnsi="Garamond"/>
          <w:spacing w:val="-4"/>
          <w:sz w:val="24"/>
          <w:szCs w:val="24"/>
          <w:lang w:val="sq-AL"/>
        </w:rPr>
        <w:t>) dhe nga se influencohet një investim në PV dhe eolik në Shqipëri? Dy janë faktorët: kostoja e kapitalit dhe influenca e riskut.</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Nga ana e MEI-t është ndërmarrë një analizë më e plotë lidhur me kostot e kapitalit, duke konsideruar studimet e fundit që janë kryer në nivel ndërkombëtar, sidomos për vendet e rajonit të Evropës Juglindore, të cilat kanë eksperienca lidhur me PV-në. Studimet janë përqendruar në praktikat më të mira të IRENA (Agjencia Ndërkombëtare e Energjisë së Rinovueshme) për vendet në Ballkanin Perëndimor, përfshirë Shqipërinë, dhe gjithashtu në studimin e ECOFYS 2017:</w:t>
      </w:r>
    </w:p>
    <w:p w:rsidR="0065716C" w:rsidRPr="009E22FE" w:rsidRDefault="0065716C" w:rsidP="0065716C">
      <w:pPr>
        <w:pStyle w:val="ListParagraph"/>
        <w:widowControl w:val="0"/>
        <w:numPr>
          <w:ilvl w:val="1"/>
          <w:numId w:val="21"/>
        </w:numPr>
        <w:spacing w:after="0" w:line="240" w:lineRule="auto"/>
        <w:ind w:left="0" w:firstLine="284"/>
        <w:jc w:val="both"/>
        <w:rPr>
          <w:rFonts w:ascii="Garamond" w:hAnsi="Garamond"/>
          <w:spacing w:val="-4"/>
          <w:sz w:val="24"/>
          <w:szCs w:val="24"/>
          <w:lang w:val="sq-AL"/>
        </w:rPr>
      </w:pPr>
      <w:r w:rsidRPr="009E22FE">
        <w:rPr>
          <w:rFonts w:ascii="Garamond" w:hAnsi="Garamond"/>
          <w:spacing w:val="-4"/>
          <w:sz w:val="24"/>
          <w:szCs w:val="24"/>
          <w:lang w:val="sq-AL"/>
        </w:rPr>
        <w:t xml:space="preserve"> “Prodhimi i energjisë elektrike nga burime të rinovueshme me kosto konkurruese: Potenciali në të gjithë Evropën Juglindore” (2017)</w:t>
      </w:r>
      <w:r w:rsidRPr="009E22FE">
        <w:rPr>
          <w:rStyle w:val="FootnoteReference"/>
          <w:rFonts w:ascii="Garamond" w:eastAsiaTheme="majorEastAsia" w:hAnsi="Garamond"/>
          <w:spacing w:val="-4"/>
          <w:sz w:val="24"/>
          <w:szCs w:val="24"/>
          <w:lang w:val="sq-AL"/>
        </w:rPr>
        <w:footnoteReference w:id="3"/>
      </w:r>
      <w:r w:rsidRPr="009E22FE">
        <w:rPr>
          <w:rFonts w:ascii="Garamond" w:hAnsi="Garamond"/>
          <w:spacing w:val="-4"/>
          <w:sz w:val="24"/>
          <w:szCs w:val="24"/>
          <w:lang w:val="sq-AL"/>
        </w:rPr>
        <w:t xml:space="preserve">. </w:t>
      </w:r>
    </w:p>
    <w:p w:rsidR="0065716C" w:rsidRPr="009E22FE" w:rsidRDefault="0065716C" w:rsidP="0065716C">
      <w:pPr>
        <w:pStyle w:val="ListParagraph"/>
        <w:widowControl w:val="0"/>
        <w:numPr>
          <w:ilvl w:val="1"/>
          <w:numId w:val="21"/>
        </w:numPr>
        <w:spacing w:after="0" w:line="240" w:lineRule="auto"/>
        <w:ind w:left="0" w:firstLine="284"/>
        <w:jc w:val="both"/>
        <w:rPr>
          <w:rFonts w:ascii="Garamond" w:hAnsi="Garamond"/>
          <w:spacing w:val="-4"/>
          <w:sz w:val="24"/>
          <w:szCs w:val="24"/>
          <w:lang w:val="sq-AL"/>
        </w:rPr>
      </w:pPr>
      <w:r w:rsidRPr="009E22FE">
        <w:rPr>
          <w:rFonts w:ascii="Garamond" w:hAnsi="Garamond"/>
          <w:spacing w:val="-4"/>
          <w:sz w:val="24"/>
          <w:szCs w:val="24"/>
          <w:lang w:val="sq-AL"/>
        </w:rPr>
        <w:t xml:space="preserve"> Hartimi i kostos së kapitalit për erën dhe energjinë diellore në shtetet anëtare të Evropës Juglindore (2017)</w:t>
      </w:r>
      <w:r w:rsidRPr="009E22FE">
        <w:rPr>
          <w:rStyle w:val="FootnoteReference"/>
          <w:rFonts w:ascii="Garamond" w:eastAsiaTheme="majorEastAsia" w:hAnsi="Garamond"/>
          <w:spacing w:val="-4"/>
          <w:sz w:val="24"/>
          <w:szCs w:val="24"/>
          <w:lang w:val="sq-AL"/>
        </w:rPr>
        <w:footnoteReference w:id="4"/>
      </w:r>
      <w:r w:rsidRPr="009E22FE">
        <w:rPr>
          <w:rFonts w:ascii="Garamond" w:hAnsi="Garamond"/>
          <w:spacing w:val="-4"/>
          <w:sz w:val="24"/>
          <w:szCs w:val="24"/>
          <w:lang w:val="sq-AL"/>
        </w:rPr>
        <w:t>.</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 xml:space="preserve">Metodologjia e vlerësimit të kostove të energjisë nga burime të rinovueshme u mbështet te LCOE, e njohur si kostoja e nivelit mesatar të energjisë (LEC) dhe është vlera aktuale neto e kostos-njësi të energjisë elektrike (kwh), gjatë gjithë jetës së një njësie gjeneruese. </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 xml:space="preserve">Kjo vlerë e kostos është marrë si “tarifë” përfaqësuese për çmimin mesatar që njësia gjeneruese duhet të marrë në një treg për të kthyer investimin gjatë një periudhe të arsyeshme, siç e parashikon ligji nr. 7/2017, “Për nxitjen e përdorimit të energjisë nga burimet e rinovueshme”. Kjo vlerë e llogaritur është një vlerësim ekonomik i rendit të parë të kostos së konkurrencës të një sistemi (në këtë rast PV) të energjisë elektrike gjeneruese që përfshin të gjitha shpenzimet rreth kohëzgjatjes të jetës së saj siç janë: </w:t>
      </w:r>
    </w:p>
    <w:p w:rsidR="0065716C" w:rsidRPr="009E22FE" w:rsidRDefault="0065716C" w:rsidP="0065716C">
      <w:pPr>
        <w:pStyle w:val="ListParagraph"/>
        <w:widowControl w:val="0"/>
        <w:numPr>
          <w:ilvl w:val="1"/>
          <w:numId w:val="22"/>
        </w:numPr>
        <w:spacing w:after="0" w:line="240" w:lineRule="auto"/>
        <w:ind w:left="0" w:firstLine="284"/>
        <w:jc w:val="both"/>
        <w:rPr>
          <w:rFonts w:ascii="Garamond" w:hAnsi="Garamond"/>
          <w:spacing w:val="-4"/>
          <w:sz w:val="24"/>
          <w:szCs w:val="24"/>
          <w:lang w:val="sq-AL"/>
        </w:rPr>
      </w:pPr>
      <w:r w:rsidRPr="009E22FE">
        <w:rPr>
          <w:rFonts w:ascii="Garamond" w:hAnsi="Garamond"/>
          <w:spacing w:val="-4"/>
          <w:sz w:val="24"/>
          <w:szCs w:val="24"/>
          <w:lang w:val="sq-AL"/>
        </w:rPr>
        <w:t xml:space="preserve"> Investimi fillestar;</w:t>
      </w:r>
    </w:p>
    <w:p w:rsidR="0065716C" w:rsidRPr="009E22FE" w:rsidRDefault="0065716C" w:rsidP="0065716C">
      <w:pPr>
        <w:pStyle w:val="ListParagraph"/>
        <w:widowControl w:val="0"/>
        <w:numPr>
          <w:ilvl w:val="1"/>
          <w:numId w:val="22"/>
        </w:numPr>
        <w:spacing w:after="0" w:line="240" w:lineRule="auto"/>
        <w:ind w:left="0" w:firstLine="284"/>
        <w:jc w:val="both"/>
        <w:rPr>
          <w:rFonts w:ascii="Garamond" w:hAnsi="Garamond"/>
          <w:spacing w:val="-4"/>
          <w:sz w:val="24"/>
          <w:szCs w:val="24"/>
          <w:lang w:val="sq-AL"/>
        </w:rPr>
      </w:pPr>
      <w:r w:rsidRPr="009E22FE">
        <w:rPr>
          <w:rFonts w:ascii="Garamond" w:hAnsi="Garamond"/>
          <w:spacing w:val="-4"/>
          <w:sz w:val="24"/>
          <w:szCs w:val="24"/>
          <w:lang w:val="sq-AL"/>
        </w:rPr>
        <w:t xml:space="preserve"> Shpenzimet për operimin dhe për mirë-mbajtjen; </w:t>
      </w:r>
    </w:p>
    <w:p w:rsidR="0065716C" w:rsidRPr="009E22FE" w:rsidRDefault="0065716C" w:rsidP="0065716C">
      <w:pPr>
        <w:pStyle w:val="ListParagraph"/>
        <w:widowControl w:val="0"/>
        <w:numPr>
          <w:ilvl w:val="1"/>
          <w:numId w:val="22"/>
        </w:numPr>
        <w:spacing w:after="0" w:line="240" w:lineRule="auto"/>
        <w:ind w:left="0" w:firstLine="284"/>
        <w:jc w:val="both"/>
        <w:rPr>
          <w:rFonts w:ascii="Garamond" w:hAnsi="Garamond"/>
          <w:spacing w:val="-4"/>
          <w:sz w:val="24"/>
          <w:szCs w:val="24"/>
          <w:lang w:val="sq-AL"/>
        </w:rPr>
      </w:pPr>
      <w:r w:rsidRPr="009E22FE">
        <w:rPr>
          <w:rFonts w:ascii="Garamond" w:hAnsi="Garamond"/>
          <w:spacing w:val="-4"/>
          <w:sz w:val="24"/>
          <w:szCs w:val="24"/>
          <w:lang w:val="sq-AL"/>
        </w:rPr>
        <w:t xml:space="preserve"> Koston e lëndës djegëse e cila në rastin e sistemeve PV, përgjithësisht, ka të bëjë me taksat mbi përdorimin e tokës, taksa vendore, qira etj. sipas legjislacionit në fuqi, kosto e cila në rastin e impianteve me energji fosile, përveç sa më sipër, është kosto e lëndës djegëse; dhe </w:t>
      </w:r>
    </w:p>
    <w:p w:rsidR="0065716C" w:rsidRPr="009E22FE" w:rsidRDefault="0065716C" w:rsidP="0065716C">
      <w:pPr>
        <w:pStyle w:val="ListParagraph"/>
        <w:widowControl w:val="0"/>
        <w:numPr>
          <w:ilvl w:val="1"/>
          <w:numId w:val="22"/>
        </w:numPr>
        <w:spacing w:after="0" w:line="240" w:lineRule="auto"/>
        <w:ind w:left="0" w:firstLine="284"/>
        <w:jc w:val="both"/>
        <w:rPr>
          <w:rFonts w:ascii="Garamond" w:hAnsi="Garamond"/>
          <w:spacing w:val="-4"/>
          <w:sz w:val="24"/>
          <w:szCs w:val="24"/>
          <w:lang w:val="sq-AL"/>
        </w:rPr>
      </w:pPr>
      <w:r w:rsidRPr="009E22FE">
        <w:rPr>
          <w:rFonts w:ascii="Garamond" w:hAnsi="Garamond"/>
          <w:spacing w:val="-4"/>
          <w:sz w:val="24"/>
          <w:szCs w:val="24"/>
          <w:lang w:val="sq-AL"/>
        </w:rPr>
        <w:t xml:space="preserve"> Koston e kapitalit. </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Kostoja e prodhimit të energjisë elektrike nga burime të rinovueshme ka vetëm një formulë që llogarit LCOE-në, e cila është vlera neto aktuale e të gjitha shpenzimeve gjatë jetës së njësisë gjeneruese në raport (pjesëtuar) me prodhimin total të energjisë elektrike të njësisë gjatë të gjithë periudhës së punës deri në shkatërrim.</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Formula për llogaritjen e LCOE-së është paraqitur më poshtë:</w:t>
      </w:r>
    </w:p>
    <w:p w:rsidR="0065716C" w:rsidRPr="009E22FE" w:rsidRDefault="0065716C" w:rsidP="0065716C">
      <w:pPr>
        <w:widowControl w:val="0"/>
        <w:spacing w:after="0" w:line="240" w:lineRule="auto"/>
        <w:ind w:firstLine="0"/>
        <w:jc w:val="center"/>
        <w:rPr>
          <w:rFonts w:ascii="Garamond" w:hAnsi="Garamond"/>
          <w:spacing w:val="-4"/>
          <w:sz w:val="24"/>
          <w:szCs w:val="24"/>
          <w:lang w:val="sq-AL"/>
        </w:rPr>
      </w:pPr>
      <w:r w:rsidRPr="009E22FE">
        <w:rPr>
          <w:noProof/>
          <w:spacing w:val="-4"/>
        </w:rPr>
        <w:drawing>
          <wp:inline distT="0" distB="0" distL="0" distR="0">
            <wp:extent cx="2914650" cy="3714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r="41812"/>
                    <a:stretch>
                      <a:fillRect/>
                    </a:stretch>
                  </pic:blipFill>
                  <pic:spPr bwMode="auto">
                    <a:xfrm>
                      <a:off x="0" y="0"/>
                      <a:ext cx="2914650" cy="371475"/>
                    </a:xfrm>
                    <a:prstGeom prst="rect">
                      <a:avLst/>
                    </a:prstGeom>
                    <a:noFill/>
                    <a:ln>
                      <a:noFill/>
                    </a:ln>
                  </pic:spPr>
                </pic:pic>
              </a:graphicData>
            </a:graphic>
          </wp:inline>
        </w:drawing>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Ku:</w:t>
      </w:r>
      <w:r w:rsidRPr="009E22FE">
        <w:rPr>
          <w:rFonts w:ascii="Garamond" w:hAnsi="Garamond"/>
          <w:spacing w:val="-4"/>
          <w:sz w:val="24"/>
          <w:szCs w:val="24"/>
          <w:lang w:val="sq-AL"/>
        </w:rPr>
        <w:tab/>
        <w:t xml:space="preserve"> I</w:t>
      </w:r>
      <w:r w:rsidRPr="009E22FE">
        <w:rPr>
          <w:rFonts w:ascii="Garamond" w:hAnsi="Garamond"/>
          <w:spacing w:val="-4"/>
          <w:sz w:val="24"/>
          <w:szCs w:val="24"/>
          <w:vertAlign w:val="subscript"/>
          <w:lang w:val="sq-AL"/>
        </w:rPr>
        <w:t>t</w:t>
      </w:r>
      <w:r w:rsidRPr="009E22FE">
        <w:rPr>
          <w:rFonts w:ascii="Garamond" w:hAnsi="Garamond"/>
          <w:spacing w:val="-4"/>
          <w:sz w:val="24"/>
          <w:szCs w:val="24"/>
          <w:lang w:val="sq-AL"/>
        </w:rPr>
        <w:tab/>
        <w:t xml:space="preserve"> - Shpenzimet për investime në vitin t</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M</w:t>
      </w:r>
      <w:r w:rsidRPr="009E22FE">
        <w:rPr>
          <w:rFonts w:ascii="Garamond" w:hAnsi="Garamond"/>
          <w:spacing w:val="-4"/>
          <w:sz w:val="24"/>
          <w:szCs w:val="24"/>
          <w:vertAlign w:val="subscript"/>
          <w:lang w:val="sq-AL"/>
        </w:rPr>
        <w:t>t</w:t>
      </w:r>
      <w:r w:rsidRPr="009E22FE">
        <w:rPr>
          <w:rFonts w:ascii="Garamond" w:hAnsi="Garamond"/>
          <w:spacing w:val="-4"/>
          <w:sz w:val="24"/>
          <w:szCs w:val="24"/>
          <w:lang w:val="sq-AL"/>
        </w:rPr>
        <w:t xml:space="preserve"> </w:t>
      </w:r>
      <w:r w:rsidRPr="009E22FE">
        <w:rPr>
          <w:rFonts w:ascii="Garamond" w:hAnsi="Garamond"/>
          <w:spacing w:val="-4"/>
          <w:sz w:val="24"/>
          <w:szCs w:val="24"/>
          <w:lang w:val="sq-AL"/>
        </w:rPr>
        <w:tab/>
        <w:t>- Operacionet dhe shpenzimet e mirëmbajtjes në vitin t</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F</w:t>
      </w:r>
      <w:r w:rsidRPr="009E22FE">
        <w:rPr>
          <w:rFonts w:ascii="Garamond" w:hAnsi="Garamond"/>
          <w:spacing w:val="-4"/>
          <w:sz w:val="24"/>
          <w:szCs w:val="24"/>
          <w:vertAlign w:val="subscript"/>
          <w:lang w:val="sq-AL"/>
        </w:rPr>
        <w:t>t</w:t>
      </w:r>
      <w:r w:rsidRPr="009E22FE">
        <w:rPr>
          <w:rFonts w:ascii="Garamond" w:hAnsi="Garamond"/>
          <w:spacing w:val="-4"/>
          <w:sz w:val="24"/>
          <w:szCs w:val="24"/>
          <w:lang w:val="sq-AL"/>
        </w:rPr>
        <w:tab/>
        <w:t xml:space="preserve"> - Shpenzimet e lëndës djegëse në vitin t (taksa vjetore, përdorimi tokës, qira etj.)</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E</w:t>
      </w:r>
      <w:r w:rsidRPr="009E22FE">
        <w:rPr>
          <w:rFonts w:ascii="Garamond" w:hAnsi="Garamond"/>
          <w:spacing w:val="-4"/>
          <w:sz w:val="24"/>
          <w:szCs w:val="24"/>
          <w:vertAlign w:val="subscript"/>
          <w:lang w:val="sq-AL"/>
        </w:rPr>
        <w:t>t</w:t>
      </w:r>
      <w:r w:rsidRPr="009E22FE">
        <w:rPr>
          <w:rFonts w:ascii="Garamond" w:hAnsi="Garamond"/>
          <w:spacing w:val="-4"/>
          <w:sz w:val="24"/>
          <w:szCs w:val="24"/>
          <w:lang w:val="sq-AL"/>
        </w:rPr>
        <w:t xml:space="preserve"> </w:t>
      </w:r>
      <w:r w:rsidRPr="009E22FE">
        <w:rPr>
          <w:rFonts w:ascii="Garamond" w:hAnsi="Garamond"/>
          <w:spacing w:val="-4"/>
          <w:sz w:val="24"/>
          <w:szCs w:val="24"/>
          <w:lang w:val="sq-AL"/>
        </w:rPr>
        <w:tab/>
        <w:t>- Energjia elektrike e gjeneruar në vitin t</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r</w:t>
      </w:r>
      <w:r w:rsidRPr="009E22FE">
        <w:rPr>
          <w:rFonts w:ascii="Garamond" w:hAnsi="Garamond"/>
          <w:spacing w:val="-4"/>
          <w:sz w:val="24"/>
          <w:szCs w:val="24"/>
          <w:lang w:val="sq-AL"/>
        </w:rPr>
        <w:tab/>
        <w:t xml:space="preserve"> - Norma e interesit të kostos së impiantit</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n</w:t>
      </w:r>
      <w:r w:rsidRPr="009E22FE">
        <w:rPr>
          <w:rFonts w:ascii="Garamond" w:hAnsi="Garamond"/>
          <w:spacing w:val="-4"/>
          <w:sz w:val="24"/>
          <w:szCs w:val="24"/>
          <w:lang w:val="sq-AL"/>
        </w:rPr>
        <w:tab/>
        <w:t xml:space="preserve"> - Jetëgjatësia ekonomike e njësisë gjeneruese</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Në këtë kontekst duhet theksuar se zakonisht për gjenerimin e energjisë elektrike me teknologjitë me burime të rinovueshme, LCOE llogaritet në jetëgjatësinë e projektimit të një njësie gjeneruese, e cila është zakonisht 20 deri në 40 vjet. Bazuar në ligjin nr. 7/2017, “Për nxitjen e përdorimit të energjisë nga burimet e rinovueshme”, LCOE duhet të konsiderohet për një periudhë më të shkurtër (max 15 vjet), periudhë e cila, kërkon detyrimisht një mbështetje financiare më të lartë edhe pse kohëzgjatja e njësisë është më e gjatë. Në mungesë të eksperiencës në këto impiante dhe të të dhënave të disponueshme për periudha me të shkurtra kohore, LCOE është e arsyeshme, që në rastin e PV-së, të llogaritet për një periudhë prej 25 vjetësh, periudhë gjatë së cilës impianti del me një fitim të konsiderueshëm. Kjo periudhë për eoliket është më shumë se 25 vjet.</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Në studimin e janarit 2017, IRENA kombinon në mënyrë të detajuar potencialin e burimeve të rinovueshme me të dhënat e kostove reale të projektit të mbledhura me anë të të dhënave konfidenciale që kompanitë e ndërtimit të impianteve të rinovueshme, në Ballkanin Perëndimor, kanë me IRENA. Mbulimi gjeografik i raportit përfshin të gjitha Palët Kontraktuese të Traktatit të Komunitetit të Energjisë, përkatësisht: Shqipërinë, Bosnjën dhe Hercegovinën, Kosovën, Malin e Zi, Republikën e Moldavisë, Serbisë, Maqedoninë dhe Ukrainën. Në këtë kuadër rezultatet e studimit tregojnë kostot reale për instalimet.</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Gjithashtu, duke iu referuar studimeve në këtë fushë, të një prej kompanive më prestigjioze të Evropës ECOFYS, publikuar në janar 2017, me titullin “Hartimi i kostos së kapitalit për erën dhe energjinë diellore në shtetet anëtare të Evropës Juglindore”, ofron të dhëna të rajonit të Evropës Juglindore, duke paraqitur koston e kapitalit për burimet e PV-së, si dhe koston e borxhit, raportit të borxhit me kapitalin neto dhe kapacitetin e instaluar.</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 xml:space="preserve">Sikurse duket, studimi ka marrë në konsideratë koston e “riskut” të vendit, si edhe “riskun” e politikave energjetike për nxitjen e burimeve të rinovueshme të mbështetura në tarifat </w:t>
      </w:r>
      <w:r w:rsidRPr="009E22FE">
        <w:rPr>
          <w:rFonts w:ascii="Garamond" w:hAnsi="Garamond"/>
          <w:i/>
          <w:spacing w:val="-4"/>
          <w:sz w:val="24"/>
          <w:szCs w:val="24"/>
          <w:lang w:val="sq-AL"/>
        </w:rPr>
        <w:t>Feed-in-Premium</w:t>
      </w:r>
      <w:r w:rsidRPr="009E22FE">
        <w:rPr>
          <w:rFonts w:ascii="Garamond" w:hAnsi="Garamond"/>
          <w:spacing w:val="-4"/>
          <w:sz w:val="24"/>
          <w:szCs w:val="24"/>
          <w:lang w:val="sq-AL"/>
        </w:rPr>
        <w:t>. Për çdo shtet anëtar, në rajonin e Ballkanit, në mënyrë indikative tregohet se cila pjesë e kostos së kapitalit është për shkak të “riskut” të vendit specifik, në krahasim me rreziqet e për shkak të politikave të energjisë së rinovueshme nën situatën e caktuar të tregut. Për më tepër, ajo ofron llogaritjen e primit të riskut të politikës në LCOE të erës dhe PV për çdo shtet anëtar në Ballkan. Studimi i referohet vendeve të rajonit dhe më gjerë, duke paraqitur kryesisht të dhëna që shërbejnë si riverifikim i rezultateve të studimit të bërë nga IRENA. Në veçanti, të dhënat e Greqisë dhe të Hungarisë janë përzgjedhur si të ngjashme me teknologjinë e PV-së në Shqipëri.</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Potenciali i madh i energjisë diellore dhe sidomos kërkesa e lartë e investitorëve bën që rishikimi i kapaciteteve gjeneruese me impiante të prodhimit të energjisë elektrike me energji diellore të propozohet në nivele mbi 120 mw, nga 50 mw që ka qenë në PKVBRE 2015–2020.</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1.2.1.4 Energjia e erës (eolike)</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Shfrytëzimi i energjisë së erës në vendin tonë nuk ka filluar akoma, por ka një shprehje shumë të madhe interesi nga investitorët e huaj ka gjatë viteve 2009–2010, të cilët pjesërisht, kërkojnë të adaptohen me legjislacionin e ri (ligji nr. 7/2017). Në këtë kuadër, janë në studim disa rajone të vendit tonë nga disa kompani të huaja. Deri në fund të vitit 2014, nga ERE janë licencuar 15 kompani, për të prodhuar energji elektrike nga parqe me erë, me një fuqi të instaluar prej rreth 1,600 mw, të cilat shtrihen kryesisht në zonën bregdetare të vendit, duke filluar nga Qarku i Lezhës në veri e deri në rajonin e Sarandës në jug. Aktualisht, asnjë investim nuk ka filluar.</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Plani Kombëtar i Veprimit të Burimeve të Energjisë së Rinovueshme (PKVBRE), 2015–2020, parashikon kapacitetin e nevojshëm për të arritur objektivin kombëtar për vitin 2020, duke parashikuar instalimin edhe të 30 mw gjeneratorë eolikë. Në këtë parashikim deri tani nuk është ndërtuar asnjë impiant eolik gjatë 2015–2017, për arsye të kapacitetit të ulët që është vendosur në planin ekzistues, si dhe mungesës së zhvillimit të ankandeve të energjisë për erën. Kjo situatë kërkon rishikimin e PKVBRE-së në fund të janarit 2018.</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Ligji nr. 7/2017 parashikon vendosjen e tarifave FIP (</w:t>
      </w:r>
      <w:r w:rsidRPr="009E22FE">
        <w:rPr>
          <w:rFonts w:ascii="Garamond" w:hAnsi="Garamond"/>
          <w:i/>
          <w:spacing w:val="-4"/>
          <w:sz w:val="24"/>
          <w:szCs w:val="24"/>
          <w:lang w:val="sq-AL"/>
        </w:rPr>
        <w:t>Feed-in-Premium</w:t>
      </w:r>
      <w:r w:rsidRPr="009E22FE">
        <w:rPr>
          <w:rFonts w:ascii="Garamond" w:hAnsi="Garamond"/>
          <w:spacing w:val="-4"/>
          <w:sz w:val="24"/>
          <w:szCs w:val="24"/>
          <w:lang w:val="sq-AL"/>
        </w:rPr>
        <w:t>) me anë të një procesi konkurrues, jodiskriminues të tenderimit (ankande) për instalimet e reja mbi 2, ndërsa instalimet e reja deri 2 mw përjashtohen nga procesi konkurrues me çmimin tavan që do të vendoset, bazuar në metodologjinë e aprovuar me vendimin e Këshillit të Ministrave nr. 369, datë 26.4.2017 dhe të miratuar nga ERE me vendimin nr. 120, datë 27.7.2017.</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Potenciali i madh i energjisë eolike në vende të limituara, por edhe kërkesa e lartë e investitorëve për t’u investuar në kapacitete të larta, bën që rishikimi i kapaciteteve gjeneruese me impiante të prodhimit të energjisë elektrike me energji nga era të propozohet në nivele në 70 mw, nga 30 mw që ka qenë në PKVBRE 2015</w:t>
      </w:r>
      <w:r w:rsidRPr="009E22FE">
        <w:rPr>
          <w:rFonts w:ascii="Garamond" w:hAnsi="Garamond"/>
          <w:spacing w:val="-4"/>
          <w:sz w:val="21"/>
          <w:szCs w:val="21"/>
          <w:lang w:val="sq-AL" w:eastAsia="sq-AL"/>
        </w:rPr>
        <w:t>–</w:t>
      </w:r>
      <w:r w:rsidRPr="009E22FE">
        <w:rPr>
          <w:rFonts w:ascii="Garamond" w:hAnsi="Garamond"/>
          <w:spacing w:val="-4"/>
          <w:sz w:val="24"/>
          <w:szCs w:val="24"/>
          <w:lang w:val="sq-AL"/>
        </w:rPr>
        <w:t>2020.</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1.2.1.5 Prodhimi i energjisë elektrike nga pjesa e degradueshme e mbetjeve të ngurta urbane, industriale dhe rurale (MNU)</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Biomasa nga mbetjet, e cila përfaqësohet nga pjesa e biodegradueshme e mbetjeve të ngurta urbane, përfshirë mbetjet biologjike (mbeturinat e biodegradueshme të kopshteve dhe të parqeve, mbeturinat ushqimore dhe të kuzhinës nga familjet, restorantet, shërbimet e kateringut dhe ambientet e shitjes me pakicë dhe mbetjet e ngjashme nga ndërmarrjet përpunuese ushqimore), gazi i landfilleve të grumbullimit të mbeturinave, pjesa e biodegradueshme e mbetjeve industriale (përfshirë letrat, kartonin, paletat) dhe llumi i kanalizimeve, potencialisht janë vetëm një mundësi për prodhimin e energjisë.</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Miratimi i Strategjisë Kombëtare për Menaxhimin e Mbetjeve dhe i ligjit për mena-xhimin e integruar të mbetjeve më 2013-ën, kanë vlerësuar midis të tjerave, si detyrë kryesore reduktimin e mbetjeve nëpërmjet parandalimit edhe shfrytëzimin e energjisë nga pjesa e biodegradueshme e mbeturinave industriale, urbane dhe rurale nëpërmjet djegies. Mbetjet e djegshme, përgjithësisht, njihen si mbetjet e ngurta urbane (MNU).</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Gjithashtu, në kuadër të Strategjisë Kombëtare të Menaxhimit të Mbetjeve përcaktohet drejtimi i politikës së qeverisë shqiptare për menaxhimin e qëndrueshëm të mbetjeve deri në vitin 2025, e cila është e ndarë në 3 faza operacionale me nga 5 vjet secila. Në objektivat e vitit 2013, strategjia parashikonte se deri në vitin 2015 synohej që 25% e mbetjeve bashkiake të riciklohej/të kompostohej. Deri në vitin 2020 synohet të ndalohet rritja e mbetjeve bashkiake të prodhuara me riciklimin/ kompostimin e 55% të mbetjeve bashkiake dhe, deri në 2025 të fillohet me rikuperimin e energjisë nga 15% e mbetjeve bashkiake.</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Nga tabela më poshtë është e qartë se informacioni rreth sasive të disponueshme të biomasës është i pamjaftueshëm. Gjithsesi, gjatë viteve 2015</w:t>
      </w:r>
      <w:r w:rsidRPr="009E22FE">
        <w:rPr>
          <w:rFonts w:ascii="Garamond" w:hAnsi="Garamond"/>
          <w:spacing w:val="-4"/>
          <w:sz w:val="21"/>
          <w:szCs w:val="21"/>
          <w:lang w:val="sq-AL" w:eastAsia="sq-AL"/>
        </w:rPr>
        <w:t>–</w:t>
      </w:r>
      <w:r w:rsidRPr="009E22FE">
        <w:rPr>
          <w:rFonts w:ascii="Garamond" w:hAnsi="Garamond"/>
          <w:spacing w:val="-4"/>
          <w:sz w:val="24"/>
          <w:szCs w:val="24"/>
          <w:lang w:val="sq-AL"/>
        </w:rPr>
        <w:t>2017, gjendja thuajse nuk ka ndryshuar, por pas vitit 2016 trendi i rënies së druve të zjarrit duhet të zëvendësohet me biomasën industriale, e cila parashikon djegien e mbeturinave në formë briketi dhe/ose pelet për qëllime të ngrohjes dhe të konsumit energjetik industrial.</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Kuadri ligjor për investime në energjinë e rinovueshme nga MNU-të është detyrë dhe masë të cilën PKVBRE 2015</w:t>
      </w:r>
      <w:r w:rsidRPr="009E22FE">
        <w:rPr>
          <w:rFonts w:ascii="Garamond" w:hAnsi="Garamond"/>
          <w:spacing w:val="-4"/>
          <w:sz w:val="21"/>
          <w:szCs w:val="21"/>
          <w:lang w:val="sq-AL" w:eastAsia="sq-AL"/>
        </w:rPr>
        <w:t>–</w:t>
      </w:r>
      <w:r w:rsidRPr="009E22FE">
        <w:rPr>
          <w:rFonts w:ascii="Garamond" w:hAnsi="Garamond"/>
          <w:spacing w:val="-4"/>
          <w:sz w:val="24"/>
          <w:szCs w:val="24"/>
          <w:lang w:val="sq-AL"/>
        </w:rPr>
        <w:t xml:space="preserve">2020 nuk e pati në konsideratë, por ndërkohë ligji nr. 7/2017 parashikoi instalimin e njësive të prodhimit të energjisë nga biomasa ose, ndryshe nga pjesa e biodegradueshme e mbetjeve të ngurta urbane.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pacing w:val="-4"/>
          <w:sz w:val="24"/>
          <w:szCs w:val="24"/>
          <w:lang w:val="sq-AL"/>
        </w:rPr>
        <w:t xml:space="preserve">Gjithashtu, ligji nr. 7/2017, i miratuar në shkurt të vitit 2017, garantoi skemën e mbështetjes për </w:t>
      </w:r>
      <w:r w:rsidRPr="009E22FE">
        <w:rPr>
          <w:rFonts w:ascii="Garamond" w:hAnsi="Garamond"/>
          <w:sz w:val="24"/>
          <w:szCs w:val="24"/>
          <w:lang w:val="sq-AL"/>
        </w:rPr>
        <w:t>burime të tjera nga energjitë e rinovueshme (përveç hidrove) në kuadër të tregut të liberalizuar të energjisë elektrike dhe plotësimit të detyrimeve për të arritur objektivin kombëtar të BRE-së, me 38% më 2020-ën. Përveç të tjerave, ky ligji parashikon vendosjen e tarifave FIP (</w:t>
      </w:r>
      <w:r w:rsidRPr="009E22FE">
        <w:rPr>
          <w:rFonts w:ascii="Garamond" w:hAnsi="Garamond"/>
          <w:i/>
          <w:sz w:val="24"/>
          <w:szCs w:val="24"/>
          <w:lang w:val="sq-AL"/>
        </w:rPr>
        <w:t>Feed-in-Premium</w:t>
      </w:r>
      <w:r w:rsidRPr="009E22FE">
        <w:rPr>
          <w:rFonts w:ascii="Garamond" w:hAnsi="Garamond"/>
          <w:sz w:val="24"/>
          <w:szCs w:val="24"/>
          <w:lang w:val="sq-AL"/>
        </w:rPr>
        <w:t>) me anë të një procesi konkurrues, jodiskriminues të tenderimit (ankande) nëpërmjet kontratave për diferencë (CfD), ndërsa instalimet e reja, deri 2 mw, përjashtohen nga procesi konkurrues me çmimin tavan që do të vendoset bazuar në metodologjinë e MNU-së, tashmë të aprovuar me vendimin e Këshillit të Ministrave nr. 27, datë 17.1.2018.</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Si masë parësore në strategjinë e MNU-së u kërkua që mbetjet industriale dhe urbane të trashëguara nga e kaluara dhe të depozituara në disa venddepozitime të vendit duhet të jenë prioritare për trajtimin dhe asgjësimin e tyre nëpërmjet teknologjive të pastra. Një nga masat në këtë drejtim ka parashikuar: “Vendosjen e inceneratorit në afërsi të ndonjë prej fabrikave të çimentos për djegien e mbetjeve të rrezikshme dhe urbane për shfrytëzimin e energjisë së prodhuar për qëllime industriale të prodhimit”. Për më tepër, ligji nr. 7/2017, “Për nxitjen e përdorimit të energjisë nga burimet e rinovueshme”, parashikon që teknologji të tilla kanë nevojë për mbështetje, siç parashikohen në nenin 10, pika “a”, “... për prodhimin e energjisë elektrike nga burimet e vogla të rinovueshme për prodhuesit me përparësi me kapacitet të instaluar të energjisë elektrike deri në 2 mw”. </w:t>
      </w:r>
    </w:p>
    <w:p w:rsidR="0065716C" w:rsidRPr="009E22FE" w:rsidRDefault="0065716C" w:rsidP="0065716C">
      <w:pPr>
        <w:widowControl w:val="0"/>
        <w:spacing w:after="0" w:line="240" w:lineRule="auto"/>
        <w:rPr>
          <w:rFonts w:ascii="Garamond" w:hAnsi="Garamond"/>
          <w:sz w:val="24"/>
          <w:szCs w:val="24"/>
          <w:u w:val="single"/>
          <w:lang w:val="sq-AL"/>
        </w:rPr>
      </w:pPr>
      <w:r w:rsidRPr="009E22FE">
        <w:rPr>
          <w:rFonts w:ascii="Garamond" w:hAnsi="Garamond"/>
          <w:sz w:val="24"/>
          <w:szCs w:val="24"/>
          <w:lang w:val="sq-AL"/>
        </w:rPr>
        <w:t>Promovimi i këtyre lloj burimeve është një praktikë e njohur në vendet e BE-së dhe ka të bëjë me asgjësimin e mbetjeve të biodegradueshme me qëllim prodhimin e energjisë (</w:t>
      </w:r>
      <w:r w:rsidRPr="009E22FE">
        <w:rPr>
          <w:rFonts w:ascii="Garamond" w:hAnsi="Garamond"/>
          <w:i/>
          <w:sz w:val="24"/>
          <w:szCs w:val="24"/>
          <w:lang w:val="sq-AL"/>
        </w:rPr>
        <w:t>Waste to Energy</w:t>
      </w:r>
      <w:r w:rsidRPr="009E22FE">
        <w:rPr>
          <w:rFonts w:ascii="Garamond" w:hAnsi="Garamond"/>
          <w:sz w:val="24"/>
          <w:szCs w:val="24"/>
          <w:lang w:val="sq-AL"/>
        </w:rPr>
        <w:t>). Sikurse edhe në këto vende, çmimi i blerjes së energjisë elektrike në Shqipëri, nga çdo prodhues i kësaj natyre, duhet të jetë promovues dhe në përputhje me metodologjinë e miratuar nga Këshilli i Ministrave. Metodologjia përcakton kriteret e llogaritjes së çmimit, duke u bazuar në kthimin e arsyeshëm të vlerës së investimeve, sipas llojit të teknologjisë së përdorur.</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Gjithashtu, në përputhje dhe si rekomandim në kuadër të “Zbatimit të planit të menaxhimit të mbetjeve 2010–2025” është krijimi i strukturave administrative në nivel kombëtar, rajonal dhe lokal për forcimin e mëtejshëm të administrimit të mbetjeve. Sistemet e menaxhimit të mbetjeve të ngurta urbane me mbetje mjedisore të ulëta, që mbrojnë shëndetin dhe sigurinë e banorëve, parashikojnë përveç të tjerave, edhe asgjësimin e mbetjeve me qëllim prodhimin e energjisë e cila krahasuar me landfillin, është teknologjia me impaktin me minimal në mjedis.</w:t>
      </w:r>
    </w:p>
    <w:p w:rsidR="0065716C" w:rsidRPr="009E22FE" w:rsidRDefault="0065716C" w:rsidP="0065716C">
      <w:pPr>
        <w:pStyle w:val="Heading3"/>
        <w:keepNext w:val="0"/>
        <w:keepLines w:val="0"/>
        <w:widowControl w:val="0"/>
        <w:numPr>
          <w:ilvl w:val="2"/>
          <w:numId w:val="19"/>
        </w:numPr>
        <w:tabs>
          <w:tab w:val="left" w:pos="900"/>
        </w:tabs>
        <w:spacing w:before="0" w:line="240" w:lineRule="auto"/>
        <w:ind w:left="0" w:firstLine="284"/>
        <w:rPr>
          <w:rFonts w:ascii="Garamond" w:hAnsi="Garamond"/>
          <w:b/>
          <w:i/>
          <w:color w:val="auto"/>
          <w:lang w:val="sq-AL"/>
        </w:rPr>
      </w:pPr>
      <w:bookmarkStart w:id="5" w:name="_Toc505599664"/>
      <w:bookmarkStart w:id="6" w:name="_Toc425777121"/>
      <w:r w:rsidRPr="009E22FE">
        <w:rPr>
          <w:rFonts w:ascii="Garamond" w:hAnsi="Garamond"/>
          <w:color w:val="auto"/>
          <w:lang w:val="sq-AL"/>
        </w:rPr>
        <w:t>Energjia nga biomasa për ngrohje (BRE-N&amp;F)</w:t>
      </w:r>
      <w:bookmarkEnd w:id="5"/>
      <w:bookmarkEnd w:id="6"/>
    </w:p>
    <w:p w:rsidR="0065716C" w:rsidRPr="009E22FE" w:rsidRDefault="0065716C" w:rsidP="0065716C">
      <w:pPr>
        <w:pStyle w:val="Heading3"/>
        <w:widowControl w:val="0"/>
        <w:numPr>
          <w:ilvl w:val="0"/>
          <w:numId w:val="0"/>
        </w:numPr>
        <w:tabs>
          <w:tab w:val="left" w:pos="0"/>
        </w:tabs>
        <w:spacing w:before="0" w:line="240" w:lineRule="auto"/>
        <w:ind w:left="284"/>
        <w:rPr>
          <w:rFonts w:ascii="Garamond" w:hAnsi="Garamond"/>
          <w:b/>
          <w:i/>
          <w:color w:val="auto"/>
          <w:lang w:val="sq-AL"/>
        </w:rPr>
      </w:pPr>
      <w:r w:rsidRPr="009E22FE">
        <w:rPr>
          <w:rFonts w:ascii="Garamond" w:hAnsi="Garamond"/>
          <w:color w:val="auto"/>
          <w:lang w:val="sq-AL"/>
        </w:rPr>
        <w:t>1.2.2.1 Biomasa drusore</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Konsumi i druve të zjarrit është ulur me rreth 45 ktoe gjatë periudhës 2015</w:t>
      </w:r>
      <w:r w:rsidRPr="009E22FE">
        <w:rPr>
          <w:rFonts w:ascii="Garamond" w:hAnsi="Garamond"/>
          <w:sz w:val="21"/>
          <w:szCs w:val="21"/>
          <w:lang w:val="sq-AL" w:eastAsia="sq-AL"/>
        </w:rPr>
        <w:t>–</w:t>
      </w:r>
      <w:r w:rsidRPr="009E22FE">
        <w:rPr>
          <w:rFonts w:ascii="Garamond" w:hAnsi="Garamond"/>
          <w:sz w:val="24"/>
          <w:szCs w:val="24"/>
          <w:lang w:val="sq-AL"/>
        </w:rPr>
        <w:t>2017, si rezultat i moratoriumit të pyjeve në vitin 2016. Gjithsesi, konsumi i vitit 2017 ka qenë rreth 180 ktoe dhe përfshin vetëm konsumin e druve të zjarrit të cilat përdoren në zonat malore urbane dhe rurale. Pas marsit të vitit 2016, konsumi i druve të zjarrit ka rënie dhe pritet të bjerë në vitet 2018</w:t>
      </w:r>
      <w:r w:rsidRPr="009E22FE">
        <w:rPr>
          <w:rFonts w:ascii="Garamond" w:hAnsi="Garamond"/>
          <w:sz w:val="21"/>
          <w:szCs w:val="21"/>
          <w:lang w:val="sq-AL" w:eastAsia="sq-AL"/>
        </w:rPr>
        <w:t>–</w:t>
      </w:r>
      <w:r w:rsidRPr="009E22FE">
        <w:rPr>
          <w:rFonts w:ascii="Garamond" w:hAnsi="Garamond"/>
          <w:sz w:val="24"/>
          <w:szCs w:val="24"/>
          <w:lang w:val="sq-AL"/>
        </w:rPr>
        <w:t>2020, jo vetëm si rezultat i moratoriumit, por edhe si rezultat i rritjes së çmimeve për shkak të importeve të tyre, si edhe zëvendësimin e këtij burimi për ngrohjen me atë të energjisë elektrike. Lëndët djegëse të përpunuara të drurit, si: ashklat e drurit, peletat dhe briketat, nuk janë në masivitet të përdorura për shkak të çmimit të tyre të lartë dhe sistemit të pazhvilluar të furnizimit. Në mungesë të statistikave gjykohet se gjatë viteve 2012</w:t>
      </w:r>
      <w:r w:rsidRPr="009E22FE">
        <w:rPr>
          <w:rFonts w:ascii="Garamond" w:hAnsi="Garamond"/>
          <w:sz w:val="21"/>
          <w:szCs w:val="21"/>
          <w:lang w:val="sq-AL" w:eastAsia="sq-AL"/>
        </w:rPr>
        <w:t>–</w:t>
      </w:r>
      <w:r w:rsidRPr="009E22FE">
        <w:rPr>
          <w:rFonts w:ascii="Garamond" w:hAnsi="Garamond"/>
          <w:sz w:val="24"/>
          <w:szCs w:val="24"/>
          <w:lang w:val="sq-AL"/>
        </w:rPr>
        <w:t>2016 është rritur në mënyrë të ndjeshme prodhimi i pelet për eksport, sidomos në Italinë fqinje.</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Tradicionalisht, lënda djegëse drusore vazhdon të përdoret në soba tradicionale të cilat përdoren për ngrohje dhe gatim. Duhet theksuar se shumica e pajisjeve ngrohëse me biomasë pyjore, sobat dhe oxhaqet janë të vjetra dhe joefikase, me humbje nxehtësie që shkojnë deri në 50</w:t>
      </w:r>
      <w:r w:rsidRPr="009E22FE">
        <w:rPr>
          <w:rFonts w:ascii="Garamond" w:hAnsi="Garamond"/>
          <w:sz w:val="21"/>
          <w:szCs w:val="21"/>
          <w:lang w:val="sq-AL" w:eastAsia="sq-AL"/>
        </w:rPr>
        <w:t>–</w:t>
      </w:r>
      <w:r w:rsidRPr="009E22FE">
        <w:rPr>
          <w:rFonts w:ascii="Garamond" w:hAnsi="Garamond"/>
          <w:sz w:val="24"/>
          <w:szCs w:val="24"/>
          <w:lang w:val="sq-AL"/>
        </w:rPr>
        <w:t>60%. Ngrohja me kaldaja me pelet me eficiencë të lartë për sistemet e ngrohjes lokale është ende e pazhvilluar dhe në hapat fillestarë.</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Përdorimi i biomasës dominohet në zonat urbane dhe rurale të qarqeve, si: Dibër, Kukës, Korçë dhe Gjirokastër, ku të paktën 96</w:t>
      </w:r>
      <w:r w:rsidRPr="009E22FE">
        <w:rPr>
          <w:rFonts w:ascii="Garamond" w:hAnsi="Garamond"/>
          <w:sz w:val="21"/>
          <w:szCs w:val="21"/>
          <w:lang w:val="sq-AL" w:eastAsia="sq-AL"/>
        </w:rPr>
        <w:t>–</w:t>
      </w:r>
      <w:r w:rsidRPr="009E22FE">
        <w:rPr>
          <w:rFonts w:ascii="Garamond" w:hAnsi="Garamond"/>
          <w:sz w:val="24"/>
          <w:szCs w:val="24"/>
          <w:lang w:val="sq-AL"/>
        </w:rPr>
        <w:t>99% të familjeve ngrohen me lëndë drusore (biomasë pyjore) dhe më pak, në masën 15</w:t>
      </w:r>
      <w:r w:rsidRPr="009E22FE">
        <w:rPr>
          <w:rFonts w:ascii="Garamond" w:hAnsi="Garamond"/>
          <w:sz w:val="21"/>
          <w:szCs w:val="21"/>
          <w:lang w:val="sq-AL" w:eastAsia="sq-AL"/>
        </w:rPr>
        <w:t>–</w:t>
      </w:r>
      <w:r w:rsidRPr="009E22FE">
        <w:rPr>
          <w:rFonts w:ascii="Garamond" w:hAnsi="Garamond"/>
          <w:sz w:val="24"/>
          <w:szCs w:val="24"/>
          <w:lang w:val="sq-AL"/>
        </w:rPr>
        <w:t xml:space="preserve">20%, biomasa përdoret në qarqet e Tiranës, Durrësit, Elbasanit, Vlorës dhe Fierit. </w:t>
      </w:r>
    </w:p>
    <w:p w:rsidR="0065716C" w:rsidRPr="006B49C6" w:rsidRDefault="0065716C" w:rsidP="006B49C6">
      <w:pPr>
        <w:widowControl w:val="0"/>
        <w:spacing w:after="0" w:line="240" w:lineRule="auto"/>
        <w:rPr>
          <w:rFonts w:ascii="Garamond" w:hAnsi="Garamond"/>
          <w:sz w:val="24"/>
          <w:szCs w:val="24"/>
          <w:lang w:val="sq-AL"/>
        </w:rPr>
        <w:sectPr w:rsidR="0065716C" w:rsidRPr="006B49C6" w:rsidSect="0065716C">
          <w:type w:val="continuous"/>
          <w:pgSz w:w="11907" w:h="16840"/>
          <w:pgMar w:top="720" w:right="1134" w:bottom="720" w:left="1134" w:header="851" w:footer="851" w:gutter="0"/>
          <w:cols w:space="454"/>
        </w:sectPr>
      </w:pPr>
      <w:r w:rsidRPr="009E22FE">
        <w:rPr>
          <w:rFonts w:ascii="Garamond" w:hAnsi="Garamond"/>
          <w:sz w:val="24"/>
          <w:szCs w:val="24"/>
          <w:lang w:val="sq-AL"/>
        </w:rPr>
        <w:t>Gjithsesi, një raport i sekretariatit të TKE-së për vitin 2009, përfshirë Shqipërinë, mbi “Studimin e konsumit të biomasës në mes palëve kontraktuese të Traktatit të Komunitetit të Energjisë (TKE)”</w:t>
      </w:r>
      <w:r w:rsidRPr="009E22FE">
        <w:rPr>
          <w:rStyle w:val="FootnoteReference"/>
          <w:rFonts w:ascii="Garamond" w:hAnsi="Garamond"/>
          <w:sz w:val="24"/>
          <w:szCs w:val="24"/>
          <w:lang w:val="sq-AL"/>
        </w:rPr>
        <w:footnoteReference w:id="5"/>
      </w:r>
      <w:r w:rsidRPr="009E22FE">
        <w:rPr>
          <w:rFonts w:ascii="Garamond" w:hAnsi="Garamond"/>
          <w:sz w:val="24"/>
          <w:szCs w:val="24"/>
          <w:lang w:val="sq-AL"/>
        </w:rPr>
        <w:t>, është vlerësuar se konsumi i biomasës paraqet disa rezultate të krahasueshme me deklarimet e INSTAT-it gjatë periudhave të mëparshme (2000</w:t>
      </w:r>
      <w:r w:rsidRPr="009E22FE">
        <w:rPr>
          <w:rFonts w:ascii="Garamond" w:hAnsi="Garamond"/>
          <w:sz w:val="21"/>
          <w:szCs w:val="21"/>
          <w:lang w:val="sq-AL" w:eastAsia="sq-AL"/>
        </w:rPr>
        <w:t>–</w:t>
      </w:r>
      <w:r w:rsidRPr="009E22FE">
        <w:rPr>
          <w:rFonts w:ascii="Garamond" w:hAnsi="Garamond"/>
          <w:sz w:val="24"/>
          <w:szCs w:val="24"/>
          <w:lang w:val="sq-AL"/>
        </w:rPr>
        <w:t>2005). Studimi i bazuar në survejime kombëtare, u zhvillua veçanërisht për sektorin rezidencial (privat dhe publik - shërbimet), ndërsa për sektorët e tjerë si ai industrial, bujqësor dhe transporte, të cilët njihen si përdoruesit e pakët të biomasës, në varësi të disponueshmërisë së tyre, studimi bëri vlerësime të përzgjedhura. Gjithsesi, INSTAT-i ka publikuar se drutë e zjarrit kanë një kontribut thuajse konstant, prej 10</w:t>
      </w:r>
      <w:r w:rsidRPr="009E22FE">
        <w:rPr>
          <w:rFonts w:ascii="Garamond" w:hAnsi="Garamond"/>
          <w:sz w:val="21"/>
          <w:szCs w:val="21"/>
          <w:lang w:val="sq-AL" w:eastAsia="sq-AL"/>
        </w:rPr>
        <w:t>–</w:t>
      </w:r>
      <w:r w:rsidRPr="009E22FE">
        <w:rPr>
          <w:rFonts w:ascii="Garamond" w:hAnsi="Garamond"/>
          <w:sz w:val="24"/>
          <w:szCs w:val="24"/>
          <w:lang w:val="sq-AL"/>
        </w:rPr>
        <w:t>11% në KFBE.</w:t>
      </w:r>
    </w:p>
    <w:p w:rsidR="0065716C" w:rsidRPr="009E22FE" w:rsidRDefault="0065716C" w:rsidP="006B49C6">
      <w:pPr>
        <w:pStyle w:val="Tabela"/>
        <w:widowControl w:val="0"/>
        <w:spacing w:before="0"/>
        <w:rPr>
          <w:rFonts w:ascii="Garamond" w:hAnsi="Garamond"/>
          <w:i w:val="0"/>
          <w:noProof w:val="0"/>
          <w:sz w:val="14"/>
        </w:rPr>
      </w:pPr>
    </w:p>
    <w:p w:rsidR="0065716C" w:rsidRPr="009E22FE" w:rsidRDefault="0065716C" w:rsidP="0065716C">
      <w:pPr>
        <w:pStyle w:val="Tabela"/>
        <w:widowControl w:val="0"/>
        <w:spacing w:before="0"/>
        <w:ind w:firstLine="284"/>
        <w:rPr>
          <w:rFonts w:ascii="Garamond" w:hAnsi="Garamond"/>
          <w:i w:val="0"/>
          <w:noProof w:val="0"/>
          <w:sz w:val="24"/>
        </w:rPr>
      </w:pPr>
      <w:r w:rsidRPr="009E22FE">
        <w:rPr>
          <w:rFonts w:ascii="Garamond" w:hAnsi="Garamond"/>
          <w:i w:val="0"/>
          <w:noProof w:val="0"/>
          <w:sz w:val="24"/>
        </w:rPr>
        <w:t>Tabela 4. INSTAT, Kontributi i druve të zjarrit në KFBE (ktoe)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1"/>
        <w:gridCol w:w="795"/>
        <w:gridCol w:w="859"/>
        <w:gridCol w:w="859"/>
        <w:gridCol w:w="859"/>
        <w:gridCol w:w="859"/>
        <w:gridCol w:w="969"/>
        <w:gridCol w:w="763"/>
        <w:gridCol w:w="763"/>
        <w:gridCol w:w="732"/>
      </w:tblGrid>
      <w:tr w:rsidR="009E22FE" w:rsidRPr="009E22FE" w:rsidTr="0065716C">
        <w:trPr>
          <w:trHeight w:val="255"/>
          <w:jc w:val="center"/>
        </w:trPr>
        <w:tc>
          <w:tcPr>
            <w:tcW w:w="1128" w:type="pct"/>
            <w:tcBorders>
              <w:top w:val="single" w:sz="4" w:space="0" w:color="000000"/>
              <w:left w:val="single" w:sz="4" w:space="0" w:color="000000"/>
              <w:bottom w:val="single" w:sz="4" w:space="0" w:color="000000"/>
              <w:right w:val="single" w:sz="4" w:space="0" w:color="000000"/>
            </w:tcBorders>
            <w:noWrap/>
            <w:vAlign w:val="center"/>
            <w:hideMark/>
          </w:tcPr>
          <w:p w:rsidR="0065716C" w:rsidRPr="009E22FE" w:rsidRDefault="0065716C">
            <w:pPr>
              <w:widowControl w:val="0"/>
              <w:spacing w:after="0" w:line="240" w:lineRule="auto"/>
              <w:ind w:firstLine="0"/>
              <w:jc w:val="center"/>
              <w:rPr>
                <w:rFonts w:ascii="Garamond" w:hAnsi="Garamond"/>
                <w:b/>
                <w:sz w:val="20"/>
                <w:szCs w:val="20"/>
                <w:lang w:val="sq-AL"/>
              </w:rPr>
            </w:pPr>
            <w:r w:rsidRPr="009E22FE">
              <w:rPr>
                <w:rFonts w:ascii="Garamond" w:hAnsi="Garamond"/>
                <w:b/>
                <w:sz w:val="20"/>
                <w:szCs w:val="20"/>
                <w:lang w:val="sq-AL"/>
              </w:rPr>
              <w:t>Emërtimi /Viti</w:t>
            </w:r>
          </w:p>
        </w:tc>
        <w:tc>
          <w:tcPr>
            <w:tcW w:w="413" w:type="pct"/>
            <w:tcBorders>
              <w:top w:val="single" w:sz="4" w:space="0" w:color="000000"/>
              <w:left w:val="single" w:sz="4" w:space="0" w:color="000000"/>
              <w:bottom w:val="single" w:sz="4" w:space="0" w:color="000000"/>
              <w:right w:val="single" w:sz="4" w:space="0" w:color="000000"/>
            </w:tcBorders>
            <w:noWrap/>
            <w:vAlign w:val="center"/>
            <w:hideMark/>
          </w:tcPr>
          <w:p w:rsidR="0065716C" w:rsidRPr="009E22FE" w:rsidRDefault="0065716C">
            <w:pPr>
              <w:widowControl w:val="0"/>
              <w:spacing w:after="0" w:line="240" w:lineRule="auto"/>
              <w:ind w:firstLine="0"/>
              <w:jc w:val="center"/>
              <w:rPr>
                <w:rFonts w:ascii="Garamond" w:hAnsi="Garamond"/>
                <w:b/>
                <w:sz w:val="20"/>
                <w:szCs w:val="20"/>
                <w:vertAlign w:val="subscript"/>
                <w:lang w:val="sq-AL"/>
              </w:rPr>
            </w:pPr>
            <w:r w:rsidRPr="009E22FE">
              <w:rPr>
                <w:rFonts w:ascii="Garamond" w:hAnsi="Garamond"/>
                <w:b/>
                <w:sz w:val="20"/>
                <w:szCs w:val="20"/>
                <w:vertAlign w:val="subscript"/>
                <w:lang w:val="sq-AL"/>
              </w:rPr>
              <w:t>2009</w:t>
            </w:r>
          </w:p>
        </w:tc>
        <w:tc>
          <w:tcPr>
            <w:tcW w:w="446" w:type="pct"/>
            <w:tcBorders>
              <w:top w:val="single" w:sz="4" w:space="0" w:color="000000"/>
              <w:left w:val="single" w:sz="4" w:space="0" w:color="000000"/>
              <w:bottom w:val="single" w:sz="4" w:space="0" w:color="000000"/>
              <w:right w:val="single" w:sz="4" w:space="0" w:color="000000"/>
            </w:tcBorders>
            <w:noWrap/>
            <w:vAlign w:val="center"/>
            <w:hideMark/>
          </w:tcPr>
          <w:p w:rsidR="0065716C" w:rsidRPr="009E22FE" w:rsidRDefault="0065716C">
            <w:pPr>
              <w:widowControl w:val="0"/>
              <w:spacing w:after="0" w:line="240" w:lineRule="auto"/>
              <w:ind w:firstLine="0"/>
              <w:jc w:val="center"/>
              <w:rPr>
                <w:rFonts w:ascii="Garamond" w:hAnsi="Garamond"/>
                <w:b/>
                <w:sz w:val="20"/>
                <w:szCs w:val="20"/>
                <w:vertAlign w:val="subscript"/>
                <w:lang w:val="sq-AL"/>
              </w:rPr>
            </w:pPr>
            <w:r w:rsidRPr="009E22FE">
              <w:rPr>
                <w:rFonts w:ascii="Garamond" w:hAnsi="Garamond"/>
                <w:b/>
                <w:sz w:val="20"/>
                <w:szCs w:val="20"/>
                <w:vertAlign w:val="subscript"/>
                <w:lang w:val="sq-AL"/>
              </w:rPr>
              <w:t>2010</w:t>
            </w:r>
          </w:p>
        </w:tc>
        <w:tc>
          <w:tcPr>
            <w:tcW w:w="446" w:type="pct"/>
            <w:tcBorders>
              <w:top w:val="single" w:sz="4" w:space="0" w:color="000000"/>
              <w:left w:val="single" w:sz="4" w:space="0" w:color="000000"/>
              <w:bottom w:val="single" w:sz="4" w:space="0" w:color="000000"/>
              <w:right w:val="single" w:sz="4" w:space="0" w:color="000000"/>
            </w:tcBorders>
            <w:noWrap/>
            <w:vAlign w:val="center"/>
            <w:hideMark/>
          </w:tcPr>
          <w:p w:rsidR="0065716C" w:rsidRPr="009E22FE" w:rsidRDefault="0065716C">
            <w:pPr>
              <w:widowControl w:val="0"/>
              <w:spacing w:after="0" w:line="240" w:lineRule="auto"/>
              <w:ind w:firstLine="0"/>
              <w:jc w:val="center"/>
              <w:rPr>
                <w:rFonts w:ascii="Garamond" w:hAnsi="Garamond"/>
                <w:b/>
                <w:sz w:val="20"/>
                <w:szCs w:val="20"/>
                <w:vertAlign w:val="subscript"/>
                <w:lang w:val="sq-AL"/>
              </w:rPr>
            </w:pPr>
            <w:r w:rsidRPr="009E22FE">
              <w:rPr>
                <w:rFonts w:ascii="Garamond" w:hAnsi="Garamond"/>
                <w:b/>
                <w:sz w:val="20"/>
                <w:szCs w:val="20"/>
                <w:vertAlign w:val="subscript"/>
                <w:lang w:val="sq-AL"/>
              </w:rPr>
              <w:t>2011</w:t>
            </w:r>
          </w:p>
        </w:tc>
        <w:tc>
          <w:tcPr>
            <w:tcW w:w="446" w:type="pct"/>
            <w:tcBorders>
              <w:top w:val="single" w:sz="4" w:space="0" w:color="000000"/>
              <w:left w:val="single" w:sz="4" w:space="0" w:color="000000"/>
              <w:bottom w:val="single" w:sz="4" w:space="0" w:color="000000"/>
              <w:right w:val="single" w:sz="4" w:space="0" w:color="000000"/>
            </w:tcBorders>
            <w:noWrap/>
            <w:vAlign w:val="center"/>
            <w:hideMark/>
          </w:tcPr>
          <w:p w:rsidR="0065716C" w:rsidRPr="009E22FE" w:rsidRDefault="0065716C">
            <w:pPr>
              <w:widowControl w:val="0"/>
              <w:spacing w:after="0" w:line="240" w:lineRule="auto"/>
              <w:ind w:firstLine="0"/>
              <w:jc w:val="center"/>
              <w:rPr>
                <w:rFonts w:ascii="Garamond" w:hAnsi="Garamond"/>
                <w:b/>
                <w:sz w:val="20"/>
                <w:szCs w:val="20"/>
                <w:vertAlign w:val="subscript"/>
                <w:lang w:val="sq-AL"/>
              </w:rPr>
            </w:pPr>
            <w:r w:rsidRPr="009E22FE">
              <w:rPr>
                <w:rFonts w:ascii="Garamond" w:hAnsi="Garamond"/>
                <w:b/>
                <w:sz w:val="20"/>
                <w:szCs w:val="20"/>
                <w:vertAlign w:val="subscript"/>
                <w:lang w:val="sq-AL"/>
              </w:rPr>
              <w:t>2012</w:t>
            </w:r>
          </w:p>
        </w:tc>
        <w:tc>
          <w:tcPr>
            <w:tcW w:w="446" w:type="pct"/>
            <w:tcBorders>
              <w:top w:val="single" w:sz="4" w:space="0" w:color="000000"/>
              <w:left w:val="single" w:sz="4" w:space="0" w:color="000000"/>
              <w:bottom w:val="single" w:sz="4" w:space="0" w:color="000000"/>
              <w:right w:val="single" w:sz="4" w:space="0" w:color="000000"/>
            </w:tcBorders>
            <w:noWrap/>
            <w:vAlign w:val="center"/>
            <w:hideMark/>
          </w:tcPr>
          <w:p w:rsidR="0065716C" w:rsidRPr="009E22FE" w:rsidRDefault="0065716C">
            <w:pPr>
              <w:widowControl w:val="0"/>
              <w:spacing w:after="0" w:line="240" w:lineRule="auto"/>
              <w:ind w:firstLine="0"/>
              <w:jc w:val="center"/>
              <w:rPr>
                <w:rFonts w:ascii="Garamond" w:hAnsi="Garamond"/>
                <w:b/>
                <w:sz w:val="20"/>
                <w:szCs w:val="20"/>
                <w:vertAlign w:val="subscript"/>
                <w:lang w:val="sq-AL"/>
              </w:rPr>
            </w:pPr>
            <w:r w:rsidRPr="009E22FE">
              <w:rPr>
                <w:rFonts w:ascii="Garamond" w:hAnsi="Garamond"/>
                <w:b/>
                <w:sz w:val="20"/>
                <w:szCs w:val="20"/>
                <w:vertAlign w:val="subscript"/>
                <w:lang w:val="sq-AL"/>
              </w:rPr>
              <w:t>2013</w:t>
            </w:r>
          </w:p>
        </w:tc>
        <w:tc>
          <w:tcPr>
            <w:tcW w:w="503" w:type="pct"/>
            <w:tcBorders>
              <w:top w:val="single" w:sz="4" w:space="0" w:color="000000"/>
              <w:left w:val="single" w:sz="4" w:space="0" w:color="000000"/>
              <w:bottom w:val="single" w:sz="4" w:space="0" w:color="000000"/>
              <w:right w:val="single" w:sz="4" w:space="0" w:color="000000"/>
            </w:tcBorders>
            <w:noWrap/>
            <w:vAlign w:val="center"/>
            <w:hideMark/>
          </w:tcPr>
          <w:p w:rsidR="0065716C" w:rsidRPr="009E22FE" w:rsidRDefault="0065716C">
            <w:pPr>
              <w:widowControl w:val="0"/>
              <w:spacing w:after="0" w:line="240" w:lineRule="auto"/>
              <w:ind w:firstLine="0"/>
              <w:jc w:val="center"/>
              <w:rPr>
                <w:rFonts w:ascii="Garamond" w:hAnsi="Garamond"/>
                <w:b/>
                <w:sz w:val="20"/>
                <w:szCs w:val="20"/>
                <w:vertAlign w:val="subscript"/>
                <w:lang w:val="sq-AL"/>
              </w:rPr>
            </w:pPr>
            <w:r w:rsidRPr="009E22FE">
              <w:rPr>
                <w:rFonts w:ascii="Garamond" w:hAnsi="Garamond"/>
                <w:b/>
                <w:sz w:val="20"/>
                <w:szCs w:val="20"/>
                <w:vertAlign w:val="subscript"/>
                <w:lang w:val="sq-AL"/>
              </w:rPr>
              <w:t>2014</w:t>
            </w:r>
          </w:p>
        </w:tc>
        <w:tc>
          <w:tcPr>
            <w:tcW w:w="396" w:type="pct"/>
            <w:tcBorders>
              <w:top w:val="single" w:sz="4" w:space="0" w:color="000000"/>
              <w:left w:val="single" w:sz="4" w:space="0" w:color="000000"/>
              <w:bottom w:val="single" w:sz="4" w:space="0" w:color="000000"/>
              <w:right w:val="single" w:sz="4" w:space="0" w:color="000000"/>
            </w:tcBorders>
            <w:vAlign w:val="center"/>
            <w:hideMark/>
          </w:tcPr>
          <w:p w:rsidR="0065716C" w:rsidRPr="009E22FE" w:rsidRDefault="0065716C">
            <w:pPr>
              <w:widowControl w:val="0"/>
              <w:spacing w:after="0" w:line="240" w:lineRule="auto"/>
              <w:ind w:firstLine="0"/>
              <w:jc w:val="center"/>
              <w:rPr>
                <w:rFonts w:ascii="Garamond" w:hAnsi="Garamond"/>
                <w:b/>
                <w:sz w:val="20"/>
                <w:szCs w:val="20"/>
                <w:vertAlign w:val="subscript"/>
                <w:lang w:val="sq-AL"/>
              </w:rPr>
            </w:pPr>
            <w:r w:rsidRPr="009E22FE">
              <w:rPr>
                <w:rFonts w:ascii="Garamond" w:hAnsi="Garamond"/>
                <w:b/>
                <w:sz w:val="20"/>
                <w:szCs w:val="20"/>
                <w:vertAlign w:val="subscript"/>
                <w:lang w:val="sq-AL"/>
              </w:rPr>
              <w:t>2015</w:t>
            </w:r>
          </w:p>
        </w:tc>
        <w:tc>
          <w:tcPr>
            <w:tcW w:w="396" w:type="pct"/>
            <w:tcBorders>
              <w:top w:val="single" w:sz="4" w:space="0" w:color="000000"/>
              <w:left w:val="single" w:sz="4" w:space="0" w:color="000000"/>
              <w:bottom w:val="single" w:sz="4" w:space="0" w:color="000000"/>
              <w:right w:val="single" w:sz="4" w:space="0" w:color="000000"/>
            </w:tcBorders>
            <w:vAlign w:val="center"/>
            <w:hideMark/>
          </w:tcPr>
          <w:p w:rsidR="0065716C" w:rsidRPr="009E22FE" w:rsidRDefault="0065716C">
            <w:pPr>
              <w:widowControl w:val="0"/>
              <w:spacing w:after="0" w:line="240" w:lineRule="auto"/>
              <w:ind w:firstLine="0"/>
              <w:jc w:val="center"/>
              <w:rPr>
                <w:rFonts w:ascii="Garamond" w:hAnsi="Garamond"/>
                <w:b/>
                <w:sz w:val="20"/>
                <w:szCs w:val="20"/>
                <w:vertAlign w:val="subscript"/>
                <w:lang w:val="sq-AL"/>
              </w:rPr>
            </w:pPr>
            <w:r w:rsidRPr="009E22FE">
              <w:rPr>
                <w:rFonts w:ascii="Garamond" w:hAnsi="Garamond"/>
                <w:b/>
                <w:sz w:val="20"/>
                <w:szCs w:val="20"/>
                <w:vertAlign w:val="subscript"/>
                <w:lang w:val="sq-AL"/>
              </w:rPr>
              <w:t>2016</w:t>
            </w:r>
          </w:p>
        </w:tc>
        <w:tc>
          <w:tcPr>
            <w:tcW w:w="380" w:type="pct"/>
            <w:tcBorders>
              <w:top w:val="single" w:sz="4" w:space="0" w:color="000000"/>
              <w:left w:val="single" w:sz="4" w:space="0" w:color="000000"/>
              <w:bottom w:val="single" w:sz="4" w:space="0" w:color="000000"/>
              <w:right w:val="single" w:sz="4" w:space="0" w:color="000000"/>
            </w:tcBorders>
            <w:vAlign w:val="center"/>
            <w:hideMark/>
          </w:tcPr>
          <w:p w:rsidR="0065716C" w:rsidRPr="009E22FE" w:rsidRDefault="0065716C">
            <w:pPr>
              <w:widowControl w:val="0"/>
              <w:spacing w:after="0" w:line="240" w:lineRule="auto"/>
              <w:ind w:firstLine="0"/>
              <w:jc w:val="center"/>
              <w:rPr>
                <w:rFonts w:ascii="Garamond" w:hAnsi="Garamond"/>
                <w:b/>
                <w:sz w:val="20"/>
                <w:szCs w:val="20"/>
                <w:vertAlign w:val="subscript"/>
                <w:lang w:val="sq-AL"/>
              </w:rPr>
            </w:pPr>
            <w:r w:rsidRPr="009E22FE">
              <w:rPr>
                <w:rFonts w:ascii="Garamond" w:hAnsi="Garamond"/>
                <w:b/>
                <w:sz w:val="20"/>
                <w:szCs w:val="20"/>
                <w:vertAlign w:val="subscript"/>
                <w:lang w:val="sq-AL"/>
              </w:rPr>
              <w:t>2017</w:t>
            </w:r>
          </w:p>
        </w:tc>
      </w:tr>
      <w:tr w:rsidR="009E22FE" w:rsidRPr="009E22FE" w:rsidTr="0065716C">
        <w:trPr>
          <w:trHeight w:val="255"/>
          <w:jc w:val="center"/>
        </w:trPr>
        <w:tc>
          <w:tcPr>
            <w:tcW w:w="1128" w:type="pct"/>
            <w:tcBorders>
              <w:top w:val="single" w:sz="4" w:space="0" w:color="000000"/>
              <w:left w:val="single" w:sz="4" w:space="0" w:color="000000"/>
              <w:bottom w:val="single" w:sz="4" w:space="0" w:color="000000"/>
              <w:right w:val="single" w:sz="4" w:space="0" w:color="000000"/>
            </w:tcBorders>
            <w:noWrap/>
            <w:vAlign w:val="center"/>
            <w:hideMark/>
          </w:tcPr>
          <w:p w:rsidR="0065716C" w:rsidRPr="009E22FE" w:rsidRDefault="0065716C">
            <w:pPr>
              <w:widowControl w:val="0"/>
              <w:spacing w:after="0" w:line="240" w:lineRule="auto"/>
              <w:ind w:firstLine="0"/>
              <w:jc w:val="left"/>
              <w:rPr>
                <w:rFonts w:ascii="Garamond" w:hAnsi="Garamond"/>
                <w:sz w:val="20"/>
                <w:szCs w:val="20"/>
                <w:lang w:val="sq-AL"/>
              </w:rPr>
            </w:pPr>
            <w:r w:rsidRPr="009E22FE">
              <w:rPr>
                <w:rFonts w:ascii="Garamond" w:hAnsi="Garamond"/>
                <w:sz w:val="20"/>
                <w:szCs w:val="20"/>
                <w:lang w:val="sq-AL"/>
              </w:rPr>
              <w:t>Kontributi %</w:t>
            </w:r>
          </w:p>
        </w:tc>
        <w:tc>
          <w:tcPr>
            <w:tcW w:w="413" w:type="pct"/>
            <w:tcBorders>
              <w:top w:val="single" w:sz="4" w:space="0" w:color="000000"/>
              <w:left w:val="single" w:sz="4" w:space="0" w:color="000000"/>
              <w:bottom w:val="single" w:sz="4" w:space="0" w:color="000000"/>
              <w:right w:val="single" w:sz="4" w:space="0" w:color="000000"/>
            </w:tcBorders>
            <w:noWrap/>
            <w:vAlign w:val="center"/>
            <w:hideMark/>
          </w:tcPr>
          <w:p w:rsidR="0065716C" w:rsidRPr="009E22FE" w:rsidRDefault="0065716C">
            <w:pPr>
              <w:widowControl w:val="0"/>
              <w:spacing w:after="0" w:line="240" w:lineRule="auto"/>
              <w:ind w:firstLine="0"/>
              <w:jc w:val="right"/>
              <w:rPr>
                <w:rFonts w:ascii="Garamond" w:hAnsi="Garamond"/>
                <w:sz w:val="20"/>
                <w:szCs w:val="20"/>
                <w:vertAlign w:val="subscript"/>
                <w:lang w:val="sq-AL"/>
              </w:rPr>
            </w:pPr>
            <w:r w:rsidRPr="009E22FE">
              <w:rPr>
                <w:rFonts w:ascii="Garamond" w:hAnsi="Garamond"/>
                <w:sz w:val="20"/>
                <w:szCs w:val="20"/>
                <w:vertAlign w:val="subscript"/>
                <w:lang w:val="sq-AL"/>
              </w:rPr>
              <w:t>10%</w:t>
            </w:r>
          </w:p>
        </w:tc>
        <w:tc>
          <w:tcPr>
            <w:tcW w:w="446" w:type="pct"/>
            <w:tcBorders>
              <w:top w:val="single" w:sz="4" w:space="0" w:color="000000"/>
              <w:left w:val="single" w:sz="4" w:space="0" w:color="000000"/>
              <w:bottom w:val="single" w:sz="4" w:space="0" w:color="000000"/>
              <w:right w:val="single" w:sz="4" w:space="0" w:color="000000"/>
            </w:tcBorders>
            <w:noWrap/>
            <w:vAlign w:val="center"/>
            <w:hideMark/>
          </w:tcPr>
          <w:p w:rsidR="0065716C" w:rsidRPr="009E22FE" w:rsidRDefault="0065716C">
            <w:pPr>
              <w:widowControl w:val="0"/>
              <w:spacing w:after="0" w:line="240" w:lineRule="auto"/>
              <w:ind w:firstLine="0"/>
              <w:jc w:val="right"/>
              <w:rPr>
                <w:rFonts w:ascii="Garamond" w:hAnsi="Garamond"/>
                <w:sz w:val="20"/>
                <w:szCs w:val="20"/>
                <w:vertAlign w:val="subscript"/>
                <w:lang w:val="sq-AL"/>
              </w:rPr>
            </w:pPr>
            <w:r w:rsidRPr="009E22FE">
              <w:rPr>
                <w:rFonts w:ascii="Garamond" w:hAnsi="Garamond"/>
                <w:sz w:val="20"/>
                <w:szCs w:val="20"/>
                <w:vertAlign w:val="subscript"/>
                <w:lang w:val="sq-AL"/>
              </w:rPr>
              <w:t>10%</w:t>
            </w:r>
          </w:p>
        </w:tc>
        <w:tc>
          <w:tcPr>
            <w:tcW w:w="446" w:type="pct"/>
            <w:tcBorders>
              <w:top w:val="single" w:sz="4" w:space="0" w:color="000000"/>
              <w:left w:val="single" w:sz="4" w:space="0" w:color="000000"/>
              <w:bottom w:val="single" w:sz="4" w:space="0" w:color="000000"/>
              <w:right w:val="single" w:sz="4" w:space="0" w:color="000000"/>
            </w:tcBorders>
            <w:noWrap/>
            <w:vAlign w:val="center"/>
            <w:hideMark/>
          </w:tcPr>
          <w:p w:rsidR="0065716C" w:rsidRPr="009E22FE" w:rsidRDefault="0065716C">
            <w:pPr>
              <w:widowControl w:val="0"/>
              <w:spacing w:after="0" w:line="240" w:lineRule="auto"/>
              <w:ind w:firstLine="0"/>
              <w:jc w:val="right"/>
              <w:rPr>
                <w:rFonts w:ascii="Garamond" w:hAnsi="Garamond"/>
                <w:sz w:val="20"/>
                <w:szCs w:val="20"/>
                <w:vertAlign w:val="subscript"/>
                <w:lang w:val="sq-AL"/>
              </w:rPr>
            </w:pPr>
            <w:r w:rsidRPr="009E22FE">
              <w:rPr>
                <w:rFonts w:ascii="Garamond" w:hAnsi="Garamond"/>
                <w:sz w:val="20"/>
                <w:szCs w:val="20"/>
                <w:vertAlign w:val="subscript"/>
                <w:lang w:val="sq-AL"/>
              </w:rPr>
              <w:t>10%</w:t>
            </w:r>
          </w:p>
        </w:tc>
        <w:tc>
          <w:tcPr>
            <w:tcW w:w="446" w:type="pct"/>
            <w:tcBorders>
              <w:top w:val="single" w:sz="4" w:space="0" w:color="000000"/>
              <w:left w:val="single" w:sz="4" w:space="0" w:color="000000"/>
              <w:bottom w:val="single" w:sz="4" w:space="0" w:color="000000"/>
              <w:right w:val="single" w:sz="4" w:space="0" w:color="000000"/>
            </w:tcBorders>
            <w:noWrap/>
            <w:vAlign w:val="center"/>
            <w:hideMark/>
          </w:tcPr>
          <w:p w:rsidR="0065716C" w:rsidRPr="009E22FE" w:rsidRDefault="0065716C">
            <w:pPr>
              <w:widowControl w:val="0"/>
              <w:spacing w:after="0" w:line="240" w:lineRule="auto"/>
              <w:ind w:firstLine="0"/>
              <w:jc w:val="right"/>
              <w:rPr>
                <w:rFonts w:ascii="Garamond" w:hAnsi="Garamond"/>
                <w:sz w:val="20"/>
                <w:szCs w:val="20"/>
                <w:vertAlign w:val="subscript"/>
                <w:lang w:val="sq-AL"/>
              </w:rPr>
            </w:pPr>
            <w:r w:rsidRPr="009E22FE">
              <w:rPr>
                <w:rFonts w:ascii="Garamond" w:hAnsi="Garamond"/>
                <w:sz w:val="20"/>
                <w:szCs w:val="20"/>
                <w:vertAlign w:val="subscript"/>
                <w:lang w:val="sq-AL"/>
              </w:rPr>
              <w:t>10%</w:t>
            </w:r>
          </w:p>
        </w:tc>
        <w:tc>
          <w:tcPr>
            <w:tcW w:w="446" w:type="pct"/>
            <w:tcBorders>
              <w:top w:val="single" w:sz="4" w:space="0" w:color="000000"/>
              <w:left w:val="single" w:sz="4" w:space="0" w:color="000000"/>
              <w:bottom w:val="single" w:sz="4" w:space="0" w:color="000000"/>
              <w:right w:val="single" w:sz="4" w:space="0" w:color="000000"/>
            </w:tcBorders>
            <w:noWrap/>
            <w:vAlign w:val="center"/>
            <w:hideMark/>
          </w:tcPr>
          <w:p w:rsidR="0065716C" w:rsidRPr="009E22FE" w:rsidRDefault="0065716C">
            <w:pPr>
              <w:widowControl w:val="0"/>
              <w:spacing w:after="0" w:line="240" w:lineRule="auto"/>
              <w:ind w:firstLine="0"/>
              <w:jc w:val="right"/>
              <w:rPr>
                <w:rFonts w:ascii="Garamond" w:hAnsi="Garamond"/>
                <w:sz w:val="20"/>
                <w:szCs w:val="20"/>
                <w:vertAlign w:val="subscript"/>
                <w:lang w:val="sq-AL"/>
              </w:rPr>
            </w:pPr>
            <w:r w:rsidRPr="009E22FE">
              <w:rPr>
                <w:rFonts w:ascii="Garamond" w:hAnsi="Garamond"/>
                <w:sz w:val="20"/>
                <w:szCs w:val="20"/>
                <w:vertAlign w:val="subscript"/>
                <w:lang w:val="sq-AL"/>
              </w:rPr>
              <w:t>9%</w:t>
            </w:r>
          </w:p>
        </w:tc>
        <w:tc>
          <w:tcPr>
            <w:tcW w:w="503" w:type="pct"/>
            <w:tcBorders>
              <w:top w:val="single" w:sz="4" w:space="0" w:color="000000"/>
              <w:left w:val="single" w:sz="4" w:space="0" w:color="000000"/>
              <w:bottom w:val="single" w:sz="4" w:space="0" w:color="000000"/>
              <w:right w:val="single" w:sz="4" w:space="0" w:color="000000"/>
            </w:tcBorders>
            <w:noWrap/>
            <w:vAlign w:val="center"/>
            <w:hideMark/>
          </w:tcPr>
          <w:p w:rsidR="0065716C" w:rsidRPr="009E22FE" w:rsidRDefault="0065716C">
            <w:pPr>
              <w:widowControl w:val="0"/>
              <w:spacing w:after="0" w:line="240" w:lineRule="auto"/>
              <w:ind w:firstLine="0"/>
              <w:jc w:val="right"/>
              <w:rPr>
                <w:rFonts w:ascii="Garamond" w:hAnsi="Garamond"/>
                <w:sz w:val="20"/>
                <w:szCs w:val="20"/>
                <w:vertAlign w:val="subscript"/>
                <w:lang w:val="sq-AL"/>
              </w:rPr>
            </w:pPr>
            <w:r w:rsidRPr="009E22FE">
              <w:rPr>
                <w:rFonts w:ascii="Garamond" w:hAnsi="Garamond"/>
                <w:sz w:val="20"/>
                <w:szCs w:val="20"/>
                <w:vertAlign w:val="subscript"/>
                <w:lang w:val="sq-AL"/>
              </w:rPr>
              <w:t>9.66%</w:t>
            </w:r>
          </w:p>
        </w:tc>
        <w:tc>
          <w:tcPr>
            <w:tcW w:w="396" w:type="pct"/>
            <w:tcBorders>
              <w:top w:val="single" w:sz="4" w:space="0" w:color="000000"/>
              <w:left w:val="single" w:sz="4" w:space="0" w:color="000000"/>
              <w:bottom w:val="single" w:sz="4" w:space="0" w:color="000000"/>
              <w:right w:val="single" w:sz="4" w:space="0" w:color="000000"/>
            </w:tcBorders>
            <w:hideMark/>
          </w:tcPr>
          <w:p w:rsidR="0065716C" w:rsidRPr="009E22FE" w:rsidRDefault="0065716C">
            <w:pPr>
              <w:widowControl w:val="0"/>
              <w:spacing w:after="0" w:line="240" w:lineRule="auto"/>
              <w:ind w:firstLine="0"/>
              <w:jc w:val="right"/>
              <w:rPr>
                <w:rFonts w:ascii="Garamond" w:hAnsi="Garamond"/>
                <w:sz w:val="20"/>
                <w:szCs w:val="20"/>
                <w:vertAlign w:val="subscript"/>
                <w:lang w:val="sq-AL"/>
              </w:rPr>
            </w:pPr>
            <w:r w:rsidRPr="009E22FE">
              <w:rPr>
                <w:rFonts w:ascii="Garamond" w:hAnsi="Garamond"/>
                <w:sz w:val="20"/>
                <w:szCs w:val="20"/>
                <w:vertAlign w:val="subscript"/>
                <w:lang w:val="sq-AL"/>
              </w:rPr>
              <w:t>10.9%</w:t>
            </w:r>
          </w:p>
        </w:tc>
        <w:tc>
          <w:tcPr>
            <w:tcW w:w="396" w:type="pct"/>
            <w:tcBorders>
              <w:top w:val="single" w:sz="4" w:space="0" w:color="000000"/>
              <w:left w:val="single" w:sz="4" w:space="0" w:color="000000"/>
              <w:bottom w:val="single" w:sz="4" w:space="0" w:color="000000"/>
              <w:right w:val="single" w:sz="4" w:space="0" w:color="000000"/>
            </w:tcBorders>
            <w:hideMark/>
          </w:tcPr>
          <w:p w:rsidR="0065716C" w:rsidRPr="009E22FE" w:rsidRDefault="0065716C">
            <w:pPr>
              <w:widowControl w:val="0"/>
              <w:spacing w:after="0" w:line="240" w:lineRule="auto"/>
              <w:ind w:firstLine="0"/>
              <w:jc w:val="right"/>
              <w:rPr>
                <w:rFonts w:ascii="Garamond" w:hAnsi="Garamond"/>
                <w:sz w:val="20"/>
                <w:szCs w:val="20"/>
                <w:vertAlign w:val="subscript"/>
                <w:lang w:val="sq-AL"/>
              </w:rPr>
            </w:pPr>
            <w:r w:rsidRPr="009E22FE">
              <w:rPr>
                <w:rFonts w:ascii="Garamond" w:hAnsi="Garamond"/>
                <w:sz w:val="20"/>
                <w:szCs w:val="20"/>
                <w:vertAlign w:val="subscript"/>
                <w:lang w:val="sq-AL"/>
              </w:rPr>
              <w:t>9.73%</w:t>
            </w:r>
          </w:p>
        </w:tc>
        <w:tc>
          <w:tcPr>
            <w:tcW w:w="380" w:type="pct"/>
            <w:tcBorders>
              <w:top w:val="single" w:sz="4" w:space="0" w:color="000000"/>
              <w:left w:val="single" w:sz="4" w:space="0" w:color="000000"/>
              <w:bottom w:val="single" w:sz="4" w:space="0" w:color="000000"/>
              <w:right w:val="single" w:sz="4" w:space="0" w:color="000000"/>
            </w:tcBorders>
            <w:hideMark/>
          </w:tcPr>
          <w:p w:rsidR="0065716C" w:rsidRPr="009E22FE" w:rsidRDefault="0065716C">
            <w:pPr>
              <w:widowControl w:val="0"/>
              <w:spacing w:after="0" w:line="240" w:lineRule="auto"/>
              <w:ind w:firstLine="0"/>
              <w:jc w:val="right"/>
              <w:rPr>
                <w:rFonts w:ascii="Garamond" w:hAnsi="Garamond"/>
                <w:sz w:val="20"/>
                <w:szCs w:val="20"/>
                <w:vertAlign w:val="subscript"/>
                <w:lang w:val="sq-AL"/>
              </w:rPr>
            </w:pPr>
            <w:r w:rsidRPr="009E22FE">
              <w:rPr>
                <w:rFonts w:ascii="Garamond" w:hAnsi="Garamond"/>
                <w:sz w:val="20"/>
                <w:szCs w:val="20"/>
                <w:vertAlign w:val="subscript"/>
                <w:lang w:val="sq-AL"/>
              </w:rPr>
              <w:t>8.7%</w:t>
            </w:r>
          </w:p>
        </w:tc>
      </w:tr>
      <w:tr w:rsidR="009E22FE" w:rsidRPr="009E22FE" w:rsidTr="0065716C">
        <w:trPr>
          <w:trHeight w:val="255"/>
          <w:jc w:val="center"/>
        </w:trPr>
        <w:tc>
          <w:tcPr>
            <w:tcW w:w="1128" w:type="pct"/>
            <w:tcBorders>
              <w:top w:val="single" w:sz="4" w:space="0" w:color="000000"/>
              <w:left w:val="single" w:sz="4" w:space="0" w:color="000000"/>
              <w:bottom w:val="single" w:sz="4" w:space="0" w:color="000000"/>
              <w:right w:val="single" w:sz="4" w:space="0" w:color="000000"/>
            </w:tcBorders>
            <w:shd w:val="clear" w:color="auto" w:fill="DAEEF3"/>
            <w:noWrap/>
            <w:vAlign w:val="center"/>
            <w:hideMark/>
          </w:tcPr>
          <w:p w:rsidR="0065716C" w:rsidRPr="009E22FE" w:rsidRDefault="0065716C">
            <w:pPr>
              <w:widowControl w:val="0"/>
              <w:spacing w:after="0" w:line="240" w:lineRule="auto"/>
              <w:ind w:firstLine="0"/>
              <w:jc w:val="left"/>
              <w:rPr>
                <w:rFonts w:ascii="Garamond" w:hAnsi="Garamond"/>
                <w:b/>
                <w:sz w:val="20"/>
                <w:szCs w:val="20"/>
                <w:lang w:val="sq-AL"/>
              </w:rPr>
            </w:pPr>
            <w:r w:rsidRPr="009E22FE">
              <w:rPr>
                <w:rFonts w:ascii="Garamond" w:hAnsi="Garamond"/>
                <w:b/>
                <w:sz w:val="20"/>
                <w:szCs w:val="20"/>
                <w:lang w:val="sq-AL"/>
              </w:rPr>
              <w:t>Dru zjarri</w:t>
            </w:r>
          </w:p>
        </w:tc>
        <w:tc>
          <w:tcPr>
            <w:tcW w:w="413" w:type="pct"/>
            <w:tcBorders>
              <w:top w:val="single" w:sz="4" w:space="0" w:color="000000"/>
              <w:left w:val="single" w:sz="4" w:space="0" w:color="000000"/>
              <w:bottom w:val="single" w:sz="4" w:space="0" w:color="000000"/>
              <w:right w:val="single" w:sz="4" w:space="0" w:color="000000"/>
            </w:tcBorders>
            <w:shd w:val="clear" w:color="auto" w:fill="DAEEF3"/>
            <w:noWrap/>
            <w:vAlign w:val="center"/>
            <w:hideMark/>
          </w:tcPr>
          <w:p w:rsidR="0065716C" w:rsidRPr="009E22FE" w:rsidRDefault="0065716C">
            <w:pPr>
              <w:widowControl w:val="0"/>
              <w:spacing w:after="0" w:line="240" w:lineRule="auto"/>
              <w:ind w:firstLine="0"/>
              <w:jc w:val="right"/>
              <w:rPr>
                <w:rFonts w:ascii="Garamond" w:hAnsi="Garamond"/>
                <w:b/>
                <w:sz w:val="20"/>
                <w:szCs w:val="20"/>
                <w:lang w:val="sq-AL"/>
              </w:rPr>
            </w:pPr>
            <w:r w:rsidRPr="009E22FE">
              <w:rPr>
                <w:rFonts w:ascii="Garamond" w:hAnsi="Garamond"/>
                <w:b/>
                <w:sz w:val="20"/>
                <w:szCs w:val="20"/>
                <w:lang w:val="sq-AL"/>
              </w:rPr>
              <w:t>213</w:t>
            </w:r>
          </w:p>
        </w:tc>
        <w:tc>
          <w:tcPr>
            <w:tcW w:w="446" w:type="pct"/>
            <w:tcBorders>
              <w:top w:val="single" w:sz="4" w:space="0" w:color="000000"/>
              <w:left w:val="single" w:sz="4" w:space="0" w:color="000000"/>
              <w:bottom w:val="single" w:sz="4" w:space="0" w:color="000000"/>
              <w:right w:val="single" w:sz="4" w:space="0" w:color="000000"/>
            </w:tcBorders>
            <w:shd w:val="clear" w:color="auto" w:fill="DAEEF3"/>
            <w:noWrap/>
            <w:vAlign w:val="center"/>
            <w:hideMark/>
          </w:tcPr>
          <w:p w:rsidR="0065716C" w:rsidRPr="009E22FE" w:rsidRDefault="0065716C">
            <w:pPr>
              <w:widowControl w:val="0"/>
              <w:spacing w:after="0" w:line="240" w:lineRule="auto"/>
              <w:ind w:firstLine="0"/>
              <w:jc w:val="right"/>
              <w:rPr>
                <w:rFonts w:ascii="Garamond" w:hAnsi="Garamond"/>
                <w:b/>
                <w:sz w:val="20"/>
                <w:szCs w:val="20"/>
                <w:lang w:val="sq-AL"/>
              </w:rPr>
            </w:pPr>
            <w:r w:rsidRPr="009E22FE">
              <w:rPr>
                <w:rFonts w:ascii="Garamond" w:hAnsi="Garamond"/>
                <w:b/>
                <w:sz w:val="20"/>
                <w:szCs w:val="20"/>
                <w:lang w:val="sq-AL"/>
              </w:rPr>
              <w:t>205</w:t>
            </w:r>
          </w:p>
        </w:tc>
        <w:tc>
          <w:tcPr>
            <w:tcW w:w="446" w:type="pct"/>
            <w:tcBorders>
              <w:top w:val="single" w:sz="4" w:space="0" w:color="000000"/>
              <w:left w:val="single" w:sz="4" w:space="0" w:color="000000"/>
              <w:bottom w:val="single" w:sz="4" w:space="0" w:color="000000"/>
              <w:right w:val="single" w:sz="4" w:space="0" w:color="000000"/>
            </w:tcBorders>
            <w:shd w:val="clear" w:color="auto" w:fill="DAEEF3"/>
            <w:noWrap/>
            <w:vAlign w:val="center"/>
            <w:hideMark/>
          </w:tcPr>
          <w:p w:rsidR="0065716C" w:rsidRPr="009E22FE" w:rsidRDefault="0065716C">
            <w:pPr>
              <w:widowControl w:val="0"/>
              <w:spacing w:after="0" w:line="240" w:lineRule="auto"/>
              <w:ind w:firstLine="0"/>
              <w:jc w:val="right"/>
              <w:rPr>
                <w:rFonts w:ascii="Garamond" w:hAnsi="Garamond"/>
                <w:b/>
                <w:sz w:val="20"/>
                <w:szCs w:val="20"/>
                <w:lang w:val="sq-AL"/>
              </w:rPr>
            </w:pPr>
            <w:r w:rsidRPr="009E22FE">
              <w:rPr>
                <w:rFonts w:ascii="Garamond" w:hAnsi="Garamond"/>
                <w:b/>
                <w:sz w:val="20"/>
                <w:szCs w:val="20"/>
                <w:lang w:val="sq-AL"/>
              </w:rPr>
              <w:t>208</w:t>
            </w:r>
          </w:p>
        </w:tc>
        <w:tc>
          <w:tcPr>
            <w:tcW w:w="446" w:type="pct"/>
            <w:tcBorders>
              <w:top w:val="single" w:sz="4" w:space="0" w:color="000000"/>
              <w:left w:val="single" w:sz="4" w:space="0" w:color="000000"/>
              <w:bottom w:val="single" w:sz="4" w:space="0" w:color="000000"/>
              <w:right w:val="single" w:sz="4" w:space="0" w:color="000000"/>
            </w:tcBorders>
            <w:shd w:val="clear" w:color="auto" w:fill="DAEEF3"/>
            <w:noWrap/>
            <w:vAlign w:val="center"/>
            <w:hideMark/>
          </w:tcPr>
          <w:p w:rsidR="0065716C" w:rsidRPr="009E22FE" w:rsidRDefault="0065716C">
            <w:pPr>
              <w:widowControl w:val="0"/>
              <w:spacing w:after="0" w:line="240" w:lineRule="auto"/>
              <w:ind w:firstLine="0"/>
              <w:jc w:val="right"/>
              <w:rPr>
                <w:rFonts w:ascii="Garamond" w:hAnsi="Garamond"/>
                <w:b/>
                <w:sz w:val="20"/>
                <w:szCs w:val="20"/>
                <w:lang w:val="sq-AL"/>
              </w:rPr>
            </w:pPr>
            <w:r w:rsidRPr="009E22FE">
              <w:rPr>
                <w:rFonts w:ascii="Garamond" w:hAnsi="Garamond"/>
                <w:b/>
                <w:sz w:val="20"/>
                <w:szCs w:val="20"/>
                <w:lang w:val="sq-AL"/>
              </w:rPr>
              <w:t>207</w:t>
            </w:r>
          </w:p>
        </w:tc>
        <w:tc>
          <w:tcPr>
            <w:tcW w:w="446" w:type="pct"/>
            <w:tcBorders>
              <w:top w:val="single" w:sz="4" w:space="0" w:color="000000"/>
              <w:left w:val="single" w:sz="4" w:space="0" w:color="000000"/>
              <w:bottom w:val="single" w:sz="4" w:space="0" w:color="000000"/>
              <w:right w:val="single" w:sz="4" w:space="0" w:color="000000"/>
            </w:tcBorders>
            <w:shd w:val="clear" w:color="auto" w:fill="DAEEF3"/>
            <w:noWrap/>
            <w:vAlign w:val="center"/>
            <w:hideMark/>
          </w:tcPr>
          <w:p w:rsidR="0065716C" w:rsidRPr="009E22FE" w:rsidRDefault="0065716C">
            <w:pPr>
              <w:widowControl w:val="0"/>
              <w:spacing w:after="0" w:line="240" w:lineRule="auto"/>
              <w:ind w:firstLine="0"/>
              <w:jc w:val="right"/>
              <w:rPr>
                <w:rFonts w:ascii="Garamond" w:hAnsi="Garamond"/>
                <w:b/>
                <w:sz w:val="20"/>
                <w:szCs w:val="20"/>
                <w:lang w:val="sq-AL"/>
              </w:rPr>
            </w:pPr>
            <w:r w:rsidRPr="009E22FE">
              <w:rPr>
                <w:rFonts w:ascii="Garamond" w:hAnsi="Garamond"/>
                <w:b/>
                <w:sz w:val="20"/>
                <w:szCs w:val="20"/>
                <w:lang w:val="sq-AL"/>
              </w:rPr>
              <w:t>202</w:t>
            </w:r>
          </w:p>
        </w:tc>
        <w:tc>
          <w:tcPr>
            <w:tcW w:w="503" w:type="pct"/>
            <w:tcBorders>
              <w:top w:val="single" w:sz="4" w:space="0" w:color="000000"/>
              <w:left w:val="single" w:sz="4" w:space="0" w:color="000000"/>
              <w:bottom w:val="single" w:sz="4" w:space="0" w:color="000000"/>
              <w:right w:val="single" w:sz="4" w:space="0" w:color="000000"/>
            </w:tcBorders>
            <w:shd w:val="clear" w:color="auto" w:fill="DAEEF3"/>
            <w:noWrap/>
            <w:vAlign w:val="center"/>
            <w:hideMark/>
          </w:tcPr>
          <w:p w:rsidR="0065716C" w:rsidRPr="009E22FE" w:rsidRDefault="0065716C">
            <w:pPr>
              <w:widowControl w:val="0"/>
              <w:spacing w:after="0" w:line="240" w:lineRule="auto"/>
              <w:ind w:firstLine="0"/>
              <w:jc w:val="right"/>
              <w:rPr>
                <w:rFonts w:ascii="Garamond" w:hAnsi="Garamond"/>
                <w:b/>
                <w:sz w:val="20"/>
                <w:szCs w:val="20"/>
                <w:lang w:val="sq-AL"/>
              </w:rPr>
            </w:pPr>
            <w:r w:rsidRPr="009E22FE">
              <w:rPr>
                <w:rFonts w:ascii="Garamond" w:hAnsi="Garamond"/>
                <w:b/>
                <w:sz w:val="20"/>
                <w:szCs w:val="20"/>
                <w:lang w:val="sq-AL"/>
              </w:rPr>
              <w:t>193.2</w:t>
            </w:r>
          </w:p>
        </w:tc>
        <w:tc>
          <w:tcPr>
            <w:tcW w:w="396" w:type="pct"/>
            <w:tcBorders>
              <w:top w:val="single" w:sz="4" w:space="0" w:color="000000"/>
              <w:left w:val="single" w:sz="4" w:space="0" w:color="000000"/>
              <w:bottom w:val="single" w:sz="4" w:space="0" w:color="000000"/>
              <w:right w:val="single" w:sz="4" w:space="0" w:color="000000"/>
            </w:tcBorders>
            <w:shd w:val="clear" w:color="auto" w:fill="DAEEF3"/>
            <w:hideMark/>
          </w:tcPr>
          <w:p w:rsidR="0065716C" w:rsidRPr="009E22FE" w:rsidRDefault="0065716C">
            <w:pPr>
              <w:widowControl w:val="0"/>
              <w:spacing w:after="0" w:line="240" w:lineRule="auto"/>
              <w:ind w:firstLine="0"/>
              <w:jc w:val="right"/>
              <w:rPr>
                <w:rFonts w:ascii="Garamond" w:hAnsi="Garamond"/>
                <w:b/>
                <w:sz w:val="20"/>
                <w:szCs w:val="20"/>
                <w:lang w:val="sq-AL"/>
              </w:rPr>
            </w:pPr>
            <w:r w:rsidRPr="009E22FE">
              <w:rPr>
                <w:rFonts w:ascii="Garamond" w:hAnsi="Garamond"/>
                <w:b/>
                <w:sz w:val="20"/>
                <w:szCs w:val="20"/>
                <w:lang w:val="sq-AL"/>
              </w:rPr>
              <w:t>225</w:t>
            </w:r>
          </w:p>
        </w:tc>
        <w:tc>
          <w:tcPr>
            <w:tcW w:w="396" w:type="pct"/>
            <w:tcBorders>
              <w:top w:val="single" w:sz="4" w:space="0" w:color="000000"/>
              <w:left w:val="single" w:sz="4" w:space="0" w:color="000000"/>
              <w:bottom w:val="single" w:sz="4" w:space="0" w:color="000000"/>
              <w:right w:val="single" w:sz="4" w:space="0" w:color="000000"/>
            </w:tcBorders>
            <w:shd w:val="clear" w:color="auto" w:fill="DAEEF3"/>
            <w:hideMark/>
          </w:tcPr>
          <w:p w:rsidR="0065716C" w:rsidRPr="009E22FE" w:rsidRDefault="0065716C">
            <w:pPr>
              <w:widowControl w:val="0"/>
              <w:spacing w:after="0" w:line="240" w:lineRule="auto"/>
              <w:ind w:firstLine="0"/>
              <w:jc w:val="right"/>
              <w:rPr>
                <w:rFonts w:ascii="Garamond" w:hAnsi="Garamond"/>
                <w:b/>
                <w:sz w:val="20"/>
                <w:szCs w:val="20"/>
                <w:lang w:val="sq-AL"/>
              </w:rPr>
            </w:pPr>
            <w:r w:rsidRPr="009E22FE">
              <w:rPr>
                <w:rFonts w:ascii="Garamond" w:hAnsi="Garamond"/>
                <w:b/>
                <w:sz w:val="20"/>
                <w:szCs w:val="20"/>
                <w:lang w:val="sq-AL"/>
              </w:rPr>
              <w:t>200</w:t>
            </w:r>
          </w:p>
        </w:tc>
        <w:tc>
          <w:tcPr>
            <w:tcW w:w="380" w:type="pct"/>
            <w:tcBorders>
              <w:top w:val="single" w:sz="4" w:space="0" w:color="000000"/>
              <w:left w:val="single" w:sz="4" w:space="0" w:color="000000"/>
              <w:bottom w:val="single" w:sz="4" w:space="0" w:color="000000"/>
              <w:right w:val="single" w:sz="4" w:space="0" w:color="000000"/>
            </w:tcBorders>
            <w:shd w:val="clear" w:color="auto" w:fill="DAEEF3"/>
            <w:hideMark/>
          </w:tcPr>
          <w:p w:rsidR="0065716C" w:rsidRPr="009E22FE" w:rsidRDefault="0065716C">
            <w:pPr>
              <w:widowControl w:val="0"/>
              <w:spacing w:after="0" w:line="240" w:lineRule="auto"/>
              <w:ind w:firstLine="0"/>
              <w:jc w:val="right"/>
              <w:rPr>
                <w:rFonts w:ascii="Garamond" w:hAnsi="Garamond"/>
                <w:b/>
                <w:sz w:val="20"/>
                <w:szCs w:val="20"/>
                <w:lang w:val="sq-AL"/>
              </w:rPr>
            </w:pPr>
            <w:r w:rsidRPr="009E22FE">
              <w:rPr>
                <w:rFonts w:ascii="Garamond" w:hAnsi="Garamond"/>
                <w:b/>
                <w:sz w:val="20"/>
                <w:szCs w:val="20"/>
                <w:lang w:val="sq-AL"/>
              </w:rPr>
              <w:t>180</w:t>
            </w:r>
          </w:p>
        </w:tc>
      </w:tr>
      <w:tr w:rsidR="009E22FE" w:rsidRPr="009E22FE" w:rsidTr="0065716C">
        <w:trPr>
          <w:trHeight w:val="255"/>
          <w:jc w:val="center"/>
        </w:trPr>
        <w:tc>
          <w:tcPr>
            <w:tcW w:w="1128" w:type="pct"/>
            <w:tcBorders>
              <w:top w:val="single" w:sz="4" w:space="0" w:color="000000"/>
              <w:left w:val="single" w:sz="4" w:space="0" w:color="000000"/>
              <w:bottom w:val="single" w:sz="4" w:space="0" w:color="000000"/>
              <w:right w:val="single" w:sz="4" w:space="0" w:color="000000"/>
            </w:tcBorders>
            <w:noWrap/>
            <w:vAlign w:val="center"/>
            <w:hideMark/>
          </w:tcPr>
          <w:p w:rsidR="0065716C" w:rsidRPr="009E22FE" w:rsidRDefault="0065716C">
            <w:pPr>
              <w:widowControl w:val="0"/>
              <w:spacing w:after="0" w:line="240" w:lineRule="auto"/>
              <w:ind w:firstLine="0"/>
              <w:jc w:val="left"/>
              <w:rPr>
                <w:rFonts w:ascii="Garamond" w:hAnsi="Garamond"/>
                <w:sz w:val="20"/>
                <w:szCs w:val="20"/>
                <w:lang w:val="sq-AL"/>
              </w:rPr>
            </w:pPr>
            <w:r w:rsidRPr="009E22FE">
              <w:rPr>
                <w:rFonts w:ascii="Garamond" w:hAnsi="Garamond"/>
                <w:sz w:val="20"/>
                <w:szCs w:val="20"/>
                <w:lang w:val="sq-AL"/>
              </w:rPr>
              <w:t>Konsum final</w:t>
            </w:r>
          </w:p>
        </w:tc>
        <w:tc>
          <w:tcPr>
            <w:tcW w:w="413" w:type="pct"/>
            <w:tcBorders>
              <w:top w:val="single" w:sz="4" w:space="0" w:color="000000"/>
              <w:left w:val="single" w:sz="4" w:space="0" w:color="000000"/>
              <w:bottom w:val="single" w:sz="4" w:space="0" w:color="000000"/>
              <w:right w:val="single" w:sz="4" w:space="0" w:color="000000"/>
            </w:tcBorders>
            <w:noWrap/>
            <w:vAlign w:val="center"/>
            <w:hideMark/>
          </w:tcPr>
          <w:p w:rsidR="0065716C" w:rsidRPr="009E22FE" w:rsidRDefault="0065716C">
            <w:pPr>
              <w:widowControl w:val="0"/>
              <w:spacing w:after="0" w:line="240" w:lineRule="auto"/>
              <w:ind w:firstLine="0"/>
              <w:jc w:val="right"/>
              <w:rPr>
                <w:rFonts w:ascii="Garamond" w:hAnsi="Garamond"/>
                <w:sz w:val="20"/>
                <w:szCs w:val="20"/>
                <w:vertAlign w:val="subscript"/>
                <w:lang w:val="sq-AL"/>
              </w:rPr>
            </w:pPr>
            <w:r w:rsidRPr="009E22FE">
              <w:rPr>
                <w:rFonts w:ascii="Garamond" w:hAnsi="Garamond"/>
                <w:sz w:val="20"/>
                <w:szCs w:val="20"/>
                <w:vertAlign w:val="subscript"/>
                <w:lang w:val="sq-AL"/>
              </w:rPr>
              <w:t>2,104</w:t>
            </w:r>
          </w:p>
        </w:tc>
        <w:tc>
          <w:tcPr>
            <w:tcW w:w="446" w:type="pct"/>
            <w:tcBorders>
              <w:top w:val="single" w:sz="4" w:space="0" w:color="000000"/>
              <w:left w:val="single" w:sz="4" w:space="0" w:color="000000"/>
              <w:bottom w:val="single" w:sz="4" w:space="0" w:color="000000"/>
              <w:right w:val="single" w:sz="4" w:space="0" w:color="000000"/>
            </w:tcBorders>
            <w:noWrap/>
            <w:vAlign w:val="center"/>
            <w:hideMark/>
          </w:tcPr>
          <w:p w:rsidR="0065716C" w:rsidRPr="009E22FE" w:rsidRDefault="0065716C">
            <w:pPr>
              <w:widowControl w:val="0"/>
              <w:spacing w:after="0" w:line="240" w:lineRule="auto"/>
              <w:ind w:firstLine="0"/>
              <w:jc w:val="right"/>
              <w:rPr>
                <w:rFonts w:ascii="Garamond" w:hAnsi="Garamond"/>
                <w:sz w:val="20"/>
                <w:szCs w:val="20"/>
                <w:vertAlign w:val="subscript"/>
                <w:lang w:val="sq-AL"/>
              </w:rPr>
            </w:pPr>
            <w:r w:rsidRPr="009E22FE">
              <w:rPr>
                <w:rFonts w:ascii="Garamond" w:hAnsi="Garamond"/>
                <w:sz w:val="20"/>
                <w:szCs w:val="20"/>
                <w:vertAlign w:val="subscript"/>
                <w:lang w:val="sq-AL"/>
              </w:rPr>
              <w:t>2,106</w:t>
            </w:r>
          </w:p>
        </w:tc>
        <w:tc>
          <w:tcPr>
            <w:tcW w:w="446" w:type="pct"/>
            <w:tcBorders>
              <w:top w:val="single" w:sz="4" w:space="0" w:color="000000"/>
              <w:left w:val="single" w:sz="4" w:space="0" w:color="000000"/>
              <w:bottom w:val="single" w:sz="4" w:space="0" w:color="000000"/>
              <w:right w:val="single" w:sz="4" w:space="0" w:color="000000"/>
            </w:tcBorders>
            <w:noWrap/>
            <w:vAlign w:val="center"/>
            <w:hideMark/>
          </w:tcPr>
          <w:p w:rsidR="0065716C" w:rsidRPr="009E22FE" w:rsidRDefault="0065716C">
            <w:pPr>
              <w:widowControl w:val="0"/>
              <w:spacing w:after="0" w:line="240" w:lineRule="auto"/>
              <w:ind w:firstLine="0"/>
              <w:jc w:val="right"/>
              <w:rPr>
                <w:rFonts w:ascii="Garamond" w:hAnsi="Garamond"/>
                <w:sz w:val="20"/>
                <w:szCs w:val="20"/>
                <w:vertAlign w:val="subscript"/>
                <w:lang w:val="sq-AL"/>
              </w:rPr>
            </w:pPr>
            <w:r w:rsidRPr="009E22FE">
              <w:rPr>
                <w:rFonts w:ascii="Garamond" w:hAnsi="Garamond"/>
                <w:sz w:val="20"/>
                <w:szCs w:val="20"/>
                <w:vertAlign w:val="subscript"/>
                <w:lang w:val="sq-AL"/>
              </w:rPr>
              <w:t>2,162</w:t>
            </w:r>
          </w:p>
        </w:tc>
        <w:tc>
          <w:tcPr>
            <w:tcW w:w="446" w:type="pct"/>
            <w:tcBorders>
              <w:top w:val="single" w:sz="4" w:space="0" w:color="000000"/>
              <w:left w:val="single" w:sz="4" w:space="0" w:color="000000"/>
              <w:bottom w:val="single" w:sz="4" w:space="0" w:color="000000"/>
              <w:right w:val="single" w:sz="4" w:space="0" w:color="000000"/>
            </w:tcBorders>
            <w:noWrap/>
            <w:vAlign w:val="center"/>
            <w:hideMark/>
          </w:tcPr>
          <w:p w:rsidR="0065716C" w:rsidRPr="009E22FE" w:rsidRDefault="0065716C">
            <w:pPr>
              <w:widowControl w:val="0"/>
              <w:spacing w:after="0" w:line="240" w:lineRule="auto"/>
              <w:ind w:firstLine="0"/>
              <w:jc w:val="right"/>
              <w:rPr>
                <w:rFonts w:ascii="Garamond" w:hAnsi="Garamond"/>
                <w:sz w:val="20"/>
                <w:szCs w:val="20"/>
                <w:vertAlign w:val="subscript"/>
                <w:lang w:val="sq-AL"/>
              </w:rPr>
            </w:pPr>
            <w:r w:rsidRPr="009E22FE">
              <w:rPr>
                <w:rFonts w:ascii="Garamond" w:hAnsi="Garamond"/>
                <w:sz w:val="20"/>
                <w:szCs w:val="20"/>
                <w:vertAlign w:val="subscript"/>
                <w:lang w:val="sq-AL"/>
              </w:rPr>
              <w:t>2,014</w:t>
            </w:r>
          </w:p>
        </w:tc>
        <w:tc>
          <w:tcPr>
            <w:tcW w:w="446" w:type="pct"/>
            <w:tcBorders>
              <w:top w:val="single" w:sz="4" w:space="0" w:color="000000"/>
              <w:left w:val="single" w:sz="4" w:space="0" w:color="000000"/>
              <w:bottom w:val="single" w:sz="4" w:space="0" w:color="000000"/>
              <w:right w:val="single" w:sz="4" w:space="0" w:color="000000"/>
            </w:tcBorders>
            <w:noWrap/>
            <w:vAlign w:val="center"/>
            <w:hideMark/>
          </w:tcPr>
          <w:p w:rsidR="0065716C" w:rsidRPr="009E22FE" w:rsidRDefault="0065716C">
            <w:pPr>
              <w:widowControl w:val="0"/>
              <w:spacing w:after="0" w:line="240" w:lineRule="auto"/>
              <w:ind w:firstLine="0"/>
              <w:jc w:val="right"/>
              <w:rPr>
                <w:rFonts w:ascii="Garamond" w:hAnsi="Garamond"/>
                <w:sz w:val="20"/>
                <w:szCs w:val="20"/>
                <w:vertAlign w:val="subscript"/>
                <w:lang w:val="sq-AL"/>
              </w:rPr>
            </w:pPr>
            <w:r w:rsidRPr="009E22FE">
              <w:rPr>
                <w:rFonts w:ascii="Garamond" w:hAnsi="Garamond"/>
                <w:sz w:val="20"/>
                <w:szCs w:val="20"/>
                <w:vertAlign w:val="subscript"/>
                <w:lang w:val="sq-AL"/>
              </w:rPr>
              <w:t>2,122</w:t>
            </w:r>
          </w:p>
        </w:tc>
        <w:tc>
          <w:tcPr>
            <w:tcW w:w="503" w:type="pct"/>
            <w:tcBorders>
              <w:top w:val="single" w:sz="4" w:space="0" w:color="000000"/>
              <w:left w:val="single" w:sz="4" w:space="0" w:color="000000"/>
              <w:bottom w:val="single" w:sz="4" w:space="0" w:color="000000"/>
              <w:right w:val="single" w:sz="4" w:space="0" w:color="000000"/>
            </w:tcBorders>
            <w:noWrap/>
            <w:vAlign w:val="center"/>
            <w:hideMark/>
          </w:tcPr>
          <w:p w:rsidR="0065716C" w:rsidRPr="009E22FE" w:rsidRDefault="0065716C">
            <w:pPr>
              <w:widowControl w:val="0"/>
              <w:spacing w:after="0" w:line="240" w:lineRule="auto"/>
              <w:ind w:firstLine="0"/>
              <w:jc w:val="right"/>
              <w:rPr>
                <w:rFonts w:ascii="Garamond" w:hAnsi="Garamond"/>
                <w:sz w:val="20"/>
                <w:szCs w:val="20"/>
                <w:vertAlign w:val="subscript"/>
                <w:lang w:val="sq-AL"/>
              </w:rPr>
            </w:pPr>
            <w:r w:rsidRPr="009E22FE">
              <w:rPr>
                <w:rFonts w:ascii="Garamond" w:hAnsi="Garamond"/>
                <w:sz w:val="20"/>
                <w:szCs w:val="20"/>
                <w:vertAlign w:val="subscript"/>
                <w:lang w:val="sq-AL"/>
              </w:rPr>
              <w:t>2,090</w:t>
            </w:r>
          </w:p>
        </w:tc>
        <w:tc>
          <w:tcPr>
            <w:tcW w:w="396" w:type="pct"/>
            <w:tcBorders>
              <w:top w:val="single" w:sz="4" w:space="0" w:color="000000"/>
              <w:left w:val="single" w:sz="4" w:space="0" w:color="000000"/>
              <w:bottom w:val="single" w:sz="4" w:space="0" w:color="000000"/>
              <w:right w:val="single" w:sz="4" w:space="0" w:color="000000"/>
            </w:tcBorders>
            <w:hideMark/>
          </w:tcPr>
          <w:p w:rsidR="0065716C" w:rsidRPr="009E22FE" w:rsidRDefault="0065716C">
            <w:pPr>
              <w:widowControl w:val="0"/>
              <w:spacing w:after="0" w:line="240" w:lineRule="auto"/>
              <w:ind w:firstLine="0"/>
              <w:jc w:val="right"/>
              <w:rPr>
                <w:rFonts w:ascii="Garamond" w:hAnsi="Garamond"/>
                <w:sz w:val="20"/>
                <w:szCs w:val="20"/>
                <w:vertAlign w:val="subscript"/>
                <w:lang w:val="sq-AL"/>
              </w:rPr>
            </w:pPr>
            <w:r w:rsidRPr="009E22FE">
              <w:rPr>
                <w:rFonts w:ascii="Garamond" w:hAnsi="Garamond"/>
                <w:sz w:val="20"/>
                <w:szCs w:val="20"/>
                <w:vertAlign w:val="subscript"/>
                <w:lang w:val="sq-AL"/>
              </w:rPr>
              <w:t>2,065</w:t>
            </w:r>
          </w:p>
        </w:tc>
        <w:tc>
          <w:tcPr>
            <w:tcW w:w="396" w:type="pct"/>
            <w:tcBorders>
              <w:top w:val="single" w:sz="4" w:space="0" w:color="000000"/>
              <w:left w:val="single" w:sz="4" w:space="0" w:color="000000"/>
              <w:bottom w:val="single" w:sz="4" w:space="0" w:color="000000"/>
              <w:right w:val="single" w:sz="4" w:space="0" w:color="000000"/>
            </w:tcBorders>
            <w:hideMark/>
          </w:tcPr>
          <w:p w:rsidR="0065716C" w:rsidRPr="009E22FE" w:rsidRDefault="0065716C">
            <w:pPr>
              <w:widowControl w:val="0"/>
              <w:spacing w:after="0" w:line="240" w:lineRule="auto"/>
              <w:ind w:firstLine="0"/>
              <w:jc w:val="right"/>
              <w:rPr>
                <w:rFonts w:ascii="Garamond" w:hAnsi="Garamond"/>
                <w:sz w:val="20"/>
                <w:szCs w:val="20"/>
                <w:vertAlign w:val="subscript"/>
                <w:lang w:val="sq-AL"/>
              </w:rPr>
            </w:pPr>
            <w:r w:rsidRPr="009E22FE">
              <w:rPr>
                <w:rFonts w:ascii="Garamond" w:hAnsi="Garamond"/>
                <w:sz w:val="20"/>
                <w:szCs w:val="20"/>
                <w:vertAlign w:val="subscript"/>
                <w:lang w:val="sq-AL"/>
              </w:rPr>
              <w:t>2,056</w:t>
            </w:r>
          </w:p>
        </w:tc>
        <w:tc>
          <w:tcPr>
            <w:tcW w:w="380" w:type="pct"/>
            <w:tcBorders>
              <w:top w:val="single" w:sz="4" w:space="0" w:color="000000"/>
              <w:left w:val="single" w:sz="4" w:space="0" w:color="000000"/>
              <w:bottom w:val="single" w:sz="4" w:space="0" w:color="000000"/>
              <w:right w:val="single" w:sz="4" w:space="0" w:color="000000"/>
            </w:tcBorders>
            <w:hideMark/>
          </w:tcPr>
          <w:p w:rsidR="0065716C" w:rsidRPr="009E22FE" w:rsidRDefault="0065716C">
            <w:pPr>
              <w:widowControl w:val="0"/>
              <w:spacing w:after="0" w:line="240" w:lineRule="auto"/>
              <w:ind w:firstLine="0"/>
              <w:jc w:val="right"/>
              <w:rPr>
                <w:rFonts w:ascii="Garamond" w:hAnsi="Garamond"/>
                <w:sz w:val="20"/>
                <w:szCs w:val="20"/>
                <w:vertAlign w:val="subscript"/>
                <w:lang w:val="sq-AL"/>
              </w:rPr>
            </w:pPr>
            <w:r w:rsidRPr="009E22FE">
              <w:rPr>
                <w:rFonts w:ascii="Garamond" w:hAnsi="Garamond"/>
                <w:sz w:val="20"/>
                <w:szCs w:val="20"/>
                <w:vertAlign w:val="subscript"/>
                <w:lang w:val="sq-AL"/>
              </w:rPr>
              <w:t>2,070</w:t>
            </w:r>
          </w:p>
        </w:tc>
      </w:tr>
    </w:tbl>
    <w:p w:rsidR="0065716C" w:rsidRPr="009E22FE" w:rsidRDefault="0065716C" w:rsidP="0065716C">
      <w:pPr>
        <w:widowControl w:val="0"/>
        <w:spacing w:after="0" w:line="240" w:lineRule="auto"/>
        <w:rPr>
          <w:rFonts w:ascii="Garamond" w:hAnsi="Garamond"/>
          <w:sz w:val="20"/>
          <w:szCs w:val="24"/>
          <w:lang w:val="sq-AL"/>
        </w:rPr>
      </w:pPr>
    </w:p>
    <w:p w:rsidR="0065716C" w:rsidRPr="009E22FE" w:rsidRDefault="0065716C" w:rsidP="0065716C">
      <w:pPr>
        <w:spacing w:after="0" w:line="240" w:lineRule="auto"/>
        <w:ind w:firstLine="0"/>
        <w:jc w:val="left"/>
        <w:rPr>
          <w:rFonts w:ascii="Garamond" w:hAnsi="Garamond"/>
          <w:sz w:val="24"/>
          <w:szCs w:val="24"/>
          <w:lang w:val="sq-AL"/>
        </w:rPr>
        <w:sectPr w:rsidR="0065716C" w:rsidRPr="009E22FE" w:rsidSect="0065716C">
          <w:type w:val="continuous"/>
          <w:pgSz w:w="11907" w:h="16840"/>
          <w:pgMar w:top="720" w:right="1134" w:bottom="720" w:left="1134" w:header="851" w:footer="851" w:gutter="0"/>
          <w:cols w:space="720"/>
        </w:sectPr>
      </w:pP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Është e qartë se informacioni rreth sasive reale të disponueshme të biomasës është i pamjaftueshëm. Padyshim, INSTAT-i dhe AKBN-ja duhet të bëjnë më shumë përpjekje për zhvillimin dhe implementimin e një sistemi informimi lidhur me burimet e biomasës drusore dhe sidomos kadastrës pyjore.</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1.2.2.2 Biomasa nga bujqësia, pularia dhe mbetjet</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Biomasa energjetike nga kulturat bujqësore, siç janë biomasa nga produkte të pularive të furnizuara direkt për prodhim energjie janë në sasi të konsiderueshme në Shqipëri. Potencialet energjetike nga kulturat bujqësore (drithëra, fara vaji, panxhar sheqeri, misër silazhi), pemët me cikël të shpejtë rritjeje, barërat dhe algat edhe në qoftë se mund të përdoren nuk ka statistika energjetike.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Po kështu, nënproduktet bujqësore si mbetje nga përpunimi, si dhe nënproduktet e pularisë për prodhimin e energjisë (kashta, plehu, dhjami i kafshëve, mielli nga mishi dhe kockat, mbetjet nga vaji i ullirit, biomasa frutore, nënproduktet e peshkimit, degët e prera nga hardhitë, ullinjtë, pemët frutore, etj.) janë potenciale ende të pashfrytëzuara.</w:t>
      </w:r>
    </w:p>
    <w:p w:rsidR="0065716C" w:rsidRPr="009E22FE" w:rsidRDefault="0065716C" w:rsidP="0065716C">
      <w:pPr>
        <w:pStyle w:val="Heading3"/>
        <w:keepNext w:val="0"/>
        <w:keepLines w:val="0"/>
        <w:widowControl w:val="0"/>
        <w:numPr>
          <w:ilvl w:val="2"/>
          <w:numId w:val="19"/>
        </w:numPr>
        <w:tabs>
          <w:tab w:val="left" w:pos="900"/>
        </w:tabs>
        <w:spacing w:before="0" w:line="240" w:lineRule="auto"/>
        <w:ind w:left="0" w:firstLine="284"/>
        <w:rPr>
          <w:rFonts w:ascii="Garamond" w:hAnsi="Garamond"/>
          <w:b/>
          <w:i/>
          <w:color w:val="auto"/>
          <w:lang w:val="sq-AL"/>
        </w:rPr>
      </w:pPr>
      <w:bookmarkStart w:id="7" w:name="_Toc505599665"/>
      <w:bookmarkStart w:id="8" w:name="_Toc425777122"/>
      <w:r w:rsidRPr="009E22FE">
        <w:rPr>
          <w:rFonts w:ascii="Garamond" w:hAnsi="Garamond"/>
          <w:color w:val="auto"/>
          <w:lang w:val="sq-AL"/>
        </w:rPr>
        <w:t>Biokarburantet (BER-T)</w:t>
      </w:r>
      <w:bookmarkEnd w:id="7"/>
      <w:bookmarkEnd w:id="8"/>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Në Shqipëri, biokarburantet kanë filluar prodhimin në vitin 2008 në përputhje me ligjin nr. 9876, datë 14.2.2008, si një risi për industrinë shqiptare të përpunimit të hidrokarbureve, kur biorafineria e parë në Shqipëri është ndërtuar në Porto-Romano, Durrës. Ky impiant, pronë e shoqërisë </w:t>
      </w:r>
      <w:r w:rsidRPr="009E22FE">
        <w:rPr>
          <w:rFonts w:ascii="Garamond" w:hAnsi="Garamond"/>
          <w:i/>
          <w:sz w:val="24"/>
          <w:szCs w:val="24"/>
          <w:lang w:val="sq-AL"/>
        </w:rPr>
        <w:t>Green Fuel</w:t>
      </w:r>
      <w:r w:rsidRPr="009E22FE">
        <w:rPr>
          <w:rFonts w:ascii="Garamond" w:hAnsi="Garamond"/>
          <w:sz w:val="24"/>
          <w:szCs w:val="24"/>
          <w:lang w:val="sq-AL"/>
        </w:rPr>
        <w:t>, është një sipërmarrje e përbashkët e “Kastrati sh.a.” dhe “B.P.P. S.p.A”, me një investim fillestar prej 5 milionë EUR. Impianti ka një kapacitet prodhues prej 120,000 tonësh në vit.</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Produktet bazë të këtij impianti janë: biodiezeli (diezel i përzier - mishelë me lëndë me prejardhje organike me origjinë bimore - vaj vegjetal); dhe bioetanoli (benzinë e përzier me lëndë me prejardhje organike, që prodhohet nga fermentimi i produkteve të pasura me sheqer – kallam sheqeri, panxhari i sheqerit etj.). Sidoqoftë, legjislacioni shqiptar dhe ai i BE-së njeh si biolëngje të djegshme për transport edhe biogazin, biometanolin, Bio-ETBE (</w:t>
      </w:r>
      <w:r w:rsidRPr="009E22FE">
        <w:rPr>
          <w:rFonts w:ascii="Garamond" w:hAnsi="Garamond"/>
          <w:i/>
          <w:sz w:val="24"/>
          <w:szCs w:val="24"/>
          <w:lang w:val="sq-AL"/>
        </w:rPr>
        <w:t>Etil-Tercio-Butil-Eter</w:t>
      </w:r>
      <w:r w:rsidRPr="009E22FE">
        <w:rPr>
          <w:rFonts w:ascii="Garamond" w:hAnsi="Garamond"/>
          <w:sz w:val="24"/>
          <w:szCs w:val="24"/>
          <w:lang w:val="sq-AL"/>
        </w:rPr>
        <w:t>), Bio-MTBE (</w:t>
      </w:r>
      <w:r w:rsidRPr="009E22FE">
        <w:rPr>
          <w:rFonts w:ascii="Garamond" w:hAnsi="Garamond"/>
          <w:i/>
          <w:sz w:val="24"/>
          <w:szCs w:val="24"/>
          <w:lang w:val="sq-AL"/>
        </w:rPr>
        <w:t>Metil-Tercio-Butil-Eter</w:t>
      </w:r>
      <w:r w:rsidRPr="009E22FE">
        <w:rPr>
          <w:rFonts w:ascii="Garamond" w:hAnsi="Garamond"/>
          <w:sz w:val="24"/>
          <w:szCs w:val="24"/>
          <w:lang w:val="sq-AL"/>
        </w:rPr>
        <w:t>), biokarburantin sintetik etj. Mbi këtë bazë, politika shtetërore formulohet me ligjin nr. 9876/2008, “Për prodhimin, transportimin dhe tregtimin e biokarburanteve dhe të lëndëve të para djegëse, të rinovueshme, për transport”, ka përcaktuar sasinë minimale vjetore të biokarburanteve dhe lëndëve të tjera djegëse, të rinovueshme që duhet të tregtohen për sektorin e transportit. Kjo sasi nuk mund të jetë më e vogël se 3%, duke filluar nga viti 2010, ndërsa nga viti 2015 e në vazhdim, kjo sasi nuk mund të jetë më e madhe se 7</w:t>
      </w:r>
      <w:r w:rsidRPr="009E22FE">
        <w:rPr>
          <w:rFonts w:ascii="Garamond" w:hAnsi="Garamond"/>
          <w:sz w:val="21"/>
          <w:szCs w:val="21"/>
          <w:lang w:val="sq-AL" w:eastAsia="sq-AL"/>
        </w:rPr>
        <w:t>–</w:t>
      </w:r>
      <w:r w:rsidRPr="009E22FE">
        <w:rPr>
          <w:rFonts w:ascii="Garamond" w:hAnsi="Garamond"/>
          <w:sz w:val="24"/>
          <w:szCs w:val="24"/>
          <w:lang w:val="sq-AL"/>
        </w:rPr>
        <w:t>10 %.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Gjithsesi, në vitin 2016 është ndërmarrë një iniciativë ligjore nga MIE, e cila kishte objekt promovimin e prodhimit dhe të përdorimit të burimeve të energjisë së rinovueshme për sektorin e transportit, nëpërmjet përdorimit të biokarburanteve për zëvendësimin e një pjese të nënprodukteve të naftës me lëndë djegëse jofosile për motorët me djegie të brendshme. Në këtë kuadër, Shqipëria është e angazhuar në kuadër të </w:t>
      </w:r>
      <w:r w:rsidRPr="009E22FE">
        <w:rPr>
          <w:rFonts w:ascii="Garamond" w:hAnsi="Garamond"/>
          <w:i/>
          <w:sz w:val="24"/>
          <w:szCs w:val="24"/>
          <w:lang w:val="sq-AL"/>
        </w:rPr>
        <w:t>Acquis</w:t>
      </w:r>
      <w:r w:rsidRPr="009E22FE">
        <w:rPr>
          <w:rFonts w:ascii="Garamond" w:hAnsi="Garamond"/>
          <w:sz w:val="24"/>
          <w:szCs w:val="24"/>
          <w:lang w:val="sq-AL"/>
        </w:rPr>
        <w:t>-it të plotësojë objektivin kombëtar për energjinë e rinovueshme ku, pjesa e biokarburanteve zë 10% të këtij objektivi për konsum të burimeve të rinovueshme në nivel kombëtar, me 38% në vitin 2020, krahasuar me vitin kur filloi detyrimi për MSA-në.</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Në kuadër të KKP-ve (kontributit kombëtar të pikësynuar ose NDC-ve) për reduktim të gazeve me efekt serrë në sektorin e transportit, ligji ka qëllim promovimin e kontributit në përmbushjen e angazhimeve për emisionet e gazeve që vijnë nga konsumi i hidrokarbureve në këtë sektor. Për Shqipërinë, transporti është kontribuesi më i madh i CO</w:t>
      </w:r>
      <w:r w:rsidRPr="009E22FE">
        <w:rPr>
          <w:rFonts w:ascii="Garamond" w:hAnsi="Garamond"/>
          <w:sz w:val="24"/>
          <w:szCs w:val="24"/>
          <w:vertAlign w:val="subscript"/>
          <w:lang w:val="sq-AL"/>
        </w:rPr>
        <w:t>2</w:t>
      </w:r>
      <w:r w:rsidRPr="009E22FE">
        <w:rPr>
          <w:rFonts w:ascii="Garamond" w:hAnsi="Garamond"/>
          <w:sz w:val="24"/>
          <w:szCs w:val="24"/>
          <w:lang w:val="sq-AL"/>
        </w:rPr>
        <w:t xml:space="preserve"> në transportin rrugor dhe llogaritet të jetë 740 ktoe në vitin 2016 dhe 750 ktoe për 2017-ën, të cilat dhe në përmasat e vendit, ndikojnë ndjeshëm në ndryshimet klimatike. Ligji ka parashikuar objektiva, afate kohore dhe role me përgjegjësi të përcaktuara qartë.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Megjithëse qëllimi i ligjit është të krijohen politika nxitëse për kultivimin e bimëve energjetike në Shqipëri, për të mbrojtur mjedisin nëpërmjet respektimit të kritereve të qëndrueshmërisë dhe verifikimin e tyre në prodhimin e biokarburanteve, biolëngjeve dhe biogazeve, ashtu siç janë parashikuar në direktivën 2009/28/KE, ligji është akoma në Kuvend për të marrë miratimin përfundimtar.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Arsyetimi për ketë iniciativë ligjore lidhet dhe me faktin se ligji ekzistues nr. 9876, datë 14.2.2008, “Për prodhimin, transportimin dhe tregtimin e biokarburanteve dhe të lëndëve të tjera djegëse, të rinovueshme, për transport”, është përpiluar në përputhje me direktivën 2003/30, e cila është zëvendësuar me kërkesa të direktivës 2009/28. Ndërkohë, direktiva 2003/30/EC</w:t>
      </w:r>
      <w:r w:rsidRPr="009E22FE">
        <w:rPr>
          <w:rStyle w:val="FootnoteReference"/>
          <w:rFonts w:ascii="Garamond" w:hAnsi="Garamond"/>
          <w:sz w:val="24"/>
          <w:szCs w:val="24"/>
          <w:lang w:val="sq-AL"/>
        </w:rPr>
        <w:footnoteReference w:id="6"/>
      </w:r>
      <w:r w:rsidRPr="009E22FE">
        <w:rPr>
          <w:rFonts w:ascii="Garamond" w:hAnsi="Garamond"/>
          <w:sz w:val="24"/>
          <w:szCs w:val="24"/>
          <w:lang w:val="sq-AL"/>
        </w:rPr>
        <w:t xml:space="preserve"> e BE-së synonte përdorimin e biodizelit, si mjet që zëvendëson naftën apo benzinën për transport, kjo si masë mbrojtëse për sigurinë e sjelljes miqësore me mjedisin për promovimin e burimeve të rinovueshme të energjisë në këtë sektor (BER-T).</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Pa hyrë në analizën e tregut me pakicë në 2 vitet e fundit janë konsumuar vetëm 10</w:t>
      </w:r>
      <w:r w:rsidRPr="009E22FE">
        <w:rPr>
          <w:rFonts w:ascii="Garamond" w:hAnsi="Garamond"/>
          <w:sz w:val="21"/>
          <w:szCs w:val="21"/>
          <w:lang w:val="sq-AL" w:eastAsia="sq-AL"/>
        </w:rPr>
        <w:t>–</w:t>
      </w:r>
      <w:r w:rsidRPr="009E22FE">
        <w:rPr>
          <w:rFonts w:ascii="Garamond" w:hAnsi="Garamond"/>
          <w:sz w:val="24"/>
          <w:szCs w:val="24"/>
          <w:lang w:val="sq-AL"/>
        </w:rPr>
        <w:t>15 kton në vit për qëllime transporti, me standarde të njohura nga organet kompetente vendëse. Megjithëse kapacitetet prodhuese janë për 100 kton, lënda e parë ose të gjitha materialet e papërpunuara (vajra vegjetale) janë të importuara dhe shumica e biodiezelit të prodhuar është eksportuar në Itali, kështu që, përgjithësisht, biokarburantet nuk kanë objektiv tregun shqiptar. Sasia e hedhur për konsum për vitin 2014 për produktin biodizel, sipas kodeve doganore është: i) kodi 2710 20 11 - sasia 28,757 tonë; ii) kodi 3826 00 10 - sasia 7,060 tonë. Në fakt, këto kode identifikojnë referencat doganore në “Tarifat preferenciale ... për vitin 2015</w:t>
      </w:r>
      <w:r w:rsidRPr="009E22FE">
        <w:rPr>
          <w:rStyle w:val="FootnoteReference"/>
          <w:rFonts w:ascii="Garamond" w:hAnsi="Garamond"/>
          <w:sz w:val="24"/>
          <w:szCs w:val="24"/>
          <w:lang w:val="sq-AL"/>
        </w:rPr>
        <w:footnoteReference w:id="7"/>
      </w:r>
      <w:r w:rsidRPr="009E22FE">
        <w:rPr>
          <w:rFonts w:ascii="Garamond" w:hAnsi="Garamond"/>
          <w:sz w:val="24"/>
          <w:szCs w:val="24"/>
          <w:lang w:val="sq-AL"/>
        </w:rPr>
        <w:t>”. Kodet bëjnë fjalë për produktin “biodizel dhe përzierjet e tyre, që nuk përmbajnë ose që përmbajnë më pak se 70% ndaj peshës vajra nafte ose ...”. IQT-ja, gjithashtu konfirmon se “sasitë e mostruara para zhdoganimit të biokarburanteve në formë të përzier”, për vitin 2014</w:t>
      </w:r>
      <w:r w:rsidRPr="009E22FE">
        <w:rPr>
          <w:rFonts w:ascii="Garamond" w:hAnsi="Garamond"/>
          <w:sz w:val="21"/>
          <w:szCs w:val="21"/>
          <w:lang w:val="sq-AL" w:eastAsia="sq-AL"/>
        </w:rPr>
        <w:t>–</w:t>
      </w:r>
      <w:r w:rsidRPr="009E22FE">
        <w:rPr>
          <w:rFonts w:ascii="Garamond" w:hAnsi="Garamond"/>
          <w:sz w:val="24"/>
          <w:szCs w:val="24"/>
          <w:lang w:val="sq-AL"/>
        </w:rPr>
        <w:t>2015 janë si në tabelën 7.</w:t>
      </w:r>
    </w:p>
    <w:p w:rsidR="0065716C" w:rsidRPr="009E22FE" w:rsidRDefault="0065716C" w:rsidP="0065716C">
      <w:pPr>
        <w:pStyle w:val="Tabela"/>
        <w:widowControl w:val="0"/>
        <w:spacing w:before="0"/>
        <w:ind w:firstLine="284"/>
        <w:rPr>
          <w:rFonts w:ascii="Garamond" w:hAnsi="Garamond"/>
          <w:i w:val="0"/>
          <w:noProof w:val="0"/>
          <w:sz w:val="14"/>
        </w:rPr>
      </w:pPr>
    </w:p>
    <w:p w:rsidR="0065716C" w:rsidRPr="009E22FE" w:rsidRDefault="0065716C" w:rsidP="0065716C">
      <w:pPr>
        <w:pStyle w:val="Tabela"/>
        <w:widowControl w:val="0"/>
        <w:spacing w:before="0"/>
        <w:ind w:firstLine="284"/>
        <w:rPr>
          <w:rFonts w:ascii="Garamond" w:hAnsi="Garamond"/>
          <w:i w:val="0"/>
          <w:noProof w:val="0"/>
          <w:sz w:val="24"/>
        </w:rPr>
      </w:pPr>
      <w:r w:rsidRPr="009E22FE">
        <w:rPr>
          <w:rFonts w:ascii="Garamond" w:hAnsi="Garamond"/>
          <w:i w:val="0"/>
          <w:noProof w:val="0"/>
          <w:sz w:val="24"/>
        </w:rPr>
        <w:t>Tabela 7. Të dhëna të IQT-së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277"/>
        <w:gridCol w:w="851"/>
        <w:gridCol w:w="992"/>
      </w:tblGrid>
      <w:tr w:rsidR="009E22FE" w:rsidRPr="009E22FE" w:rsidTr="0065716C">
        <w:tc>
          <w:tcPr>
            <w:tcW w:w="666" w:type="dxa"/>
            <w:tcBorders>
              <w:top w:val="single" w:sz="4" w:space="0" w:color="auto"/>
              <w:left w:val="single" w:sz="4" w:space="0" w:color="auto"/>
              <w:bottom w:val="single" w:sz="4" w:space="0" w:color="auto"/>
              <w:right w:val="single" w:sz="4" w:space="0" w:color="auto"/>
            </w:tcBorders>
            <w:shd w:val="clear" w:color="auto" w:fill="4F81BD"/>
            <w:vAlign w:val="center"/>
            <w:hideMark/>
          </w:tcPr>
          <w:p w:rsidR="0065716C" w:rsidRPr="009E22FE" w:rsidRDefault="0065716C">
            <w:pPr>
              <w:widowControl w:val="0"/>
              <w:spacing w:after="0" w:line="240" w:lineRule="auto"/>
              <w:ind w:firstLine="0"/>
              <w:jc w:val="center"/>
              <w:rPr>
                <w:rFonts w:ascii="Garamond" w:hAnsi="Garamond"/>
                <w:b/>
                <w:sz w:val="16"/>
                <w:szCs w:val="16"/>
                <w:lang w:val="sq-AL"/>
              </w:rPr>
            </w:pPr>
            <w:r w:rsidRPr="009E22FE">
              <w:rPr>
                <w:rFonts w:ascii="Garamond" w:hAnsi="Garamond"/>
                <w:b/>
                <w:sz w:val="16"/>
                <w:szCs w:val="16"/>
                <w:lang w:val="sq-AL"/>
              </w:rPr>
              <w:t>Viti</w:t>
            </w:r>
          </w:p>
        </w:tc>
        <w:tc>
          <w:tcPr>
            <w:tcW w:w="2277" w:type="dxa"/>
            <w:tcBorders>
              <w:top w:val="single" w:sz="4" w:space="0" w:color="auto"/>
              <w:left w:val="single" w:sz="4" w:space="0" w:color="auto"/>
              <w:bottom w:val="single" w:sz="4" w:space="0" w:color="auto"/>
              <w:right w:val="single" w:sz="4" w:space="0" w:color="auto"/>
            </w:tcBorders>
            <w:shd w:val="clear" w:color="auto" w:fill="4F81BD"/>
            <w:vAlign w:val="center"/>
            <w:hideMark/>
          </w:tcPr>
          <w:p w:rsidR="0065716C" w:rsidRPr="009E22FE" w:rsidRDefault="0065716C">
            <w:pPr>
              <w:widowControl w:val="0"/>
              <w:spacing w:after="0" w:line="240" w:lineRule="auto"/>
              <w:ind w:firstLine="0"/>
              <w:jc w:val="center"/>
              <w:rPr>
                <w:rFonts w:ascii="Garamond" w:hAnsi="Garamond"/>
                <w:b/>
                <w:sz w:val="16"/>
                <w:szCs w:val="16"/>
                <w:lang w:val="sq-AL"/>
              </w:rPr>
            </w:pPr>
            <w:r w:rsidRPr="009E22FE">
              <w:rPr>
                <w:rFonts w:ascii="Garamond" w:hAnsi="Garamond"/>
                <w:b/>
                <w:sz w:val="16"/>
                <w:szCs w:val="16"/>
                <w:lang w:val="sq-AL"/>
              </w:rPr>
              <w:t>Produkti 7% FAME</w:t>
            </w:r>
          </w:p>
        </w:tc>
        <w:tc>
          <w:tcPr>
            <w:tcW w:w="851" w:type="dxa"/>
            <w:tcBorders>
              <w:top w:val="single" w:sz="4" w:space="0" w:color="auto"/>
              <w:left w:val="single" w:sz="4" w:space="0" w:color="auto"/>
              <w:bottom w:val="single" w:sz="4" w:space="0" w:color="auto"/>
              <w:right w:val="single" w:sz="4" w:space="0" w:color="auto"/>
            </w:tcBorders>
            <w:shd w:val="clear" w:color="auto" w:fill="4F81BD"/>
            <w:vAlign w:val="center"/>
            <w:hideMark/>
          </w:tcPr>
          <w:p w:rsidR="0065716C" w:rsidRPr="009E22FE" w:rsidRDefault="0065716C">
            <w:pPr>
              <w:widowControl w:val="0"/>
              <w:spacing w:after="0" w:line="240" w:lineRule="auto"/>
              <w:ind w:firstLine="0"/>
              <w:jc w:val="center"/>
              <w:rPr>
                <w:rFonts w:ascii="Garamond" w:hAnsi="Garamond"/>
                <w:b/>
                <w:sz w:val="16"/>
                <w:szCs w:val="16"/>
                <w:lang w:val="sq-AL"/>
              </w:rPr>
            </w:pPr>
            <w:r w:rsidRPr="009E22FE">
              <w:rPr>
                <w:rFonts w:ascii="Garamond" w:hAnsi="Garamond"/>
                <w:b/>
                <w:sz w:val="16"/>
                <w:szCs w:val="16"/>
                <w:lang w:val="sq-AL"/>
              </w:rPr>
              <w:t>Sasia (tonë)</w:t>
            </w:r>
          </w:p>
        </w:tc>
        <w:tc>
          <w:tcPr>
            <w:tcW w:w="992" w:type="dxa"/>
            <w:tcBorders>
              <w:top w:val="single" w:sz="4" w:space="0" w:color="auto"/>
              <w:left w:val="single" w:sz="4" w:space="0" w:color="auto"/>
              <w:bottom w:val="single" w:sz="4" w:space="0" w:color="auto"/>
              <w:right w:val="single" w:sz="4" w:space="0" w:color="auto"/>
            </w:tcBorders>
            <w:shd w:val="clear" w:color="auto" w:fill="4F81BD"/>
            <w:vAlign w:val="center"/>
            <w:hideMark/>
          </w:tcPr>
          <w:p w:rsidR="0065716C" w:rsidRPr="009E22FE" w:rsidRDefault="0065716C">
            <w:pPr>
              <w:widowControl w:val="0"/>
              <w:spacing w:after="0" w:line="240" w:lineRule="auto"/>
              <w:ind w:firstLine="0"/>
              <w:jc w:val="center"/>
              <w:rPr>
                <w:rFonts w:ascii="Garamond" w:hAnsi="Garamond"/>
                <w:b/>
                <w:sz w:val="16"/>
                <w:szCs w:val="16"/>
                <w:lang w:val="sq-AL"/>
              </w:rPr>
            </w:pPr>
            <w:r w:rsidRPr="009E22FE">
              <w:rPr>
                <w:rFonts w:ascii="Garamond" w:hAnsi="Garamond"/>
                <w:b/>
                <w:sz w:val="16"/>
                <w:szCs w:val="16"/>
                <w:lang w:val="sq-AL"/>
              </w:rPr>
              <w:t>FAME (tonë)</w:t>
            </w:r>
          </w:p>
        </w:tc>
      </w:tr>
      <w:tr w:rsidR="009E22FE" w:rsidRPr="009E22FE" w:rsidTr="0065716C">
        <w:tc>
          <w:tcPr>
            <w:tcW w:w="666" w:type="dxa"/>
            <w:tcBorders>
              <w:top w:val="single" w:sz="4" w:space="0" w:color="auto"/>
              <w:left w:val="single" w:sz="4" w:space="0" w:color="auto"/>
              <w:bottom w:val="single" w:sz="4" w:space="0" w:color="auto"/>
              <w:right w:val="single" w:sz="4" w:space="0" w:color="auto"/>
            </w:tcBorders>
            <w:hideMark/>
          </w:tcPr>
          <w:p w:rsidR="0065716C" w:rsidRPr="009E22FE" w:rsidRDefault="0065716C">
            <w:pPr>
              <w:widowControl w:val="0"/>
              <w:spacing w:after="0" w:line="240" w:lineRule="auto"/>
              <w:ind w:firstLine="0"/>
              <w:rPr>
                <w:rFonts w:ascii="Garamond" w:hAnsi="Garamond"/>
                <w:sz w:val="16"/>
                <w:szCs w:val="16"/>
                <w:lang w:val="sq-AL"/>
              </w:rPr>
            </w:pPr>
            <w:r w:rsidRPr="009E22FE">
              <w:rPr>
                <w:rFonts w:ascii="Garamond" w:hAnsi="Garamond"/>
                <w:sz w:val="16"/>
                <w:szCs w:val="16"/>
                <w:lang w:val="sq-AL"/>
              </w:rPr>
              <w:t>2016</w:t>
            </w:r>
          </w:p>
        </w:tc>
        <w:tc>
          <w:tcPr>
            <w:tcW w:w="2277" w:type="dxa"/>
            <w:tcBorders>
              <w:top w:val="single" w:sz="4" w:space="0" w:color="auto"/>
              <w:left w:val="single" w:sz="4" w:space="0" w:color="auto"/>
              <w:bottom w:val="single" w:sz="4" w:space="0" w:color="auto"/>
              <w:right w:val="single" w:sz="4" w:space="0" w:color="auto"/>
            </w:tcBorders>
            <w:hideMark/>
          </w:tcPr>
          <w:p w:rsidR="0065716C" w:rsidRPr="009E22FE" w:rsidRDefault="0065716C">
            <w:pPr>
              <w:widowControl w:val="0"/>
              <w:spacing w:after="0" w:line="240" w:lineRule="auto"/>
              <w:ind w:firstLine="0"/>
              <w:rPr>
                <w:rFonts w:ascii="Garamond" w:hAnsi="Garamond"/>
                <w:sz w:val="16"/>
                <w:szCs w:val="16"/>
                <w:lang w:val="sq-AL"/>
              </w:rPr>
            </w:pPr>
            <w:r w:rsidRPr="009E22FE">
              <w:rPr>
                <w:rFonts w:ascii="Garamond" w:hAnsi="Garamond"/>
                <w:sz w:val="16"/>
                <w:szCs w:val="16"/>
                <w:lang w:val="sq-AL"/>
              </w:rPr>
              <w:t>Gazoil SSHEN 590:2103</w:t>
            </w:r>
          </w:p>
        </w:tc>
        <w:tc>
          <w:tcPr>
            <w:tcW w:w="851" w:type="dxa"/>
            <w:tcBorders>
              <w:top w:val="single" w:sz="4" w:space="0" w:color="auto"/>
              <w:left w:val="single" w:sz="4" w:space="0" w:color="auto"/>
              <w:bottom w:val="single" w:sz="4" w:space="0" w:color="auto"/>
              <w:right w:val="single" w:sz="4" w:space="0" w:color="auto"/>
            </w:tcBorders>
            <w:hideMark/>
          </w:tcPr>
          <w:p w:rsidR="0065716C" w:rsidRPr="009E22FE" w:rsidRDefault="0065716C">
            <w:pPr>
              <w:widowControl w:val="0"/>
              <w:spacing w:after="0" w:line="240" w:lineRule="auto"/>
              <w:ind w:firstLine="0"/>
              <w:jc w:val="center"/>
              <w:rPr>
                <w:rFonts w:ascii="Garamond" w:hAnsi="Garamond"/>
                <w:sz w:val="16"/>
                <w:szCs w:val="16"/>
                <w:lang w:val="sq-AL"/>
              </w:rPr>
            </w:pPr>
            <w:r w:rsidRPr="009E22FE">
              <w:rPr>
                <w:rFonts w:ascii="Garamond" w:hAnsi="Garamond"/>
                <w:sz w:val="16"/>
                <w:szCs w:val="16"/>
                <w:lang w:val="sq-AL"/>
              </w:rPr>
              <w:t>115,263</w:t>
            </w:r>
          </w:p>
        </w:tc>
        <w:tc>
          <w:tcPr>
            <w:tcW w:w="992" w:type="dxa"/>
            <w:tcBorders>
              <w:top w:val="single" w:sz="4" w:space="0" w:color="auto"/>
              <w:left w:val="single" w:sz="4" w:space="0" w:color="auto"/>
              <w:bottom w:val="single" w:sz="4" w:space="0" w:color="auto"/>
              <w:right w:val="single" w:sz="4" w:space="0" w:color="auto"/>
            </w:tcBorders>
            <w:hideMark/>
          </w:tcPr>
          <w:p w:rsidR="0065716C" w:rsidRPr="009E22FE" w:rsidRDefault="0065716C">
            <w:pPr>
              <w:widowControl w:val="0"/>
              <w:tabs>
                <w:tab w:val="left" w:pos="1136"/>
              </w:tabs>
              <w:spacing w:after="0" w:line="240" w:lineRule="auto"/>
              <w:ind w:firstLine="0"/>
              <w:jc w:val="right"/>
              <w:rPr>
                <w:rFonts w:ascii="Garamond" w:hAnsi="Garamond"/>
                <w:sz w:val="16"/>
                <w:szCs w:val="16"/>
                <w:lang w:val="sq-AL"/>
              </w:rPr>
            </w:pPr>
            <w:r w:rsidRPr="009E22FE">
              <w:rPr>
                <w:rFonts w:ascii="Garamond" w:hAnsi="Garamond"/>
                <w:sz w:val="16"/>
                <w:szCs w:val="16"/>
                <w:lang w:val="sq-AL"/>
              </w:rPr>
              <w:t>8,068</w:t>
            </w:r>
          </w:p>
        </w:tc>
      </w:tr>
      <w:tr w:rsidR="009E22FE" w:rsidRPr="009E22FE" w:rsidTr="0065716C">
        <w:tc>
          <w:tcPr>
            <w:tcW w:w="666" w:type="dxa"/>
            <w:tcBorders>
              <w:top w:val="single" w:sz="4" w:space="0" w:color="auto"/>
              <w:left w:val="single" w:sz="4" w:space="0" w:color="auto"/>
              <w:bottom w:val="single" w:sz="4" w:space="0" w:color="auto"/>
              <w:right w:val="single" w:sz="4" w:space="0" w:color="auto"/>
            </w:tcBorders>
            <w:hideMark/>
          </w:tcPr>
          <w:p w:rsidR="0065716C" w:rsidRPr="009E22FE" w:rsidRDefault="0065716C">
            <w:pPr>
              <w:widowControl w:val="0"/>
              <w:spacing w:after="0" w:line="240" w:lineRule="auto"/>
              <w:ind w:firstLine="0"/>
              <w:rPr>
                <w:rFonts w:ascii="Garamond" w:hAnsi="Garamond"/>
                <w:sz w:val="16"/>
                <w:szCs w:val="16"/>
                <w:lang w:val="sq-AL"/>
              </w:rPr>
            </w:pPr>
            <w:r w:rsidRPr="009E22FE">
              <w:rPr>
                <w:rFonts w:ascii="Garamond" w:hAnsi="Garamond"/>
                <w:sz w:val="16"/>
                <w:szCs w:val="16"/>
                <w:lang w:val="sq-AL"/>
              </w:rPr>
              <w:t>2017</w:t>
            </w:r>
          </w:p>
        </w:tc>
        <w:tc>
          <w:tcPr>
            <w:tcW w:w="2277" w:type="dxa"/>
            <w:tcBorders>
              <w:top w:val="single" w:sz="4" w:space="0" w:color="auto"/>
              <w:left w:val="single" w:sz="4" w:space="0" w:color="auto"/>
              <w:bottom w:val="single" w:sz="4" w:space="0" w:color="auto"/>
              <w:right w:val="single" w:sz="4" w:space="0" w:color="auto"/>
            </w:tcBorders>
            <w:hideMark/>
          </w:tcPr>
          <w:p w:rsidR="0065716C" w:rsidRPr="009E22FE" w:rsidRDefault="0065716C">
            <w:pPr>
              <w:widowControl w:val="0"/>
              <w:spacing w:after="0" w:line="240" w:lineRule="auto"/>
              <w:ind w:firstLine="0"/>
              <w:rPr>
                <w:rFonts w:ascii="Garamond" w:hAnsi="Garamond"/>
                <w:sz w:val="16"/>
                <w:szCs w:val="16"/>
                <w:lang w:val="sq-AL"/>
              </w:rPr>
            </w:pPr>
            <w:r w:rsidRPr="009E22FE">
              <w:rPr>
                <w:rFonts w:ascii="Garamond" w:hAnsi="Garamond"/>
                <w:sz w:val="16"/>
                <w:szCs w:val="16"/>
                <w:lang w:val="sq-AL"/>
              </w:rPr>
              <w:t>Gazoil SSHEN 590:2103</w:t>
            </w:r>
          </w:p>
        </w:tc>
        <w:tc>
          <w:tcPr>
            <w:tcW w:w="851" w:type="dxa"/>
            <w:tcBorders>
              <w:top w:val="single" w:sz="4" w:space="0" w:color="auto"/>
              <w:left w:val="single" w:sz="4" w:space="0" w:color="auto"/>
              <w:bottom w:val="single" w:sz="4" w:space="0" w:color="auto"/>
              <w:right w:val="single" w:sz="4" w:space="0" w:color="auto"/>
            </w:tcBorders>
            <w:hideMark/>
          </w:tcPr>
          <w:p w:rsidR="0065716C" w:rsidRPr="009E22FE" w:rsidRDefault="0065716C">
            <w:pPr>
              <w:widowControl w:val="0"/>
              <w:spacing w:after="0" w:line="240" w:lineRule="auto"/>
              <w:ind w:firstLine="0"/>
              <w:jc w:val="center"/>
              <w:rPr>
                <w:rFonts w:ascii="Garamond" w:hAnsi="Garamond"/>
                <w:sz w:val="16"/>
                <w:szCs w:val="16"/>
                <w:lang w:val="sq-AL"/>
              </w:rPr>
            </w:pPr>
            <w:r w:rsidRPr="009E22FE">
              <w:rPr>
                <w:rFonts w:ascii="Garamond" w:hAnsi="Garamond"/>
                <w:sz w:val="16"/>
                <w:szCs w:val="16"/>
                <w:lang w:val="sq-AL"/>
              </w:rPr>
              <w:t>196,000</w:t>
            </w:r>
          </w:p>
        </w:tc>
        <w:tc>
          <w:tcPr>
            <w:tcW w:w="992" w:type="dxa"/>
            <w:tcBorders>
              <w:top w:val="single" w:sz="4" w:space="0" w:color="auto"/>
              <w:left w:val="single" w:sz="4" w:space="0" w:color="auto"/>
              <w:bottom w:val="single" w:sz="4" w:space="0" w:color="auto"/>
              <w:right w:val="single" w:sz="4" w:space="0" w:color="auto"/>
            </w:tcBorders>
            <w:hideMark/>
          </w:tcPr>
          <w:p w:rsidR="0065716C" w:rsidRPr="009E22FE" w:rsidRDefault="0065716C">
            <w:pPr>
              <w:widowControl w:val="0"/>
              <w:tabs>
                <w:tab w:val="left" w:pos="1136"/>
              </w:tabs>
              <w:spacing w:after="0" w:line="240" w:lineRule="auto"/>
              <w:ind w:firstLine="0"/>
              <w:jc w:val="right"/>
              <w:rPr>
                <w:rFonts w:ascii="Garamond" w:hAnsi="Garamond"/>
                <w:sz w:val="16"/>
                <w:szCs w:val="16"/>
                <w:lang w:val="sq-AL"/>
              </w:rPr>
            </w:pPr>
            <w:r w:rsidRPr="009E22FE">
              <w:rPr>
                <w:rFonts w:ascii="Garamond" w:hAnsi="Garamond"/>
                <w:sz w:val="16"/>
                <w:szCs w:val="16"/>
                <w:lang w:val="sq-AL"/>
              </w:rPr>
              <w:t>13,720</w:t>
            </w:r>
          </w:p>
        </w:tc>
      </w:tr>
    </w:tbl>
    <w:p w:rsidR="0065716C" w:rsidRPr="009E22FE" w:rsidRDefault="0065716C" w:rsidP="0065716C">
      <w:pPr>
        <w:widowControl w:val="0"/>
        <w:spacing w:after="0" w:line="240" w:lineRule="auto"/>
        <w:rPr>
          <w:rFonts w:ascii="Garamond" w:hAnsi="Garamond"/>
          <w:sz w:val="12"/>
          <w:szCs w:val="24"/>
          <w:lang w:val="sq-AL"/>
        </w:rPr>
      </w:pP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Së fundi, MF-ja konfirmon se në Shqipëri është konsumuar rreth 15.5 kton gjatë vitit 2016 dhe 18.1 kton gjatë vitit 2017, e cila ka shkuar për sektorin e transportit me një përzierje për të cilën sasia e lëndëve energjetike të rinovueshme nuk i kalon 7%. Gjithsesi, standardet dhe informacioni për konsumin e biokarburanteve në Shqipëri thuajse mungojnë.</w:t>
      </w:r>
      <w:bookmarkStart w:id="9" w:name="_Toc310332737"/>
      <w:bookmarkStart w:id="10" w:name="_Toc310332567"/>
      <w:bookmarkStart w:id="11" w:name="_Toc309285192"/>
    </w:p>
    <w:p w:rsidR="0065716C" w:rsidRPr="009E22FE" w:rsidRDefault="0065716C" w:rsidP="0065716C">
      <w:pPr>
        <w:pStyle w:val="Heading2"/>
        <w:keepNext w:val="0"/>
        <w:keepLines w:val="0"/>
        <w:widowControl w:val="0"/>
        <w:numPr>
          <w:ilvl w:val="1"/>
          <w:numId w:val="19"/>
        </w:numPr>
        <w:spacing w:before="0" w:line="240" w:lineRule="auto"/>
        <w:ind w:left="0" w:firstLine="284"/>
        <w:rPr>
          <w:rFonts w:ascii="Garamond" w:hAnsi="Garamond"/>
          <w:b/>
          <w:color w:val="auto"/>
          <w:sz w:val="24"/>
          <w:szCs w:val="24"/>
          <w:lang w:val="sq-AL"/>
        </w:rPr>
      </w:pPr>
      <w:bookmarkStart w:id="12" w:name="_Toc505599666"/>
      <w:r w:rsidRPr="009E22FE">
        <w:rPr>
          <w:rFonts w:ascii="Garamond" w:hAnsi="Garamond"/>
          <w:color w:val="auto"/>
          <w:sz w:val="24"/>
          <w:szCs w:val="24"/>
          <w:lang w:val="sq-AL"/>
        </w:rPr>
        <w:t xml:space="preserve"> Gjendja sasiore e BRE-ve gjatë 2009</w:t>
      </w:r>
      <w:r w:rsidRPr="009E22FE">
        <w:rPr>
          <w:rFonts w:ascii="Garamond" w:hAnsi="Garamond"/>
          <w:color w:val="auto"/>
          <w:sz w:val="21"/>
          <w:szCs w:val="21"/>
          <w:lang w:val="sq-AL" w:eastAsia="sq-AL"/>
        </w:rPr>
        <w:t>–</w:t>
      </w:r>
      <w:r w:rsidRPr="009E22FE">
        <w:rPr>
          <w:rFonts w:ascii="Garamond" w:hAnsi="Garamond"/>
          <w:color w:val="auto"/>
          <w:sz w:val="24"/>
          <w:szCs w:val="24"/>
          <w:lang w:val="sq-AL"/>
        </w:rPr>
        <w:t>201</w:t>
      </w:r>
      <w:bookmarkEnd w:id="9"/>
      <w:bookmarkEnd w:id="10"/>
      <w:bookmarkEnd w:id="11"/>
      <w:r w:rsidRPr="009E22FE">
        <w:rPr>
          <w:rFonts w:ascii="Garamond" w:hAnsi="Garamond"/>
          <w:color w:val="auto"/>
          <w:sz w:val="24"/>
          <w:szCs w:val="24"/>
          <w:lang w:val="sq-AL"/>
        </w:rPr>
        <w:t>7 dhe statusi i objektivit kombëtar</w:t>
      </w:r>
      <w:bookmarkEnd w:id="12"/>
    </w:p>
    <w:p w:rsidR="0065716C" w:rsidRPr="009E22FE" w:rsidRDefault="0065716C" w:rsidP="0065716C">
      <w:pPr>
        <w:pStyle w:val="Heading3"/>
        <w:keepNext w:val="0"/>
        <w:keepLines w:val="0"/>
        <w:widowControl w:val="0"/>
        <w:numPr>
          <w:ilvl w:val="2"/>
          <w:numId w:val="19"/>
        </w:numPr>
        <w:tabs>
          <w:tab w:val="left" w:pos="900"/>
        </w:tabs>
        <w:spacing w:before="0" w:line="240" w:lineRule="auto"/>
        <w:ind w:left="0" w:firstLine="284"/>
        <w:rPr>
          <w:rFonts w:ascii="Garamond" w:hAnsi="Garamond"/>
          <w:b/>
          <w:i/>
          <w:color w:val="auto"/>
          <w:lang w:val="sq-AL"/>
        </w:rPr>
      </w:pPr>
      <w:bookmarkStart w:id="13" w:name="_Toc505599667"/>
      <w:r w:rsidRPr="009E22FE">
        <w:rPr>
          <w:rFonts w:ascii="Garamond" w:hAnsi="Garamond"/>
          <w:color w:val="auto"/>
          <w:lang w:val="sq-AL"/>
        </w:rPr>
        <w:t>Gjendja e BRE-ve në bilancin kombëtar të konsumit të energjisë</w:t>
      </w:r>
      <w:bookmarkEnd w:id="13"/>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Nisur nga bilanci kombëtar energjetik i konfirmuar nga INSTAT-i, statusi i konsumit të BRE-ve, gjatë viteve 2009</w:t>
      </w:r>
      <w:r w:rsidRPr="009E22FE">
        <w:rPr>
          <w:rFonts w:ascii="Garamond" w:hAnsi="Garamond"/>
          <w:sz w:val="21"/>
          <w:szCs w:val="21"/>
          <w:lang w:val="sq-AL" w:eastAsia="sq-AL"/>
        </w:rPr>
        <w:t>–</w:t>
      </w:r>
      <w:r w:rsidRPr="009E22FE">
        <w:rPr>
          <w:rFonts w:ascii="Garamond" w:hAnsi="Garamond"/>
          <w:sz w:val="24"/>
          <w:szCs w:val="24"/>
          <w:lang w:val="sq-AL"/>
        </w:rPr>
        <w:t>2017, ka qenë si më poshtë:</w:t>
      </w:r>
    </w:p>
    <w:p w:rsidR="0065716C" w:rsidRDefault="0065716C" w:rsidP="0065716C">
      <w:pPr>
        <w:spacing w:after="0" w:line="240" w:lineRule="auto"/>
        <w:ind w:firstLine="0"/>
        <w:jc w:val="left"/>
        <w:rPr>
          <w:rFonts w:ascii="Garamond" w:hAnsi="Garamond"/>
          <w:sz w:val="24"/>
          <w:szCs w:val="24"/>
          <w:lang w:val="sq-AL"/>
        </w:rPr>
      </w:pPr>
    </w:p>
    <w:p w:rsidR="006B49C6" w:rsidRDefault="006B49C6" w:rsidP="0065716C">
      <w:pPr>
        <w:spacing w:after="0" w:line="240" w:lineRule="auto"/>
        <w:ind w:firstLine="0"/>
        <w:jc w:val="left"/>
        <w:rPr>
          <w:rFonts w:ascii="Garamond" w:hAnsi="Garamond"/>
          <w:sz w:val="24"/>
          <w:szCs w:val="24"/>
          <w:lang w:val="sq-AL"/>
        </w:rPr>
      </w:pPr>
    </w:p>
    <w:p w:rsidR="006B49C6" w:rsidRDefault="006B49C6" w:rsidP="0065716C">
      <w:pPr>
        <w:spacing w:after="0" w:line="240" w:lineRule="auto"/>
        <w:ind w:firstLine="0"/>
        <w:jc w:val="left"/>
        <w:rPr>
          <w:rFonts w:ascii="Garamond" w:hAnsi="Garamond"/>
          <w:sz w:val="24"/>
          <w:szCs w:val="24"/>
          <w:lang w:val="sq-AL"/>
        </w:rPr>
      </w:pPr>
    </w:p>
    <w:p w:rsidR="006B49C6" w:rsidRPr="009E22FE" w:rsidRDefault="006B49C6" w:rsidP="0065716C">
      <w:pPr>
        <w:spacing w:after="0" w:line="240" w:lineRule="auto"/>
        <w:ind w:firstLine="0"/>
        <w:jc w:val="left"/>
        <w:rPr>
          <w:rFonts w:ascii="Garamond" w:hAnsi="Garamond"/>
          <w:sz w:val="24"/>
          <w:szCs w:val="24"/>
          <w:lang w:val="sq-AL"/>
        </w:rPr>
        <w:sectPr w:rsidR="006B49C6" w:rsidRPr="009E22FE" w:rsidSect="0065716C">
          <w:type w:val="continuous"/>
          <w:pgSz w:w="11907" w:h="16840"/>
          <w:pgMar w:top="720" w:right="1134" w:bottom="720" w:left="1134" w:header="851" w:footer="851" w:gutter="0"/>
          <w:cols w:space="454"/>
        </w:sectPr>
      </w:pPr>
    </w:p>
    <w:tbl>
      <w:tblPr>
        <w:tblStyle w:val="LightList-Accent3"/>
        <w:tblW w:w="9652" w:type="dxa"/>
        <w:jc w:val="center"/>
        <w:tblInd w:w="0" w:type="dxa"/>
        <w:tblLook w:val="04A0" w:firstRow="1" w:lastRow="0" w:firstColumn="1" w:lastColumn="0" w:noHBand="0" w:noVBand="1"/>
      </w:tblPr>
      <w:tblGrid>
        <w:gridCol w:w="1273"/>
        <w:gridCol w:w="908"/>
        <w:gridCol w:w="908"/>
        <w:gridCol w:w="908"/>
        <w:gridCol w:w="908"/>
        <w:gridCol w:w="908"/>
        <w:gridCol w:w="908"/>
        <w:gridCol w:w="977"/>
        <w:gridCol w:w="977"/>
        <w:gridCol w:w="977"/>
      </w:tblGrid>
      <w:tr w:rsidR="009E22FE" w:rsidRPr="009E22FE" w:rsidTr="0065716C">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73" w:type="dxa"/>
            <w:tcBorders>
              <w:top w:val="single" w:sz="8" w:space="0" w:color="A5A5A5" w:themeColor="accent3"/>
              <w:left w:val="single" w:sz="8" w:space="0" w:color="A5A5A5" w:themeColor="accent3"/>
              <w:bottom w:val="nil"/>
              <w:right w:val="single" w:sz="8" w:space="0" w:color="A5A5A5" w:themeColor="accent3"/>
            </w:tcBorders>
            <w:shd w:val="clear" w:color="auto" w:fill="7B7B7B" w:themeFill="accent3" w:themeFillShade="BF"/>
            <w:noWrap/>
            <w:vAlign w:val="center"/>
            <w:hideMark/>
          </w:tcPr>
          <w:p w:rsidR="0065716C" w:rsidRPr="009E22FE" w:rsidRDefault="0065716C">
            <w:pPr>
              <w:widowControl w:val="0"/>
              <w:spacing w:after="0" w:line="240" w:lineRule="auto"/>
              <w:ind w:firstLine="0"/>
              <w:jc w:val="center"/>
              <w:rPr>
                <w:rFonts w:ascii="Garamond" w:eastAsia="Times New Roman" w:hAnsi="Garamond"/>
                <w:b w:val="0"/>
                <w:color w:val="auto"/>
                <w:sz w:val="20"/>
                <w:szCs w:val="20"/>
                <w:lang w:val="sq-AL"/>
              </w:rPr>
            </w:pPr>
            <w:r w:rsidRPr="009E22FE">
              <w:rPr>
                <w:rFonts w:ascii="Garamond" w:eastAsia="Times New Roman" w:hAnsi="Garamond"/>
                <w:b w:val="0"/>
                <w:color w:val="auto"/>
                <w:sz w:val="20"/>
                <w:szCs w:val="20"/>
                <w:lang w:val="sq-AL"/>
              </w:rPr>
              <w:t>ktoe</w:t>
            </w:r>
          </w:p>
        </w:tc>
        <w:tc>
          <w:tcPr>
            <w:tcW w:w="908" w:type="dxa"/>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7B7B7B" w:themeFill="accent3" w:themeFillShade="BF"/>
            <w:noWrap/>
            <w:vAlign w:val="center"/>
            <w:hideMark/>
          </w:tcPr>
          <w:p w:rsidR="0065716C" w:rsidRPr="009E22FE" w:rsidRDefault="0065716C">
            <w:pPr>
              <w:widowControl w:val="0"/>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olor w:val="auto"/>
                <w:sz w:val="20"/>
                <w:szCs w:val="20"/>
                <w:lang w:val="sq-AL"/>
              </w:rPr>
            </w:pPr>
            <w:r w:rsidRPr="009E22FE">
              <w:rPr>
                <w:rFonts w:ascii="Garamond" w:eastAsia="Times New Roman" w:hAnsi="Garamond"/>
                <w:color w:val="auto"/>
                <w:sz w:val="20"/>
                <w:szCs w:val="20"/>
                <w:lang w:val="sq-AL"/>
              </w:rPr>
              <w:t>2009</w:t>
            </w:r>
          </w:p>
        </w:tc>
        <w:tc>
          <w:tcPr>
            <w:tcW w:w="908" w:type="dxa"/>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7B7B7B" w:themeFill="accent3" w:themeFillShade="BF"/>
            <w:noWrap/>
            <w:vAlign w:val="center"/>
            <w:hideMark/>
          </w:tcPr>
          <w:p w:rsidR="0065716C" w:rsidRPr="009E22FE" w:rsidRDefault="0065716C">
            <w:pPr>
              <w:widowControl w:val="0"/>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olor w:val="auto"/>
                <w:sz w:val="20"/>
                <w:szCs w:val="20"/>
                <w:lang w:val="sq-AL"/>
              </w:rPr>
            </w:pPr>
            <w:r w:rsidRPr="009E22FE">
              <w:rPr>
                <w:rFonts w:ascii="Garamond" w:eastAsia="Times New Roman" w:hAnsi="Garamond"/>
                <w:color w:val="auto"/>
                <w:sz w:val="20"/>
                <w:szCs w:val="20"/>
                <w:lang w:val="sq-AL"/>
              </w:rPr>
              <w:t>2010</w:t>
            </w:r>
          </w:p>
        </w:tc>
        <w:tc>
          <w:tcPr>
            <w:tcW w:w="908" w:type="dxa"/>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7B7B7B" w:themeFill="accent3" w:themeFillShade="BF"/>
            <w:noWrap/>
            <w:vAlign w:val="center"/>
            <w:hideMark/>
          </w:tcPr>
          <w:p w:rsidR="0065716C" w:rsidRPr="009E22FE" w:rsidRDefault="0065716C">
            <w:pPr>
              <w:widowControl w:val="0"/>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olor w:val="auto"/>
                <w:sz w:val="20"/>
                <w:szCs w:val="20"/>
                <w:lang w:val="sq-AL"/>
              </w:rPr>
            </w:pPr>
            <w:r w:rsidRPr="009E22FE">
              <w:rPr>
                <w:rFonts w:ascii="Garamond" w:eastAsia="Times New Roman" w:hAnsi="Garamond"/>
                <w:color w:val="auto"/>
                <w:sz w:val="20"/>
                <w:szCs w:val="20"/>
                <w:lang w:val="sq-AL"/>
              </w:rPr>
              <w:t>2011</w:t>
            </w:r>
          </w:p>
        </w:tc>
        <w:tc>
          <w:tcPr>
            <w:tcW w:w="908" w:type="dxa"/>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7B7B7B" w:themeFill="accent3" w:themeFillShade="BF"/>
            <w:noWrap/>
            <w:vAlign w:val="center"/>
            <w:hideMark/>
          </w:tcPr>
          <w:p w:rsidR="0065716C" w:rsidRPr="009E22FE" w:rsidRDefault="0065716C">
            <w:pPr>
              <w:widowControl w:val="0"/>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olor w:val="auto"/>
                <w:sz w:val="20"/>
                <w:szCs w:val="20"/>
                <w:lang w:val="sq-AL"/>
              </w:rPr>
            </w:pPr>
            <w:r w:rsidRPr="009E22FE">
              <w:rPr>
                <w:rFonts w:ascii="Garamond" w:eastAsia="Times New Roman" w:hAnsi="Garamond"/>
                <w:color w:val="auto"/>
                <w:sz w:val="20"/>
                <w:szCs w:val="20"/>
                <w:lang w:val="sq-AL"/>
              </w:rPr>
              <w:t>2012</w:t>
            </w:r>
          </w:p>
        </w:tc>
        <w:tc>
          <w:tcPr>
            <w:tcW w:w="908" w:type="dxa"/>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7B7B7B" w:themeFill="accent3" w:themeFillShade="BF"/>
            <w:noWrap/>
            <w:vAlign w:val="center"/>
            <w:hideMark/>
          </w:tcPr>
          <w:p w:rsidR="0065716C" w:rsidRPr="009E22FE" w:rsidRDefault="0065716C">
            <w:pPr>
              <w:widowControl w:val="0"/>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olor w:val="auto"/>
                <w:sz w:val="20"/>
                <w:szCs w:val="20"/>
                <w:lang w:val="sq-AL"/>
              </w:rPr>
            </w:pPr>
            <w:r w:rsidRPr="009E22FE">
              <w:rPr>
                <w:rFonts w:ascii="Garamond" w:eastAsia="Times New Roman" w:hAnsi="Garamond"/>
                <w:color w:val="auto"/>
                <w:sz w:val="20"/>
                <w:szCs w:val="20"/>
                <w:lang w:val="sq-AL"/>
              </w:rPr>
              <w:t>2013</w:t>
            </w:r>
          </w:p>
        </w:tc>
        <w:tc>
          <w:tcPr>
            <w:tcW w:w="908" w:type="dxa"/>
            <w:tcBorders>
              <w:top w:val="single" w:sz="8" w:space="0" w:color="A5A5A5" w:themeColor="accent3"/>
              <w:left w:val="single" w:sz="8" w:space="0" w:color="A5A5A5" w:themeColor="accent3"/>
              <w:bottom w:val="single" w:sz="8" w:space="0" w:color="A5A5A5" w:themeColor="accent3"/>
              <w:right w:val="nil"/>
            </w:tcBorders>
            <w:shd w:val="clear" w:color="auto" w:fill="7B7B7B" w:themeFill="accent3" w:themeFillShade="BF"/>
            <w:noWrap/>
            <w:vAlign w:val="center"/>
            <w:hideMark/>
          </w:tcPr>
          <w:p w:rsidR="0065716C" w:rsidRPr="009E22FE" w:rsidRDefault="0065716C">
            <w:pPr>
              <w:widowControl w:val="0"/>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olor w:val="auto"/>
                <w:sz w:val="20"/>
                <w:szCs w:val="20"/>
                <w:lang w:val="sq-AL"/>
              </w:rPr>
            </w:pPr>
            <w:r w:rsidRPr="009E22FE">
              <w:rPr>
                <w:rFonts w:ascii="Garamond" w:eastAsia="Times New Roman" w:hAnsi="Garamond"/>
                <w:color w:val="auto"/>
                <w:sz w:val="20"/>
                <w:szCs w:val="20"/>
                <w:lang w:val="sq-AL"/>
              </w:rPr>
              <w:t>2014</w:t>
            </w:r>
          </w:p>
        </w:tc>
        <w:tc>
          <w:tcPr>
            <w:tcW w:w="977" w:type="dxa"/>
            <w:tcBorders>
              <w:top w:val="single" w:sz="8" w:space="0" w:color="A5A5A5" w:themeColor="accent3"/>
              <w:left w:val="single" w:sz="8" w:space="0" w:color="A5A5A5" w:themeColor="accent3"/>
              <w:bottom w:val="single" w:sz="8" w:space="0" w:color="A5A5A5" w:themeColor="accent3"/>
              <w:right w:val="nil"/>
            </w:tcBorders>
            <w:shd w:val="clear" w:color="auto" w:fill="7B7B7B" w:themeFill="accent3" w:themeFillShade="BF"/>
            <w:vAlign w:val="center"/>
            <w:hideMark/>
          </w:tcPr>
          <w:p w:rsidR="0065716C" w:rsidRPr="009E22FE" w:rsidRDefault="0065716C">
            <w:pPr>
              <w:widowControl w:val="0"/>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olor w:val="auto"/>
                <w:sz w:val="20"/>
                <w:szCs w:val="20"/>
                <w:lang w:val="sq-AL"/>
              </w:rPr>
            </w:pPr>
            <w:r w:rsidRPr="009E22FE">
              <w:rPr>
                <w:rFonts w:ascii="Garamond" w:eastAsia="Times New Roman" w:hAnsi="Garamond"/>
                <w:color w:val="auto"/>
                <w:sz w:val="20"/>
                <w:szCs w:val="20"/>
                <w:lang w:val="sq-AL"/>
              </w:rPr>
              <w:t>2015</w:t>
            </w:r>
          </w:p>
        </w:tc>
        <w:tc>
          <w:tcPr>
            <w:tcW w:w="977" w:type="dxa"/>
            <w:tcBorders>
              <w:top w:val="single" w:sz="8" w:space="0" w:color="A5A5A5" w:themeColor="accent3"/>
              <w:left w:val="single" w:sz="8" w:space="0" w:color="A5A5A5" w:themeColor="accent3"/>
              <w:bottom w:val="single" w:sz="8" w:space="0" w:color="A5A5A5" w:themeColor="accent3"/>
              <w:right w:val="nil"/>
            </w:tcBorders>
            <w:shd w:val="clear" w:color="auto" w:fill="7B7B7B" w:themeFill="accent3" w:themeFillShade="BF"/>
            <w:vAlign w:val="center"/>
            <w:hideMark/>
          </w:tcPr>
          <w:p w:rsidR="0065716C" w:rsidRPr="009E22FE" w:rsidRDefault="0065716C">
            <w:pPr>
              <w:widowControl w:val="0"/>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olor w:val="auto"/>
                <w:sz w:val="20"/>
                <w:szCs w:val="20"/>
                <w:lang w:val="sq-AL"/>
              </w:rPr>
            </w:pPr>
            <w:r w:rsidRPr="009E22FE">
              <w:rPr>
                <w:rFonts w:ascii="Garamond" w:eastAsia="Times New Roman" w:hAnsi="Garamond"/>
                <w:color w:val="auto"/>
                <w:sz w:val="20"/>
                <w:szCs w:val="20"/>
                <w:lang w:val="sq-AL"/>
              </w:rPr>
              <w:t>2016</w:t>
            </w:r>
          </w:p>
        </w:tc>
        <w:tc>
          <w:tcPr>
            <w:tcW w:w="977" w:type="dxa"/>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7B7B7B" w:themeFill="accent3" w:themeFillShade="BF"/>
            <w:vAlign w:val="center"/>
            <w:hideMark/>
          </w:tcPr>
          <w:p w:rsidR="0065716C" w:rsidRPr="009E22FE" w:rsidRDefault="0065716C">
            <w:pPr>
              <w:widowControl w:val="0"/>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olor w:val="auto"/>
                <w:sz w:val="20"/>
                <w:szCs w:val="20"/>
                <w:lang w:val="sq-AL"/>
              </w:rPr>
            </w:pPr>
            <w:r w:rsidRPr="009E22FE">
              <w:rPr>
                <w:rFonts w:ascii="Garamond" w:eastAsia="Times New Roman" w:hAnsi="Garamond"/>
                <w:color w:val="auto"/>
                <w:sz w:val="20"/>
                <w:szCs w:val="20"/>
                <w:lang w:val="sq-AL"/>
              </w:rPr>
              <w:t>2017</w:t>
            </w:r>
          </w:p>
        </w:tc>
      </w:tr>
      <w:tr w:rsidR="009E22FE" w:rsidRPr="009E22FE" w:rsidTr="006571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73" w:type="dxa"/>
            <w:tcBorders>
              <w:right w:val="single" w:sz="8" w:space="0" w:color="A5A5A5" w:themeColor="accent3"/>
            </w:tcBorders>
            <w:noWrap/>
            <w:vAlign w:val="center"/>
            <w:hideMark/>
          </w:tcPr>
          <w:p w:rsidR="0065716C" w:rsidRPr="009E22FE" w:rsidRDefault="0065716C">
            <w:pPr>
              <w:widowControl w:val="0"/>
              <w:spacing w:after="0" w:line="240" w:lineRule="auto"/>
              <w:ind w:firstLine="0"/>
              <w:jc w:val="center"/>
              <w:rPr>
                <w:rFonts w:ascii="Garamond" w:eastAsia="Times New Roman" w:hAnsi="Garamond"/>
                <w:b w:val="0"/>
                <w:sz w:val="20"/>
                <w:szCs w:val="20"/>
                <w:lang w:val="sq-AL"/>
              </w:rPr>
            </w:pPr>
            <w:r w:rsidRPr="009E22FE">
              <w:rPr>
                <w:rFonts w:ascii="Garamond" w:eastAsia="Times New Roman" w:hAnsi="Garamond"/>
                <w:b w:val="0"/>
                <w:sz w:val="20"/>
                <w:szCs w:val="20"/>
                <w:lang w:val="sq-AL"/>
              </w:rPr>
              <w:t>BER-N&amp;F</w:t>
            </w:r>
          </w:p>
        </w:tc>
        <w:tc>
          <w:tcPr>
            <w:tcW w:w="908" w:type="dxa"/>
            <w:tcBorders>
              <w:left w:val="single" w:sz="8" w:space="0" w:color="A5A5A5" w:themeColor="accent3"/>
              <w:right w:val="single" w:sz="8" w:space="0" w:color="A5A5A5" w:themeColor="accent3"/>
            </w:tcBorders>
            <w:noWrap/>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219.7</w:t>
            </w:r>
          </w:p>
        </w:tc>
        <w:tc>
          <w:tcPr>
            <w:tcW w:w="908" w:type="dxa"/>
            <w:tcBorders>
              <w:left w:val="single" w:sz="8" w:space="0" w:color="A5A5A5" w:themeColor="accent3"/>
              <w:right w:val="single" w:sz="8" w:space="0" w:color="A5A5A5" w:themeColor="accent3"/>
            </w:tcBorders>
            <w:noWrap/>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211.7</w:t>
            </w:r>
          </w:p>
        </w:tc>
        <w:tc>
          <w:tcPr>
            <w:tcW w:w="908" w:type="dxa"/>
            <w:tcBorders>
              <w:left w:val="single" w:sz="8" w:space="0" w:color="A5A5A5" w:themeColor="accent3"/>
              <w:right w:val="single" w:sz="8" w:space="0" w:color="A5A5A5" w:themeColor="accent3"/>
            </w:tcBorders>
            <w:noWrap/>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219.7</w:t>
            </w:r>
          </w:p>
        </w:tc>
        <w:tc>
          <w:tcPr>
            <w:tcW w:w="908" w:type="dxa"/>
            <w:tcBorders>
              <w:left w:val="single" w:sz="8" w:space="0" w:color="A5A5A5" w:themeColor="accent3"/>
              <w:right w:val="single" w:sz="8" w:space="0" w:color="A5A5A5" w:themeColor="accent3"/>
            </w:tcBorders>
            <w:noWrap/>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218.3</w:t>
            </w:r>
          </w:p>
        </w:tc>
        <w:tc>
          <w:tcPr>
            <w:tcW w:w="908" w:type="dxa"/>
            <w:tcBorders>
              <w:left w:val="single" w:sz="8" w:space="0" w:color="A5A5A5" w:themeColor="accent3"/>
              <w:right w:val="single" w:sz="8" w:space="0" w:color="A5A5A5" w:themeColor="accent3"/>
            </w:tcBorders>
            <w:noWrap/>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213.4</w:t>
            </w:r>
          </w:p>
        </w:tc>
        <w:tc>
          <w:tcPr>
            <w:tcW w:w="908" w:type="dxa"/>
            <w:tcBorders>
              <w:left w:val="single" w:sz="8" w:space="0" w:color="A5A5A5" w:themeColor="accent3"/>
              <w:right w:val="nil"/>
            </w:tcBorders>
            <w:noWrap/>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205.3</w:t>
            </w:r>
          </w:p>
        </w:tc>
        <w:tc>
          <w:tcPr>
            <w:tcW w:w="977" w:type="dxa"/>
            <w:tcBorders>
              <w:left w:val="single" w:sz="8" w:space="0" w:color="A5A5A5" w:themeColor="accent3"/>
              <w:right w:val="nil"/>
            </w:tcBorders>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204.3</w:t>
            </w:r>
          </w:p>
        </w:tc>
        <w:tc>
          <w:tcPr>
            <w:tcW w:w="977" w:type="dxa"/>
            <w:tcBorders>
              <w:left w:val="single" w:sz="8" w:space="0" w:color="A5A5A5" w:themeColor="accent3"/>
              <w:right w:val="nil"/>
            </w:tcBorders>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189.8</w:t>
            </w:r>
          </w:p>
        </w:tc>
        <w:tc>
          <w:tcPr>
            <w:tcW w:w="977" w:type="dxa"/>
            <w:tcBorders>
              <w:left w:val="single" w:sz="8" w:space="0" w:color="A5A5A5" w:themeColor="accent3"/>
            </w:tcBorders>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179.2</w:t>
            </w:r>
          </w:p>
        </w:tc>
      </w:tr>
      <w:tr w:rsidR="009E22FE" w:rsidRPr="009E22FE" w:rsidTr="0065716C">
        <w:trPr>
          <w:trHeight w:val="300"/>
          <w:jc w:val="center"/>
        </w:trPr>
        <w:tc>
          <w:tcPr>
            <w:cnfStyle w:val="001000000000" w:firstRow="0" w:lastRow="0" w:firstColumn="1" w:lastColumn="0" w:oddVBand="0" w:evenVBand="0" w:oddHBand="0" w:evenHBand="0" w:firstRowFirstColumn="0" w:firstRowLastColumn="0" w:lastRowFirstColumn="0" w:lastRowLastColumn="0"/>
            <w:tcW w:w="1273" w:type="dxa"/>
            <w:tcBorders>
              <w:top w:val="nil"/>
              <w:left w:val="single" w:sz="8" w:space="0" w:color="A5A5A5" w:themeColor="accent3"/>
              <w:bottom w:val="nil"/>
              <w:right w:val="single" w:sz="8" w:space="0" w:color="A5A5A5" w:themeColor="accent3"/>
            </w:tcBorders>
            <w:noWrap/>
            <w:vAlign w:val="center"/>
            <w:hideMark/>
          </w:tcPr>
          <w:p w:rsidR="0065716C" w:rsidRPr="009E22FE" w:rsidRDefault="0065716C">
            <w:pPr>
              <w:widowControl w:val="0"/>
              <w:spacing w:after="0" w:line="240" w:lineRule="auto"/>
              <w:ind w:firstLine="0"/>
              <w:jc w:val="center"/>
              <w:rPr>
                <w:rFonts w:ascii="Garamond" w:eastAsia="Times New Roman" w:hAnsi="Garamond"/>
                <w:b w:val="0"/>
                <w:sz w:val="20"/>
                <w:szCs w:val="20"/>
                <w:lang w:val="sq-AL"/>
              </w:rPr>
            </w:pPr>
            <w:r w:rsidRPr="009E22FE">
              <w:rPr>
                <w:rFonts w:ascii="Garamond" w:eastAsia="Times New Roman" w:hAnsi="Garamond"/>
                <w:b w:val="0"/>
                <w:sz w:val="20"/>
                <w:szCs w:val="20"/>
                <w:lang w:val="sq-AL"/>
              </w:rPr>
              <w:t>BER-E</w:t>
            </w:r>
          </w:p>
        </w:tc>
        <w:tc>
          <w:tcPr>
            <w:tcW w:w="908" w:type="dxa"/>
            <w:tcBorders>
              <w:top w:val="single" w:sz="8" w:space="0" w:color="A5A5A5" w:themeColor="accent3"/>
              <w:left w:val="single" w:sz="8" w:space="0" w:color="A5A5A5" w:themeColor="accent3"/>
              <w:bottom w:val="single" w:sz="8" w:space="0" w:color="A5A5A5" w:themeColor="accent3"/>
              <w:right w:val="single" w:sz="8" w:space="0" w:color="A5A5A5" w:themeColor="accent3"/>
            </w:tcBorders>
            <w:noWrap/>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408.0</w:t>
            </w:r>
          </w:p>
        </w:tc>
        <w:tc>
          <w:tcPr>
            <w:tcW w:w="908" w:type="dxa"/>
            <w:tcBorders>
              <w:top w:val="single" w:sz="8" w:space="0" w:color="A5A5A5" w:themeColor="accent3"/>
              <w:left w:val="single" w:sz="8" w:space="0" w:color="A5A5A5" w:themeColor="accent3"/>
              <w:bottom w:val="single" w:sz="8" w:space="0" w:color="A5A5A5" w:themeColor="accent3"/>
              <w:right w:val="single" w:sz="8" w:space="0" w:color="A5A5A5" w:themeColor="accent3"/>
            </w:tcBorders>
            <w:noWrap/>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413.6</w:t>
            </w:r>
          </w:p>
        </w:tc>
        <w:tc>
          <w:tcPr>
            <w:tcW w:w="908" w:type="dxa"/>
            <w:tcBorders>
              <w:top w:val="single" w:sz="8" w:space="0" w:color="A5A5A5" w:themeColor="accent3"/>
              <w:left w:val="single" w:sz="8" w:space="0" w:color="A5A5A5" w:themeColor="accent3"/>
              <w:bottom w:val="single" w:sz="8" w:space="0" w:color="A5A5A5" w:themeColor="accent3"/>
              <w:right w:val="single" w:sz="8" w:space="0" w:color="A5A5A5" w:themeColor="accent3"/>
            </w:tcBorders>
            <w:noWrap/>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337.6</w:t>
            </w:r>
          </w:p>
        </w:tc>
        <w:tc>
          <w:tcPr>
            <w:tcW w:w="908" w:type="dxa"/>
            <w:tcBorders>
              <w:top w:val="single" w:sz="8" w:space="0" w:color="A5A5A5" w:themeColor="accent3"/>
              <w:left w:val="single" w:sz="8" w:space="0" w:color="A5A5A5" w:themeColor="accent3"/>
              <w:bottom w:val="single" w:sz="8" w:space="0" w:color="A5A5A5" w:themeColor="accent3"/>
              <w:right w:val="single" w:sz="8" w:space="0" w:color="A5A5A5" w:themeColor="accent3"/>
            </w:tcBorders>
            <w:noWrap/>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406.3</w:t>
            </w:r>
          </w:p>
        </w:tc>
        <w:tc>
          <w:tcPr>
            <w:tcW w:w="908" w:type="dxa"/>
            <w:tcBorders>
              <w:top w:val="single" w:sz="8" w:space="0" w:color="A5A5A5" w:themeColor="accent3"/>
              <w:left w:val="single" w:sz="8" w:space="0" w:color="A5A5A5" w:themeColor="accent3"/>
              <w:bottom w:val="single" w:sz="8" w:space="0" w:color="A5A5A5" w:themeColor="accent3"/>
              <w:right w:val="single" w:sz="8" w:space="0" w:color="A5A5A5" w:themeColor="accent3"/>
            </w:tcBorders>
            <w:noWrap/>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598.2</w:t>
            </w:r>
          </w:p>
        </w:tc>
        <w:tc>
          <w:tcPr>
            <w:tcW w:w="908" w:type="dxa"/>
            <w:tcBorders>
              <w:top w:val="single" w:sz="8" w:space="0" w:color="A5A5A5" w:themeColor="accent3"/>
              <w:left w:val="single" w:sz="8" w:space="0" w:color="A5A5A5" w:themeColor="accent3"/>
              <w:bottom w:val="single" w:sz="8" w:space="0" w:color="A5A5A5" w:themeColor="accent3"/>
              <w:right w:val="nil"/>
            </w:tcBorders>
            <w:noWrap/>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390.5</w:t>
            </w:r>
          </w:p>
        </w:tc>
        <w:tc>
          <w:tcPr>
            <w:tcW w:w="977" w:type="dxa"/>
            <w:tcBorders>
              <w:top w:val="single" w:sz="8" w:space="0" w:color="A5A5A5" w:themeColor="accent3"/>
              <w:left w:val="single" w:sz="8" w:space="0" w:color="A5A5A5" w:themeColor="accent3"/>
              <w:bottom w:val="single" w:sz="8" w:space="0" w:color="A5A5A5" w:themeColor="accent3"/>
              <w:right w:val="nil"/>
            </w:tcBorders>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507.1</w:t>
            </w:r>
          </w:p>
        </w:tc>
        <w:tc>
          <w:tcPr>
            <w:tcW w:w="977" w:type="dxa"/>
            <w:tcBorders>
              <w:top w:val="single" w:sz="8" w:space="0" w:color="A5A5A5" w:themeColor="accent3"/>
              <w:left w:val="single" w:sz="8" w:space="0" w:color="A5A5A5" w:themeColor="accent3"/>
              <w:bottom w:val="single" w:sz="8" w:space="0" w:color="A5A5A5" w:themeColor="accent3"/>
              <w:right w:val="nil"/>
            </w:tcBorders>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473.6</w:t>
            </w:r>
          </w:p>
        </w:tc>
        <w:tc>
          <w:tcPr>
            <w:tcW w:w="977" w:type="dxa"/>
            <w:tcBorders>
              <w:top w:val="single" w:sz="8" w:space="0" w:color="A5A5A5" w:themeColor="accent3"/>
              <w:left w:val="single" w:sz="8" w:space="0" w:color="A5A5A5" w:themeColor="accent3"/>
              <w:bottom w:val="single" w:sz="8" w:space="0" w:color="A5A5A5" w:themeColor="accent3"/>
              <w:right w:val="single" w:sz="8" w:space="0" w:color="A5A5A5" w:themeColor="accent3"/>
            </w:tcBorders>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328.2</w:t>
            </w:r>
          </w:p>
        </w:tc>
      </w:tr>
      <w:tr w:rsidR="009E22FE" w:rsidRPr="009E22FE" w:rsidTr="006571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73" w:type="dxa"/>
            <w:tcBorders>
              <w:right w:val="single" w:sz="8" w:space="0" w:color="A5A5A5" w:themeColor="accent3"/>
            </w:tcBorders>
            <w:noWrap/>
            <w:vAlign w:val="center"/>
            <w:hideMark/>
          </w:tcPr>
          <w:p w:rsidR="0065716C" w:rsidRPr="009E22FE" w:rsidRDefault="0065716C">
            <w:pPr>
              <w:widowControl w:val="0"/>
              <w:spacing w:after="0" w:line="240" w:lineRule="auto"/>
              <w:ind w:firstLine="0"/>
              <w:jc w:val="center"/>
              <w:rPr>
                <w:rFonts w:ascii="Garamond" w:eastAsia="Times New Roman" w:hAnsi="Garamond"/>
                <w:b w:val="0"/>
                <w:sz w:val="20"/>
                <w:szCs w:val="20"/>
                <w:lang w:val="sq-AL"/>
              </w:rPr>
            </w:pPr>
            <w:r w:rsidRPr="009E22FE">
              <w:rPr>
                <w:rFonts w:ascii="Garamond" w:eastAsia="Times New Roman" w:hAnsi="Garamond"/>
                <w:b w:val="0"/>
                <w:sz w:val="20"/>
                <w:szCs w:val="20"/>
                <w:lang w:val="sq-AL"/>
              </w:rPr>
              <w:t>BER-T</w:t>
            </w:r>
          </w:p>
        </w:tc>
        <w:tc>
          <w:tcPr>
            <w:tcW w:w="908" w:type="dxa"/>
            <w:tcBorders>
              <w:left w:val="single" w:sz="8" w:space="0" w:color="A5A5A5" w:themeColor="accent3"/>
              <w:right w:val="single" w:sz="8" w:space="0" w:color="A5A5A5" w:themeColor="accent3"/>
            </w:tcBorders>
            <w:noWrap/>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w:t>
            </w:r>
          </w:p>
        </w:tc>
        <w:tc>
          <w:tcPr>
            <w:tcW w:w="908" w:type="dxa"/>
            <w:tcBorders>
              <w:left w:val="single" w:sz="8" w:space="0" w:color="A5A5A5" w:themeColor="accent3"/>
              <w:right w:val="single" w:sz="8" w:space="0" w:color="A5A5A5" w:themeColor="accent3"/>
            </w:tcBorders>
            <w:noWrap/>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w:t>
            </w:r>
          </w:p>
        </w:tc>
        <w:tc>
          <w:tcPr>
            <w:tcW w:w="908" w:type="dxa"/>
            <w:tcBorders>
              <w:left w:val="single" w:sz="8" w:space="0" w:color="A5A5A5" w:themeColor="accent3"/>
              <w:right w:val="single" w:sz="8" w:space="0" w:color="A5A5A5" w:themeColor="accent3"/>
            </w:tcBorders>
            <w:noWrap/>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w:t>
            </w:r>
          </w:p>
        </w:tc>
        <w:tc>
          <w:tcPr>
            <w:tcW w:w="908" w:type="dxa"/>
            <w:tcBorders>
              <w:left w:val="single" w:sz="8" w:space="0" w:color="A5A5A5" w:themeColor="accent3"/>
              <w:right w:val="single" w:sz="8" w:space="0" w:color="A5A5A5" w:themeColor="accent3"/>
            </w:tcBorders>
            <w:noWrap/>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w:t>
            </w:r>
          </w:p>
        </w:tc>
        <w:tc>
          <w:tcPr>
            <w:tcW w:w="908" w:type="dxa"/>
            <w:tcBorders>
              <w:left w:val="single" w:sz="8" w:space="0" w:color="A5A5A5" w:themeColor="accent3"/>
              <w:right w:val="single" w:sz="8" w:space="0" w:color="A5A5A5" w:themeColor="accent3"/>
            </w:tcBorders>
            <w:noWrap/>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8.1</w:t>
            </w:r>
          </w:p>
        </w:tc>
        <w:tc>
          <w:tcPr>
            <w:tcW w:w="908" w:type="dxa"/>
            <w:tcBorders>
              <w:left w:val="single" w:sz="8" w:space="0" w:color="A5A5A5" w:themeColor="accent3"/>
              <w:right w:val="nil"/>
            </w:tcBorders>
            <w:noWrap/>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10.5</w:t>
            </w:r>
          </w:p>
        </w:tc>
        <w:tc>
          <w:tcPr>
            <w:tcW w:w="977" w:type="dxa"/>
            <w:tcBorders>
              <w:left w:val="single" w:sz="8" w:space="0" w:color="A5A5A5" w:themeColor="accent3"/>
              <w:right w:val="nil"/>
            </w:tcBorders>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11.0</w:t>
            </w:r>
          </w:p>
        </w:tc>
        <w:tc>
          <w:tcPr>
            <w:tcW w:w="977" w:type="dxa"/>
            <w:tcBorders>
              <w:left w:val="single" w:sz="8" w:space="0" w:color="A5A5A5" w:themeColor="accent3"/>
              <w:right w:val="nil"/>
            </w:tcBorders>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8.2</w:t>
            </w:r>
          </w:p>
        </w:tc>
        <w:tc>
          <w:tcPr>
            <w:tcW w:w="977" w:type="dxa"/>
            <w:tcBorders>
              <w:left w:val="single" w:sz="8" w:space="0" w:color="A5A5A5" w:themeColor="accent3"/>
            </w:tcBorders>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13.7</w:t>
            </w:r>
          </w:p>
        </w:tc>
      </w:tr>
      <w:tr w:rsidR="009E22FE" w:rsidRPr="009E22FE" w:rsidTr="0065716C">
        <w:trPr>
          <w:trHeight w:val="300"/>
          <w:jc w:val="center"/>
        </w:trPr>
        <w:tc>
          <w:tcPr>
            <w:cnfStyle w:val="001000000000" w:firstRow="0" w:lastRow="0" w:firstColumn="1" w:lastColumn="0" w:oddVBand="0" w:evenVBand="0" w:oddHBand="0" w:evenHBand="0" w:firstRowFirstColumn="0" w:firstRowLastColumn="0" w:lastRowFirstColumn="0" w:lastRowLastColumn="0"/>
            <w:tcW w:w="1273" w:type="dxa"/>
            <w:tcBorders>
              <w:top w:val="nil"/>
              <w:left w:val="single" w:sz="8" w:space="0" w:color="A5A5A5" w:themeColor="accent3"/>
              <w:bottom w:val="nil"/>
              <w:right w:val="single" w:sz="8" w:space="0" w:color="A5A5A5" w:themeColor="accent3"/>
            </w:tcBorders>
            <w:shd w:val="clear" w:color="auto" w:fill="7B7B7B" w:themeFill="accent3" w:themeFillShade="BF"/>
            <w:noWrap/>
            <w:vAlign w:val="center"/>
            <w:hideMark/>
          </w:tcPr>
          <w:p w:rsidR="0065716C" w:rsidRPr="009E22FE" w:rsidRDefault="0065716C">
            <w:pPr>
              <w:widowControl w:val="0"/>
              <w:spacing w:after="0" w:line="240" w:lineRule="auto"/>
              <w:ind w:firstLine="0"/>
              <w:jc w:val="center"/>
              <w:rPr>
                <w:rFonts w:ascii="Garamond" w:eastAsia="Times New Roman" w:hAnsi="Garamond"/>
                <w:sz w:val="20"/>
                <w:szCs w:val="20"/>
                <w:lang w:val="sq-AL"/>
              </w:rPr>
            </w:pPr>
            <w:r w:rsidRPr="009E22FE">
              <w:rPr>
                <w:rFonts w:ascii="Garamond" w:eastAsia="Times New Roman" w:hAnsi="Garamond"/>
                <w:sz w:val="20"/>
                <w:szCs w:val="20"/>
                <w:lang w:val="sq-AL"/>
              </w:rPr>
              <w:t>BRE Total</w:t>
            </w:r>
          </w:p>
        </w:tc>
        <w:tc>
          <w:tcPr>
            <w:tcW w:w="908" w:type="dxa"/>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7B7B7B" w:themeFill="accent3" w:themeFillShade="BF"/>
            <w:noWrap/>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szCs w:val="20"/>
                <w:lang w:val="sq-AL"/>
              </w:rPr>
            </w:pPr>
            <w:r w:rsidRPr="009E22FE">
              <w:rPr>
                <w:rFonts w:ascii="Garamond" w:eastAsia="Times New Roman" w:hAnsi="Garamond"/>
                <w:b/>
                <w:sz w:val="20"/>
                <w:szCs w:val="20"/>
                <w:lang w:val="sq-AL"/>
              </w:rPr>
              <w:t>627.6</w:t>
            </w:r>
          </w:p>
        </w:tc>
        <w:tc>
          <w:tcPr>
            <w:tcW w:w="908" w:type="dxa"/>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7B7B7B" w:themeFill="accent3" w:themeFillShade="BF"/>
            <w:noWrap/>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szCs w:val="20"/>
                <w:lang w:val="sq-AL"/>
              </w:rPr>
            </w:pPr>
            <w:r w:rsidRPr="009E22FE">
              <w:rPr>
                <w:rFonts w:ascii="Garamond" w:eastAsia="Times New Roman" w:hAnsi="Garamond"/>
                <w:b/>
                <w:sz w:val="20"/>
                <w:szCs w:val="20"/>
                <w:lang w:val="sq-AL"/>
              </w:rPr>
              <w:t>625.3</w:t>
            </w:r>
          </w:p>
        </w:tc>
        <w:tc>
          <w:tcPr>
            <w:tcW w:w="908" w:type="dxa"/>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7B7B7B" w:themeFill="accent3" w:themeFillShade="BF"/>
            <w:noWrap/>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szCs w:val="20"/>
                <w:lang w:val="sq-AL"/>
              </w:rPr>
            </w:pPr>
            <w:r w:rsidRPr="009E22FE">
              <w:rPr>
                <w:rFonts w:ascii="Garamond" w:eastAsia="Times New Roman" w:hAnsi="Garamond"/>
                <w:b/>
                <w:sz w:val="20"/>
                <w:szCs w:val="20"/>
                <w:lang w:val="sq-AL"/>
              </w:rPr>
              <w:t>557.3</w:t>
            </w:r>
          </w:p>
        </w:tc>
        <w:tc>
          <w:tcPr>
            <w:tcW w:w="908" w:type="dxa"/>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7B7B7B" w:themeFill="accent3" w:themeFillShade="BF"/>
            <w:noWrap/>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szCs w:val="20"/>
                <w:lang w:val="sq-AL"/>
              </w:rPr>
            </w:pPr>
            <w:r w:rsidRPr="009E22FE">
              <w:rPr>
                <w:rFonts w:ascii="Garamond" w:eastAsia="Times New Roman" w:hAnsi="Garamond"/>
                <w:b/>
                <w:sz w:val="20"/>
                <w:szCs w:val="20"/>
                <w:lang w:val="sq-AL"/>
              </w:rPr>
              <w:t>624.6</w:t>
            </w:r>
          </w:p>
        </w:tc>
        <w:tc>
          <w:tcPr>
            <w:tcW w:w="908" w:type="dxa"/>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7B7B7B" w:themeFill="accent3" w:themeFillShade="BF"/>
            <w:noWrap/>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szCs w:val="20"/>
                <w:lang w:val="sq-AL"/>
              </w:rPr>
            </w:pPr>
            <w:r w:rsidRPr="009E22FE">
              <w:rPr>
                <w:rFonts w:ascii="Garamond" w:eastAsia="Times New Roman" w:hAnsi="Garamond"/>
                <w:b/>
                <w:sz w:val="20"/>
                <w:szCs w:val="20"/>
                <w:lang w:val="sq-AL"/>
              </w:rPr>
              <w:t>819.7</w:t>
            </w:r>
          </w:p>
        </w:tc>
        <w:tc>
          <w:tcPr>
            <w:tcW w:w="908" w:type="dxa"/>
            <w:tcBorders>
              <w:top w:val="single" w:sz="8" w:space="0" w:color="A5A5A5" w:themeColor="accent3"/>
              <w:left w:val="single" w:sz="8" w:space="0" w:color="A5A5A5" w:themeColor="accent3"/>
              <w:bottom w:val="single" w:sz="8" w:space="0" w:color="A5A5A5" w:themeColor="accent3"/>
              <w:right w:val="nil"/>
            </w:tcBorders>
            <w:shd w:val="clear" w:color="auto" w:fill="7B7B7B" w:themeFill="accent3" w:themeFillShade="BF"/>
            <w:noWrap/>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szCs w:val="20"/>
                <w:lang w:val="sq-AL"/>
              </w:rPr>
            </w:pPr>
            <w:r w:rsidRPr="009E22FE">
              <w:rPr>
                <w:rFonts w:ascii="Garamond" w:eastAsia="Times New Roman" w:hAnsi="Garamond"/>
                <w:b/>
                <w:sz w:val="20"/>
                <w:szCs w:val="20"/>
                <w:lang w:val="sq-AL"/>
              </w:rPr>
              <w:t>606.3</w:t>
            </w:r>
          </w:p>
        </w:tc>
        <w:tc>
          <w:tcPr>
            <w:tcW w:w="977" w:type="dxa"/>
            <w:tcBorders>
              <w:top w:val="single" w:sz="8" w:space="0" w:color="A5A5A5" w:themeColor="accent3"/>
              <w:left w:val="single" w:sz="8" w:space="0" w:color="A5A5A5" w:themeColor="accent3"/>
              <w:bottom w:val="single" w:sz="8" w:space="0" w:color="A5A5A5" w:themeColor="accent3"/>
              <w:right w:val="nil"/>
            </w:tcBorders>
            <w:shd w:val="clear" w:color="auto" w:fill="7B7B7B" w:themeFill="accent3" w:themeFillShade="BF"/>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szCs w:val="20"/>
                <w:lang w:val="sq-AL"/>
              </w:rPr>
            </w:pPr>
            <w:r w:rsidRPr="009E22FE">
              <w:rPr>
                <w:rFonts w:ascii="Garamond" w:eastAsia="Times New Roman" w:hAnsi="Garamond"/>
                <w:b/>
                <w:sz w:val="20"/>
                <w:szCs w:val="20"/>
                <w:lang w:val="sq-AL"/>
              </w:rPr>
              <w:t>734.8</w:t>
            </w:r>
          </w:p>
        </w:tc>
        <w:tc>
          <w:tcPr>
            <w:tcW w:w="977" w:type="dxa"/>
            <w:tcBorders>
              <w:top w:val="single" w:sz="8" w:space="0" w:color="A5A5A5" w:themeColor="accent3"/>
              <w:left w:val="single" w:sz="8" w:space="0" w:color="A5A5A5" w:themeColor="accent3"/>
              <w:bottom w:val="single" w:sz="8" w:space="0" w:color="A5A5A5" w:themeColor="accent3"/>
              <w:right w:val="nil"/>
            </w:tcBorders>
            <w:shd w:val="clear" w:color="auto" w:fill="7B7B7B" w:themeFill="accent3" w:themeFillShade="BF"/>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szCs w:val="20"/>
                <w:lang w:val="sq-AL"/>
              </w:rPr>
            </w:pPr>
            <w:r w:rsidRPr="009E22FE">
              <w:rPr>
                <w:rFonts w:ascii="Garamond" w:eastAsia="Times New Roman" w:hAnsi="Garamond"/>
                <w:b/>
                <w:sz w:val="20"/>
                <w:szCs w:val="20"/>
                <w:lang w:val="sq-AL"/>
              </w:rPr>
              <w:t>685.4</w:t>
            </w:r>
          </w:p>
        </w:tc>
        <w:tc>
          <w:tcPr>
            <w:tcW w:w="977" w:type="dxa"/>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7B7B7B" w:themeFill="accent3" w:themeFillShade="BF"/>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szCs w:val="20"/>
                <w:lang w:val="sq-AL"/>
              </w:rPr>
            </w:pPr>
            <w:r w:rsidRPr="009E22FE">
              <w:rPr>
                <w:rFonts w:ascii="Garamond" w:eastAsia="Times New Roman" w:hAnsi="Garamond"/>
                <w:b/>
                <w:sz w:val="20"/>
                <w:szCs w:val="20"/>
                <w:lang w:val="sq-AL"/>
              </w:rPr>
              <w:t>565.2</w:t>
            </w:r>
          </w:p>
        </w:tc>
      </w:tr>
      <w:tr w:rsidR="009E22FE" w:rsidRPr="009E22FE" w:rsidTr="006571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73" w:type="dxa"/>
            <w:tcBorders>
              <w:right w:val="single" w:sz="8" w:space="0" w:color="A5A5A5" w:themeColor="accent3"/>
            </w:tcBorders>
            <w:noWrap/>
            <w:vAlign w:val="center"/>
            <w:hideMark/>
          </w:tcPr>
          <w:p w:rsidR="0065716C" w:rsidRPr="009E22FE" w:rsidRDefault="0065716C">
            <w:pPr>
              <w:widowControl w:val="0"/>
              <w:spacing w:after="0" w:line="240" w:lineRule="auto"/>
              <w:ind w:firstLine="0"/>
              <w:jc w:val="center"/>
              <w:rPr>
                <w:rFonts w:ascii="Garamond" w:eastAsia="Times New Roman" w:hAnsi="Garamond"/>
                <w:sz w:val="20"/>
                <w:szCs w:val="20"/>
                <w:lang w:val="sq-AL"/>
              </w:rPr>
            </w:pPr>
            <w:r w:rsidRPr="009E22FE">
              <w:rPr>
                <w:rFonts w:ascii="Garamond" w:eastAsia="Times New Roman" w:hAnsi="Garamond"/>
                <w:sz w:val="20"/>
                <w:szCs w:val="20"/>
                <w:lang w:val="sq-AL"/>
              </w:rPr>
              <w:t>KFBE</w:t>
            </w:r>
          </w:p>
        </w:tc>
        <w:tc>
          <w:tcPr>
            <w:tcW w:w="908" w:type="dxa"/>
            <w:tcBorders>
              <w:left w:val="single" w:sz="8" w:space="0" w:color="A5A5A5" w:themeColor="accent3"/>
              <w:right w:val="single" w:sz="8" w:space="0" w:color="A5A5A5" w:themeColor="accent3"/>
            </w:tcBorders>
            <w:noWrap/>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2,103.9</w:t>
            </w:r>
          </w:p>
        </w:tc>
        <w:tc>
          <w:tcPr>
            <w:tcW w:w="908" w:type="dxa"/>
            <w:tcBorders>
              <w:left w:val="single" w:sz="8" w:space="0" w:color="A5A5A5" w:themeColor="accent3"/>
              <w:right w:val="single" w:sz="8" w:space="0" w:color="A5A5A5" w:themeColor="accent3"/>
            </w:tcBorders>
            <w:noWrap/>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2,105.5</w:t>
            </w:r>
          </w:p>
        </w:tc>
        <w:tc>
          <w:tcPr>
            <w:tcW w:w="908" w:type="dxa"/>
            <w:tcBorders>
              <w:left w:val="single" w:sz="8" w:space="0" w:color="A5A5A5" w:themeColor="accent3"/>
              <w:right w:val="single" w:sz="8" w:space="0" w:color="A5A5A5" w:themeColor="accent3"/>
            </w:tcBorders>
            <w:noWrap/>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2,161.8</w:t>
            </w:r>
          </w:p>
        </w:tc>
        <w:tc>
          <w:tcPr>
            <w:tcW w:w="908" w:type="dxa"/>
            <w:tcBorders>
              <w:left w:val="single" w:sz="8" w:space="0" w:color="A5A5A5" w:themeColor="accent3"/>
              <w:right w:val="single" w:sz="8" w:space="0" w:color="A5A5A5" w:themeColor="accent3"/>
            </w:tcBorders>
            <w:noWrap/>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2,014.2</w:t>
            </w:r>
          </w:p>
        </w:tc>
        <w:tc>
          <w:tcPr>
            <w:tcW w:w="908" w:type="dxa"/>
            <w:tcBorders>
              <w:left w:val="single" w:sz="8" w:space="0" w:color="A5A5A5" w:themeColor="accent3"/>
              <w:right w:val="single" w:sz="8" w:space="0" w:color="A5A5A5" w:themeColor="accent3"/>
            </w:tcBorders>
            <w:noWrap/>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2,345.9</w:t>
            </w:r>
          </w:p>
        </w:tc>
        <w:tc>
          <w:tcPr>
            <w:tcW w:w="908" w:type="dxa"/>
            <w:tcBorders>
              <w:left w:val="single" w:sz="8" w:space="0" w:color="A5A5A5" w:themeColor="accent3"/>
              <w:right w:val="nil"/>
            </w:tcBorders>
            <w:noWrap/>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1994.2</w:t>
            </w:r>
          </w:p>
        </w:tc>
        <w:tc>
          <w:tcPr>
            <w:tcW w:w="977" w:type="dxa"/>
            <w:tcBorders>
              <w:left w:val="single" w:sz="8" w:space="0" w:color="A5A5A5" w:themeColor="accent3"/>
              <w:right w:val="nil"/>
            </w:tcBorders>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2065.3</w:t>
            </w:r>
          </w:p>
        </w:tc>
        <w:tc>
          <w:tcPr>
            <w:tcW w:w="977" w:type="dxa"/>
            <w:tcBorders>
              <w:left w:val="single" w:sz="8" w:space="0" w:color="A5A5A5" w:themeColor="accent3"/>
              <w:right w:val="nil"/>
            </w:tcBorders>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2056.3</w:t>
            </w:r>
          </w:p>
        </w:tc>
        <w:tc>
          <w:tcPr>
            <w:tcW w:w="977" w:type="dxa"/>
            <w:tcBorders>
              <w:left w:val="single" w:sz="8" w:space="0" w:color="A5A5A5" w:themeColor="accent3"/>
            </w:tcBorders>
            <w:vAlign w:val="center"/>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szCs w:val="20"/>
                <w:lang w:val="sq-AL"/>
              </w:rPr>
            </w:pPr>
            <w:r w:rsidRPr="009E22FE">
              <w:rPr>
                <w:rFonts w:ascii="Garamond" w:eastAsia="Times New Roman" w:hAnsi="Garamond"/>
                <w:sz w:val="20"/>
                <w:szCs w:val="20"/>
                <w:lang w:val="sq-AL"/>
              </w:rPr>
              <w:t>2070.2</w:t>
            </w:r>
          </w:p>
        </w:tc>
      </w:tr>
      <w:tr w:rsidR="009E22FE" w:rsidRPr="009E22FE" w:rsidTr="0065716C">
        <w:trPr>
          <w:trHeight w:val="300"/>
          <w:jc w:val="center"/>
        </w:trPr>
        <w:tc>
          <w:tcPr>
            <w:cnfStyle w:val="001000000000" w:firstRow="0" w:lastRow="0" w:firstColumn="1" w:lastColumn="0" w:oddVBand="0" w:evenVBand="0" w:oddHBand="0" w:evenHBand="0" w:firstRowFirstColumn="0" w:firstRowLastColumn="0" w:lastRowFirstColumn="0" w:lastRowLastColumn="0"/>
            <w:tcW w:w="1273" w:type="dxa"/>
            <w:tcBorders>
              <w:top w:val="nil"/>
              <w:left w:val="single" w:sz="8" w:space="0" w:color="A5A5A5" w:themeColor="accent3"/>
              <w:bottom w:val="single" w:sz="8" w:space="0" w:color="A5A5A5" w:themeColor="accent3"/>
              <w:right w:val="single" w:sz="8" w:space="0" w:color="A5A5A5" w:themeColor="accent3"/>
            </w:tcBorders>
            <w:shd w:val="clear" w:color="auto" w:fill="7B7B7B" w:themeFill="accent3" w:themeFillShade="BF"/>
            <w:noWrap/>
            <w:vAlign w:val="center"/>
            <w:hideMark/>
          </w:tcPr>
          <w:p w:rsidR="0065716C" w:rsidRPr="009E22FE" w:rsidRDefault="0065716C">
            <w:pPr>
              <w:widowControl w:val="0"/>
              <w:spacing w:after="0" w:line="240" w:lineRule="auto"/>
              <w:ind w:firstLine="0"/>
              <w:jc w:val="center"/>
              <w:rPr>
                <w:rFonts w:ascii="Garamond" w:eastAsia="Times New Roman" w:hAnsi="Garamond"/>
                <w:sz w:val="20"/>
                <w:szCs w:val="20"/>
                <w:lang w:val="sq-AL"/>
              </w:rPr>
            </w:pPr>
            <w:r w:rsidRPr="009E22FE">
              <w:rPr>
                <w:rFonts w:ascii="Garamond" w:eastAsia="Times New Roman" w:hAnsi="Garamond"/>
                <w:sz w:val="20"/>
                <w:szCs w:val="20"/>
                <w:lang w:val="sq-AL"/>
              </w:rPr>
              <w:t>RES %</w:t>
            </w:r>
          </w:p>
        </w:tc>
        <w:tc>
          <w:tcPr>
            <w:tcW w:w="908" w:type="dxa"/>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7B7B7B" w:themeFill="accent3" w:themeFillShade="BF"/>
            <w:noWrap/>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szCs w:val="20"/>
                <w:lang w:val="sq-AL"/>
              </w:rPr>
            </w:pPr>
            <w:r w:rsidRPr="009E22FE">
              <w:rPr>
                <w:rFonts w:ascii="Garamond" w:eastAsia="Times New Roman" w:hAnsi="Garamond"/>
                <w:b/>
                <w:sz w:val="20"/>
                <w:szCs w:val="20"/>
                <w:lang w:val="sq-AL"/>
              </w:rPr>
              <w:t>29.8%</w:t>
            </w:r>
          </w:p>
        </w:tc>
        <w:tc>
          <w:tcPr>
            <w:tcW w:w="908" w:type="dxa"/>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7B7B7B" w:themeFill="accent3" w:themeFillShade="BF"/>
            <w:noWrap/>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szCs w:val="20"/>
                <w:lang w:val="sq-AL"/>
              </w:rPr>
            </w:pPr>
            <w:r w:rsidRPr="009E22FE">
              <w:rPr>
                <w:rFonts w:ascii="Garamond" w:eastAsia="Times New Roman" w:hAnsi="Garamond"/>
                <w:b/>
                <w:sz w:val="20"/>
                <w:szCs w:val="20"/>
                <w:lang w:val="sq-AL"/>
              </w:rPr>
              <w:t>29.7%</w:t>
            </w:r>
          </w:p>
        </w:tc>
        <w:tc>
          <w:tcPr>
            <w:tcW w:w="908" w:type="dxa"/>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7B7B7B" w:themeFill="accent3" w:themeFillShade="BF"/>
            <w:noWrap/>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szCs w:val="20"/>
                <w:lang w:val="sq-AL"/>
              </w:rPr>
            </w:pPr>
            <w:r w:rsidRPr="009E22FE">
              <w:rPr>
                <w:rFonts w:ascii="Garamond" w:eastAsia="Times New Roman" w:hAnsi="Garamond"/>
                <w:b/>
                <w:sz w:val="20"/>
                <w:szCs w:val="20"/>
                <w:lang w:val="sq-AL"/>
              </w:rPr>
              <w:t>25.8%</w:t>
            </w:r>
          </w:p>
        </w:tc>
        <w:tc>
          <w:tcPr>
            <w:tcW w:w="908" w:type="dxa"/>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7B7B7B" w:themeFill="accent3" w:themeFillShade="BF"/>
            <w:noWrap/>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szCs w:val="20"/>
                <w:lang w:val="sq-AL"/>
              </w:rPr>
            </w:pPr>
            <w:r w:rsidRPr="009E22FE">
              <w:rPr>
                <w:rFonts w:ascii="Garamond" w:eastAsia="Times New Roman" w:hAnsi="Garamond"/>
                <w:b/>
                <w:sz w:val="20"/>
                <w:szCs w:val="20"/>
                <w:lang w:val="sq-AL"/>
              </w:rPr>
              <w:t>31.0%</w:t>
            </w:r>
          </w:p>
        </w:tc>
        <w:tc>
          <w:tcPr>
            <w:tcW w:w="908" w:type="dxa"/>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7B7B7B" w:themeFill="accent3" w:themeFillShade="BF"/>
            <w:noWrap/>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szCs w:val="20"/>
                <w:lang w:val="sq-AL"/>
              </w:rPr>
            </w:pPr>
            <w:r w:rsidRPr="009E22FE">
              <w:rPr>
                <w:rFonts w:ascii="Garamond" w:eastAsia="Times New Roman" w:hAnsi="Garamond"/>
                <w:b/>
                <w:sz w:val="20"/>
                <w:szCs w:val="20"/>
                <w:lang w:val="sq-AL"/>
              </w:rPr>
              <w:t>34.9%</w:t>
            </w:r>
          </w:p>
        </w:tc>
        <w:tc>
          <w:tcPr>
            <w:tcW w:w="908" w:type="dxa"/>
            <w:tcBorders>
              <w:top w:val="single" w:sz="8" w:space="0" w:color="A5A5A5" w:themeColor="accent3"/>
              <w:left w:val="single" w:sz="8" w:space="0" w:color="A5A5A5" w:themeColor="accent3"/>
              <w:bottom w:val="single" w:sz="8" w:space="0" w:color="A5A5A5" w:themeColor="accent3"/>
              <w:right w:val="nil"/>
            </w:tcBorders>
            <w:shd w:val="clear" w:color="auto" w:fill="7B7B7B" w:themeFill="accent3" w:themeFillShade="BF"/>
            <w:noWrap/>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szCs w:val="20"/>
                <w:lang w:val="sq-AL"/>
              </w:rPr>
            </w:pPr>
            <w:r w:rsidRPr="009E22FE">
              <w:rPr>
                <w:rFonts w:ascii="Garamond" w:eastAsia="Times New Roman" w:hAnsi="Garamond"/>
                <w:b/>
                <w:sz w:val="20"/>
                <w:szCs w:val="20"/>
                <w:lang w:val="sq-AL"/>
              </w:rPr>
              <w:t>25.9%</w:t>
            </w:r>
          </w:p>
        </w:tc>
        <w:tc>
          <w:tcPr>
            <w:tcW w:w="977" w:type="dxa"/>
            <w:tcBorders>
              <w:top w:val="single" w:sz="8" w:space="0" w:color="A5A5A5" w:themeColor="accent3"/>
              <w:left w:val="single" w:sz="8" w:space="0" w:color="A5A5A5" w:themeColor="accent3"/>
              <w:bottom w:val="single" w:sz="8" w:space="0" w:color="A5A5A5" w:themeColor="accent3"/>
              <w:right w:val="nil"/>
            </w:tcBorders>
            <w:shd w:val="clear" w:color="auto" w:fill="7B7B7B" w:themeFill="accent3" w:themeFillShade="BF"/>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szCs w:val="20"/>
                <w:lang w:val="sq-AL"/>
              </w:rPr>
            </w:pPr>
            <w:r w:rsidRPr="009E22FE">
              <w:rPr>
                <w:rFonts w:ascii="Garamond" w:eastAsia="Times New Roman" w:hAnsi="Garamond"/>
                <w:b/>
                <w:sz w:val="20"/>
                <w:szCs w:val="20"/>
                <w:lang w:val="sq-AL"/>
              </w:rPr>
              <w:t>35.6%</w:t>
            </w:r>
          </w:p>
        </w:tc>
        <w:tc>
          <w:tcPr>
            <w:tcW w:w="977" w:type="dxa"/>
            <w:tcBorders>
              <w:top w:val="single" w:sz="8" w:space="0" w:color="A5A5A5" w:themeColor="accent3"/>
              <w:left w:val="single" w:sz="8" w:space="0" w:color="A5A5A5" w:themeColor="accent3"/>
              <w:bottom w:val="single" w:sz="8" w:space="0" w:color="A5A5A5" w:themeColor="accent3"/>
              <w:right w:val="nil"/>
            </w:tcBorders>
            <w:shd w:val="clear" w:color="auto" w:fill="7B7B7B" w:themeFill="accent3" w:themeFillShade="BF"/>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szCs w:val="20"/>
                <w:lang w:val="sq-AL"/>
              </w:rPr>
            </w:pPr>
            <w:r w:rsidRPr="009E22FE">
              <w:rPr>
                <w:rFonts w:ascii="Garamond" w:eastAsia="Times New Roman" w:hAnsi="Garamond"/>
                <w:b/>
                <w:sz w:val="20"/>
                <w:szCs w:val="20"/>
                <w:lang w:val="sq-AL"/>
              </w:rPr>
              <w:t>33.3%</w:t>
            </w:r>
          </w:p>
        </w:tc>
        <w:tc>
          <w:tcPr>
            <w:tcW w:w="977" w:type="dxa"/>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7B7B7B" w:themeFill="accent3" w:themeFillShade="BF"/>
            <w:vAlign w:val="center"/>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szCs w:val="20"/>
                <w:lang w:val="sq-AL"/>
              </w:rPr>
            </w:pPr>
            <w:r w:rsidRPr="009E22FE">
              <w:rPr>
                <w:rFonts w:ascii="Garamond" w:eastAsia="Times New Roman" w:hAnsi="Garamond"/>
                <w:b/>
                <w:sz w:val="20"/>
                <w:szCs w:val="20"/>
                <w:lang w:val="sq-AL"/>
              </w:rPr>
              <w:t>27.3%</w:t>
            </w:r>
          </w:p>
        </w:tc>
      </w:tr>
    </w:tbl>
    <w:p w:rsidR="0065716C" w:rsidRPr="009E22FE" w:rsidRDefault="0065716C" w:rsidP="0065716C">
      <w:pPr>
        <w:widowControl w:val="0"/>
        <w:spacing w:after="0" w:line="240" w:lineRule="auto"/>
        <w:rPr>
          <w:rFonts w:ascii="Garamond" w:hAnsi="Garamond"/>
          <w:sz w:val="24"/>
          <w:szCs w:val="24"/>
          <w:lang w:val="sq-AL"/>
        </w:rPr>
      </w:pPr>
    </w:p>
    <w:p w:rsidR="0065716C" w:rsidRPr="009E22FE" w:rsidRDefault="0065716C" w:rsidP="0065716C">
      <w:pPr>
        <w:spacing w:after="0" w:line="240" w:lineRule="auto"/>
        <w:ind w:firstLine="0"/>
        <w:jc w:val="left"/>
        <w:rPr>
          <w:rFonts w:ascii="Garamond" w:hAnsi="Garamond"/>
          <w:spacing w:val="-4"/>
          <w:sz w:val="24"/>
          <w:szCs w:val="24"/>
          <w:lang w:val="sq-AL"/>
        </w:rPr>
        <w:sectPr w:rsidR="0065716C" w:rsidRPr="009E22FE" w:rsidSect="0065716C">
          <w:type w:val="continuous"/>
          <w:pgSz w:w="11907" w:h="16840"/>
          <w:pgMar w:top="720" w:right="1134" w:bottom="720" w:left="1134" w:header="851" w:footer="851" w:gutter="0"/>
          <w:cols w:space="720"/>
        </w:sectPr>
      </w:pP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Duke interpretuar bilancin më të fundit energjetik për Shqipërinë, të nxjerrë nga Agjencia Kombëtare e Burimeve Natyrore (AKBN), për vitin 2017, nga një konsum final bruto i burimeve primare të energjisë KFBE, prej 2070. ktoe, 328.2 ktoe janë konsumuar nga burimet hidrike të cilat për 2017-ën kanë qenë minimale, kontributi i biomasës dhe energjisë diellore për ujë të ngrohtë sanitar ka qenë përkatësisht 180.0 dhe 12.1 ktoe (total 213.3 ktoe) dhe konsumi i biokarburanteve ka qenë 11.5 ktoe. Totali i BRE-ve të konsumuara në territorin tonë është i barabartë me 606.3 ktoe dhe përbën 32.0% të KFBE-së.</w:t>
      </w:r>
    </w:p>
    <w:p w:rsidR="0065716C" w:rsidRPr="009E22FE" w:rsidRDefault="0065716C" w:rsidP="0065716C">
      <w:pPr>
        <w:pStyle w:val="Heading3"/>
        <w:keepNext w:val="0"/>
        <w:keepLines w:val="0"/>
        <w:widowControl w:val="0"/>
        <w:numPr>
          <w:ilvl w:val="2"/>
          <w:numId w:val="19"/>
        </w:numPr>
        <w:tabs>
          <w:tab w:val="left" w:pos="900"/>
        </w:tabs>
        <w:spacing w:before="0" w:line="240" w:lineRule="auto"/>
        <w:ind w:left="0" w:firstLine="284"/>
        <w:rPr>
          <w:rFonts w:ascii="Garamond" w:hAnsi="Garamond"/>
          <w:b/>
          <w:i/>
          <w:color w:val="auto"/>
          <w:lang w:val="sq-AL"/>
        </w:rPr>
      </w:pPr>
      <w:bookmarkStart w:id="14" w:name="_Toc505599668"/>
      <w:bookmarkStart w:id="15" w:name="_Toc425777124"/>
      <w:r w:rsidRPr="009E22FE">
        <w:rPr>
          <w:rFonts w:ascii="Garamond" w:hAnsi="Garamond"/>
          <w:color w:val="auto"/>
          <w:lang w:val="sq-AL"/>
        </w:rPr>
        <w:t>Statusi i B</w:t>
      </w:r>
      <w:bookmarkEnd w:id="14"/>
      <w:bookmarkEnd w:id="15"/>
      <w:r w:rsidRPr="009E22FE">
        <w:rPr>
          <w:rFonts w:ascii="Garamond" w:hAnsi="Garamond"/>
          <w:color w:val="auto"/>
          <w:lang w:val="sq-AL"/>
        </w:rPr>
        <w:t>RE-ve</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Në maj të vitit 2009, Sekretariati i Komunitetit të Energjisë filloi zbatimin e direktivës 2009/28/BE në nivelin e vendeve kontraktuese të traktatit, ku bën pjesë edhe Shqipëria. Me vendimin e Këshillit të Ministrave të Traktatit Komunitetit të Energjisë, 2012/04/MC-EnC</w:t>
      </w:r>
      <w:r w:rsidRPr="009E22FE">
        <w:rPr>
          <w:rStyle w:val="FootnoteReference"/>
          <w:rFonts w:ascii="Garamond" w:hAnsi="Garamond"/>
          <w:sz w:val="24"/>
          <w:szCs w:val="24"/>
          <w:lang w:val="sq-AL"/>
        </w:rPr>
        <w:footnoteReference w:id="8"/>
      </w:r>
      <w:r w:rsidRPr="009E22FE">
        <w:rPr>
          <w:rFonts w:ascii="Garamond" w:hAnsi="Garamond"/>
          <w:sz w:val="24"/>
          <w:szCs w:val="24"/>
          <w:lang w:val="sq-AL"/>
        </w:rPr>
        <w:t xml:space="preserve">, Shqipëria mori detyrimin për zbatimin e direktivës së re për energjinë e rinovueshme 2009/28/EC. Në aneksin 4 të këtij vendimi, detyrimi për rritjen e përqindjes së energjisë së rinovueshme në konsumin total të energjisë (si vit bazë, 2009) për Shqipërinë në veçanti, është konfirmuar 38% deri në vitin 2020.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Nisur nga sa më sipër, llogaritjet dëshmojnë se, objektivi kombëtar gjatë viteve 2009</w:t>
      </w:r>
      <w:r w:rsidRPr="009E22FE">
        <w:rPr>
          <w:rFonts w:ascii="Garamond" w:hAnsi="Garamond"/>
          <w:sz w:val="21"/>
          <w:szCs w:val="21"/>
          <w:lang w:val="sq-AL" w:eastAsia="sq-AL"/>
        </w:rPr>
        <w:t>–</w:t>
      </w:r>
      <w:r w:rsidRPr="009E22FE">
        <w:rPr>
          <w:rFonts w:ascii="Garamond" w:hAnsi="Garamond"/>
          <w:sz w:val="24"/>
          <w:szCs w:val="24"/>
          <w:lang w:val="sq-AL"/>
        </w:rPr>
        <w:t>2017 ka qenë mjaft i paqëndrueshëm, duke marrë vlerat minimale prej 25.8% (2011) në ato maksimale prej 35.6% (2015). Kjo shpjegon edhe një herë faktin, se Shqipëria bazohet kryesisht në prodhimin hidro të energjisë elektrike, prodhim i cili ka një impakt të konsiderueshëm në paqëndrueshmërinë e objektivit kombëtar të BRE-ve. Llogaritjet tregojnë se gjatë viteve 2009</w:t>
      </w:r>
      <w:r w:rsidRPr="009E22FE">
        <w:rPr>
          <w:rFonts w:ascii="Garamond" w:hAnsi="Garamond"/>
          <w:sz w:val="21"/>
          <w:szCs w:val="21"/>
          <w:lang w:val="sq-AL" w:eastAsia="sq-AL"/>
        </w:rPr>
        <w:t>–</w:t>
      </w:r>
      <w:r w:rsidRPr="009E22FE">
        <w:rPr>
          <w:rFonts w:ascii="Garamond" w:hAnsi="Garamond"/>
          <w:sz w:val="24"/>
          <w:szCs w:val="24"/>
          <w:lang w:val="sq-AL"/>
        </w:rPr>
        <w:t>2017, Shqipëria ka konsumuar mesatarisht 32.0% të BRE-v në konsumit final të burimeve të energjisë (KFBE).</w:t>
      </w:r>
    </w:p>
    <w:p w:rsidR="0065716C" w:rsidRPr="009E22FE" w:rsidRDefault="0065716C" w:rsidP="0065716C">
      <w:pPr>
        <w:pStyle w:val="ListParagraph"/>
        <w:widowControl w:val="0"/>
        <w:numPr>
          <w:ilvl w:val="0"/>
          <w:numId w:val="23"/>
        </w:numPr>
        <w:spacing w:after="0" w:line="240" w:lineRule="auto"/>
        <w:ind w:left="0" w:firstLine="284"/>
        <w:jc w:val="both"/>
        <w:outlineLvl w:val="3"/>
        <w:rPr>
          <w:rFonts w:ascii="Garamond" w:eastAsia="Calibri" w:hAnsi="Garamond"/>
          <w:bCs/>
          <w:vanish/>
          <w:sz w:val="24"/>
          <w:szCs w:val="24"/>
          <w:lang w:val="sq-AL"/>
        </w:rPr>
      </w:pPr>
      <w:bookmarkStart w:id="16" w:name="_Toc323817388"/>
    </w:p>
    <w:p w:rsidR="0065716C" w:rsidRPr="009E22FE" w:rsidRDefault="0065716C" w:rsidP="0065716C">
      <w:pPr>
        <w:pStyle w:val="ListParagraph"/>
        <w:widowControl w:val="0"/>
        <w:numPr>
          <w:ilvl w:val="1"/>
          <w:numId w:val="23"/>
        </w:numPr>
        <w:spacing w:after="0" w:line="240" w:lineRule="auto"/>
        <w:ind w:left="0" w:firstLine="284"/>
        <w:jc w:val="both"/>
        <w:outlineLvl w:val="3"/>
        <w:rPr>
          <w:rFonts w:ascii="Garamond" w:eastAsia="Calibri" w:hAnsi="Garamond"/>
          <w:bCs/>
          <w:vanish/>
          <w:sz w:val="24"/>
          <w:szCs w:val="24"/>
          <w:lang w:val="sq-AL"/>
        </w:rPr>
      </w:pPr>
    </w:p>
    <w:p w:rsidR="0065716C" w:rsidRPr="009E22FE" w:rsidRDefault="0065716C" w:rsidP="0065716C">
      <w:pPr>
        <w:pStyle w:val="ListParagraph"/>
        <w:widowControl w:val="0"/>
        <w:numPr>
          <w:ilvl w:val="1"/>
          <w:numId w:val="23"/>
        </w:numPr>
        <w:spacing w:after="0" w:line="240" w:lineRule="auto"/>
        <w:ind w:left="0" w:firstLine="284"/>
        <w:jc w:val="both"/>
        <w:outlineLvl w:val="3"/>
        <w:rPr>
          <w:rFonts w:ascii="Garamond" w:eastAsia="Calibri" w:hAnsi="Garamond"/>
          <w:bCs/>
          <w:vanish/>
          <w:sz w:val="24"/>
          <w:szCs w:val="24"/>
          <w:lang w:val="sq-AL"/>
        </w:rPr>
      </w:pPr>
    </w:p>
    <w:p w:rsidR="0065716C" w:rsidRPr="009E22FE" w:rsidRDefault="0065716C" w:rsidP="0065716C">
      <w:pPr>
        <w:pStyle w:val="ListParagraph"/>
        <w:widowControl w:val="0"/>
        <w:numPr>
          <w:ilvl w:val="2"/>
          <w:numId w:val="23"/>
        </w:numPr>
        <w:spacing w:after="0" w:line="240" w:lineRule="auto"/>
        <w:ind w:left="0" w:firstLine="284"/>
        <w:jc w:val="both"/>
        <w:outlineLvl w:val="3"/>
        <w:rPr>
          <w:rFonts w:ascii="Garamond" w:eastAsia="Calibri" w:hAnsi="Garamond"/>
          <w:bCs/>
          <w:vanish/>
          <w:sz w:val="24"/>
          <w:szCs w:val="24"/>
          <w:lang w:val="sq-AL"/>
        </w:rPr>
      </w:pPr>
    </w:p>
    <w:p w:rsidR="0065716C" w:rsidRPr="009E22FE" w:rsidRDefault="0065716C" w:rsidP="0065716C">
      <w:pPr>
        <w:pStyle w:val="ListParagraph"/>
        <w:widowControl w:val="0"/>
        <w:numPr>
          <w:ilvl w:val="3"/>
          <w:numId w:val="23"/>
        </w:numPr>
        <w:spacing w:after="0" w:line="240" w:lineRule="auto"/>
        <w:ind w:left="0" w:firstLine="284"/>
        <w:jc w:val="both"/>
        <w:outlineLvl w:val="3"/>
        <w:rPr>
          <w:rFonts w:ascii="Garamond" w:eastAsia="Calibri" w:hAnsi="Garamond"/>
          <w:bCs/>
          <w:vanish/>
          <w:sz w:val="24"/>
          <w:szCs w:val="24"/>
          <w:lang w:val="sq-AL"/>
        </w:rPr>
      </w:pPr>
    </w:p>
    <w:p w:rsidR="0065716C" w:rsidRPr="009E22FE" w:rsidRDefault="0065716C" w:rsidP="0065716C">
      <w:pPr>
        <w:pStyle w:val="ListParagraph"/>
        <w:widowControl w:val="0"/>
        <w:spacing w:after="0" w:line="240" w:lineRule="auto"/>
        <w:ind w:left="0" w:firstLine="284"/>
        <w:outlineLvl w:val="3"/>
        <w:rPr>
          <w:rFonts w:ascii="Garamond" w:hAnsi="Garamond"/>
          <w:sz w:val="24"/>
          <w:szCs w:val="24"/>
          <w:lang w:val="sq-AL"/>
        </w:rPr>
      </w:pPr>
      <w:bookmarkStart w:id="17" w:name="_Toc323817390"/>
      <w:bookmarkEnd w:id="16"/>
      <w:r w:rsidRPr="009E22FE">
        <w:rPr>
          <w:rFonts w:ascii="Garamond" w:hAnsi="Garamond"/>
          <w:sz w:val="24"/>
          <w:szCs w:val="24"/>
          <w:lang w:val="sq-AL"/>
        </w:rPr>
        <w:t>1.3.2.1 Përqindja e mbetur</w:t>
      </w:r>
      <w:bookmarkEnd w:id="17"/>
      <w:r w:rsidRPr="009E22FE">
        <w:rPr>
          <w:rFonts w:ascii="Garamond" w:hAnsi="Garamond"/>
          <w:sz w:val="24"/>
          <w:szCs w:val="24"/>
          <w:lang w:val="sq-AL"/>
        </w:rPr>
        <w:t xml:space="preserve"> e objektivit kombëtar të BRE-ve për periudhën 2018</w:t>
      </w:r>
      <w:r w:rsidRPr="009E22FE">
        <w:rPr>
          <w:rFonts w:ascii="Garamond" w:hAnsi="Garamond"/>
          <w:sz w:val="21"/>
          <w:szCs w:val="21"/>
          <w:lang w:val="sq-AL" w:eastAsia="sq-AL"/>
        </w:rPr>
        <w:t>–</w:t>
      </w:r>
      <w:r w:rsidRPr="009E22FE">
        <w:rPr>
          <w:rFonts w:ascii="Garamond" w:hAnsi="Garamond"/>
          <w:sz w:val="24"/>
          <w:szCs w:val="24"/>
          <w:lang w:val="sq-AL"/>
        </w:rPr>
        <w:t>2020</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Kontributi që do të vazhdojë të japë Shqipëria me BRE-të të konsumuara deri më 2020-ën, do të bazohet mbi projeksione të mbështetura në prodhimin e brendshëm bruto (PBB) për frymë. Po e njëjta qasje është përdorur për palët kontraktore në Komunitetin e Energjisë. Konkretisht, për ta shprehur këtë përqindje të mbetur si pjesë të objektivit për vitin 2020, nevojitet gjithashtu një parashikim i konsumit final i burimeve energjetike KFBE-së (konsumit final të burimeve energjetike) në vitin 2020. </w:t>
      </w:r>
    </w:p>
    <w:p w:rsidR="0065716C"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Ekspertët e kanë përdorur një qasje ekonometrie nga lart-poshtë për ta përcaktuar këtë nivel bazë të parashikimit të kryer në përditësimin e politikave të energjisë për Shqipërinë. Si bazë për këtë llogaritje janë përdorur parashikimet e Fondit Monetar Ndërkombëtar (FMN) për rritjen e PBB-së</w:t>
      </w:r>
      <w:r w:rsidRPr="009E22FE">
        <w:rPr>
          <w:rStyle w:val="FootnoteReference"/>
          <w:rFonts w:ascii="Garamond" w:hAnsi="Garamond"/>
          <w:sz w:val="24"/>
          <w:szCs w:val="24"/>
          <w:lang w:val="sq-AL"/>
        </w:rPr>
        <w:footnoteReference w:id="9"/>
      </w:r>
      <w:r w:rsidRPr="009E22FE">
        <w:rPr>
          <w:rFonts w:ascii="Garamond" w:hAnsi="Garamond"/>
          <w:sz w:val="24"/>
          <w:szCs w:val="24"/>
          <w:lang w:val="sq-AL"/>
        </w:rPr>
        <w:t xml:space="preserve"> për prillin 2015. Vlerësimet e FMN-së shkojnë deri në vitin 2018, kështu që ekstrapolimi deri në vitin 2020 u bë duke përdorur të njëjtën normë reale të rritjes vjetore si ajo e periudhës 2013</w:t>
      </w:r>
      <w:r w:rsidRPr="009E22FE">
        <w:rPr>
          <w:rFonts w:ascii="Garamond" w:hAnsi="Garamond"/>
          <w:sz w:val="21"/>
          <w:szCs w:val="21"/>
          <w:lang w:val="sq-AL" w:eastAsia="sq-AL"/>
        </w:rPr>
        <w:t>–</w:t>
      </w:r>
      <w:r w:rsidRPr="009E22FE">
        <w:rPr>
          <w:rFonts w:ascii="Garamond" w:hAnsi="Garamond"/>
          <w:sz w:val="24"/>
          <w:szCs w:val="24"/>
          <w:lang w:val="sq-AL"/>
        </w:rPr>
        <w:t>2016, kur parashikimet synonin të arrinin një situatë të qëndrueshme pas recesionit</w:t>
      </w:r>
      <w:r w:rsidRPr="009E22FE">
        <w:rPr>
          <w:rStyle w:val="FootnoteReference"/>
          <w:rFonts w:ascii="Garamond" w:hAnsi="Garamond"/>
          <w:sz w:val="24"/>
          <w:szCs w:val="24"/>
          <w:lang w:val="sq-AL"/>
        </w:rPr>
        <w:footnoteReference w:id="10"/>
      </w:r>
      <w:r w:rsidRPr="009E22FE">
        <w:rPr>
          <w:rFonts w:ascii="Garamond" w:hAnsi="Garamond"/>
          <w:sz w:val="24"/>
          <w:szCs w:val="24"/>
          <w:lang w:val="sq-AL"/>
        </w:rPr>
        <w:t xml:space="preserve">. </w:t>
      </w:r>
    </w:p>
    <w:p w:rsidR="006B49C6" w:rsidRDefault="006B49C6" w:rsidP="0065716C">
      <w:pPr>
        <w:widowControl w:val="0"/>
        <w:spacing w:after="0" w:line="240" w:lineRule="auto"/>
        <w:rPr>
          <w:rFonts w:ascii="Garamond" w:hAnsi="Garamond"/>
          <w:sz w:val="24"/>
          <w:szCs w:val="24"/>
          <w:lang w:val="sq-AL"/>
        </w:rPr>
      </w:pPr>
    </w:p>
    <w:p w:rsidR="006B49C6" w:rsidRDefault="006B49C6" w:rsidP="0065716C">
      <w:pPr>
        <w:widowControl w:val="0"/>
        <w:spacing w:after="0" w:line="240" w:lineRule="auto"/>
        <w:rPr>
          <w:rFonts w:ascii="Garamond" w:hAnsi="Garamond"/>
          <w:sz w:val="24"/>
          <w:szCs w:val="24"/>
          <w:lang w:val="sq-AL"/>
        </w:rPr>
      </w:pPr>
    </w:p>
    <w:p w:rsidR="006B49C6" w:rsidRDefault="006B49C6" w:rsidP="0065716C">
      <w:pPr>
        <w:widowControl w:val="0"/>
        <w:spacing w:after="0" w:line="240" w:lineRule="auto"/>
        <w:rPr>
          <w:rFonts w:ascii="Garamond" w:hAnsi="Garamond"/>
          <w:sz w:val="24"/>
          <w:szCs w:val="24"/>
          <w:lang w:val="sq-AL"/>
        </w:rPr>
      </w:pPr>
    </w:p>
    <w:p w:rsidR="006B49C6" w:rsidRDefault="006B49C6" w:rsidP="0065716C">
      <w:pPr>
        <w:widowControl w:val="0"/>
        <w:spacing w:after="0" w:line="240" w:lineRule="auto"/>
        <w:rPr>
          <w:rFonts w:ascii="Garamond" w:hAnsi="Garamond"/>
          <w:sz w:val="24"/>
          <w:szCs w:val="24"/>
          <w:lang w:val="sq-AL"/>
        </w:rPr>
      </w:pPr>
    </w:p>
    <w:p w:rsidR="006B49C6" w:rsidRDefault="006B49C6" w:rsidP="0065716C">
      <w:pPr>
        <w:widowControl w:val="0"/>
        <w:spacing w:after="0" w:line="240" w:lineRule="auto"/>
        <w:rPr>
          <w:rFonts w:ascii="Garamond" w:hAnsi="Garamond"/>
          <w:sz w:val="24"/>
          <w:szCs w:val="24"/>
          <w:lang w:val="sq-AL"/>
        </w:rPr>
      </w:pPr>
    </w:p>
    <w:p w:rsidR="006B49C6" w:rsidRDefault="006B49C6" w:rsidP="0065716C">
      <w:pPr>
        <w:widowControl w:val="0"/>
        <w:spacing w:after="0" w:line="240" w:lineRule="auto"/>
        <w:rPr>
          <w:rFonts w:ascii="Garamond" w:hAnsi="Garamond"/>
          <w:sz w:val="24"/>
          <w:szCs w:val="24"/>
          <w:lang w:val="sq-AL"/>
        </w:rPr>
      </w:pPr>
    </w:p>
    <w:p w:rsidR="006B49C6" w:rsidRDefault="006B49C6" w:rsidP="0065716C">
      <w:pPr>
        <w:widowControl w:val="0"/>
        <w:spacing w:after="0" w:line="240" w:lineRule="auto"/>
        <w:rPr>
          <w:rFonts w:ascii="Garamond" w:hAnsi="Garamond"/>
          <w:sz w:val="24"/>
          <w:szCs w:val="24"/>
          <w:lang w:val="sq-AL"/>
        </w:rPr>
      </w:pPr>
    </w:p>
    <w:p w:rsidR="006B49C6" w:rsidRDefault="006B49C6" w:rsidP="0065716C">
      <w:pPr>
        <w:widowControl w:val="0"/>
        <w:spacing w:after="0" w:line="240" w:lineRule="auto"/>
        <w:rPr>
          <w:rFonts w:ascii="Garamond" w:hAnsi="Garamond"/>
          <w:sz w:val="24"/>
          <w:szCs w:val="24"/>
          <w:lang w:val="sq-AL"/>
        </w:rPr>
      </w:pPr>
    </w:p>
    <w:p w:rsidR="006B49C6" w:rsidRDefault="006B49C6" w:rsidP="0065716C">
      <w:pPr>
        <w:widowControl w:val="0"/>
        <w:spacing w:after="0" w:line="240" w:lineRule="auto"/>
        <w:rPr>
          <w:rFonts w:ascii="Garamond" w:hAnsi="Garamond"/>
          <w:sz w:val="24"/>
          <w:szCs w:val="24"/>
          <w:lang w:val="sq-AL"/>
        </w:rPr>
      </w:pPr>
    </w:p>
    <w:p w:rsidR="006B49C6" w:rsidRDefault="006B49C6" w:rsidP="0065716C">
      <w:pPr>
        <w:widowControl w:val="0"/>
        <w:spacing w:after="0" w:line="240" w:lineRule="auto"/>
        <w:rPr>
          <w:rFonts w:ascii="Garamond" w:hAnsi="Garamond"/>
          <w:sz w:val="24"/>
          <w:szCs w:val="24"/>
          <w:lang w:val="sq-AL"/>
        </w:rPr>
      </w:pPr>
    </w:p>
    <w:p w:rsidR="006B49C6" w:rsidRPr="009E22FE" w:rsidRDefault="006B49C6" w:rsidP="0065716C">
      <w:pPr>
        <w:widowControl w:val="0"/>
        <w:spacing w:after="0" w:line="240" w:lineRule="auto"/>
        <w:rPr>
          <w:rFonts w:ascii="Garamond" w:hAnsi="Garamond"/>
          <w:sz w:val="24"/>
          <w:szCs w:val="24"/>
          <w:lang w:val="sq-AL"/>
        </w:rPr>
      </w:pP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Kështu përqindja e mbetur është zhvilluar në këtë tabelë.</w:t>
      </w:r>
    </w:p>
    <w:p w:rsidR="0065716C" w:rsidRPr="009E22FE" w:rsidRDefault="0065716C" w:rsidP="0065716C">
      <w:pPr>
        <w:spacing w:after="0" w:line="240" w:lineRule="auto"/>
        <w:ind w:firstLine="0"/>
        <w:jc w:val="left"/>
        <w:rPr>
          <w:rFonts w:ascii="Garamond" w:hAnsi="Garamond"/>
          <w:sz w:val="24"/>
          <w:szCs w:val="24"/>
          <w:lang w:val="sq-AL"/>
        </w:rPr>
        <w:sectPr w:rsidR="0065716C" w:rsidRPr="009E22FE" w:rsidSect="0065716C">
          <w:type w:val="continuous"/>
          <w:pgSz w:w="11907" w:h="16840"/>
          <w:pgMar w:top="720" w:right="1134" w:bottom="720" w:left="1134" w:header="851" w:footer="851" w:gutter="0"/>
          <w:cols w:space="454"/>
        </w:sectPr>
      </w:pPr>
    </w:p>
    <w:tbl>
      <w:tblPr>
        <w:tblW w:w="5000" w:type="pct"/>
        <w:jc w:val="center"/>
        <w:tblLook w:val="04A0" w:firstRow="1" w:lastRow="0" w:firstColumn="1" w:lastColumn="0" w:noHBand="0" w:noVBand="1"/>
      </w:tblPr>
      <w:tblGrid>
        <w:gridCol w:w="493"/>
        <w:gridCol w:w="6114"/>
        <w:gridCol w:w="702"/>
        <w:gridCol w:w="1229"/>
        <w:gridCol w:w="1081"/>
      </w:tblGrid>
      <w:tr w:rsidR="009E22FE" w:rsidRPr="009E22FE" w:rsidTr="0065716C">
        <w:trPr>
          <w:trHeight w:val="420"/>
          <w:jc w:val="center"/>
        </w:trPr>
        <w:tc>
          <w:tcPr>
            <w:tcW w:w="256" w:type="pct"/>
            <w:vMerge w:val="restart"/>
            <w:tcBorders>
              <w:top w:val="single" w:sz="8" w:space="0" w:color="4BACC6"/>
              <w:left w:val="single" w:sz="8" w:space="0" w:color="4BACC6"/>
              <w:bottom w:val="single" w:sz="8" w:space="0" w:color="4BACC6"/>
              <w:right w:val="single" w:sz="8" w:space="0" w:color="FFFFFF"/>
            </w:tcBorders>
            <w:shd w:val="clear" w:color="auto" w:fill="31849B"/>
            <w:vAlign w:val="center"/>
            <w:hideMark/>
          </w:tcPr>
          <w:p w:rsidR="0065716C" w:rsidRPr="009E22FE" w:rsidRDefault="0065716C">
            <w:pPr>
              <w:widowControl w:val="0"/>
              <w:spacing w:after="0" w:line="240" w:lineRule="auto"/>
              <w:ind w:firstLine="0"/>
              <w:jc w:val="center"/>
              <w:rPr>
                <w:rFonts w:ascii="Garamond" w:eastAsia="Times New Roman" w:hAnsi="Garamond"/>
                <w:b/>
                <w:bCs/>
                <w:sz w:val="20"/>
                <w:szCs w:val="20"/>
                <w:lang w:val="sq-AL"/>
              </w:rPr>
            </w:pPr>
            <w:r w:rsidRPr="009E22FE">
              <w:rPr>
                <w:rFonts w:ascii="Garamond" w:eastAsia="Times New Roman" w:hAnsi="Garamond"/>
                <w:b/>
                <w:bCs/>
                <w:sz w:val="20"/>
                <w:szCs w:val="20"/>
                <w:lang w:val="sq-AL"/>
              </w:rPr>
              <w:t>A</w:t>
            </w:r>
          </w:p>
        </w:tc>
        <w:tc>
          <w:tcPr>
            <w:tcW w:w="3178" w:type="pct"/>
            <w:vMerge w:val="restart"/>
            <w:tcBorders>
              <w:top w:val="single" w:sz="8" w:space="0" w:color="4BACC6"/>
              <w:left w:val="nil"/>
              <w:bottom w:val="single" w:sz="8" w:space="0" w:color="4BACC6"/>
              <w:right w:val="single" w:sz="8" w:space="0" w:color="FFFFFF"/>
            </w:tcBorders>
            <w:shd w:val="clear" w:color="auto" w:fill="31849B"/>
            <w:vAlign w:val="center"/>
            <w:hideMark/>
          </w:tcPr>
          <w:p w:rsidR="0065716C" w:rsidRPr="009E22FE" w:rsidRDefault="0065716C">
            <w:pPr>
              <w:widowControl w:val="0"/>
              <w:spacing w:after="0" w:line="240" w:lineRule="auto"/>
              <w:ind w:firstLine="0"/>
              <w:jc w:val="center"/>
              <w:rPr>
                <w:rFonts w:ascii="Garamond" w:eastAsia="Times New Roman" w:hAnsi="Garamond"/>
                <w:b/>
                <w:bCs/>
                <w:sz w:val="20"/>
                <w:szCs w:val="20"/>
                <w:lang w:val="sq-AL"/>
              </w:rPr>
            </w:pPr>
            <w:r w:rsidRPr="009E22FE">
              <w:rPr>
                <w:rFonts w:ascii="Garamond" w:eastAsia="Times New Roman" w:hAnsi="Garamond"/>
                <w:b/>
                <w:bCs/>
                <w:sz w:val="20"/>
                <w:szCs w:val="20"/>
                <w:lang w:val="sq-AL"/>
              </w:rPr>
              <w:t>Pjesa e BRE-ve të konsumuara përkundrejt KFBE-së gjatë viteve</w:t>
            </w:r>
          </w:p>
          <w:p w:rsidR="0065716C" w:rsidRPr="009E22FE" w:rsidRDefault="0065716C">
            <w:pPr>
              <w:widowControl w:val="0"/>
              <w:spacing w:after="0" w:line="240" w:lineRule="auto"/>
              <w:ind w:firstLine="0"/>
              <w:jc w:val="center"/>
              <w:rPr>
                <w:rFonts w:ascii="Garamond" w:eastAsia="Times New Roman" w:hAnsi="Garamond"/>
                <w:b/>
                <w:bCs/>
                <w:sz w:val="20"/>
                <w:szCs w:val="20"/>
                <w:lang w:val="sq-AL"/>
              </w:rPr>
            </w:pPr>
            <w:r w:rsidRPr="009E22FE">
              <w:rPr>
                <w:rFonts w:ascii="Garamond" w:eastAsia="Times New Roman" w:hAnsi="Garamond"/>
                <w:b/>
                <w:bCs/>
                <w:sz w:val="20"/>
                <w:szCs w:val="20"/>
                <w:lang w:val="sq-AL"/>
              </w:rPr>
              <w:t>2009–2014</w:t>
            </w:r>
          </w:p>
        </w:tc>
        <w:tc>
          <w:tcPr>
            <w:tcW w:w="365" w:type="pct"/>
            <w:vMerge w:val="restart"/>
            <w:tcBorders>
              <w:top w:val="single" w:sz="8" w:space="0" w:color="4BACC6"/>
              <w:left w:val="nil"/>
              <w:bottom w:val="single" w:sz="8" w:space="0" w:color="4BACC6"/>
              <w:right w:val="single" w:sz="8" w:space="0" w:color="FFFFFF"/>
            </w:tcBorders>
            <w:shd w:val="clear" w:color="auto" w:fill="31849B"/>
            <w:vAlign w:val="center"/>
            <w:hideMark/>
          </w:tcPr>
          <w:p w:rsidR="0065716C" w:rsidRPr="009E22FE" w:rsidRDefault="0065716C">
            <w:pPr>
              <w:widowControl w:val="0"/>
              <w:spacing w:after="0" w:line="240" w:lineRule="auto"/>
              <w:ind w:firstLine="0"/>
              <w:jc w:val="center"/>
              <w:rPr>
                <w:rFonts w:ascii="Garamond" w:eastAsia="Times New Roman" w:hAnsi="Garamond"/>
                <w:b/>
                <w:bCs/>
                <w:sz w:val="20"/>
                <w:szCs w:val="20"/>
                <w:lang w:val="sq-AL"/>
              </w:rPr>
            </w:pPr>
            <w:r w:rsidRPr="009E22FE">
              <w:rPr>
                <w:rFonts w:ascii="Garamond" w:eastAsia="Times New Roman" w:hAnsi="Garamond"/>
                <w:b/>
                <w:bCs/>
                <w:sz w:val="20"/>
                <w:szCs w:val="20"/>
                <w:lang w:val="sq-AL"/>
              </w:rPr>
              <w:t>%</w:t>
            </w:r>
          </w:p>
        </w:tc>
        <w:tc>
          <w:tcPr>
            <w:tcW w:w="639" w:type="pct"/>
            <w:tcBorders>
              <w:top w:val="single" w:sz="8" w:space="0" w:color="4BACC6"/>
              <w:left w:val="nil"/>
              <w:bottom w:val="single" w:sz="8" w:space="0" w:color="4BACC6"/>
              <w:right w:val="single" w:sz="8" w:space="0" w:color="4BACC6"/>
            </w:tcBorders>
            <w:shd w:val="clear" w:color="auto" w:fill="31849B"/>
            <w:vAlign w:val="center"/>
            <w:hideMark/>
          </w:tcPr>
          <w:p w:rsidR="0065716C" w:rsidRPr="009E22FE" w:rsidRDefault="0065716C">
            <w:pPr>
              <w:widowControl w:val="0"/>
              <w:spacing w:after="0" w:line="240" w:lineRule="auto"/>
              <w:ind w:firstLine="0"/>
              <w:jc w:val="center"/>
              <w:rPr>
                <w:rFonts w:ascii="Garamond" w:eastAsia="Times New Roman" w:hAnsi="Garamond"/>
                <w:b/>
                <w:bCs/>
                <w:sz w:val="20"/>
                <w:szCs w:val="20"/>
                <w:lang w:val="sq-AL"/>
              </w:rPr>
            </w:pPr>
            <w:r w:rsidRPr="009E22FE">
              <w:rPr>
                <w:rFonts w:ascii="Garamond" w:eastAsia="Times New Roman" w:hAnsi="Garamond"/>
                <w:b/>
                <w:bCs/>
                <w:sz w:val="20"/>
                <w:szCs w:val="20"/>
                <w:lang w:val="sq-AL"/>
              </w:rPr>
              <w:t>2015–2017</w:t>
            </w:r>
          </w:p>
        </w:tc>
        <w:tc>
          <w:tcPr>
            <w:tcW w:w="562" w:type="pct"/>
            <w:tcBorders>
              <w:top w:val="single" w:sz="8" w:space="0" w:color="4BACC6"/>
              <w:left w:val="nil"/>
              <w:bottom w:val="single" w:sz="8" w:space="0" w:color="4BACC6"/>
              <w:right w:val="single" w:sz="8" w:space="0" w:color="4BACC6"/>
            </w:tcBorders>
            <w:shd w:val="clear" w:color="auto" w:fill="31849B"/>
            <w:vAlign w:val="center"/>
            <w:hideMark/>
          </w:tcPr>
          <w:p w:rsidR="0065716C" w:rsidRPr="009E22FE" w:rsidRDefault="0065716C">
            <w:pPr>
              <w:widowControl w:val="0"/>
              <w:spacing w:after="0" w:line="240" w:lineRule="auto"/>
              <w:ind w:firstLine="0"/>
              <w:jc w:val="center"/>
              <w:rPr>
                <w:rFonts w:ascii="Garamond" w:eastAsia="Times New Roman" w:hAnsi="Garamond"/>
                <w:b/>
                <w:bCs/>
                <w:sz w:val="20"/>
                <w:szCs w:val="20"/>
                <w:lang w:val="sq-AL"/>
              </w:rPr>
            </w:pPr>
            <w:r w:rsidRPr="009E22FE">
              <w:rPr>
                <w:rFonts w:ascii="Garamond" w:eastAsia="Times New Roman" w:hAnsi="Garamond"/>
                <w:b/>
                <w:bCs/>
                <w:sz w:val="20"/>
                <w:szCs w:val="20"/>
                <w:lang w:val="sq-AL"/>
              </w:rPr>
              <w:t>2018–2020</w:t>
            </w:r>
          </w:p>
        </w:tc>
      </w:tr>
      <w:tr w:rsidR="009E22FE" w:rsidRPr="009E22FE" w:rsidTr="0065716C">
        <w:trPr>
          <w:trHeight w:val="420"/>
          <w:jc w:val="center"/>
        </w:trPr>
        <w:tc>
          <w:tcPr>
            <w:tcW w:w="0" w:type="auto"/>
            <w:vMerge/>
            <w:tcBorders>
              <w:top w:val="single" w:sz="8" w:space="0" w:color="4BACC6"/>
              <w:left w:val="single" w:sz="8" w:space="0" w:color="4BACC6"/>
              <w:bottom w:val="single" w:sz="8" w:space="0" w:color="4BACC6"/>
              <w:right w:val="single" w:sz="8" w:space="0" w:color="FFFFFF"/>
            </w:tcBorders>
            <w:vAlign w:val="center"/>
            <w:hideMark/>
          </w:tcPr>
          <w:p w:rsidR="0065716C" w:rsidRPr="009E22FE" w:rsidRDefault="0065716C">
            <w:pPr>
              <w:spacing w:after="0"/>
              <w:ind w:firstLine="0"/>
              <w:jc w:val="left"/>
              <w:rPr>
                <w:rFonts w:ascii="Garamond" w:eastAsia="Times New Roman" w:hAnsi="Garamond"/>
                <w:b/>
                <w:bCs/>
                <w:sz w:val="20"/>
                <w:szCs w:val="20"/>
                <w:lang w:val="sq-AL"/>
              </w:rPr>
            </w:pPr>
          </w:p>
        </w:tc>
        <w:tc>
          <w:tcPr>
            <w:tcW w:w="0" w:type="auto"/>
            <w:vMerge/>
            <w:tcBorders>
              <w:top w:val="single" w:sz="8" w:space="0" w:color="4BACC6"/>
              <w:left w:val="nil"/>
              <w:bottom w:val="single" w:sz="8" w:space="0" w:color="4BACC6"/>
              <w:right w:val="single" w:sz="8" w:space="0" w:color="FFFFFF"/>
            </w:tcBorders>
            <w:vAlign w:val="center"/>
            <w:hideMark/>
          </w:tcPr>
          <w:p w:rsidR="0065716C" w:rsidRPr="009E22FE" w:rsidRDefault="0065716C">
            <w:pPr>
              <w:spacing w:after="0"/>
              <w:ind w:firstLine="0"/>
              <w:jc w:val="left"/>
              <w:rPr>
                <w:rFonts w:ascii="Garamond" w:eastAsia="Times New Roman" w:hAnsi="Garamond"/>
                <w:b/>
                <w:bCs/>
                <w:sz w:val="20"/>
                <w:szCs w:val="20"/>
                <w:lang w:val="sq-AL"/>
              </w:rPr>
            </w:pPr>
          </w:p>
        </w:tc>
        <w:tc>
          <w:tcPr>
            <w:tcW w:w="0" w:type="auto"/>
            <w:vMerge/>
            <w:tcBorders>
              <w:top w:val="single" w:sz="8" w:space="0" w:color="4BACC6"/>
              <w:left w:val="nil"/>
              <w:bottom w:val="single" w:sz="8" w:space="0" w:color="4BACC6"/>
              <w:right w:val="single" w:sz="8" w:space="0" w:color="FFFFFF"/>
            </w:tcBorders>
            <w:vAlign w:val="center"/>
            <w:hideMark/>
          </w:tcPr>
          <w:p w:rsidR="0065716C" w:rsidRPr="009E22FE" w:rsidRDefault="0065716C">
            <w:pPr>
              <w:spacing w:after="0"/>
              <w:ind w:firstLine="0"/>
              <w:jc w:val="left"/>
              <w:rPr>
                <w:rFonts w:ascii="Garamond" w:eastAsia="Times New Roman" w:hAnsi="Garamond"/>
                <w:b/>
                <w:bCs/>
                <w:sz w:val="20"/>
                <w:szCs w:val="20"/>
                <w:lang w:val="sq-AL"/>
              </w:rPr>
            </w:pPr>
          </w:p>
        </w:tc>
        <w:tc>
          <w:tcPr>
            <w:tcW w:w="639" w:type="pct"/>
            <w:tcBorders>
              <w:top w:val="single" w:sz="8" w:space="0" w:color="4BACC6"/>
              <w:left w:val="nil"/>
              <w:bottom w:val="single" w:sz="8" w:space="0" w:color="4BACC6"/>
              <w:right w:val="single" w:sz="8" w:space="0" w:color="4BACC6"/>
            </w:tcBorders>
            <w:shd w:val="clear" w:color="auto" w:fill="31849B"/>
            <w:vAlign w:val="center"/>
            <w:hideMark/>
          </w:tcPr>
          <w:p w:rsidR="0065716C" w:rsidRPr="009E22FE" w:rsidRDefault="0065716C">
            <w:pPr>
              <w:widowControl w:val="0"/>
              <w:spacing w:after="0" w:line="240" w:lineRule="auto"/>
              <w:ind w:firstLine="0"/>
              <w:jc w:val="center"/>
              <w:rPr>
                <w:rFonts w:ascii="Garamond" w:eastAsia="Times New Roman" w:hAnsi="Garamond"/>
                <w:b/>
                <w:bCs/>
                <w:sz w:val="20"/>
                <w:szCs w:val="20"/>
                <w:lang w:val="sq-AL"/>
              </w:rPr>
            </w:pPr>
            <w:r w:rsidRPr="009E22FE">
              <w:rPr>
                <w:rFonts w:ascii="Garamond" w:eastAsia="Times New Roman" w:hAnsi="Garamond"/>
                <w:b/>
                <w:bCs/>
                <w:sz w:val="20"/>
                <w:szCs w:val="20"/>
                <w:lang w:val="sq-AL"/>
              </w:rPr>
              <w:t>31.20%</w:t>
            </w:r>
          </w:p>
        </w:tc>
        <w:tc>
          <w:tcPr>
            <w:tcW w:w="562" w:type="pct"/>
            <w:tcBorders>
              <w:top w:val="single" w:sz="8" w:space="0" w:color="4BACC6"/>
              <w:left w:val="nil"/>
              <w:bottom w:val="single" w:sz="8" w:space="0" w:color="4BACC6"/>
              <w:right w:val="single" w:sz="8" w:space="0" w:color="4BACC6"/>
            </w:tcBorders>
            <w:shd w:val="clear" w:color="auto" w:fill="31849B"/>
            <w:vAlign w:val="center"/>
            <w:hideMark/>
          </w:tcPr>
          <w:p w:rsidR="0065716C" w:rsidRPr="009E22FE" w:rsidRDefault="0065716C">
            <w:pPr>
              <w:widowControl w:val="0"/>
              <w:spacing w:after="0" w:line="240" w:lineRule="auto"/>
              <w:ind w:firstLine="0"/>
              <w:jc w:val="center"/>
              <w:rPr>
                <w:rFonts w:ascii="Garamond" w:eastAsia="Times New Roman" w:hAnsi="Garamond"/>
                <w:b/>
                <w:bCs/>
                <w:sz w:val="20"/>
                <w:szCs w:val="20"/>
                <w:lang w:val="sq-AL"/>
              </w:rPr>
            </w:pPr>
            <w:r w:rsidRPr="009E22FE">
              <w:rPr>
                <w:rFonts w:ascii="Garamond" w:eastAsia="Times New Roman" w:hAnsi="Garamond"/>
                <w:b/>
                <w:bCs/>
                <w:sz w:val="20"/>
                <w:szCs w:val="20"/>
                <w:lang w:val="sq-AL"/>
              </w:rPr>
              <w:t>32.00%</w:t>
            </w:r>
          </w:p>
        </w:tc>
      </w:tr>
      <w:tr w:rsidR="009E22FE" w:rsidRPr="009E22FE" w:rsidTr="0065716C">
        <w:trPr>
          <w:trHeight w:val="412"/>
          <w:jc w:val="center"/>
        </w:trPr>
        <w:tc>
          <w:tcPr>
            <w:tcW w:w="256" w:type="pct"/>
            <w:tcBorders>
              <w:top w:val="nil"/>
              <w:left w:val="single" w:sz="8" w:space="0" w:color="4BACC6"/>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center"/>
              <w:rPr>
                <w:rFonts w:ascii="Garamond" w:eastAsia="Times New Roman" w:hAnsi="Garamond"/>
                <w:b/>
                <w:bCs/>
                <w:sz w:val="20"/>
                <w:szCs w:val="20"/>
                <w:lang w:val="sq-AL"/>
              </w:rPr>
            </w:pPr>
            <w:r w:rsidRPr="009E22FE">
              <w:rPr>
                <w:rFonts w:ascii="Garamond" w:eastAsia="Times New Roman" w:hAnsi="Garamond"/>
                <w:b/>
                <w:bCs/>
                <w:sz w:val="20"/>
                <w:szCs w:val="20"/>
                <w:lang w:val="sq-AL"/>
              </w:rPr>
              <w:t>B</w:t>
            </w:r>
          </w:p>
        </w:tc>
        <w:tc>
          <w:tcPr>
            <w:tcW w:w="3178" w:type="pct"/>
            <w:tcBorders>
              <w:top w:val="nil"/>
              <w:left w:val="nil"/>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left"/>
              <w:rPr>
                <w:rFonts w:ascii="Garamond" w:eastAsia="Times New Roman" w:hAnsi="Garamond"/>
                <w:sz w:val="20"/>
                <w:szCs w:val="20"/>
                <w:lang w:val="sq-AL"/>
              </w:rPr>
            </w:pPr>
            <w:r w:rsidRPr="009E22FE">
              <w:rPr>
                <w:rFonts w:ascii="Garamond" w:eastAsia="Times New Roman" w:hAnsi="Garamond"/>
                <w:sz w:val="20"/>
                <w:szCs w:val="20"/>
                <w:lang w:val="sq-AL"/>
              </w:rPr>
              <w:t>Objektivi i BRE-ve që do të prodhohet në raport me KFBE-në në vitin 2020</w:t>
            </w:r>
          </w:p>
        </w:tc>
        <w:tc>
          <w:tcPr>
            <w:tcW w:w="365" w:type="pct"/>
            <w:tcBorders>
              <w:top w:val="nil"/>
              <w:left w:val="nil"/>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center"/>
              <w:rPr>
                <w:rFonts w:ascii="Garamond" w:eastAsia="Times New Roman" w:hAnsi="Garamond"/>
                <w:sz w:val="20"/>
                <w:szCs w:val="20"/>
                <w:lang w:val="sq-AL"/>
              </w:rPr>
            </w:pPr>
            <w:r w:rsidRPr="009E22FE">
              <w:rPr>
                <w:rFonts w:ascii="Garamond" w:eastAsia="Times New Roman" w:hAnsi="Garamond"/>
                <w:sz w:val="20"/>
                <w:szCs w:val="20"/>
                <w:lang w:val="sq-AL"/>
              </w:rPr>
              <w:t>%</w:t>
            </w:r>
          </w:p>
        </w:tc>
        <w:tc>
          <w:tcPr>
            <w:tcW w:w="639" w:type="pct"/>
            <w:tcBorders>
              <w:top w:val="nil"/>
              <w:left w:val="nil"/>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right"/>
              <w:rPr>
                <w:rFonts w:ascii="Garamond" w:eastAsia="Times New Roman" w:hAnsi="Garamond"/>
                <w:b/>
                <w:bCs/>
                <w:sz w:val="20"/>
                <w:szCs w:val="20"/>
                <w:lang w:val="sq-AL"/>
              </w:rPr>
            </w:pPr>
            <w:r w:rsidRPr="009E22FE">
              <w:rPr>
                <w:rFonts w:ascii="Garamond" w:eastAsia="Times New Roman" w:hAnsi="Garamond"/>
                <w:b/>
                <w:bCs/>
                <w:sz w:val="20"/>
                <w:szCs w:val="20"/>
                <w:lang w:val="sq-AL"/>
              </w:rPr>
              <w:t>38.00%</w:t>
            </w:r>
          </w:p>
        </w:tc>
        <w:tc>
          <w:tcPr>
            <w:tcW w:w="562" w:type="pct"/>
            <w:tcBorders>
              <w:top w:val="nil"/>
              <w:left w:val="nil"/>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right"/>
              <w:rPr>
                <w:rFonts w:ascii="Garamond" w:eastAsia="Times New Roman" w:hAnsi="Garamond"/>
                <w:b/>
                <w:bCs/>
                <w:sz w:val="20"/>
                <w:szCs w:val="20"/>
                <w:lang w:val="sq-AL"/>
              </w:rPr>
            </w:pPr>
            <w:r w:rsidRPr="009E22FE">
              <w:rPr>
                <w:rFonts w:ascii="Garamond" w:eastAsia="Times New Roman" w:hAnsi="Garamond"/>
                <w:b/>
                <w:bCs/>
                <w:sz w:val="20"/>
                <w:szCs w:val="20"/>
                <w:lang w:val="sq-AL"/>
              </w:rPr>
              <w:t>38.00%</w:t>
            </w:r>
          </w:p>
        </w:tc>
      </w:tr>
      <w:tr w:rsidR="009E22FE" w:rsidRPr="009E22FE" w:rsidTr="0065716C">
        <w:trPr>
          <w:trHeight w:val="322"/>
          <w:jc w:val="center"/>
        </w:trPr>
        <w:tc>
          <w:tcPr>
            <w:tcW w:w="256" w:type="pct"/>
            <w:tcBorders>
              <w:top w:val="nil"/>
              <w:left w:val="single" w:sz="8" w:space="0" w:color="4BACC6"/>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center"/>
              <w:rPr>
                <w:rFonts w:ascii="Garamond" w:eastAsia="Times New Roman" w:hAnsi="Garamond"/>
                <w:b/>
                <w:bCs/>
                <w:sz w:val="20"/>
                <w:szCs w:val="20"/>
                <w:lang w:val="sq-AL"/>
              </w:rPr>
            </w:pPr>
            <w:r w:rsidRPr="009E22FE">
              <w:rPr>
                <w:rFonts w:ascii="Garamond" w:eastAsia="Times New Roman" w:hAnsi="Garamond"/>
                <w:b/>
                <w:bCs/>
                <w:sz w:val="20"/>
                <w:szCs w:val="20"/>
                <w:lang w:val="sq-AL"/>
              </w:rPr>
              <w:t>C</w:t>
            </w:r>
          </w:p>
        </w:tc>
        <w:tc>
          <w:tcPr>
            <w:tcW w:w="3178" w:type="pct"/>
            <w:tcBorders>
              <w:top w:val="nil"/>
              <w:left w:val="nil"/>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left"/>
              <w:rPr>
                <w:rFonts w:ascii="Garamond" w:eastAsia="Times New Roman" w:hAnsi="Garamond"/>
                <w:sz w:val="20"/>
                <w:szCs w:val="20"/>
                <w:lang w:val="sq-AL"/>
              </w:rPr>
            </w:pPr>
            <w:r w:rsidRPr="009E22FE">
              <w:rPr>
                <w:rFonts w:ascii="Garamond" w:eastAsia="Times New Roman" w:hAnsi="Garamond"/>
                <w:sz w:val="20"/>
                <w:szCs w:val="20"/>
                <w:lang w:val="sq-AL"/>
              </w:rPr>
              <w:t>Trajektorja e BRE-ve në KFBE gjatë viteve 2009–2017</w:t>
            </w:r>
          </w:p>
        </w:tc>
        <w:tc>
          <w:tcPr>
            <w:tcW w:w="365" w:type="pct"/>
            <w:tcBorders>
              <w:top w:val="nil"/>
              <w:left w:val="nil"/>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center"/>
              <w:rPr>
                <w:rFonts w:ascii="Garamond" w:eastAsia="Times New Roman" w:hAnsi="Garamond"/>
                <w:sz w:val="20"/>
                <w:szCs w:val="20"/>
                <w:lang w:val="sq-AL"/>
              </w:rPr>
            </w:pPr>
            <w:r w:rsidRPr="009E22FE">
              <w:rPr>
                <w:rFonts w:ascii="Garamond" w:eastAsia="Times New Roman" w:hAnsi="Garamond"/>
                <w:sz w:val="20"/>
                <w:szCs w:val="20"/>
                <w:lang w:val="sq-AL"/>
              </w:rPr>
              <w:t>ktoe</w:t>
            </w:r>
          </w:p>
        </w:tc>
        <w:tc>
          <w:tcPr>
            <w:tcW w:w="639" w:type="pct"/>
            <w:tcBorders>
              <w:top w:val="nil"/>
              <w:left w:val="nil"/>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right"/>
              <w:rPr>
                <w:rFonts w:ascii="Garamond" w:eastAsia="Times New Roman" w:hAnsi="Garamond"/>
                <w:b/>
                <w:bCs/>
                <w:sz w:val="20"/>
                <w:szCs w:val="20"/>
                <w:lang w:val="sq-AL"/>
              </w:rPr>
            </w:pPr>
            <w:r w:rsidRPr="009E22FE">
              <w:rPr>
                <w:rFonts w:ascii="Garamond" w:eastAsia="Times New Roman" w:hAnsi="Garamond"/>
                <w:b/>
                <w:bCs/>
                <w:sz w:val="20"/>
                <w:szCs w:val="20"/>
                <w:lang w:val="sq-AL"/>
              </w:rPr>
              <w:t>666.7</w:t>
            </w:r>
          </w:p>
        </w:tc>
        <w:tc>
          <w:tcPr>
            <w:tcW w:w="562" w:type="pct"/>
            <w:tcBorders>
              <w:top w:val="nil"/>
              <w:left w:val="nil"/>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right"/>
              <w:rPr>
                <w:rFonts w:ascii="Garamond" w:eastAsia="Times New Roman" w:hAnsi="Garamond"/>
                <w:b/>
                <w:bCs/>
                <w:sz w:val="20"/>
                <w:szCs w:val="20"/>
                <w:lang w:val="sq-AL"/>
              </w:rPr>
            </w:pPr>
            <w:r w:rsidRPr="009E22FE">
              <w:rPr>
                <w:rFonts w:ascii="Garamond" w:eastAsia="Times New Roman" w:hAnsi="Garamond"/>
                <w:b/>
                <w:bCs/>
                <w:sz w:val="20"/>
                <w:szCs w:val="20"/>
                <w:lang w:val="sq-AL"/>
              </w:rPr>
              <w:t>651</w:t>
            </w:r>
          </w:p>
        </w:tc>
      </w:tr>
      <w:tr w:rsidR="009E22FE" w:rsidRPr="009E22FE" w:rsidTr="0065716C">
        <w:trPr>
          <w:trHeight w:val="315"/>
          <w:jc w:val="center"/>
        </w:trPr>
        <w:tc>
          <w:tcPr>
            <w:tcW w:w="256" w:type="pct"/>
            <w:tcBorders>
              <w:top w:val="nil"/>
              <w:left w:val="single" w:sz="8" w:space="0" w:color="4BACC6"/>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center"/>
              <w:rPr>
                <w:rFonts w:ascii="Garamond" w:eastAsia="Times New Roman" w:hAnsi="Garamond"/>
                <w:b/>
                <w:bCs/>
                <w:sz w:val="20"/>
                <w:szCs w:val="20"/>
                <w:lang w:val="sq-AL"/>
              </w:rPr>
            </w:pPr>
            <w:r w:rsidRPr="009E22FE">
              <w:rPr>
                <w:rFonts w:ascii="Garamond" w:eastAsia="Times New Roman" w:hAnsi="Garamond"/>
                <w:b/>
                <w:bCs/>
                <w:sz w:val="20"/>
                <w:szCs w:val="20"/>
                <w:lang w:val="sq-AL"/>
              </w:rPr>
              <w:t>D</w:t>
            </w:r>
          </w:p>
        </w:tc>
        <w:tc>
          <w:tcPr>
            <w:tcW w:w="3178" w:type="pct"/>
            <w:tcBorders>
              <w:top w:val="nil"/>
              <w:left w:val="nil"/>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left"/>
              <w:rPr>
                <w:rFonts w:ascii="Garamond" w:eastAsia="Times New Roman" w:hAnsi="Garamond"/>
                <w:sz w:val="20"/>
                <w:szCs w:val="20"/>
                <w:lang w:val="sq-AL"/>
              </w:rPr>
            </w:pPr>
            <w:r w:rsidRPr="009E22FE">
              <w:rPr>
                <w:rFonts w:ascii="Garamond" w:eastAsia="Times New Roman" w:hAnsi="Garamond"/>
                <w:sz w:val="20"/>
                <w:szCs w:val="20"/>
                <w:lang w:val="sq-AL"/>
              </w:rPr>
              <w:t>KFBE-ja për Shqipërinë gjatë viteve 2009–2017</w:t>
            </w:r>
          </w:p>
        </w:tc>
        <w:tc>
          <w:tcPr>
            <w:tcW w:w="365" w:type="pct"/>
            <w:tcBorders>
              <w:top w:val="nil"/>
              <w:left w:val="nil"/>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center"/>
              <w:rPr>
                <w:rFonts w:ascii="Garamond" w:eastAsia="Times New Roman" w:hAnsi="Garamond"/>
                <w:sz w:val="20"/>
                <w:szCs w:val="20"/>
                <w:lang w:val="sq-AL"/>
              </w:rPr>
            </w:pPr>
            <w:r w:rsidRPr="009E22FE">
              <w:rPr>
                <w:rFonts w:ascii="Garamond" w:eastAsia="Times New Roman" w:hAnsi="Garamond"/>
                <w:sz w:val="20"/>
                <w:szCs w:val="20"/>
                <w:lang w:val="sq-AL"/>
              </w:rPr>
              <w:t>ktoe</w:t>
            </w:r>
          </w:p>
        </w:tc>
        <w:tc>
          <w:tcPr>
            <w:tcW w:w="639" w:type="pct"/>
            <w:tcBorders>
              <w:top w:val="nil"/>
              <w:left w:val="nil"/>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right"/>
              <w:rPr>
                <w:rFonts w:ascii="Garamond" w:eastAsia="Times New Roman" w:hAnsi="Garamond"/>
                <w:b/>
                <w:bCs/>
                <w:sz w:val="20"/>
                <w:szCs w:val="20"/>
                <w:lang w:val="sq-AL"/>
              </w:rPr>
            </w:pPr>
            <w:r w:rsidRPr="009E22FE">
              <w:rPr>
                <w:rFonts w:ascii="Garamond" w:eastAsia="Times New Roman" w:hAnsi="Garamond"/>
                <w:b/>
                <w:bCs/>
                <w:sz w:val="20"/>
                <w:szCs w:val="20"/>
                <w:lang w:val="sq-AL"/>
              </w:rPr>
              <w:t>2,281.50</w:t>
            </w:r>
          </w:p>
        </w:tc>
        <w:tc>
          <w:tcPr>
            <w:tcW w:w="562" w:type="pct"/>
            <w:tcBorders>
              <w:top w:val="nil"/>
              <w:left w:val="nil"/>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right"/>
              <w:rPr>
                <w:rFonts w:ascii="Garamond" w:eastAsia="Times New Roman" w:hAnsi="Garamond"/>
                <w:b/>
                <w:bCs/>
                <w:sz w:val="20"/>
                <w:szCs w:val="20"/>
                <w:lang w:val="sq-AL"/>
              </w:rPr>
            </w:pPr>
            <w:r w:rsidRPr="009E22FE">
              <w:rPr>
                <w:rFonts w:ascii="Garamond" w:eastAsia="Times New Roman" w:hAnsi="Garamond"/>
                <w:b/>
                <w:bCs/>
                <w:sz w:val="20"/>
                <w:szCs w:val="20"/>
                <w:lang w:val="sq-AL"/>
              </w:rPr>
              <w:t>2,070.00</w:t>
            </w:r>
          </w:p>
        </w:tc>
      </w:tr>
      <w:tr w:rsidR="009E22FE" w:rsidRPr="009E22FE" w:rsidTr="0065716C">
        <w:trPr>
          <w:trHeight w:val="315"/>
          <w:jc w:val="center"/>
        </w:trPr>
        <w:tc>
          <w:tcPr>
            <w:tcW w:w="256" w:type="pct"/>
            <w:tcBorders>
              <w:top w:val="nil"/>
              <w:left w:val="single" w:sz="8" w:space="0" w:color="4BACC6"/>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center"/>
              <w:rPr>
                <w:rFonts w:ascii="Garamond" w:eastAsia="Times New Roman" w:hAnsi="Garamond"/>
                <w:b/>
                <w:bCs/>
                <w:sz w:val="20"/>
                <w:szCs w:val="20"/>
                <w:lang w:val="sq-AL"/>
              </w:rPr>
            </w:pPr>
            <w:r w:rsidRPr="009E22FE">
              <w:rPr>
                <w:rFonts w:ascii="Garamond" w:eastAsia="Times New Roman" w:hAnsi="Garamond"/>
                <w:b/>
                <w:bCs/>
                <w:sz w:val="20"/>
                <w:szCs w:val="20"/>
                <w:lang w:val="sq-AL"/>
              </w:rPr>
              <w:t>E</w:t>
            </w:r>
          </w:p>
        </w:tc>
        <w:tc>
          <w:tcPr>
            <w:tcW w:w="3178" w:type="pct"/>
            <w:tcBorders>
              <w:top w:val="nil"/>
              <w:left w:val="nil"/>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left"/>
              <w:rPr>
                <w:rFonts w:ascii="Garamond" w:eastAsia="Times New Roman" w:hAnsi="Garamond"/>
                <w:sz w:val="20"/>
                <w:szCs w:val="20"/>
                <w:lang w:val="sq-AL"/>
              </w:rPr>
            </w:pPr>
            <w:r w:rsidRPr="009E22FE">
              <w:rPr>
                <w:rFonts w:ascii="Garamond" w:eastAsia="Times New Roman" w:hAnsi="Garamond"/>
                <w:sz w:val="20"/>
                <w:szCs w:val="20"/>
                <w:lang w:val="sq-AL"/>
              </w:rPr>
              <w:t>KFBE-ja e pritshme për Shqipërinë në vitin 2020 (me EE-në)</w:t>
            </w:r>
          </w:p>
        </w:tc>
        <w:tc>
          <w:tcPr>
            <w:tcW w:w="365" w:type="pct"/>
            <w:tcBorders>
              <w:top w:val="nil"/>
              <w:left w:val="nil"/>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center"/>
              <w:rPr>
                <w:rFonts w:ascii="Garamond" w:eastAsia="Times New Roman" w:hAnsi="Garamond"/>
                <w:sz w:val="20"/>
                <w:szCs w:val="20"/>
                <w:lang w:val="sq-AL"/>
              </w:rPr>
            </w:pPr>
            <w:r w:rsidRPr="009E22FE">
              <w:rPr>
                <w:rFonts w:ascii="Garamond" w:eastAsia="Times New Roman" w:hAnsi="Garamond"/>
                <w:sz w:val="20"/>
                <w:szCs w:val="20"/>
                <w:lang w:val="sq-AL"/>
              </w:rPr>
              <w:t>ktoe</w:t>
            </w:r>
          </w:p>
        </w:tc>
        <w:tc>
          <w:tcPr>
            <w:tcW w:w="639" w:type="pct"/>
            <w:tcBorders>
              <w:top w:val="nil"/>
              <w:left w:val="nil"/>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right"/>
              <w:rPr>
                <w:rFonts w:ascii="Garamond" w:eastAsia="Times New Roman" w:hAnsi="Garamond"/>
                <w:b/>
                <w:bCs/>
                <w:sz w:val="20"/>
                <w:szCs w:val="20"/>
                <w:lang w:val="sq-AL"/>
              </w:rPr>
            </w:pPr>
            <w:r w:rsidRPr="009E22FE">
              <w:rPr>
                <w:rFonts w:ascii="Garamond" w:eastAsia="Times New Roman" w:hAnsi="Garamond"/>
                <w:b/>
                <w:bCs/>
                <w:sz w:val="20"/>
                <w:szCs w:val="20"/>
                <w:lang w:val="sq-AL"/>
              </w:rPr>
              <w:t>2,678.50</w:t>
            </w:r>
          </w:p>
        </w:tc>
        <w:tc>
          <w:tcPr>
            <w:tcW w:w="562" w:type="pct"/>
            <w:tcBorders>
              <w:top w:val="nil"/>
              <w:left w:val="nil"/>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right"/>
              <w:rPr>
                <w:rFonts w:ascii="Garamond" w:eastAsia="Times New Roman" w:hAnsi="Garamond"/>
                <w:b/>
                <w:bCs/>
                <w:sz w:val="20"/>
                <w:szCs w:val="20"/>
                <w:lang w:val="sq-AL"/>
              </w:rPr>
            </w:pPr>
            <w:r w:rsidRPr="009E22FE">
              <w:rPr>
                <w:rFonts w:ascii="Garamond" w:eastAsia="Times New Roman" w:hAnsi="Garamond"/>
                <w:b/>
                <w:bCs/>
                <w:sz w:val="20"/>
                <w:szCs w:val="20"/>
                <w:lang w:val="sq-AL"/>
              </w:rPr>
              <w:t>2,319.00</w:t>
            </w:r>
          </w:p>
        </w:tc>
      </w:tr>
      <w:tr w:rsidR="009E22FE" w:rsidRPr="009E22FE" w:rsidTr="0065716C">
        <w:trPr>
          <w:trHeight w:val="330"/>
          <w:jc w:val="center"/>
        </w:trPr>
        <w:tc>
          <w:tcPr>
            <w:tcW w:w="256" w:type="pct"/>
            <w:tcBorders>
              <w:top w:val="nil"/>
              <w:left w:val="single" w:sz="8" w:space="0" w:color="4BACC6"/>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center"/>
              <w:rPr>
                <w:rFonts w:ascii="Garamond" w:eastAsia="Times New Roman" w:hAnsi="Garamond"/>
                <w:b/>
                <w:bCs/>
                <w:sz w:val="20"/>
                <w:szCs w:val="20"/>
                <w:lang w:val="sq-AL"/>
              </w:rPr>
            </w:pPr>
            <w:r w:rsidRPr="009E22FE">
              <w:rPr>
                <w:rFonts w:ascii="Garamond" w:eastAsia="Times New Roman" w:hAnsi="Garamond"/>
                <w:b/>
                <w:bCs/>
                <w:sz w:val="20"/>
                <w:szCs w:val="20"/>
                <w:lang w:val="sq-AL"/>
              </w:rPr>
              <w:t>F</w:t>
            </w:r>
          </w:p>
        </w:tc>
        <w:tc>
          <w:tcPr>
            <w:tcW w:w="3178" w:type="pct"/>
            <w:tcBorders>
              <w:top w:val="nil"/>
              <w:left w:val="nil"/>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left"/>
              <w:rPr>
                <w:rFonts w:ascii="Garamond" w:eastAsia="Times New Roman" w:hAnsi="Garamond"/>
                <w:sz w:val="20"/>
                <w:szCs w:val="20"/>
                <w:lang w:val="sq-AL"/>
              </w:rPr>
            </w:pPr>
            <w:r w:rsidRPr="009E22FE">
              <w:rPr>
                <w:rFonts w:ascii="Garamond" w:eastAsia="Times New Roman" w:hAnsi="Garamond"/>
                <w:sz w:val="20"/>
                <w:szCs w:val="20"/>
                <w:lang w:val="sq-AL"/>
              </w:rPr>
              <w:t>Sasia vjetore e BRE, shtesë për arritjen e objektivit në 2020-ën</w:t>
            </w:r>
          </w:p>
        </w:tc>
        <w:tc>
          <w:tcPr>
            <w:tcW w:w="365" w:type="pct"/>
            <w:tcBorders>
              <w:top w:val="nil"/>
              <w:left w:val="nil"/>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center"/>
              <w:rPr>
                <w:rFonts w:ascii="Garamond" w:eastAsia="Times New Roman" w:hAnsi="Garamond"/>
                <w:sz w:val="20"/>
                <w:szCs w:val="20"/>
                <w:lang w:val="sq-AL"/>
              </w:rPr>
            </w:pPr>
            <w:r w:rsidRPr="009E22FE">
              <w:rPr>
                <w:rFonts w:ascii="Garamond" w:eastAsia="Times New Roman" w:hAnsi="Garamond"/>
                <w:sz w:val="20"/>
                <w:szCs w:val="20"/>
                <w:lang w:val="sq-AL"/>
              </w:rPr>
              <w:t>ktoe</w:t>
            </w:r>
          </w:p>
        </w:tc>
        <w:tc>
          <w:tcPr>
            <w:tcW w:w="639" w:type="pct"/>
            <w:tcBorders>
              <w:top w:val="nil"/>
              <w:left w:val="nil"/>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right"/>
              <w:rPr>
                <w:rFonts w:ascii="Garamond" w:eastAsia="Times New Roman" w:hAnsi="Garamond"/>
                <w:b/>
                <w:bCs/>
                <w:sz w:val="20"/>
                <w:szCs w:val="20"/>
                <w:lang w:val="sq-AL"/>
              </w:rPr>
            </w:pPr>
            <w:r w:rsidRPr="009E22FE">
              <w:rPr>
                <w:rFonts w:ascii="Garamond" w:eastAsia="Times New Roman" w:hAnsi="Garamond"/>
                <w:b/>
                <w:bCs/>
                <w:sz w:val="20"/>
                <w:szCs w:val="20"/>
                <w:lang w:val="sq-AL"/>
              </w:rPr>
              <w:t>397</w:t>
            </w:r>
          </w:p>
        </w:tc>
        <w:tc>
          <w:tcPr>
            <w:tcW w:w="562" w:type="pct"/>
            <w:tcBorders>
              <w:top w:val="nil"/>
              <w:left w:val="nil"/>
              <w:bottom w:val="single" w:sz="8" w:space="0" w:color="4BACC6"/>
              <w:right w:val="single" w:sz="8" w:space="0" w:color="4BACC6"/>
            </w:tcBorders>
            <w:vAlign w:val="center"/>
            <w:hideMark/>
          </w:tcPr>
          <w:p w:rsidR="0065716C" w:rsidRPr="009E22FE" w:rsidRDefault="0065716C">
            <w:pPr>
              <w:widowControl w:val="0"/>
              <w:spacing w:after="0" w:line="240" w:lineRule="auto"/>
              <w:ind w:firstLine="0"/>
              <w:jc w:val="right"/>
              <w:rPr>
                <w:rFonts w:ascii="Garamond" w:eastAsia="Times New Roman" w:hAnsi="Garamond"/>
                <w:b/>
                <w:bCs/>
                <w:sz w:val="20"/>
                <w:szCs w:val="20"/>
                <w:lang w:val="sq-AL"/>
              </w:rPr>
            </w:pPr>
            <w:r w:rsidRPr="009E22FE">
              <w:rPr>
                <w:rFonts w:ascii="Garamond" w:eastAsia="Times New Roman" w:hAnsi="Garamond"/>
                <w:b/>
                <w:bCs/>
                <w:sz w:val="20"/>
                <w:szCs w:val="20"/>
                <w:lang w:val="sq-AL"/>
              </w:rPr>
              <w:t>230.22</w:t>
            </w:r>
          </w:p>
        </w:tc>
      </w:tr>
      <w:tr w:rsidR="009E22FE" w:rsidRPr="009E22FE" w:rsidTr="0065716C">
        <w:trPr>
          <w:trHeight w:val="325"/>
          <w:jc w:val="center"/>
        </w:trPr>
        <w:tc>
          <w:tcPr>
            <w:tcW w:w="256" w:type="pct"/>
            <w:tcBorders>
              <w:top w:val="nil"/>
              <w:left w:val="single" w:sz="8" w:space="0" w:color="4BACC6"/>
              <w:bottom w:val="single" w:sz="8" w:space="0" w:color="4BACC6"/>
              <w:right w:val="single" w:sz="8" w:space="0" w:color="4BACC6"/>
            </w:tcBorders>
            <w:shd w:val="clear" w:color="auto" w:fill="31849B"/>
            <w:vAlign w:val="center"/>
            <w:hideMark/>
          </w:tcPr>
          <w:p w:rsidR="0065716C" w:rsidRPr="009E22FE" w:rsidRDefault="0065716C">
            <w:pPr>
              <w:widowControl w:val="0"/>
              <w:spacing w:after="0" w:line="240" w:lineRule="auto"/>
              <w:ind w:firstLine="0"/>
              <w:jc w:val="center"/>
              <w:rPr>
                <w:rFonts w:ascii="Garamond" w:eastAsia="Times New Roman" w:hAnsi="Garamond"/>
                <w:b/>
                <w:bCs/>
                <w:sz w:val="20"/>
                <w:szCs w:val="20"/>
                <w:lang w:val="sq-AL"/>
              </w:rPr>
            </w:pPr>
            <w:r w:rsidRPr="009E22FE">
              <w:rPr>
                <w:rFonts w:ascii="Garamond" w:eastAsia="Times New Roman" w:hAnsi="Garamond"/>
                <w:b/>
                <w:bCs/>
                <w:sz w:val="20"/>
                <w:szCs w:val="20"/>
                <w:lang w:val="sq-AL"/>
              </w:rPr>
              <w:t>G</w:t>
            </w:r>
          </w:p>
        </w:tc>
        <w:tc>
          <w:tcPr>
            <w:tcW w:w="3178" w:type="pct"/>
            <w:tcBorders>
              <w:top w:val="nil"/>
              <w:left w:val="nil"/>
              <w:bottom w:val="single" w:sz="8" w:space="0" w:color="4BACC6"/>
              <w:right w:val="single" w:sz="8" w:space="0" w:color="4BACC6"/>
            </w:tcBorders>
            <w:shd w:val="clear" w:color="auto" w:fill="31849B"/>
            <w:vAlign w:val="center"/>
            <w:hideMark/>
          </w:tcPr>
          <w:p w:rsidR="0065716C" w:rsidRPr="009E22FE" w:rsidRDefault="0065716C">
            <w:pPr>
              <w:widowControl w:val="0"/>
              <w:spacing w:after="0" w:line="240" w:lineRule="auto"/>
              <w:ind w:firstLine="0"/>
              <w:jc w:val="left"/>
              <w:rPr>
                <w:rFonts w:ascii="Garamond" w:eastAsia="Times New Roman" w:hAnsi="Garamond"/>
                <w:sz w:val="20"/>
                <w:szCs w:val="20"/>
                <w:lang w:val="sq-AL"/>
              </w:rPr>
            </w:pPr>
            <w:r w:rsidRPr="009E22FE">
              <w:rPr>
                <w:rFonts w:ascii="Garamond" w:eastAsia="Times New Roman" w:hAnsi="Garamond"/>
                <w:sz w:val="20"/>
                <w:szCs w:val="20"/>
                <w:lang w:val="sq-AL"/>
              </w:rPr>
              <w:t>Sasia vjetore totale e BRE-së për t’u konsumuar në vitin 2020</w:t>
            </w:r>
          </w:p>
        </w:tc>
        <w:tc>
          <w:tcPr>
            <w:tcW w:w="365" w:type="pct"/>
            <w:tcBorders>
              <w:top w:val="nil"/>
              <w:left w:val="nil"/>
              <w:bottom w:val="single" w:sz="8" w:space="0" w:color="4BACC6"/>
              <w:right w:val="single" w:sz="8" w:space="0" w:color="4BACC6"/>
            </w:tcBorders>
            <w:shd w:val="clear" w:color="auto" w:fill="31849B"/>
            <w:vAlign w:val="center"/>
            <w:hideMark/>
          </w:tcPr>
          <w:p w:rsidR="0065716C" w:rsidRPr="009E22FE" w:rsidRDefault="0065716C">
            <w:pPr>
              <w:widowControl w:val="0"/>
              <w:spacing w:after="0" w:line="240" w:lineRule="auto"/>
              <w:ind w:firstLine="0"/>
              <w:jc w:val="center"/>
              <w:rPr>
                <w:rFonts w:ascii="Garamond" w:eastAsia="Times New Roman" w:hAnsi="Garamond"/>
                <w:sz w:val="20"/>
                <w:szCs w:val="20"/>
                <w:lang w:val="sq-AL"/>
              </w:rPr>
            </w:pPr>
            <w:r w:rsidRPr="009E22FE">
              <w:rPr>
                <w:rFonts w:ascii="Garamond" w:eastAsia="Times New Roman" w:hAnsi="Garamond"/>
                <w:sz w:val="20"/>
                <w:szCs w:val="20"/>
                <w:lang w:val="sq-AL"/>
              </w:rPr>
              <w:t>ktoe</w:t>
            </w:r>
          </w:p>
        </w:tc>
        <w:tc>
          <w:tcPr>
            <w:tcW w:w="639" w:type="pct"/>
            <w:tcBorders>
              <w:top w:val="nil"/>
              <w:left w:val="nil"/>
              <w:bottom w:val="single" w:sz="8" w:space="0" w:color="4BACC6"/>
              <w:right w:val="single" w:sz="8" w:space="0" w:color="4BACC6"/>
            </w:tcBorders>
            <w:shd w:val="clear" w:color="auto" w:fill="31849B"/>
            <w:vAlign w:val="center"/>
            <w:hideMark/>
          </w:tcPr>
          <w:p w:rsidR="0065716C" w:rsidRPr="009E22FE" w:rsidRDefault="0065716C">
            <w:pPr>
              <w:widowControl w:val="0"/>
              <w:spacing w:after="0" w:line="240" w:lineRule="auto"/>
              <w:ind w:firstLine="0"/>
              <w:jc w:val="right"/>
              <w:rPr>
                <w:rFonts w:ascii="Garamond" w:eastAsia="Times New Roman" w:hAnsi="Garamond"/>
                <w:b/>
                <w:bCs/>
                <w:sz w:val="20"/>
                <w:szCs w:val="20"/>
                <w:lang w:val="sq-AL"/>
              </w:rPr>
            </w:pPr>
            <w:r w:rsidRPr="009E22FE">
              <w:rPr>
                <w:rFonts w:ascii="Garamond" w:eastAsia="Times New Roman" w:hAnsi="Garamond"/>
                <w:b/>
                <w:bCs/>
                <w:sz w:val="20"/>
                <w:szCs w:val="20"/>
                <w:lang w:val="sq-AL"/>
              </w:rPr>
              <w:t>1,017.20</w:t>
            </w:r>
          </w:p>
        </w:tc>
        <w:tc>
          <w:tcPr>
            <w:tcW w:w="562" w:type="pct"/>
            <w:tcBorders>
              <w:top w:val="nil"/>
              <w:left w:val="nil"/>
              <w:bottom w:val="single" w:sz="8" w:space="0" w:color="4BACC6"/>
              <w:right w:val="single" w:sz="8" w:space="0" w:color="4BACC6"/>
            </w:tcBorders>
            <w:shd w:val="clear" w:color="auto" w:fill="31849B"/>
            <w:vAlign w:val="center"/>
            <w:hideMark/>
          </w:tcPr>
          <w:p w:rsidR="0065716C" w:rsidRPr="009E22FE" w:rsidRDefault="0065716C">
            <w:pPr>
              <w:widowControl w:val="0"/>
              <w:spacing w:after="0" w:line="240" w:lineRule="auto"/>
              <w:ind w:firstLine="0"/>
              <w:jc w:val="right"/>
              <w:rPr>
                <w:rFonts w:ascii="Garamond" w:eastAsia="Times New Roman" w:hAnsi="Garamond"/>
                <w:b/>
                <w:bCs/>
                <w:sz w:val="20"/>
                <w:szCs w:val="20"/>
                <w:lang w:val="sq-AL"/>
              </w:rPr>
            </w:pPr>
            <w:r w:rsidRPr="009E22FE">
              <w:rPr>
                <w:rFonts w:ascii="Garamond" w:eastAsia="Times New Roman" w:hAnsi="Garamond"/>
                <w:b/>
                <w:bCs/>
                <w:sz w:val="20"/>
                <w:szCs w:val="20"/>
                <w:lang w:val="sq-AL"/>
              </w:rPr>
              <w:t>881.22</w:t>
            </w:r>
          </w:p>
        </w:tc>
      </w:tr>
    </w:tbl>
    <w:p w:rsidR="0065716C" w:rsidRPr="009E22FE" w:rsidRDefault="0065716C" w:rsidP="0065716C">
      <w:pPr>
        <w:widowControl w:val="0"/>
        <w:spacing w:after="0" w:line="240" w:lineRule="auto"/>
        <w:rPr>
          <w:rFonts w:ascii="Garamond" w:hAnsi="Garamond"/>
          <w:sz w:val="24"/>
          <w:szCs w:val="24"/>
          <w:lang w:val="sq-AL"/>
        </w:rPr>
      </w:pPr>
    </w:p>
    <w:p w:rsidR="0065716C" w:rsidRPr="009E22FE" w:rsidRDefault="0065716C" w:rsidP="0065716C">
      <w:pPr>
        <w:spacing w:after="0" w:line="240" w:lineRule="auto"/>
        <w:ind w:firstLine="0"/>
        <w:jc w:val="left"/>
        <w:rPr>
          <w:rFonts w:ascii="Garamond" w:hAnsi="Garamond"/>
          <w:sz w:val="24"/>
          <w:szCs w:val="24"/>
          <w:lang w:val="sq-AL"/>
        </w:rPr>
        <w:sectPr w:rsidR="0065716C" w:rsidRPr="009E22FE" w:rsidSect="0065716C">
          <w:type w:val="continuous"/>
          <w:pgSz w:w="11907" w:h="16840"/>
          <w:pgMar w:top="720" w:right="1134" w:bottom="720" w:left="1134" w:header="851" w:footer="851" w:gutter="0"/>
          <w:cols w:space="720"/>
        </w:sectPr>
      </w:pP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Në analizimin e tabelës së sipërpërmendur dy elemente janë shumë të rëndësishme: </w:t>
      </w:r>
    </w:p>
    <w:p w:rsidR="0065716C" w:rsidRPr="009E22FE" w:rsidRDefault="0065716C" w:rsidP="0065716C">
      <w:pPr>
        <w:pStyle w:val="ListParagraph"/>
        <w:widowControl w:val="0"/>
        <w:numPr>
          <w:ilvl w:val="0"/>
          <w:numId w:val="24"/>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KFBE</w:t>
      </w:r>
      <w:r w:rsidRPr="009E22FE">
        <w:rPr>
          <w:rFonts w:ascii="Garamond" w:hAnsi="Garamond"/>
          <w:sz w:val="24"/>
          <w:szCs w:val="24"/>
          <w:vertAlign w:val="subscript"/>
          <w:lang w:val="sq-AL"/>
        </w:rPr>
        <w:t>2009–2017</w:t>
      </w:r>
      <w:r w:rsidRPr="009E22FE">
        <w:rPr>
          <w:rFonts w:ascii="Garamond" w:hAnsi="Garamond"/>
          <w:sz w:val="24"/>
          <w:szCs w:val="24"/>
          <w:lang w:val="sq-AL"/>
        </w:rPr>
        <w:t xml:space="preserve">= 2,070.0 ktoe; dhe </w:t>
      </w:r>
    </w:p>
    <w:p w:rsidR="0065716C" w:rsidRPr="009E22FE" w:rsidRDefault="0065716C" w:rsidP="0065716C">
      <w:pPr>
        <w:pStyle w:val="ListParagraph"/>
        <w:widowControl w:val="0"/>
        <w:numPr>
          <w:ilvl w:val="0"/>
          <w:numId w:val="24"/>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KFBE</w:t>
      </w:r>
      <w:r w:rsidRPr="009E22FE">
        <w:rPr>
          <w:rFonts w:ascii="Garamond" w:hAnsi="Garamond"/>
          <w:sz w:val="24"/>
          <w:szCs w:val="24"/>
          <w:vertAlign w:val="subscript"/>
          <w:lang w:val="sq-AL"/>
        </w:rPr>
        <w:t xml:space="preserve">2020 </w:t>
      </w:r>
      <w:r w:rsidRPr="009E22FE">
        <w:rPr>
          <w:rFonts w:ascii="Garamond" w:hAnsi="Garamond"/>
          <w:sz w:val="24"/>
          <w:szCs w:val="24"/>
          <w:lang w:val="sq-AL"/>
        </w:rPr>
        <w:t xml:space="preserve">= 2,319.0 ktoe.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Të dyja vlerat përputhen me bilancin energjetik shqiptar për vitet 2009</w:t>
      </w:r>
      <w:r w:rsidRPr="009E22FE">
        <w:rPr>
          <w:rFonts w:ascii="Garamond" w:hAnsi="Garamond"/>
          <w:sz w:val="21"/>
          <w:szCs w:val="21"/>
          <w:lang w:val="sq-AL" w:eastAsia="sq-AL"/>
        </w:rPr>
        <w:t>–</w:t>
      </w:r>
      <w:r w:rsidRPr="009E22FE">
        <w:rPr>
          <w:rFonts w:ascii="Garamond" w:hAnsi="Garamond"/>
          <w:sz w:val="24"/>
          <w:szCs w:val="24"/>
          <w:lang w:val="sq-AL"/>
        </w:rPr>
        <w:t>2017 dhe parashikimin e energjisë të llogaritur sipas skenarit me eficiencë energjie për vitin 2020, bazuar në rritjen me 3.5% gjatë viteve 2018</w:t>
      </w:r>
      <w:r w:rsidRPr="009E22FE">
        <w:rPr>
          <w:rFonts w:ascii="Garamond" w:hAnsi="Garamond"/>
          <w:sz w:val="21"/>
          <w:szCs w:val="21"/>
          <w:lang w:val="sq-AL" w:eastAsia="sq-AL"/>
        </w:rPr>
        <w:t>–</w:t>
      </w:r>
      <w:r w:rsidRPr="009E22FE">
        <w:rPr>
          <w:rFonts w:ascii="Garamond" w:hAnsi="Garamond"/>
          <w:sz w:val="24"/>
          <w:szCs w:val="24"/>
          <w:lang w:val="sq-AL"/>
        </w:rPr>
        <w:t xml:space="preserve">2020. Gjithashtu është e rëndësishme të përmendet se të gjitha llogaritjet e ardhshme për përmbushjen e objektivit për BRE-të bazohen në vlerën e objektivit për të prodhuar 38% në raport me KFBE-në të parashikuar për vitin 2020.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Bazuar në analizën e sipërpërmendur, konkluzioni përfundimtar është: Objektivi maksimal final për BRE-të për Shqipërinë do të jetë 38%. Kjo përqindje do të vazhdojë të jetë objektiv kombëtar për BRE-të për vitin 2020. Gjithashtu është e rëndësishme të përmendet, se të gjitha llogaritjet e ardhshme për përmbushjen e objektivit për BRE-të bazohen në vlerën 38%.</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Sikurse duket nga interesi shumë i madh i investitorëve, situata e Burimeve Energjetike të Rinovueshme në Shqipëri është komplekse dhe vazhdimisht në zhvillim. Në këtë kuptim, përmbushja e objektivave dhe pajtueshmëria me direktivën, është rillogaritur në kuadër të angazhimeve të reja të politikave për BRE-të dhe shqyrtimit më të gjerë të legjislacionit ekzistues, nisur nga koha kur është projektuar objektivi 38%, vlerësimet tona kanë modifikuar projeksionin për vitin 2020. Bazuar në legjislacionin për BER, masat ligjore do të vazhdojnë të merren për të krijuar kushtet për vendosjen e skemave likuide të mbështetjes financiare, kushteve rregullatore dhe strategjive nga institucione politikëbërëse.</w:t>
      </w:r>
    </w:p>
    <w:p w:rsidR="0065716C" w:rsidRPr="009E22FE" w:rsidRDefault="0065716C" w:rsidP="0065716C">
      <w:pPr>
        <w:pStyle w:val="Heading2"/>
        <w:keepNext w:val="0"/>
        <w:keepLines w:val="0"/>
        <w:widowControl w:val="0"/>
        <w:numPr>
          <w:ilvl w:val="1"/>
          <w:numId w:val="19"/>
        </w:numPr>
        <w:spacing w:before="0" w:line="240" w:lineRule="auto"/>
        <w:ind w:left="0" w:firstLine="284"/>
        <w:rPr>
          <w:rFonts w:ascii="Garamond" w:hAnsi="Garamond"/>
          <w:b/>
          <w:color w:val="auto"/>
          <w:sz w:val="24"/>
          <w:szCs w:val="24"/>
          <w:lang w:val="sq-AL"/>
        </w:rPr>
      </w:pPr>
      <w:bookmarkStart w:id="18" w:name="_Toc505599669"/>
      <w:r w:rsidRPr="009E22FE">
        <w:rPr>
          <w:rFonts w:ascii="Garamond" w:hAnsi="Garamond"/>
          <w:color w:val="auto"/>
          <w:sz w:val="24"/>
          <w:szCs w:val="24"/>
          <w:lang w:val="sq-AL"/>
        </w:rPr>
        <w:t xml:space="preserve"> Sasitë e BRE-ve për të realizuar objektivin kombëtar 38%</w:t>
      </w:r>
      <w:bookmarkEnd w:id="18"/>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Si pikënisje, në objektivin kombëtar për BRE-të do të jetë viti 2009 në të cilin KFBE-ja ka qenë 2,104 ktoe dhe përqindja e BRE-ve në terma konsumi ka qenë 29.5%. Duke përdorur metodën e përcaktuar në direktivë, sipas teknologjive jepen të dhënat bazë për promovimin e BRE-ve.</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1.4.1 Energjia</w:t>
      </w:r>
      <w:r w:rsidRPr="009E22FE">
        <w:rPr>
          <w:rFonts w:ascii="Garamond" w:hAnsi="Garamond"/>
          <w:snapToGrid w:val="0"/>
          <w:sz w:val="24"/>
          <w:szCs w:val="24"/>
          <w:lang w:val="sq-AL"/>
        </w:rPr>
        <w:t xml:space="preserve"> e </w:t>
      </w:r>
      <w:r w:rsidRPr="009E22FE">
        <w:rPr>
          <w:rFonts w:ascii="Garamond" w:hAnsi="Garamond"/>
          <w:sz w:val="24"/>
          <w:szCs w:val="24"/>
          <w:lang w:val="sq-AL"/>
        </w:rPr>
        <w:t>rinovueshme</w:t>
      </w:r>
      <w:r w:rsidRPr="009E22FE">
        <w:rPr>
          <w:rFonts w:ascii="Garamond" w:hAnsi="Garamond"/>
          <w:snapToGrid w:val="0"/>
          <w:sz w:val="24"/>
          <w:szCs w:val="24"/>
          <w:lang w:val="sq-AL"/>
        </w:rPr>
        <w:t xml:space="preserve"> për sektorin e transportit (BRE-T)</w:t>
      </w:r>
    </w:p>
    <w:p w:rsidR="0065716C" w:rsidRPr="009E22FE" w:rsidRDefault="0065716C" w:rsidP="0065716C">
      <w:pPr>
        <w:widowControl w:val="0"/>
        <w:spacing w:after="0" w:line="240" w:lineRule="auto"/>
        <w:rPr>
          <w:rFonts w:ascii="Garamond" w:hAnsi="Garamond"/>
          <w:snapToGrid w:val="0"/>
          <w:sz w:val="24"/>
          <w:szCs w:val="24"/>
          <w:lang w:val="sq-AL"/>
        </w:rPr>
      </w:pPr>
      <w:r w:rsidRPr="009E22FE">
        <w:rPr>
          <w:rFonts w:ascii="Garamond" w:hAnsi="Garamond"/>
          <w:snapToGrid w:val="0"/>
          <w:sz w:val="24"/>
          <w:szCs w:val="24"/>
          <w:lang w:val="sq-AL"/>
        </w:rPr>
        <w:t>Me qëllim arritjen e objektivit kombëtar të konsumit të BRE-ve prej 38% në vitin 2020 është e domosdoshme prodhimi në territorin e Shqipërisë të sasisë prej 3% të KFBE-së ose përzierjen në masën deri 7% në volumin të karburanteve të lëndëve djegëse të rinovueshme (FAME), që konsumohen në sektorin e transporteve. Kjo sasi është e barabartë me të paktën 65 ktoe (65,000 tonë/vit FAME) për sektorin e transportit në vitin 2020. Kjo sasi e pjesës së rinovueshme në biokarburante merr në konsideratë rritjen me të paktën në 10,000 tonë në vitin 2020 krahasuar me 2015-ën.</w:t>
      </w:r>
    </w:p>
    <w:p w:rsidR="0065716C" w:rsidRPr="009E22FE" w:rsidRDefault="0065716C" w:rsidP="0065716C">
      <w:pPr>
        <w:widowControl w:val="0"/>
        <w:spacing w:after="0" w:line="240" w:lineRule="auto"/>
        <w:rPr>
          <w:rFonts w:ascii="Garamond" w:hAnsi="Garamond"/>
          <w:snapToGrid w:val="0"/>
          <w:sz w:val="24"/>
          <w:szCs w:val="24"/>
          <w:lang w:val="sq-AL"/>
        </w:rPr>
      </w:pPr>
      <w:r w:rsidRPr="009E22FE">
        <w:rPr>
          <w:rFonts w:ascii="Garamond" w:hAnsi="Garamond"/>
          <w:snapToGrid w:val="0"/>
          <w:sz w:val="24"/>
          <w:szCs w:val="24"/>
          <w:lang w:val="sq-AL"/>
        </w:rPr>
        <w:t>1.4.2 Energjia e rinovueshme për ngrohjen dhe ftohjes (BRE-N&amp;F)</w:t>
      </w:r>
    </w:p>
    <w:p w:rsidR="0065716C" w:rsidRPr="009E22FE" w:rsidRDefault="0065716C" w:rsidP="0065716C">
      <w:pPr>
        <w:widowControl w:val="0"/>
        <w:spacing w:after="0" w:line="240" w:lineRule="auto"/>
        <w:rPr>
          <w:rFonts w:ascii="Garamond" w:hAnsi="Garamond"/>
          <w:snapToGrid w:val="0"/>
          <w:sz w:val="24"/>
          <w:szCs w:val="24"/>
          <w:lang w:val="sq-AL"/>
        </w:rPr>
      </w:pPr>
      <w:r w:rsidRPr="009E22FE">
        <w:rPr>
          <w:rFonts w:ascii="Garamond" w:hAnsi="Garamond"/>
          <w:snapToGrid w:val="0"/>
          <w:sz w:val="24"/>
          <w:szCs w:val="24"/>
          <w:lang w:val="sq-AL"/>
        </w:rPr>
        <w:t>Me qëllim arritjen e objektivit kombëtar të konsumit të BRE-ve prej 38% në vitin 2020 nuk është më e domosdoshme rritja e konsumit nga biomasa, kështu që pjesa në KFBE reflektohet 0% rritje në sektorin e ngrohjes dhe të ftohjes, BER-N&amp;F. Kjo do të thotë që nuk do të ketë rritje shtesë të sasisë së nxehtësisë pra 0 GWh/vit në vitin 2020 ose rritje në konsumin vjetor të BER-N&amp;F prej 0 ktoe nxehtësi nga biomasa drusore/industriale/mbetjet.</w:t>
      </w:r>
    </w:p>
    <w:p w:rsidR="0065716C" w:rsidRPr="009E22FE" w:rsidRDefault="0065716C" w:rsidP="0065716C">
      <w:pPr>
        <w:widowControl w:val="0"/>
        <w:spacing w:after="0" w:line="240" w:lineRule="auto"/>
        <w:rPr>
          <w:rFonts w:ascii="Garamond" w:hAnsi="Garamond"/>
          <w:snapToGrid w:val="0"/>
          <w:sz w:val="24"/>
          <w:szCs w:val="24"/>
          <w:lang w:val="sq-AL"/>
        </w:rPr>
      </w:pPr>
      <w:r w:rsidRPr="009E22FE">
        <w:rPr>
          <w:rFonts w:ascii="Garamond" w:hAnsi="Garamond"/>
          <w:snapToGrid w:val="0"/>
          <w:sz w:val="24"/>
          <w:szCs w:val="24"/>
          <w:lang w:val="sq-AL"/>
        </w:rPr>
        <w:t>1.4 Energjia e rinovueshme për prodhimin e energjisë elektrike (BRE-E)</w:t>
      </w:r>
    </w:p>
    <w:p w:rsidR="0065716C" w:rsidRPr="009E22FE" w:rsidRDefault="0065716C" w:rsidP="006B49C6">
      <w:pPr>
        <w:pStyle w:val="Heading4"/>
        <w:widowControl w:val="0"/>
        <w:numPr>
          <w:ilvl w:val="0"/>
          <w:numId w:val="0"/>
        </w:numPr>
        <w:spacing w:before="0"/>
        <w:ind w:left="284"/>
        <w:rPr>
          <w:rFonts w:ascii="Garamond" w:hAnsi="Garamond"/>
          <w:b/>
          <w:bCs/>
          <w:i w:val="0"/>
          <w:snapToGrid w:val="0"/>
          <w:color w:val="auto"/>
          <w:spacing w:val="-4"/>
          <w:sz w:val="24"/>
          <w:szCs w:val="24"/>
          <w:lang w:val="sq-AL"/>
        </w:rPr>
      </w:pPr>
      <w:bookmarkStart w:id="19" w:name="_GoBack"/>
      <w:bookmarkEnd w:id="19"/>
      <w:r w:rsidRPr="009E22FE">
        <w:rPr>
          <w:rFonts w:ascii="Garamond" w:hAnsi="Garamond"/>
          <w:i w:val="0"/>
          <w:snapToGrid w:val="0"/>
          <w:color w:val="auto"/>
          <w:spacing w:val="-4"/>
          <w:sz w:val="24"/>
          <w:szCs w:val="24"/>
          <w:lang w:val="sq-AL"/>
        </w:rPr>
        <w:t>Me qëllim arritjen e objektivit kombëtar të konsumit të BRE prej 38% në vitin 2020 është i domosdoshëm një rritje të sasisë shtesë të konsumuar energjisë elektrike nga burime të rinovueshme me të paktën 172 ktoe (2,044 gwh) deri në vitin 2020. Kjo do të thotë, gjithashtu, një rritje mesatare të gjeneruesve të energjisë elektrike nga burime të rinovueshme në masën 798 mw (20</w:t>
      </w:r>
      <w:r w:rsidRPr="009E22FE">
        <w:rPr>
          <w:rFonts w:ascii="Garamond" w:hAnsi="Garamond"/>
          <w:color w:val="auto"/>
          <w:spacing w:val="-4"/>
          <w:sz w:val="24"/>
          <w:szCs w:val="24"/>
          <w:lang w:val="sq-AL" w:eastAsia="sq-AL"/>
        </w:rPr>
        <w:t>–</w:t>
      </w:r>
      <w:r w:rsidRPr="009E22FE">
        <w:rPr>
          <w:rFonts w:ascii="Garamond" w:hAnsi="Garamond"/>
          <w:i w:val="0"/>
          <w:snapToGrid w:val="0"/>
          <w:color w:val="auto"/>
          <w:spacing w:val="-4"/>
          <w:sz w:val="24"/>
          <w:szCs w:val="24"/>
          <w:lang w:val="sq-AL"/>
        </w:rPr>
        <w:t>35% faktor kapaciteti), të cilat propozohet të ndahen sipas tabelës përmbledhëse.</w:t>
      </w:r>
    </w:p>
    <w:p w:rsidR="0065716C" w:rsidRPr="009E22FE" w:rsidRDefault="0065716C" w:rsidP="0065716C">
      <w:pPr>
        <w:spacing w:after="0" w:line="240" w:lineRule="auto"/>
        <w:ind w:firstLine="0"/>
        <w:jc w:val="left"/>
        <w:rPr>
          <w:rFonts w:ascii="Garamond" w:hAnsi="Garamond"/>
          <w:iCs/>
          <w:snapToGrid w:val="0"/>
          <w:kern w:val="28"/>
          <w:sz w:val="24"/>
          <w:szCs w:val="24"/>
          <w:lang w:val="sq-AL"/>
        </w:rPr>
        <w:sectPr w:rsidR="0065716C" w:rsidRPr="009E22FE" w:rsidSect="0065716C">
          <w:type w:val="continuous"/>
          <w:pgSz w:w="11907" w:h="16840"/>
          <w:pgMar w:top="720" w:right="1134" w:bottom="720" w:left="1134" w:header="851" w:footer="851" w:gutter="0"/>
          <w:cols w:space="454"/>
        </w:sectPr>
      </w:pPr>
    </w:p>
    <w:p w:rsidR="0065716C" w:rsidRPr="009E22FE" w:rsidRDefault="0065716C" w:rsidP="0065716C">
      <w:pPr>
        <w:pStyle w:val="FiguresandTables"/>
        <w:widowControl w:val="0"/>
        <w:spacing w:before="0" w:after="0"/>
        <w:ind w:firstLine="284"/>
        <w:rPr>
          <w:rFonts w:cs="Times New Roman"/>
          <w:i w:val="0"/>
          <w:noProof w:val="0"/>
          <w:snapToGrid w:val="0"/>
          <w:sz w:val="14"/>
          <w:szCs w:val="24"/>
        </w:rPr>
      </w:pPr>
    </w:p>
    <w:p w:rsidR="0065716C" w:rsidRPr="009E22FE" w:rsidRDefault="0065716C" w:rsidP="0065716C">
      <w:pPr>
        <w:pStyle w:val="FiguresandTables"/>
        <w:widowControl w:val="0"/>
        <w:spacing w:before="0" w:after="0"/>
        <w:ind w:firstLine="284"/>
        <w:rPr>
          <w:rFonts w:cs="Times New Roman"/>
          <w:i w:val="0"/>
          <w:noProof w:val="0"/>
          <w:snapToGrid w:val="0"/>
          <w:sz w:val="24"/>
          <w:szCs w:val="24"/>
        </w:rPr>
      </w:pPr>
      <w:r w:rsidRPr="009E22FE">
        <w:rPr>
          <w:rFonts w:cs="Times New Roman"/>
          <w:i w:val="0"/>
          <w:noProof w:val="0"/>
          <w:snapToGrid w:val="0"/>
          <w:sz w:val="24"/>
          <w:szCs w:val="24"/>
        </w:rPr>
        <w:t>Tabela 1. Tabela përmbledhëse e BRE-ve për ngrohje/ftohjen, transportin dhe energjinë elektrike, që do të shtohen pas vitit 2015 në konsumin final bruto të energjisë në Shqipëri, deri në vitin 2020</w:t>
      </w:r>
    </w:p>
    <w:tbl>
      <w:tblPr>
        <w:tblW w:w="9562" w:type="dxa"/>
        <w:jc w:val="center"/>
        <w:tblLook w:val="04A0" w:firstRow="1" w:lastRow="0" w:firstColumn="1" w:lastColumn="0" w:noHBand="0" w:noVBand="1"/>
      </w:tblPr>
      <w:tblGrid>
        <w:gridCol w:w="1121"/>
        <w:gridCol w:w="2501"/>
        <w:gridCol w:w="990"/>
        <w:gridCol w:w="990"/>
        <w:gridCol w:w="990"/>
        <w:gridCol w:w="990"/>
        <w:gridCol w:w="990"/>
        <w:gridCol w:w="990"/>
      </w:tblGrid>
      <w:tr w:rsidR="009E22FE" w:rsidRPr="009E22FE" w:rsidTr="0065716C">
        <w:trPr>
          <w:trHeight w:val="213"/>
          <w:jc w:val="center"/>
        </w:trPr>
        <w:tc>
          <w:tcPr>
            <w:tcW w:w="1121" w:type="dxa"/>
            <w:noWrap/>
            <w:vAlign w:val="center"/>
            <w:hideMark/>
          </w:tcPr>
          <w:p w:rsidR="0065716C" w:rsidRPr="009E22FE" w:rsidRDefault="0065716C">
            <w:pPr>
              <w:rPr>
                <w:i/>
                <w:snapToGrid w:val="0"/>
                <w:sz w:val="24"/>
                <w:szCs w:val="24"/>
              </w:rPr>
            </w:pPr>
          </w:p>
        </w:tc>
        <w:tc>
          <w:tcPr>
            <w:tcW w:w="2501" w:type="dxa"/>
            <w:noWrap/>
            <w:vAlign w:val="center"/>
            <w:hideMark/>
          </w:tcPr>
          <w:p w:rsidR="0065716C" w:rsidRPr="009E22FE" w:rsidRDefault="0065716C">
            <w:pPr>
              <w:ind w:firstLine="0"/>
              <w:jc w:val="left"/>
              <w:rPr>
                <w:rFonts w:asciiTheme="minorHAnsi" w:eastAsiaTheme="minorHAnsi" w:hAnsiTheme="minorHAnsi" w:cstheme="minorBidi"/>
                <w:sz w:val="20"/>
                <w:szCs w:val="20"/>
              </w:rPr>
            </w:pPr>
          </w:p>
        </w:tc>
        <w:tc>
          <w:tcPr>
            <w:tcW w:w="5940" w:type="dxa"/>
            <w:gridSpan w:val="6"/>
            <w:tcBorders>
              <w:top w:val="single" w:sz="8" w:space="0" w:color="auto"/>
              <w:left w:val="single" w:sz="8" w:space="0" w:color="auto"/>
              <w:bottom w:val="single" w:sz="8" w:space="0" w:color="auto"/>
              <w:right w:val="single" w:sz="8" w:space="0" w:color="000000"/>
            </w:tcBorders>
            <w:noWrap/>
            <w:vAlign w:val="center"/>
            <w:hideMark/>
          </w:tcPr>
          <w:p w:rsidR="0065716C" w:rsidRPr="009E22FE" w:rsidRDefault="0065716C">
            <w:pPr>
              <w:widowControl w:val="0"/>
              <w:spacing w:after="0" w:line="240" w:lineRule="auto"/>
              <w:ind w:firstLine="0"/>
              <w:jc w:val="center"/>
              <w:rPr>
                <w:rFonts w:ascii="Garamond" w:eastAsia="Times New Roman" w:hAnsi="Garamond"/>
                <w:b/>
                <w:bCs/>
                <w:sz w:val="18"/>
                <w:szCs w:val="18"/>
                <w:lang w:val="sq-AL"/>
              </w:rPr>
            </w:pPr>
            <w:r w:rsidRPr="009E22FE">
              <w:rPr>
                <w:rFonts w:ascii="Garamond" w:eastAsia="Times New Roman" w:hAnsi="Garamond"/>
                <w:b/>
                <w:bCs/>
                <w:sz w:val="18"/>
                <w:szCs w:val="18"/>
                <w:lang w:val="sq-AL"/>
              </w:rPr>
              <w:t xml:space="preserve">PKVBRE </w:t>
            </w:r>
          </w:p>
        </w:tc>
      </w:tr>
      <w:tr w:rsidR="009E22FE" w:rsidRPr="009E22FE" w:rsidTr="0065716C">
        <w:trPr>
          <w:trHeight w:val="329"/>
          <w:jc w:val="center"/>
        </w:trPr>
        <w:tc>
          <w:tcPr>
            <w:tcW w:w="1121" w:type="dxa"/>
            <w:noWrap/>
            <w:vAlign w:val="center"/>
            <w:hideMark/>
          </w:tcPr>
          <w:p w:rsidR="0065716C" w:rsidRPr="009E22FE" w:rsidRDefault="0065716C">
            <w:pPr>
              <w:rPr>
                <w:rFonts w:ascii="Garamond" w:eastAsia="Times New Roman" w:hAnsi="Garamond"/>
                <w:b/>
                <w:bCs/>
                <w:sz w:val="18"/>
                <w:szCs w:val="18"/>
                <w:lang w:val="sq-AL"/>
              </w:rPr>
            </w:pPr>
          </w:p>
        </w:tc>
        <w:tc>
          <w:tcPr>
            <w:tcW w:w="2501" w:type="dxa"/>
            <w:noWrap/>
            <w:vAlign w:val="center"/>
            <w:hideMark/>
          </w:tcPr>
          <w:p w:rsidR="0065716C" w:rsidRPr="009E22FE" w:rsidRDefault="0065716C">
            <w:pPr>
              <w:spacing w:after="0"/>
              <w:ind w:firstLine="0"/>
              <w:jc w:val="left"/>
              <w:rPr>
                <w:rFonts w:asciiTheme="minorHAnsi" w:eastAsiaTheme="minorHAnsi" w:hAnsiTheme="minorHAnsi" w:cstheme="minorBidi"/>
                <w:sz w:val="20"/>
                <w:szCs w:val="20"/>
              </w:rPr>
            </w:pPr>
          </w:p>
        </w:tc>
        <w:tc>
          <w:tcPr>
            <w:tcW w:w="990" w:type="dxa"/>
            <w:tcBorders>
              <w:top w:val="nil"/>
              <w:left w:val="single" w:sz="8" w:space="0" w:color="auto"/>
              <w:bottom w:val="single" w:sz="8" w:space="0" w:color="auto"/>
              <w:right w:val="single" w:sz="4" w:space="0" w:color="auto"/>
            </w:tcBorders>
            <w:vAlign w:val="center"/>
            <w:hideMark/>
          </w:tcPr>
          <w:p w:rsidR="0065716C" w:rsidRPr="009E22FE" w:rsidRDefault="0065716C">
            <w:pPr>
              <w:widowControl w:val="0"/>
              <w:spacing w:after="0" w:line="240" w:lineRule="auto"/>
              <w:ind w:firstLine="0"/>
              <w:jc w:val="center"/>
              <w:rPr>
                <w:rFonts w:ascii="Garamond" w:eastAsia="Times New Roman" w:hAnsi="Garamond"/>
                <w:b/>
                <w:iCs/>
                <w:sz w:val="18"/>
                <w:szCs w:val="18"/>
                <w:lang w:val="sq-AL"/>
              </w:rPr>
            </w:pPr>
            <w:r w:rsidRPr="009E22FE">
              <w:rPr>
                <w:rFonts w:ascii="Garamond" w:eastAsia="Times New Roman" w:hAnsi="Garamond"/>
                <w:b/>
                <w:iCs/>
                <w:sz w:val="18"/>
                <w:szCs w:val="18"/>
                <w:lang w:val="sq-AL"/>
              </w:rPr>
              <w:t>2015–2020</w:t>
            </w:r>
          </w:p>
        </w:tc>
        <w:tc>
          <w:tcPr>
            <w:tcW w:w="990" w:type="dxa"/>
            <w:tcBorders>
              <w:top w:val="nil"/>
              <w:left w:val="nil"/>
              <w:bottom w:val="single" w:sz="8" w:space="0" w:color="auto"/>
              <w:right w:val="single" w:sz="8" w:space="0" w:color="auto"/>
            </w:tcBorders>
            <w:vAlign w:val="center"/>
            <w:hideMark/>
          </w:tcPr>
          <w:p w:rsidR="0065716C" w:rsidRPr="009E22FE" w:rsidRDefault="0065716C">
            <w:pPr>
              <w:widowControl w:val="0"/>
              <w:spacing w:after="0" w:line="240" w:lineRule="auto"/>
              <w:ind w:firstLine="0"/>
              <w:jc w:val="center"/>
              <w:rPr>
                <w:rFonts w:ascii="Garamond" w:eastAsia="Times New Roman" w:hAnsi="Garamond"/>
                <w:b/>
                <w:iCs/>
                <w:sz w:val="18"/>
                <w:szCs w:val="18"/>
                <w:lang w:val="sq-AL"/>
              </w:rPr>
            </w:pPr>
            <w:r w:rsidRPr="009E22FE">
              <w:rPr>
                <w:rFonts w:ascii="Garamond" w:eastAsia="Times New Roman" w:hAnsi="Garamond"/>
                <w:b/>
                <w:iCs/>
                <w:sz w:val="18"/>
                <w:szCs w:val="18"/>
                <w:lang w:val="sq-AL"/>
              </w:rPr>
              <w:t>2018-2020</w:t>
            </w:r>
          </w:p>
        </w:tc>
        <w:tc>
          <w:tcPr>
            <w:tcW w:w="990" w:type="dxa"/>
            <w:tcBorders>
              <w:top w:val="nil"/>
              <w:left w:val="nil"/>
              <w:bottom w:val="single" w:sz="8" w:space="0" w:color="auto"/>
              <w:right w:val="single" w:sz="4" w:space="0" w:color="auto"/>
            </w:tcBorders>
            <w:vAlign w:val="center"/>
            <w:hideMark/>
          </w:tcPr>
          <w:p w:rsidR="0065716C" w:rsidRPr="009E22FE" w:rsidRDefault="0065716C">
            <w:pPr>
              <w:widowControl w:val="0"/>
              <w:spacing w:after="0" w:line="240" w:lineRule="auto"/>
              <w:ind w:firstLine="0"/>
              <w:jc w:val="center"/>
              <w:rPr>
                <w:rFonts w:ascii="Garamond" w:eastAsia="Times New Roman" w:hAnsi="Garamond"/>
                <w:b/>
                <w:iCs/>
                <w:sz w:val="18"/>
                <w:szCs w:val="18"/>
                <w:lang w:val="sq-AL"/>
              </w:rPr>
            </w:pPr>
            <w:r w:rsidRPr="009E22FE">
              <w:rPr>
                <w:rFonts w:ascii="Garamond" w:eastAsia="Times New Roman" w:hAnsi="Garamond"/>
                <w:b/>
                <w:iCs/>
                <w:sz w:val="18"/>
                <w:szCs w:val="18"/>
                <w:lang w:val="sq-AL"/>
              </w:rPr>
              <w:t>2015–2020</w:t>
            </w:r>
          </w:p>
        </w:tc>
        <w:tc>
          <w:tcPr>
            <w:tcW w:w="990" w:type="dxa"/>
            <w:tcBorders>
              <w:top w:val="nil"/>
              <w:left w:val="nil"/>
              <w:bottom w:val="single" w:sz="8" w:space="0" w:color="auto"/>
              <w:right w:val="single" w:sz="8" w:space="0" w:color="auto"/>
            </w:tcBorders>
            <w:vAlign w:val="center"/>
            <w:hideMark/>
          </w:tcPr>
          <w:p w:rsidR="0065716C" w:rsidRPr="009E22FE" w:rsidRDefault="0065716C">
            <w:pPr>
              <w:widowControl w:val="0"/>
              <w:spacing w:after="0" w:line="240" w:lineRule="auto"/>
              <w:ind w:firstLine="0"/>
              <w:jc w:val="center"/>
              <w:rPr>
                <w:rFonts w:ascii="Garamond" w:eastAsia="Times New Roman" w:hAnsi="Garamond"/>
                <w:b/>
                <w:iCs/>
                <w:sz w:val="18"/>
                <w:szCs w:val="18"/>
                <w:lang w:val="sq-AL"/>
              </w:rPr>
            </w:pPr>
            <w:r w:rsidRPr="009E22FE">
              <w:rPr>
                <w:rFonts w:ascii="Garamond" w:eastAsia="Times New Roman" w:hAnsi="Garamond"/>
                <w:b/>
                <w:iCs/>
                <w:sz w:val="18"/>
                <w:szCs w:val="18"/>
                <w:lang w:val="sq-AL"/>
              </w:rPr>
              <w:t>2018–2020</w:t>
            </w:r>
          </w:p>
        </w:tc>
        <w:tc>
          <w:tcPr>
            <w:tcW w:w="990" w:type="dxa"/>
            <w:tcBorders>
              <w:top w:val="nil"/>
              <w:left w:val="nil"/>
              <w:bottom w:val="single" w:sz="8" w:space="0" w:color="auto"/>
              <w:right w:val="single" w:sz="4" w:space="0" w:color="auto"/>
            </w:tcBorders>
            <w:vAlign w:val="center"/>
            <w:hideMark/>
          </w:tcPr>
          <w:p w:rsidR="0065716C" w:rsidRPr="009E22FE" w:rsidRDefault="0065716C">
            <w:pPr>
              <w:widowControl w:val="0"/>
              <w:spacing w:after="0" w:line="240" w:lineRule="auto"/>
              <w:ind w:firstLine="0"/>
              <w:jc w:val="center"/>
              <w:rPr>
                <w:rFonts w:ascii="Garamond" w:eastAsia="Times New Roman" w:hAnsi="Garamond"/>
                <w:b/>
                <w:iCs/>
                <w:sz w:val="18"/>
                <w:szCs w:val="18"/>
                <w:lang w:val="sq-AL"/>
              </w:rPr>
            </w:pPr>
            <w:r w:rsidRPr="009E22FE">
              <w:rPr>
                <w:rFonts w:ascii="Garamond" w:eastAsia="Times New Roman" w:hAnsi="Garamond"/>
                <w:b/>
                <w:iCs/>
                <w:sz w:val="18"/>
                <w:szCs w:val="18"/>
                <w:lang w:val="sq-AL"/>
              </w:rPr>
              <w:t>2018–2020</w:t>
            </w:r>
          </w:p>
        </w:tc>
        <w:tc>
          <w:tcPr>
            <w:tcW w:w="990" w:type="dxa"/>
            <w:tcBorders>
              <w:top w:val="nil"/>
              <w:left w:val="nil"/>
              <w:bottom w:val="single" w:sz="8" w:space="0" w:color="auto"/>
              <w:right w:val="single" w:sz="8" w:space="0" w:color="auto"/>
            </w:tcBorders>
            <w:vAlign w:val="center"/>
            <w:hideMark/>
          </w:tcPr>
          <w:p w:rsidR="0065716C" w:rsidRPr="009E22FE" w:rsidRDefault="0065716C">
            <w:pPr>
              <w:widowControl w:val="0"/>
              <w:spacing w:after="0" w:line="240" w:lineRule="auto"/>
              <w:ind w:firstLine="0"/>
              <w:jc w:val="center"/>
              <w:rPr>
                <w:rFonts w:ascii="Garamond" w:eastAsia="Times New Roman" w:hAnsi="Garamond"/>
                <w:b/>
                <w:iCs/>
                <w:sz w:val="18"/>
                <w:szCs w:val="18"/>
                <w:lang w:val="sq-AL"/>
              </w:rPr>
            </w:pPr>
            <w:r w:rsidRPr="009E22FE">
              <w:rPr>
                <w:rFonts w:ascii="Garamond" w:eastAsia="Times New Roman" w:hAnsi="Garamond"/>
                <w:b/>
                <w:iCs/>
                <w:sz w:val="18"/>
                <w:szCs w:val="18"/>
                <w:lang w:val="sq-AL"/>
              </w:rPr>
              <w:t>2018–2020</w:t>
            </w:r>
          </w:p>
        </w:tc>
      </w:tr>
      <w:tr w:rsidR="009E22FE" w:rsidRPr="009E22FE" w:rsidTr="0065716C">
        <w:trPr>
          <w:trHeight w:val="250"/>
          <w:jc w:val="center"/>
        </w:trPr>
        <w:tc>
          <w:tcPr>
            <w:tcW w:w="1121" w:type="dxa"/>
            <w:noWrap/>
            <w:vAlign w:val="center"/>
            <w:hideMark/>
          </w:tcPr>
          <w:p w:rsidR="0065716C" w:rsidRPr="009E22FE" w:rsidRDefault="0065716C">
            <w:pPr>
              <w:rPr>
                <w:rFonts w:ascii="Garamond" w:eastAsia="Times New Roman" w:hAnsi="Garamond"/>
                <w:b/>
                <w:iCs/>
                <w:sz w:val="18"/>
                <w:szCs w:val="18"/>
                <w:lang w:val="sq-AL"/>
              </w:rPr>
            </w:pPr>
          </w:p>
        </w:tc>
        <w:tc>
          <w:tcPr>
            <w:tcW w:w="2501" w:type="dxa"/>
            <w:vMerge w:val="restart"/>
            <w:tcBorders>
              <w:top w:val="single" w:sz="8" w:space="0" w:color="auto"/>
              <w:left w:val="single" w:sz="8" w:space="0" w:color="auto"/>
              <w:bottom w:val="single" w:sz="8" w:space="0" w:color="000000"/>
              <w:right w:val="single" w:sz="8" w:space="0" w:color="auto"/>
            </w:tcBorders>
            <w:vAlign w:val="center"/>
            <w:hideMark/>
          </w:tcPr>
          <w:p w:rsidR="0065716C" w:rsidRPr="009E22FE" w:rsidRDefault="0065716C">
            <w:pPr>
              <w:widowControl w:val="0"/>
              <w:spacing w:after="0" w:line="240" w:lineRule="auto"/>
              <w:ind w:firstLine="0"/>
              <w:jc w:val="center"/>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Teknologjitë shtesë të BRE 2015</w:t>
            </w:r>
            <w:r w:rsidRPr="009E22FE">
              <w:rPr>
                <w:rFonts w:ascii="Garamond" w:eastAsia="Times New Roman" w:hAnsi="Garamond"/>
                <w:b/>
                <w:i/>
                <w:iCs/>
                <w:sz w:val="18"/>
                <w:szCs w:val="18"/>
                <w:lang w:val="sq-AL"/>
              </w:rPr>
              <w:t>–</w:t>
            </w:r>
            <w:r w:rsidRPr="009E22FE">
              <w:rPr>
                <w:rFonts w:ascii="Garamond" w:eastAsia="Times New Roman" w:hAnsi="Garamond"/>
                <w:b/>
                <w:bCs/>
                <w:i/>
                <w:iCs/>
                <w:sz w:val="18"/>
                <w:szCs w:val="18"/>
                <w:lang w:val="sq-AL"/>
              </w:rPr>
              <w:t>2020</w:t>
            </w:r>
          </w:p>
        </w:tc>
        <w:tc>
          <w:tcPr>
            <w:tcW w:w="1980" w:type="dxa"/>
            <w:gridSpan w:val="2"/>
            <w:tcBorders>
              <w:top w:val="single" w:sz="8" w:space="0" w:color="auto"/>
              <w:left w:val="nil"/>
              <w:bottom w:val="single" w:sz="4" w:space="0" w:color="auto"/>
              <w:right w:val="single" w:sz="8" w:space="0" w:color="000000"/>
            </w:tcBorders>
            <w:noWrap/>
            <w:vAlign w:val="center"/>
            <w:hideMark/>
          </w:tcPr>
          <w:p w:rsidR="0065716C" w:rsidRPr="009E22FE" w:rsidRDefault="0065716C">
            <w:pPr>
              <w:widowControl w:val="0"/>
              <w:spacing w:after="0" w:line="240" w:lineRule="auto"/>
              <w:ind w:firstLine="0"/>
              <w:jc w:val="center"/>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Sasia</w:t>
            </w:r>
          </w:p>
        </w:tc>
        <w:tc>
          <w:tcPr>
            <w:tcW w:w="1980" w:type="dxa"/>
            <w:gridSpan w:val="2"/>
            <w:tcBorders>
              <w:top w:val="single" w:sz="8" w:space="0" w:color="auto"/>
              <w:left w:val="nil"/>
              <w:bottom w:val="single" w:sz="4" w:space="0" w:color="auto"/>
              <w:right w:val="single" w:sz="8" w:space="0" w:color="000000"/>
            </w:tcBorders>
            <w:noWrap/>
            <w:vAlign w:val="center"/>
            <w:hideMark/>
          </w:tcPr>
          <w:p w:rsidR="0065716C" w:rsidRPr="009E22FE" w:rsidRDefault="0065716C">
            <w:pPr>
              <w:widowControl w:val="0"/>
              <w:spacing w:after="0" w:line="240" w:lineRule="auto"/>
              <w:ind w:firstLine="0"/>
              <w:jc w:val="center"/>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Gjenerimi</w:t>
            </w:r>
          </w:p>
        </w:tc>
        <w:tc>
          <w:tcPr>
            <w:tcW w:w="1980" w:type="dxa"/>
            <w:gridSpan w:val="2"/>
            <w:tcBorders>
              <w:top w:val="single" w:sz="8" w:space="0" w:color="auto"/>
              <w:left w:val="nil"/>
              <w:bottom w:val="single" w:sz="4" w:space="0" w:color="auto"/>
              <w:right w:val="single" w:sz="8" w:space="0" w:color="000000"/>
            </w:tcBorders>
            <w:noWrap/>
            <w:vAlign w:val="center"/>
            <w:hideMark/>
          </w:tcPr>
          <w:p w:rsidR="0065716C" w:rsidRPr="009E22FE" w:rsidRDefault="0065716C">
            <w:pPr>
              <w:widowControl w:val="0"/>
              <w:spacing w:after="0" w:line="240" w:lineRule="auto"/>
              <w:ind w:firstLine="0"/>
              <w:jc w:val="center"/>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Instalimi</w:t>
            </w:r>
          </w:p>
        </w:tc>
      </w:tr>
      <w:tr w:rsidR="009E22FE" w:rsidRPr="009E22FE" w:rsidTr="0065716C">
        <w:trPr>
          <w:trHeight w:val="223"/>
          <w:jc w:val="center"/>
        </w:trPr>
        <w:tc>
          <w:tcPr>
            <w:tcW w:w="1121" w:type="dxa"/>
            <w:vAlign w:val="center"/>
            <w:hideMark/>
          </w:tcPr>
          <w:p w:rsidR="0065716C" w:rsidRPr="009E22FE" w:rsidRDefault="0065716C">
            <w:pPr>
              <w:rPr>
                <w:rFonts w:ascii="Garamond" w:eastAsia="Times New Roman" w:hAnsi="Garamond"/>
                <w:b/>
                <w:bCs/>
                <w:i/>
                <w:iCs/>
                <w:sz w:val="18"/>
                <w:szCs w:val="18"/>
                <w:lang w:val="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65716C" w:rsidRPr="009E22FE" w:rsidRDefault="0065716C">
            <w:pPr>
              <w:spacing w:after="0"/>
              <w:ind w:firstLine="0"/>
              <w:jc w:val="left"/>
              <w:rPr>
                <w:rFonts w:ascii="Garamond" w:eastAsia="Times New Roman" w:hAnsi="Garamond"/>
                <w:b/>
                <w:bCs/>
                <w:i/>
                <w:iCs/>
                <w:sz w:val="18"/>
                <w:szCs w:val="18"/>
                <w:lang w:val="sq-AL"/>
              </w:rPr>
            </w:pPr>
          </w:p>
        </w:tc>
        <w:tc>
          <w:tcPr>
            <w:tcW w:w="1980" w:type="dxa"/>
            <w:gridSpan w:val="2"/>
            <w:tcBorders>
              <w:top w:val="single" w:sz="4" w:space="0" w:color="auto"/>
              <w:left w:val="nil"/>
              <w:bottom w:val="single" w:sz="8" w:space="0" w:color="auto"/>
              <w:right w:val="single" w:sz="8" w:space="0" w:color="000000"/>
            </w:tcBorders>
            <w:vAlign w:val="center"/>
            <w:hideMark/>
          </w:tcPr>
          <w:p w:rsidR="0065716C" w:rsidRPr="009E22FE" w:rsidRDefault="0065716C">
            <w:pPr>
              <w:widowControl w:val="0"/>
              <w:spacing w:after="0" w:line="240" w:lineRule="auto"/>
              <w:ind w:firstLine="0"/>
              <w:jc w:val="center"/>
              <w:rPr>
                <w:rFonts w:ascii="Garamond" w:eastAsia="Times New Roman" w:hAnsi="Garamond"/>
                <w:b/>
                <w:iCs/>
                <w:sz w:val="18"/>
                <w:szCs w:val="18"/>
                <w:lang w:val="sq-AL"/>
              </w:rPr>
            </w:pPr>
            <w:r w:rsidRPr="009E22FE">
              <w:rPr>
                <w:rFonts w:ascii="Garamond" w:eastAsia="Times New Roman" w:hAnsi="Garamond"/>
                <w:b/>
                <w:iCs/>
                <w:sz w:val="18"/>
                <w:szCs w:val="18"/>
                <w:lang w:val="sq-AL"/>
              </w:rPr>
              <w:t>ktoe</w:t>
            </w:r>
          </w:p>
        </w:tc>
        <w:tc>
          <w:tcPr>
            <w:tcW w:w="1980" w:type="dxa"/>
            <w:gridSpan w:val="2"/>
            <w:tcBorders>
              <w:top w:val="single" w:sz="4" w:space="0" w:color="auto"/>
              <w:left w:val="nil"/>
              <w:bottom w:val="single" w:sz="8" w:space="0" w:color="auto"/>
              <w:right w:val="single" w:sz="8" w:space="0" w:color="000000"/>
            </w:tcBorders>
            <w:vAlign w:val="center"/>
            <w:hideMark/>
          </w:tcPr>
          <w:p w:rsidR="0065716C" w:rsidRPr="009E22FE" w:rsidRDefault="0065716C">
            <w:pPr>
              <w:widowControl w:val="0"/>
              <w:spacing w:after="0" w:line="240" w:lineRule="auto"/>
              <w:ind w:firstLine="0"/>
              <w:jc w:val="center"/>
              <w:rPr>
                <w:rFonts w:ascii="Garamond" w:eastAsia="Times New Roman" w:hAnsi="Garamond"/>
                <w:b/>
                <w:bCs/>
                <w:iCs/>
                <w:sz w:val="18"/>
                <w:szCs w:val="18"/>
                <w:lang w:val="sq-AL"/>
              </w:rPr>
            </w:pPr>
            <w:r w:rsidRPr="009E22FE">
              <w:rPr>
                <w:rFonts w:ascii="Garamond" w:eastAsia="Times New Roman" w:hAnsi="Garamond"/>
                <w:b/>
                <w:bCs/>
                <w:iCs/>
                <w:sz w:val="18"/>
                <w:szCs w:val="18"/>
                <w:lang w:val="sq-AL"/>
              </w:rPr>
              <w:t>gwh/vit</w:t>
            </w:r>
          </w:p>
        </w:tc>
        <w:tc>
          <w:tcPr>
            <w:tcW w:w="1980" w:type="dxa"/>
            <w:gridSpan w:val="2"/>
            <w:tcBorders>
              <w:top w:val="single" w:sz="4" w:space="0" w:color="auto"/>
              <w:left w:val="nil"/>
              <w:bottom w:val="single" w:sz="8" w:space="0" w:color="auto"/>
              <w:right w:val="single" w:sz="8" w:space="0" w:color="000000"/>
            </w:tcBorders>
            <w:vAlign w:val="center"/>
            <w:hideMark/>
          </w:tcPr>
          <w:p w:rsidR="0065716C" w:rsidRPr="009E22FE" w:rsidRDefault="0065716C">
            <w:pPr>
              <w:widowControl w:val="0"/>
              <w:spacing w:after="0" w:line="240" w:lineRule="auto"/>
              <w:ind w:firstLine="0"/>
              <w:jc w:val="center"/>
              <w:rPr>
                <w:rFonts w:ascii="Garamond" w:eastAsia="Times New Roman" w:hAnsi="Garamond"/>
                <w:b/>
                <w:bCs/>
                <w:iCs/>
                <w:sz w:val="18"/>
                <w:szCs w:val="18"/>
                <w:lang w:val="sq-AL"/>
              </w:rPr>
            </w:pPr>
            <w:r w:rsidRPr="009E22FE">
              <w:rPr>
                <w:rFonts w:ascii="Garamond" w:eastAsia="Times New Roman" w:hAnsi="Garamond"/>
                <w:b/>
                <w:bCs/>
                <w:iCs/>
                <w:sz w:val="18"/>
                <w:szCs w:val="18"/>
                <w:lang w:val="sq-AL"/>
              </w:rPr>
              <w:t>mw</w:t>
            </w:r>
          </w:p>
        </w:tc>
      </w:tr>
      <w:tr w:rsidR="009E22FE" w:rsidRPr="009E22FE" w:rsidTr="0065716C">
        <w:trPr>
          <w:trHeight w:val="358"/>
          <w:jc w:val="center"/>
        </w:trPr>
        <w:tc>
          <w:tcPr>
            <w:tcW w:w="1121" w:type="dxa"/>
            <w:vMerge w:val="restart"/>
            <w:tcBorders>
              <w:top w:val="single" w:sz="8" w:space="0" w:color="auto"/>
              <w:left w:val="single" w:sz="8" w:space="0" w:color="auto"/>
              <w:bottom w:val="single" w:sz="4" w:space="0" w:color="auto"/>
              <w:right w:val="single" w:sz="8" w:space="0" w:color="auto"/>
            </w:tcBorders>
            <w:vAlign w:val="center"/>
            <w:hideMark/>
          </w:tcPr>
          <w:p w:rsidR="0065716C" w:rsidRPr="009E22FE" w:rsidRDefault="0065716C">
            <w:pPr>
              <w:widowControl w:val="0"/>
              <w:spacing w:after="0" w:line="240" w:lineRule="auto"/>
              <w:ind w:firstLine="0"/>
              <w:jc w:val="center"/>
              <w:rPr>
                <w:rFonts w:ascii="Garamond" w:eastAsia="Times New Roman" w:hAnsi="Garamond"/>
                <w:b/>
                <w:sz w:val="18"/>
                <w:szCs w:val="18"/>
                <w:lang w:val="sq-AL"/>
              </w:rPr>
            </w:pPr>
            <w:r w:rsidRPr="009E22FE">
              <w:rPr>
                <w:rFonts w:ascii="Garamond" w:eastAsia="Times New Roman" w:hAnsi="Garamond"/>
                <w:b/>
                <w:sz w:val="18"/>
                <w:szCs w:val="18"/>
                <w:lang w:val="sq-AL"/>
              </w:rPr>
              <w:t>1.</w:t>
            </w:r>
          </w:p>
          <w:p w:rsidR="0065716C" w:rsidRPr="009E22FE" w:rsidRDefault="0065716C">
            <w:pPr>
              <w:widowControl w:val="0"/>
              <w:spacing w:after="0" w:line="240" w:lineRule="auto"/>
              <w:ind w:firstLine="0"/>
              <w:jc w:val="center"/>
              <w:rPr>
                <w:rFonts w:ascii="Garamond" w:eastAsia="Times New Roman" w:hAnsi="Garamond"/>
                <w:sz w:val="18"/>
                <w:szCs w:val="18"/>
                <w:lang w:val="sq-AL"/>
              </w:rPr>
            </w:pPr>
            <w:r w:rsidRPr="009E22FE">
              <w:rPr>
                <w:rFonts w:ascii="Garamond" w:eastAsia="Times New Roman" w:hAnsi="Garamond"/>
                <w:b/>
                <w:sz w:val="18"/>
                <w:szCs w:val="18"/>
                <w:lang w:val="sq-AL"/>
              </w:rPr>
              <w:t>BRE-E</w:t>
            </w:r>
          </w:p>
        </w:tc>
        <w:tc>
          <w:tcPr>
            <w:tcW w:w="2501" w:type="dxa"/>
            <w:tcBorders>
              <w:top w:val="nil"/>
              <w:left w:val="nil"/>
              <w:bottom w:val="single" w:sz="4" w:space="0" w:color="auto"/>
              <w:right w:val="single" w:sz="4" w:space="0" w:color="auto"/>
            </w:tcBorders>
            <w:noWrap/>
            <w:vAlign w:val="center"/>
            <w:hideMark/>
          </w:tcPr>
          <w:p w:rsidR="0065716C" w:rsidRPr="009E22FE" w:rsidRDefault="0065716C">
            <w:pPr>
              <w:widowControl w:val="0"/>
              <w:spacing w:after="0" w:line="240" w:lineRule="auto"/>
              <w:ind w:firstLine="0"/>
              <w:jc w:val="left"/>
              <w:rPr>
                <w:rFonts w:ascii="Garamond" w:eastAsia="Times New Roman" w:hAnsi="Garamond"/>
                <w:b/>
                <w:bCs/>
                <w:sz w:val="18"/>
                <w:szCs w:val="18"/>
                <w:lang w:val="sq-AL"/>
              </w:rPr>
            </w:pPr>
            <w:r w:rsidRPr="009E22FE">
              <w:rPr>
                <w:rFonts w:ascii="Garamond" w:eastAsia="Times New Roman" w:hAnsi="Garamond"/>
                <w:b/>
                <w:bCs/>
                <w:sz w:val="18"/>
                <w:szCs w:val="18"/>
                <w:lang w:val="sq-AL"/>
              </w:rPr>
              <w:t xml:space="preserve">HECV </w:t>
            </w:r>
            <w:r w:rsidRPr="009E22FE">
              <w:rPr>
                <w:rFonts w:ascii="Garamond" w:eastAsia="Times New Roman" w:hAnsi="Garamond"/>
                <w:sz w:val="18"/>
                <w:szCs w:val="18"/>
                <w:lang w:val="sq-AL"/>
              </w:rPr>
              <w:t>deri në 15 mw</w:t>
            </w:r>
            <w:r w:rsidRPr="009E22FE">
              <w:rPr>
                <w:rFonts w:ascii="Garamond" w:eastAsia="Times New Roman" w:hAnsi="Garamond"/>
                <w:b/>
                <w:bCs/>
                <w:sz w:val="18"/>
                <w:szCs w:val="18"/>
                <w:lang w:val="sq-AL"/>
              </w:rPr>
              <w:t xml:space="preserve"> (SHPP)</w:t>
            </w:r>
          </w:p>
        </w:tc>
        <w:tc>
          <w:tcPr>
            <w:tcW w:w="990" w:type="dxa"/>
            <w:tcBorders>
              <w:top w:val="nil"/>
              <w:left w:val="nil"/>
              <w:bottom w:val="single" w:sz="4" w:space="0" w:color="auto"/>
              <w:right w:val="single" w:sz="4" w:space="0" w:color="auto"/>
            </w:tcBorders>
            <w:noWrap/>
            <w:vAlign w:val="center"/>
            <w:hideMark/>
          </w:tcPr>
          <w:p w:rsidR="0065716C" w:rsidRPr="009E22FE" w:rsidRDefault="0065716C">
            <w:pPr>
              <w:widowControl w:val="0"/>
              <w:spacing w:after="0" w:line="24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200</w:t>
            </w:r>
          </w:p>
        </w:tc>
        <w:tc>
          <w:tcPr>
            <w:tcW w:w="990" w:type="dxa"/>
            <w:tcBorders>
              <w:top w:val="nil"/>
              <w:left w:val="nil"/>
              <w:bottom w:val="single" w:sz="4" w:space="0" w:color="auto"/>
              <w:right w:val="single" w:sz="4" w:space="0" w:color="auto"/>
            </w:tcBorders>
            <w:shd w:val="clear" w:color="auto" w:fill="E4DFEC"/>
            <w:noWrap/>
            <w:vAlign w:val="center"/>
            <w:hideMark/>
          </w:tcPr>
          <w:p w:rsidR="0065716C" w:rsidRPr="009E22FE" w:rsidRDefault="0065716C">
            <w:pPr>
              <w:widowControl w:val="0"/>
              <w:spacing w:after="0" w:line="24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135.0</w:t>
            </w:r>
          </w:p>
        </w:tc>
        <w:tc>
          <w:tcPr>
            <w:tcW w:w="990" w:type="dxa"/>
            <w:tcBorders>
              <w:top w:val="nil"/>
              <w:left w:val="nil"/>
              <w:bottom w:val="single" w:sz="4" w:space="0" w:color="auto"/>
              <w:right w:val="single" w:sz="4" w:space="0" w:color="auto"/>
            </w:tcBorders>
            <w:noWrap/>
            <w:vAlign w:val="center"/>
            <w:hideMark/>
          </w:tcPr>
          <w:p w:rsidR="0065716C" w:rsidRPr="009E22FE" w:rsidRDefault="0065716C">
            <w:pPr>
              <w:widowControl w:val="0"/>
              <w:spacing w:after="0" w:line="24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2,326</w:t>
            </w:r>
          </w:p>
        </w:tc>
        <w:tc>
          <w:tcPr>
            <w:tcW w:w="990" w:type="dxa"/>
            <w:tcBorders>
              <w:top w:val="nil"/>
              <w:left w:val="nil"/>
              <w:bottom w:val="single" w:sz="4" w:space="0" w:color="auto"/>
              <w:right w:val="single" w:sz="4" w:space="0" w:color="auto"/>
            </w:tcBorders>
            <w:shd w:val="clear" w:color="auto" w:fill="E4DFEC"/>
            <w:noWrap/>
            <w:vAlign w:val="center"/>
            <w:hideMark/>
          </w:tcPr>
          <w:p w:rsidR="0065716C" w:rsidRPr="009E22FE" w:rsidRDefault="0065716C">
            <w:pPr>
              <w:widowControl w:val="0"/>
              <w:spacing w:after="0" w:line="24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1,600</w:t>
            </w:r>
          </w:p>
        </w:tc>
        <w:tc>
          <w:tcPr>
            <w:tcW w:w="990" w:type="dxa"/>
            <w:tcBorders>
              <w:top w:val="nil"/>
              <w:left w:val="nil"/>
              <w:bottom w:val="single" w:sz="4" w:space="0" w:color="auto"/>
              <w:right w:val="single" w:sz="4" w:space="0" w:color="auto"/>
            </w:tcBorders>
            <w:noWrap/>
            <w:vAlign w:val="center"/>
            <w:hideMark/>
          </w:tcPr>
          <w:p w:rsidR="0065716C" w:rsidRPr="009E22FE" w:rsidRDefault="0065716C">
            <w:pPr>
              <w:widowControl w:val="0"/>
              <w:spacing w:after="0" w:line="24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750</w:t>
            </w:r>
          </w:p>
        </w:tc>
        <w:tc>
          <w:tcPr>
            <w:tcW w:w="990" w:type="dxa"/>
            <w:tcBorders>
              <w:top w:val="nil"/>
              <w:left w:val="nil"/>
              <w:bottom w:val="single" w:sz="4" w:space="0" w:color="auto"/>
              <w:right w:val="single" w:sz="8" w:space="0" w:color="auto"/>
            </w:tcBorders>
            <w:shd w:val="clear" w:color="auto" w:fill="E4DFEC"/>
            <w:noWrap/>
            <w:vAlign w:val="center"/>
            <w:hideMark/>
          </w:tcPr>
          <w:p w:rsidR="0065716C" w:rsidRPr="009E22FE" w:rsidRDefault="0065716C">
            <w:pPr>
              <w:widowControl w:val="0"/>
              <w:spacing w:after="0" w:line="24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600</w:t>
            </w:r>
          </w:p>
        </w:tc>
      </w:tr>
      <w:tr w:rsidR="009E22FE" w:rsidRPr="009E22FE" w:rsidTr="0065716C">
        <w:trPr>
          <w:trHeight w:val="313"/>
          <w:jc w:val="center"/>
        </w:trPr>
        <w:tc>
          <w:tcPr>
            <w:tcW w:w="0" w:type="auto"/>
            <w:vMerge/>
            <w:tcBorders>
              <w:top w:val="single" w:sz="8" w:space="0" w:color="auto"/>
              <w:left w:val="single" w:sz="8" w:space="0" w:color="auto"/>
              <w:bottom w:val="single" w:sz="4" w:space="0" w:color="auto"/>
              <w:right w:val="single" w:sz="8" w:space="0" w:color="auto"/>
            </w:tcBorders>
            <w:vAlign w:val="center"/>
            <w:hideMark/>
          </w:tcPr>
          <w:p w:rsidR="0065716C" w:rsidRPr="009E22FE" w:rsidRDefault="0065716C">
            <w:pPr>
              <w:spacing w:after="0"/>
              <w:ind w:firstLine="0"/>
              <w:jc w:val="left"/>
              <w:rPr>
                <w:rFonts w:ascii="Garamond" w:eastAsia="Times New Roman" w:hAnsi="Garamond"/>
                <w:sz w:val="18"/>
                <w:szCs w:val="18"/>
                <w:lang w:val="sq-AL"/>
              </w:rPr>
            </w:pPr>
          </w:p>
        </w:tc>
        <w:tc>
          <w:tcPr>
            <w:tcW w:w="2501" w:type="dxa"/>
            <w:tcBorders>
              <w:top w:val="nil"/>
              <w:left w:val="nil"/>
              <w:bottom w:val="single" w:sz="4" w:space="0" w:color="auto"/>
              <w:right w:val="single" w:sz="4" w:space="0" w:color="auto"/>
            </w:tcBorders>
            <w:noWrap/>
            <w:vAlign w:val="center"/>
            <w:hideMark/>
          </w:tcPr>
          <w:p w:rsidR="0065716C" w:rsidRPr="009E22FE" w:rsidRDefault="0065716C">
            <w:pPr>
              <w:widowControl w:val="0"/>
              <w:spacing w:after="0" w:line="240" w:lineRule="auto"/>
              <w:ind w:firstLine="0"/>
              <w:rPr>
                <w:rFonts w:ascii="Garamond" w:eastAsia="Times New Roman" w:hAnsi="Garamond"/>
                <w:b/>
                <w:bCs/>
                <w:sz w:val="18"/>
                <w:szCs w:val="18"/>
                <w:lang w:val="sq-AL"/>
              </w:rPr>
            </w:pPr>
            <w:r w:rsidRPr="009E22FE">
              <w:rPr>
                <w:rFonts w:ascii="Garamond" w:eastAsia="Times New Roman" w:hAnsi="Garamond"/>
                <w:b/>
                <w:bCs/>
                <w:sz w:val="18"/>
                <w:szCs w:val="18"/>
                <w:lang w:val="sq-AL"/>
              </w:rPr>
              <w:t>Eolike (</w:t>
            </w:r>
            <w:r w:rsidRPr="009E22FE">
              <w:rPr>
                <w:rFonts w:ascii="Garamond" w:eastAsia="Times New Roman" w:hAnsi="Garamond"/>
                <w:b/>
                <w:bCs/>
                <w:i/>
                <w:sz w:val="18"/>
                <w:szCs w:val="18"/>
                <w:lang w:val="sq-AL"/>
              </w:rPr>
              <w:t>Wind</w:t>
            </w:r>
            <w:r w:rsidRPr="009E22FE">
              <w:rPr>
                <w:rFonts w:ascii="Garamond" w:eastAsia="Times New Roman" w:hAnsi="Garamond"/>
                <w:b/>
                <w:bCs/>
                <w:sz w:val="18"/>
                <w:szCs w:val="18"/>
                <w:lang w:val="sq-AL"/>
              </w:rPr>
              <w:t>)</w:t>
            </w:r>
          </w:p>
        </w:tc>
        <w:tc>
          <w:tcPr>
            <w:tcW w:w="990" w:type="dxa"/>
            <w:tcBorders>
              <w:top w:val="nil"/>
              <w:left w:val="nil"/>
              <w:bottom w:val="single" w:sz="4" w:space="0" w:color="auto"/>
              <w:right w:val="single" w:sz="4" w:space="0" w:color="auto"/>
            </w:tcBorders>
            <w:noWrap/>
            <w:vAlign w:val="center"/>
            <w:hideMark/>
          </w:tcPr>
          <w:p w:rsidR="0065716C" w:rsidRPr="009E22FE" w:rsidRDefault="0065716C">
            <w:pPr>
              <w:widowControl w:val="0"/>
              <w:spacing w:after="0" w:line="24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30</w:t>
            </w:r>
          </w:p>
        </w:tc>
        <w:tc>
          <w:tcPr>
            <w:tcW w:w="990" w:type="dxa"/>
            <w:tcBorders>
              <w:top w:val="nil"/>
              <w:left w:val="nil"/>
              <w:bottom w:val="single" w:sz="4" w:space="0" w:color="auto"/>
              <w:right w:val="single" w:sz="4" w:space="0" w:color="auto"/>
            </w:tcBorders>
            <w:shd w:val="clear" w:color="auto" w:fill="E4DFEC"/>
            <w:noWrap/>
            <w:vAlign w:val="center"/>
            <w:hideMark/>
          </w:tcPr>
          <w:p w:rsidR="0065716C" w:rsidRPr="009E22FE" w:rsidRDefault="0065716C">
            <w:pPr>
              <w:widowControl w:val="0"/>
              <w:spacing w:after="0" w:line="24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18.1</w:t>
            </w:r>
          </w:p>
        </w:tc>
        <w:tc>
          <w:tcPr>
            <w:tcW w:w="990" w:type="dxa"/>
            <w:tcBorders>
              <w:top w:val="nil"/>
              <w:left w:val="nil"/>
              <w:bottom w:val="single" w:sz="4" w:space="0" w:color="auto"/>
              <w:right w:val="single" w:sz="4" w:space="0" w:color="auto"/>
            </w:tcBorders>
            <w:noWrap/>
            <w:vAlign w:val="center"/>
            <w:hideMark/>
          </w:tcPr>
          <w:p w:rsidR="0065716C" w:rsidRPr="009E22FE" w:rsidRDefault="0065716C">
            <w:pPr>
              <w:widowControl w:val="0"/>
              <w:spacing w:after="0" w:line="24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233</w:t>
            </w:r>
          </w:p>
        </w:tc>
        <w:tc>
          <w:tcPr>
            <w:tcW w:w="990" w:type="dxa"/>
            <w:tcBorders>
              <w:top w:val="nil"/>
              <w:left w:val="nil"/>
              <w:bottom w:val="single" w:sz="4" w:space="0" w:color="auto"/>
              <w:right w:val="single" w:sz="4" w:space="0" w:color="auto"/>
            </w:tcBorders>
            <w:shd w:val="clear" w:color="auto" w:fill="E4DFEC"/>
            <w:noWrap/>
            <w:vAlign w:val="center"/>
            <w:hideMark/>
          </w:tcPr>
          <w:p w:rsidR="0065716C" w:rsidRPr="009E22FE" w:rsidRDefault="0065716C">
            <w:pPr>
              <w:widowControl w:val="0"/>
              <w:spacing w:after="0" w:line="24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210</w:t>
            </w:r>
          </w:p>
        </w:tc>
        <w:tc>
          <w:tcPr>
            <w:tcW w:w="990" w:type="dxa"/>
            <w:tcBorders>
              <w:top w:val="nil"/>
              <w:left w:val="nil"/>
              <w:bottom w:val="single" w:sz="4" w:space="0" w:color="auto"/>
              <w:right w:val="single" w:sz="4" w:space="0" w:color="auto"/>
            </w:tcBorders>
            <w:noWrap/>
            <w:vAlign w:val="center"/>
            <w:hideMark/>
          </w:tcPr>
          <w:p w:rsidR="0065716C" w:rsidRPr="009E22FE" w:rsidRDefault="0065716C">
            <w:pPr>
              <w:widowControl w:val="0"/>
              <w:spacing w:after="0" w:line="24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30</w:t>
            </w:r>
          </w:p>
        </w:tc>
        <w:tc>
          <w:tcPr>
            <w:tcW w:w="990" w:type="dxa"/>
            <w:tcBorders>
              <w:top w:val="nil"/>
              <w:left w:val="nil"/>
              <w:bottom w:val="single" w:sz="4" w:space="0" w:color="auto"/>
              <w:right w:val="single" w:sz="8" w:space="0" w:color="auto"/>
            </w:tcBorders>
            <w:shd w:val="clear" w:color="auto" w:fill="E4DFEC"/>
            <w:noWrap/>
            <w:vAlign w:val="center"/>
            <w:hideMark/>
          </w:tcPr>
          <w:p w:rsidR="0065716C" w:rsidRPr="009E22FE" w:rsidRDefault="0065716C">
            <w:pPr>
              <w:widowControl w:val="0"/>
              <w:spacing w:after="0" w:line="24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70</w:t>
            </w:r>
          </w:p>
        </w:tc>
      </w:tr>
      <w:tr w:rsidR="009E22FE" w:rsidRPr="009E22FE" w:rsidTr="0065716C">
        <w:trPr>
          <w:trHeight w:val="313"/>
          <w:jc w:val="center"/>
        </w:trPr>
        <w:tc>
          <w:tcPr>
            <w:tcW w:w="0" w:type="auto"/>
            <w:vMerge/>
            <w:tcBorders>
              <w:top w:val="single" w:sz="8" w:space="0" w:color="auto"/>
              <w:left w:val="single" w:sz="8" w:space="0" w:color="auto"/>
              <w:bottom w:val="single" w:sz="4" w:space="0" w:color="auto"/>
              <w:right w:val="single" w:sz="8" w:space="0" w:color="auto"/>
            </w:tcBorders>
            <w:vAlign w:val="center"/>
            <w:hideMark/>
          </w:tcPr>
          <w:p w:rsidR="0065716C" w:rsidRPr="009E22FE" w:rsidRDefault="0065716C">
            <w:pPr>
              <w:spacing w:after="0"/>
              <w:ind w:firstLine="0"/>
              <w:jc w:val="left"/>
              <w:rPr>
                <w:rFonts w:ascii="Garamond" w:eastAsia="Times New Roman" w:hAnsi="Garamond"/>
                <w:sz w:val="18"/>
                <w:szCs w:val="18"/>
                <w:lang w:val="sq-AL"/>
              </w:rPr>
            </w:pPr>
          </w:p>
        </w:tc>
        <w:tc>
          <w:tcPr>
            <w:tcW w:w="2501" w:type="dxa"/>
            <w:tcBorders>
              <w:top w:val="nil"/>
              <w:left w:val="nil"/>
              <w:bottom w:val="single" w:sz="4" w:space="0" w:color="auto"/>
              <w:right w:val="single" w:sz="4" w:space="0" w:color="auto"/>
            </w:tcBorders>
            <w:vAlign w:val="center"/>
            <w:hideMark/>
          </w:tcPr>
          <w:p w:rsidR="0065716C" w:rsidRPr="009E22FE" w:rsidRDefault="0065716C">
            <w:pPr>
              <w:widowControl w:val="0"/>
              <w:spacing w:after="0" w:line="240" w:lineRule="auto"/>
              <w:ind w:firstLine="0"/>
              <w:rPr>
                <w:rFonts w:ascii="Garamond" w:eastAsia="Times New Roman" w:hAnsi="Garamond"/>
                <w:b/>
                <w:bCs/>
                <w:sz w:val="18"/>
                <w:szCs w:val="18"/>
                <w:lang w:val="sq-AL"/>
              </w:rPr>
            </w:pPr>
            <w:r w:rsidRPr="009E22FE">
              <w:rPr>
                <w:rFonts w:ascii="Garamond" w:eastAsia="Times New Roman" w:hAnsi="Garamond"/>
                <w:b/>
                <w:bCs/>
                <w:sz w:val="18"/>
                <w:szCs w:val="18"/>
                <w:lang w:val="sq-AL"/>
              </w:rPr>
              <w:t>Fotovoltaike (PV)</w:t>
            </w:r>
          </w:p>
        </w:tc>
        <w:tc>
          <w:tcPr>
            <w:tcW w:w="990" w:type="dxa"/>
            <w:tcBorders>
              <w:top w:val="nil"/>
              <w:left w:val="nil"/>
              <w:bottom w:val="single" w:sz="4" w:space="0" w:color="auto"/>
              <w:right w:val="single" w:sz="4" w:space="0" w:color="auto"/>
            </w:tcBorders>
            <w:vAlign w:val="center"/>
            <w:hideMark/>
          </w:tcPr>
          <w:p w:rsidR="0065716C" w:rsidRPr="009E22FE" w:rsidRDefault="0065716C">
            <w:pPr>
              <w:widowControl w:val="0"/>
              <w:spacing w:after="0" w:line="24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40</w:t>
            </w:r>
          </w:p>
        </w:tc>
        <w:tc>
          <w:tcPr>
            <w:tcW w:w="990" w:type="dxa"/>
            <w:tcBorders>
              <w:top w:val="nil"/>
              <w:left w:val="nil"/>
              <w:bottom w:val="single" w:sz="4" w:space="0" w:color="auto"/>
              <w:right w:val="single" w:sz="4" w:space="0" w:color="auto"/>
            </w:tcBorders>
            <w:shd w:val="clear" w:color="auto" w:fill="E4DFEC"/>
            <w:noWrap/>
            <w:vAlign w:val="center"/>
            <w:hideMark/>
          </w:tcPr>
          <w:p w:rsidR="0065716C" w:rsidRPr="009E22FE" w:rsidRDefault="0065716C">
            <w:pPr>
              <w:widowControl w:val="0"/>
              <w:spacing w:after="0" w:line="24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15.0</w:t>
            </w:r>
          </w:p>
        </w:tc>
        <w:tc>
          <w:tcPr>
            <w:tcW w:w="990" w:type="dxa"/>
            <w:tcBorders>
              <w:top w:val="nil"/>
              <w:left w:val="nil"/>
              <w:bottom w:val="single" w:sz="4" w:space="0" w:color="auto"/>
              <w:right w:val="single" w:sz="4" w:space="0" w:color="auto"/>
            </w:tcBorders>
            <w:vAlign w:val="center"/>
            <w:hideMark/>
          </w:tcPr>
          <w:p w:rsidR="0065716C" w:rsidRPr="009E22FE" w:rsidRDefault="0065716C">
            <w:pPr>
              <w:widowControl w:val="0"/>
              <w:spacing w:after="0" w:line="24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582</w:t>
            </w:r>
          </w:p>
        </w:tc>
        <w:tc>
          <w:tcPr>
            <w:tcW w:w="990" w:type="dxa"/>
            <w:tcBorders>
              <w:top w:val="nil"/>
              <w:left w:val="nil"/>
              <w:bottom w:val="single" w:sz="4" w:space="0" w:color="auto"/>
              <w:right w:val="single" w:sz="4" w:space="0" w:color="auto"/>
            </w:tcBorders>
            <w:shd w:val="clear" w:color="auto" w:fill="E4DFEC"/>
            <w:noWrap/>
            <w:vAlign w:val="center"/>
            <w:hideMark/>
          </w:tcPr>
          <w:p w:rsidR="0065716C" w:rsidRPr="009E22FE" w:rsidRDefault="0065716C">
            <w:pPr>
              <w:widowControl w:val="0"/>
              <w:spacing w:after="0" w:line="24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174</w:t>
            </w:r>
          </w:p>
        </w:tc>
        <w:tc>
          <w:tcPr>
            <w:tcW w:w="990" w:type="dxa"/>
            <w:tcBorders>
              <w:top w:val="nil"/>
              <w:left w:val="nil"/>
              <w:bottom w:val="single" w:sz="4" w:space="0" w:color="auto"/>
              <w:right w:val="single" w:sz="4" w:space="0" w:color="auto"/>
            </w:tcBorders>
            <w:vAlign w:val="center"/>
            <w:hideMark/>
          </w:tcPr>
          <w:p w:rsidR="0065716C" w:rsidRPr="009E22FE" w:rsidRDefault="0065716C">
            <w:pPr>
              <w:widowControl w:val="0"/>
              <w:spacing w:after="0" w:line="24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50</w:t>
            </w:r>
          </w:p>
        </w:tc>
        <w:tc>
          <w:tcPr>
            <w:tcW w:w="990" w:type="dxa"/>
            <w:tcBorders>
              <w:top w:val="nil"/>
              <w:left w:val="nil"/>
              <w:bottom w:val="single" w:sz="4" w:space="0" w:color="auto"/>
              <w:right w:val="single" w:sz="8" w:space="0" w:color="auto"/>
            </w:tcBorders>
            <w:shd w:val="clear" w:color="auto" w:fill="E4DFEC"/>
            <w:vAlign w:val="center"/>
            <w:hideMark/>
          </w:tcPr>
          <w:p w:rsidR="0065716C" w:rsidRPr="009E22FE" w:rsidRDefault="0065716C">
            <w:pPr>
              <w:widowControl w:val="0"/>
              <w:spacing w:after="0" w:line="24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120</w:t>
            </w:r>
          </w:p>
        </w:tc>
      </w:tr>
      <w:tr w:rsidR="009E22FE" w:rsidRPr="009E22FE" w:rsidTr="0065716C">
        <w:trPr>
          <w:trHeight w:val="313"/>
          <w:jc w:val="center"/>
        </w:trPr>
        <w:tc>
          <w:tcPr>
            <w:tcW w:w="0" w:type="auto"/>
            <w:vMerge/>
            <w:tcBorders>
              <w:top w:val="single" w:sz="8" w:space="0" w:color="auto"/>
              <w:left w:val="single" w:sz="8" w:space="0" w:color="auto"/>
              <w:bottom w:val="single" w:sz="4" w:space="0" w:color="auto"/>
              <w:right w:val="single" w:sz="8" w:space="0" w:color="auto"/>
            </w:tcBorders>
            <w:vAlign w:val="center"/>
            <w:hideMark/>
          </w:tcPr>
          <w:p w:rsidR="0065716C" w:rsidRPr="009E22FE" w:rsidRDefault="0065716C">
            <w:pPr>
              <w:spacing w:after="0"/>
              <w:ind w:firstLine="0"/>
              <w:jc w:val="left"/>
              <w:rPr>
                <w:rFonts w:ascii="Garamond" w:eastAsia="Times New Roman" w:hAnsi="Garamond"/>
                <w:sz w:val="18"/>
                <w:szCs w:val="18"/>
                <w:lang w:val="sq-AL"/>
              </w:rPr>
            </w:pPr>
          </w:p>
        </w:tc>
        <w:tc>
          <w:tcPr>
            <w:tcW w:w="2501" w:type="dxa"/>
            <w:tcBorders>
              <w:top w:val="nil"/>
              <w:left w:val="nil"/>
              <w:bottom w:val="single" w:sz="4" w:space="0" w:color="auto"/>
              <w:right w:val="single" w:sz="4" w:space="0" w:color="auto"/>
            </w:tcBorders>
            <w:vAlign w:val="center"/>
            <w:hideMark/>
          </w:tcPr>
          <w:p w:rsidR="0065716C" w:rsidRPr="009E22FE" w:rsidRDefault="0065716C">
            <w:pPr>
              <w:widowControl w:val="0"/>
              <w:spacing w:after="0" w:line="240" w:lineRule="auto"/>
              <w:ind w:firstLine="0"/>
              <w:rPr>
                <w:rFonts w:ascii="Garamond" w:eastAsia="Times New Roman" w:hAnsi="Garamond"/>
                <w:b/>
                <w:bCs/>
                <w:sz w:val="18"/>
                <w:szCs w:val="18"/>
                <w:lang w:val="sq-AL"/>
              </w:rPr>
            </w:pPr>
            <w:r w:rsidRPr="009E22FE">
              <w:rPr>
                <w:rFonts w:ascii="Garamond" w:eastAsia="Times New Roman" w:hAnsi="Garamond"/>
                <w:b/>
                <w:bCs/>
                <w:sz w:val="18"/>
                <w:szCs w:val="18"/>
                <w:lang w:val="sq-AL"/>
              </w:rPr>
              <w:t xml:space="preserve">Nga MNU </w:t>
            </w:r>
            <w:r w:rsidRPr="009E22FE">
              <w:rPr>
                <w:rFonts w:ascii="Garamond" w:eastAsia="Times New Roman" w:hAnsi="Garamond"/>
                <w:bCs/>
                <w:sz w:val="18"/>
                <w:szCs w:val="18"/>
                <w:lang w:val="sq-AL"/>
              </w:rPr>
              <w:t>(</w:t>
            </w:r>
            <w:r w:rsidRPr="009E22FE">
              <w:rPr>
                <w:rFonts w:ascii="Garamond" w:eastAsia="Times New Roman" w:hAnsi="Garamond"/>
                <w:bCs/>
                <w:i/>
                <w:sz w:val="18"/>
                <w:szCs w:val="18"/>
                <w:lang w:val="sq-AL"/>
              </w:rPr>
              <w:t>waste to energy</w:t>
            </w:r>
            <w:r w:rsidRPr="009E22FE">
              <w:rPr>
                <w:rFonts w:ascii="Garamond" w:eastAsia="Times New Roman" w:hAnsi="Garamond"/>
                <w:bCs/>
                <w:sz w:val="18"/>
                <w:szCs w:val="18"/>
                <w:lang w:val="sq-AL"/>
              </w:rPr>
              <w:t>)</w:t>
            </w:r>
          </w:p>
        </w:tc>
        <w:tc>
          <w:tcPr>
            <w:tcW w:w="990" w:type="dxa"/>
            <w:tcBorders>
              <w:top w:val="nil"/>
              <w:left w:val="nil"/>
              <w:bottom w:val="single" w:sz="4" w:space="0" w:color="auto"/>
              <w:right w:val="single" w:sz="4" w:space="0" w:color="auto"/>
            </w:tcBorders>
            <w:vAlign w:val="center"/>
            <w:hideMark/>
          </w:tcPr>
          <w:p w:rsidR="0065716C" w:rsidRPr="009E22FE" w:rsidRDefault="0065716C">
            <w:pPr>
              <w:widowControl w:val="0"/>
              <w:spacing w:after="0" w:line="24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0</w:t>
            </w:r>
          </w:p>
        </w:tc>
        <w:tc>
          <w:tcPr>
            <w:tcW w:w="990" w:type="dxa"/>
            <w:tcBorders>
              <w:top w:val="nil"/>
              <w:left w:val="nil"/>
              <w:bottom w:val="single" w:sz="4" w:space="0" w:color="auto"/>
              <w:right w:val="single" w:sz="4" w:space="0" w:color="auto"/>
            </w:tcBorders>
            <w:shd w:val="clear" w:color="auto" w:fill="E4DFEC"/>
            <w:vAlign w:val="center"/>
            <w:hideMark/>
          </w:tcPr>
          <w:p w:rsidR="0065716C" w:rsidRPr="009E22FE" w:rsidRDefault="0065716C">
            <w:pPr>
              <w:widowControl w:val="0"/>
              <w:spacing w:after="0" w:line="24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5.0</w:t>
            </w:r>
          </w:p>
        </w:tc>
        <w:tc>
          <w:tcPr>
            <w:tcW w:w="990" w:type="dxa"/>
            <w:tcBorders>
              <w:top w:val="nil"/>
              <w:left w:val="nil"/>
              <w:bottom w:val="single" w:sz="4" w:space="0" w:color="auto"/>
              <w:right w:val="single" w:sz="4" w:space="0" w:color="auto"/>
            </w:tcBorders>
            <w:noWrap/>
            <w:vAlign w:val="center"/>
            <w:hideMark/>
          </w:tcPr>
          <w:p w:rsidR="0065716C" w:rsidRPr="009E22FE" w:rsidRDefault="0065716C">
            <w:pPr>
              <w:widowControl w:val="0"/>
              <w:spacing w:after="0" w:line="24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0</w:t>
            </w:r>
          </w:p>
        </w:tc>
        <w:tc>
          <w:tcPr>
            <w:tcW w:w="990" w:type="dxa"/>
            <w:tcBorders>
              <w:top w:val="nil"/>
              <w:left w:val="nil"/>
              <w:bottom w:val="single" w:sz="4" w:space="0" w:color="auto"/>
              <w:right w:val="single" w:sz="4" w:space="0" w:color="auto"/>
            </w:tcBorders>
            <w:shd w:val="clear" w:color="auto" w:fill="E4DFEC"/>
            <w:noWrap/>
            <w:vAlign w:val="center"/>
            <w:hideMark/>
          </w:tcPr>
          <w:p w:rsidR="0065716C" w:rsidRPr="009E22FE" w:rsidRDefault="0065716C">
            <w:pPr>
              <w:widowControl w:val="0"/>
              <w:spacing w:after="0" w:line="24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60</w:t>
            </w:r>
          </w:p>
        </w:tc>
        <w:tc>
          <w:tcPr>
            <w:tcW w:w="990" w:type="dxa"/>
            <w:tcBorders>
              <w:top w:val="nil"/>
              <w:left w:val="nil"/>
              <w:bottom w:val="single" w:sz="4" w:space="0" w:color="auto"/>
              <w:right w:val="single" w:sz="4" w:space="0" w:color="auto"/>
            </w:tcBorders>
            <w:noWrap/>
            <w:vAlign w:val="center"/>
            <w:hideMark/>
          </w:tcPr>
          <w:p w:rsidR="0065716C" w:rsidRPr="009E22FE" w:rsidRDefault="0065716C">
            <w:pPr>
              <w:widowControl w:val="0"/>
              <w:spacing w:after="0" w:line="24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0</w:t>
            </w:r>
          </w:p>
        </w:tc>
        <w:tc>
          <w:tcPr>
            <w:tcW w:w="990" w:type="dxa"/>
            <w:tcBorders>
              <w:top w:val="nil"/>
              <w:left w:val="nil"/>
              <w:bottom w:val="single" w:sz="4" w:space="0" w:color="auto"/>
              <w:right w:val="single" w:sz="8" w:space="0" w:color="auto"/>
            </w:tcBorders>
            <w:shd w:val="clear" w:color="auto" w:fill="E4DFEC"/>
            <w:noWrap/>
            <w:vAlign w:val="center"/>
            <w:hideMark/>
          </w:tcPr>
          <w:p w:rsidR="0065716C" w:rsidRPr="009E22FE" w:rsidRDefault="0065716C">
            <w:pPr>
              <w:widowControl w:val="0"/>
              <w:spacing w:after="0" w:line="24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8</w:t>
            </w:r>
          </w:p>
        </w:tc>
      </w:tr>
      <w:tr w:rsidR="009E22FE" w:rsidRPr="009E22FE" w:rsidTr="0065716C">
        <w:trPr>
          <w:trHeight w:val="313"/>
          <w:jc w:val="center"/>
        </w:trPr>
        <w:tc>
          <w:tcPr>
            <w:tcW w:w="0" w:type="auto"/>
            <w:vMerge/>
            <w:tcBorders>
              <w:top w:val="single" w:sz="8" w:space="0" w:color="auto"/>
              <w:left w:val="single" w:sz="8" w:space="0" w:color="auto"/>
              <w:bottom w:val="single" w:sz="4" w:space="0" w:color="auto"/>
              <w:right w:val="single" w:sz="8" w:space="0" w:color="auto"/>
            </w:tcBorders>
            <w:vAlign w:val="center"/>
            <w:hideMark/>
          </w:tcPr>
          <w:p w:rsidR="0065716C" w:rsidRPr="009E22FE" w:rsidRDefault="0065716C">
            <w:pPr>
              <w:spacing w:after="0"/>
              <w:ind w:firstLine="0"/>
              <w:jc w:val="left"/>
              <w:rPr>
                <w:rFonts w:ascii="Garamond" w:eastAsia="Times New Roman" w:hAnsi="Garamond"/>
                <w:sz w:val="18"/>
                <w:szCs w:val="18"/>
                <w:lang w:val="sq-AL"/>
              </w:rPr>
            </w:pPr>
          </w:p>
        </w:tc>
        <w:tc>
          <w:tcPr>
            <w:tcW w:w="2501" w:type="dxa"/>
            <w:tcBorders>
              <w:top w:val="nil"/>
              <w:left w:val="nil"/>
              <w:bottom w:val="single" w:sz="4" w:space="0" w:color="auto"/>
              <w:right w:val="single" w:sz="4" w:space="0" w:color="auto"/>
            </w:tcBorders>
            <w:vAlign w:val="center"/>
            <w:hideMark/>
          </w:tcPr>
          <w:p w:rsidR="0065716C" w:rsidRPr="009E22FE" w:rsidRDefault="0065716C">
            <w:pPr>
              <w:widowControl w:val="0"/>
              <w:spacing w:after="0" w:line="240" w:lineRule="auto"/>
              <w:ind w:firstLine="0"/>
              <w:jc w:val="right"/>
              <w:rPr>
                <w:rFonts w:ascii="Garamond" w:eastAsia="Times New Roman" w:hAnsi="Garamond"/>
                <w:sz w:val="18"/>
                <w:szCs w:val="18"/>
                <w:u w:val="single"/>
                <w:lang w:val="sq-AL"/>
              </w:rPr>
            </w:pPr>
            <w:r w:rsidRPr="009E22FE">
              <w:rPr>
                <w:rFonts w:ascii="Garamond" w:eastAsia="Times New Roman" w:hAnsi="Garamond"/>
                <w:sz w:val="18"/>
                <w:szCs w:val="18"/>
                <w:u w:val="single"/>
                <w:lang w:val="sq-AL"/>
              </w:rPr>
              <w:t xml:space="preserve">Total 1 (ktoe) </w:t>
            </w:r>
          </w:p>
        </w:tc>
        <w:tc>
          <w:tcPr>
            <w:tcW w:w="990" w:type="dxa"/>
            <w:tcBorders>
              <w:top w:val="nil"/>
              <w:left w:val="nil"/>
              <w:bottom w:val="single" w:sz="4" w:space="0" w:color="auto"/>
              <w:right w:val="single" w:sz="4" w:space="0" w:color="auto"/>
            </w:tcBorders>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270</w:t>
            </w:r>
          </w:p>
        </w:tc>
        <w:tc>
          <w:tcPr>
            <w:tcW w:w="990" w:type="dxa"/>
            <w:tcBorders>
              <w:top w:val="nil"/>
              <w:left w:val="nil"/>
              <w:bottom w:val="single" w:sz="4" w:space="0" w:color="auto"/>
              <w:right w:val="single" w:sz="4" w:space="0" w:color="auto"/>
            </w:tcBorders>
            <w:shd w:val="clear" w:color="auto" w:fill="E4DFEC"/>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172</w:t>
            </w:r>
          </w:p>
        </w:tc>
        <w:tc>
          <w:tcPr>
            <w:tcW w:w="990" w:type="dxa"/>
            <w:tcBorders>
              <w:top w:val="nil"/>
              <w:left w:val="nil"/>
              <w:bottom w:val="single" w:sz="4" w:space="0" w:color="auto"/>
              <w:right w:val="single" w:sz="4" w:space="0" w:color="auto"/>
            </w:tcBorders>
            <w:noWrap/>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3,140</w:t>
            </w:r>
          </w:p>
        </w:tc>
        <w:tc>
          <w:tcPr>
            <w:tcW w:w="990" w:type="dxa"/>
            <w:tcBorders>
              <w:top w:val="nil"/>
              <w:left w:val="nil"/>
              <w:bottom w:val="single" w:sz="4" w:space="0" w:color="auto"/>
              <w:right w:val="single" w:sz="4" w:space="0" w:color="auto"/>
            </w:tcBorders>
            <w:shd w:val="clear" w:color="auto" w:fill="E4DFEC"/>
            <w:noWrap/>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2,044</w:t>
            </w:r>
          </w:p>
        </w:tc>
        <w:tc>
          <w:tcPr>
            <w:tcW w:w="990" w:type="dxa"/>
            <w:tcBorders>
              <w:top w:val="nil"/>
              <w:left w:val="nil"/>
              <w:bottom w:val="single" w:sz="4" w:space="0" w:color="auto"/>
              <w:right w:val="single" w:sz="4" w:space="0" w:color="auto"/>
            </w:tcBorders>
            <w:noWrap/>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830</w:t>
            </w:r>
          </w:p>
        </w:tc>
        <w:tc>
          <w:tcPr>
            <w:tcW w:w="990" w:type="dxa"/>
            <w:tcBorders>
              <w:top w:val="nil"/>
              <w:left w:val="nil"/>
              <w:bottom w:val="single" w:sz="4" w:space="0" w:color="auto"/>
              <w:right w:val="single" w:sz="8" w:space="0" w:color="auto"/>
            </w:tcBorders>
            <w:shd w:val="clear" w:color="auto" w:fill="E4DFEC"/>
            <w:noWrap/>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798</w:t>
            </w:r>
          </w:p>
        </w:tc>
      </w:tr>
      <w:tr w:rsidR="009E22FE" w:rsidRPr="009E22FE" w:rsidTr="0065716C">
        <w:trPr>
          <w:trHeight w:val="313"/>
          <w:jc w:val="center"/>
        </w:trPr>
        <w:tc>
          <w:tcPr>
            <w:tcW w:w="0" w:type="auto"/>
            <w:vMerge/>
            <w:tcBorders>
              <w:top w:val="single" w:sz="8" w:space="0" w:color="auto"/>
              <w:left w:val="single" w:sz="8" w:space="0" w:color="auto"/>
              <w:bottom w:val="single" w:sz="4" w:space="0" w:color="auto"/>
              <w:right w:val="single" w:sz="8" w:space="0" w:color="auto"/>
            </w:tcBorders>
            <w:vAlign w:val="center"/>
            <w:hideMark/>
          </w:tcPr>
          <w:p w:rsidR="0065716C" w:rsidRPr="009E22FE" w:rsidRDefault="0065716C">
            <w:pPr>
              <w:spacing w:after="0"/>
              <w:ind w:firstLine="0"/>
              <w:jc w:val="left"/>
              <w:rPr>
                <w:rFonts w:ascii="Garamond" w:eastAsia="Times New Roman" w:hAnsi="Garamond"/>
                <w:sz w:val="18"/>
                <w:szCs w:val="18"/>
                <w:lang w:val="sq-AL"/>
              </w:rPr>
            </w:pPr>
          </w:p>
        </w:tc>
        <w:tc>
          <w:tcPr>
            <w:tcW w:w="2501" w:type="dxa"/>
            <w:tcBorders>
              <w:top w:val="nil"/>
              <w:left w:val="nil"/>
              <w:bottom w:val="single" w:sz="8" w:space="0" w:color="auto"/>
              <w:right w:val="single" w:sz="4" w:space="0" w:color="auto"/>
            </w:tcBorders>
            <w:shd w:val="clear" w:color="auto" w:fill="DDD9C3"/>
            <w:vAlign w:val="center"/>
            <w:hideMark/>
          </w:tcPr>
          <w:p w:rsidR="0065716C" w:rsidRPr="009E22FE" w:rsidRDefault="0065716C">
            <w:pPr>
              <w:widowControl w:val="0"/>
              <w:spacing w:after="0" w:line="240" w:lineRule="auto"/>
              <w:ind w:firstLine="0"/>
              <w:jc w:val="right"/>
              <w:rPr>
                <w:rFonts w:ascii="Garamond" w:eastAsia="Times New Roman" w:hAnsi="Garamond"/>
                <w:sz w:val="18"/>
                <w:szCs w:val="18"/>
                <w:u w:val="single"/>
                <w:lang w:val="sq-AL"/>
              </w:rPr>
            </w:pPr>
            <w:r w:rsidRPr="009E22FE">
              <w:rPr>
                <w:rFonts w:ascii="Garamond" w:eastAsia="Times New Roman" w:hAnsi="Garamond"/>
                <w:sz w:val="18"/>
                <w:szCs w:val="18"/>
                <w:u w:val="single"/>
                <w:lang w:val="sq-AL"/>
              </w:rPr>
              <w:t>% në KFBE</w:t>
            </w:r>
          </w:p>
        </w:tc>
        <w:tc>
          <w:tcPr>
            <w:tcW w:w="990" w:type="dxa"/>
            <w:tcBorders>
              <w:top w:val="nil"/>
              <w:left w:val="nil"/>
              <w:bottom w:val="single" w:sz="8" w:space="0" w:color="auto"/>
              <w:right w:val="single" w:sz="4" w:space="0" w:color="auto"/>
            </w:tcBorders>
            <w:shd w:val="clear" w:color="auto" w:fill="DDD9C3"/>
            <w:vAlign w:val="center"/>
            <w:hideMark/>
          </w:tcPr>
          <w:p w:rsidR="0065716C" w:rsidRPr="009E22FE" w:rsidRDefault="0065716C">
            <w:pPr>
              <w:widowControl w:val="0"/>
              <w:spacing w:after="0" w:line="240" w:lineRule="auto"/>
              <w:ind w:firstLine="0"/>
              <w:jc w:val="right"/>
              <w:rPr>
                <w:rFonts w:ascii="Garamond" w:eastAsia="Times New Roman" w:hAnsi="Garamond"/>
                <w:b/>
                <w:bCs/>
                <w:sz w:val="18"/>
                <w:szCs w:val="18"/>
                <w:lang w:val="sq-AL"/>
              </w:rPr>
            </w:pPr>
            <w:r w:rsidRPr="009E22FE">
              <w:rPr>
                <w:rFonts w:ascii="Garamond" w:eastAsia="Times New Roman" w:hAnsi="Garamond"/>
                <w:b/>
                <w:bCs/>
                <w:sz w:val="18"/>
                <w:szCs w:val="18"/>
                <w:lang w:val="sq-AL"/>
              </w:rPr>
              <w:t>25%</w:t>
            </w:r>
          </w:p>
        </w:tc>
        <w:tc>
          <w:tcPr>
            <w:tcW w:w="990" w:type="dxa"/>
            <w:tcBorders>
              <w:top w:val="nil"/>
              <w:left w:val="nil"/>
              <w:bottom w:val="single" w:sz="8" w:space="0" w:color="auto"/>
              <w:right w:val="single" w:sz="4" w:space="0" w:color="auto"/>
            </w:tcBorders>
            <w:shd w:val="clear" w:color="auto" w:fill="E4DFEC"/>
            <w:vAlign w:val="center"/>
            <w:hideMark/>
          </w:tcPr>
          <w:p w:rsidR="0065716C" w:rsidRPr="009E22FE" w:rsidRDefault="0065716C">
            <w:pPr>
              <w:widowControl w:val="0"/>
              <w:spacing w:after="0" w:line="240" w:lineRule="auto"/>
              <w:ind w:firstLine="0"/>
              <w:jc w:val="right"/>
              <w:rPr>
                <w:rFonts w:ascii="Garamond" w:eastAsia="Times New Roman" w:hAnsi="Garamond"/>
                <w:b/>
                <w:bCs/>
                <w:sz w:val="18"/>
                <w:szCs w:val="18"/>
                <w:lang w:val="sq-AL"/>
              </w:rPr>
            </w:pPr>
            <w:r w:rsidRPr="009E22FE">
              <w:rPr>
                <w:rFonts w:ascii="Garamond" w:eastAsia="Times New Roman" w:hAnsi="Garamond"/>
                <w:b/>
                <w:bCs/>
                <w:sz w:val="18"/>
                <w:szCs w:val="18"/>
                <w:lang w:val="sq-AL"/>
              </w:rPr>
              <w:t>35%</w:t>
            </w:r>
          </w:p>
        </w:tc>
        <w:tc>
          <w:tcPr>
            <w:tcW w:w="990" w:type="dxa"/>
            <w:tcBorders>
              <w:top w:val="nil"/>
              <w:left w:val="nil"/>
              <w:bottom w:val="single" w:sz="8" w:space="0" w:color="auto"/>
              <w:right w:val="single" w:sz="4" w:space="0" w:color="auto"/>
            </w:tcBorders>
            <w:shd w:val="clear" w:color="auto" w:fill="DDD9C3"/>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990" w:type="dxa"/>
            <w:tcBorders>
              <w:top w:val="nil"/>
              <w:left w:val="nil"/>
              <w:bottom w:val="single" w:sz="8" w:space="0" w:color="auto"/>
              <w:right w:val="single" w:sz="4" w:space="0" w:color="auto"/>
            </w:tcBorders>
            <w:shd w:val="clear" w:color="auto" w:fill="E4DFEC"/>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990" w:type="dxa"/>
            <w:tcBorders>
              <w:top w:val="nil"/>
              <w:left w:val="nil"/>
              <w:bottom w:val="single" w:sz="8" w:space="0" w:color="auto"/>
              <w:right w:val="single" w:sz="4" w:space="0" w:color="auto"/>
            </w:tcBorders>
            <w:shd w:val="clear" w:color="auto" w:fill="DDD9C3"/>
            <w:vAlign w:val="center"/>
            <w:hideMark/>
          </w:tcPr>
          <w:p w:rsidR="0065716C" w:rsidRPr="009E22FE" w:rsidRDefault="0065716C">
            <w:pPr>
              <w:widowControl w:val="0"/>
              <w:spacing w:after="0" w:line="240" w:lineRule="auto"/>
              <w:ind w:firstLine="0"/>
              <w:jc w:val="left"/>
              <w:rPr>
                <w:rFonts w:ascii="Garamond" w:eastAsia="Times New Roman" w:hAnsi="Garamond"/>
                <w:sz w:val="18"/>
                <w:szCs w:val="18"/>
                <w:lang w:val="sq-AL"/>
              </w:rPr>
            </w:pPr>
            <w:r w:rsidRPr="009E22FE">
              <w:rPr>
                <w:rFonts w:ascii="Garamond" w:eastAsia="Times New Roman" w:hAnsi="Garamond"/>
                <w:sz w:val="18"/>
                <w:szCs w:val="18"/>
                <w:lang w:val="sq-AL"/>
              </w:rPr>
              <w:t> </w:t>
            </w:r>
          </w:p>
        </w:tc>
        <w:tc>
          <w:tcPr>
            <w:tcW w:w="990" w:type="dxa"/>
            <w:tcBorders>
              <w:top w:val="nil"/>
              <w:left w:val="nil"/>
              <w:bottom w:val="single" w:sz="8" w:space="0" w:color="auto"/>
              <w:right w:val="single" w:sz="8" w:space="0" w:color="auto"/>
            </w:tcBorders>
            <w:shd w:val="clear" w:color="auto" w:fill="E4DFEC"/>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r>
      <w:tr w:rsidR="009E22FE" w:rsidRPr="009E22FE" w:rsidTr="0065716C">
        <w:trPr>
          <w:trHeight w:val="298"/>
          <w:jc w:val="center"/>
        </w:trPr>
        <w:tc>
          <w:tcPr>
            <w:tcW w:w="1121" w:type="dxa"/>
            <w:vMerge w:val="restart"/>
            <w:tcBorders>
              <w:top w:val="nil"/>
              <w:left w:val="single" w:sz="8" w:space="0" w:color="auto"/>
              <w:bottom w:val="single" w:sz="4" w:space="0" w:color="auto"/>
              <w:right w:val="single" w:sz="8" w:space="0" w:color="auto"/>
            </w:tcBorders>
            <w:vAlign w:val="center"/>
            <w:hideMark/>
          </w:tcPr>
          <w:p w:rsidR="0065716C" w:rsidRPr="009E22FE" w:rsidRDefault="0065716C">
            <w:pPr>
              <w:widowControl w:val="0"/>
              <w:spacing w:after="0" w:line="240" w:lineRule="auto"/>
              <w:ind w:firstLine="0"/>
              <w:jc w:val="center"/>
              <w:rPr>
                <w:rFonts w:ascii="Garamond" w:eastAsia="Times New Roman" w:hAnsi="Garamond"/>
                <w:sz w:val="18"/>
                <w:szCs w:val="18"/>
                <w:lang w:val="sq-AL"/>
              </w:rPr>
            </w:pPr>
            <w:r w:rsidRPr="009E22FE">
              <w:rPr>
                <w:rFonts w:ascii="Garamond" w:eastAsia="Times New Roman" w:hAnsi="Garamond"/>
                <w:sz w:val="18"/>
                <w:szCs w:val="18"/>
                <w:lang w:val="sq-AL"/>
              </w:rPr>
              <w:t xml:space="preserve">2. </w:t>
            </w:r>
          </w:p>
          <w:p w:rsidR="0065716C" w:rsidRPr="009E22FE" w:rsidRDefault="0065716C">
            <w:pPr>
              <w:widowControl w:val="0"/>
              <w:spacing w:after="0" w:line="240" w:lineRule="auto"/>
              <w:ind w:firstLine="0"/>
              <w:jc w:val="center"/>
              <w:rPr>
                <w:rFonts w:ascii="Garamond" w:eastAsia="Times New Roman" w:hAnsi="Garamond"/>
                <w:sz w:val="18"/>
                <w:szCs w:val="18"/>
                <w:lang w:val="sq-AL"/>
              </w:rPr>
            </w:pPr>
            <w:r w:rsidRPr="009E22FE">
              <w:rPr>
                <w:rFonts w:ascii="Garamond" w:eastAsia="Times New Roman" w:hAnsi="Garamond"/>
                <w:sz w:val="18"/>
                <w:szCs w:val="18"/>
                <w:lang w:val="sq-AL"/>
              </w:rPr>
              <w:t>BRE-N&amp;F</w:t>
            </w:r>
          </w:p>
        </w:tc>
        <w:tc>
          <w:tcPr>
            <w:tcW w:w="2501" w:type="dxa"/>
            <w:tcBorders>
              <w:top w:val="nil"/>
              <w:left w:val="nil"/>
              <w:bottom w:val="single" w:sz="4" w:space="0" w:color="auto"/>
              <w:right w:val="single" w:sz="4" w:space="0" w:color="auto"/>
            </w:tcBorders>
            <w:vAlign w:val="center"/>
            <w:hideMark/>
          </w:tcPr>
          <w:p w:rsidR="0065716C" w:rsidRPr="009E22FE" w:rsidRDefault="0065716C">
            <w:pPr>
              <w:widowControl w:val="0"/>
              <w:spacing w:after="0" w:line="240" w:lineRule="auto"/>
              <w:ind w:firstLine="0"/>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 xml:space="preserve">Biomasë </w:t>
            </w:r>
          </w:p>
        </w:tc>
        <w:tc>
          <w:tcPr>
            <w:tcW w:w="990" w:type="dxa"/>
            <w:tcBorders>
              <w:top w:val="nil"/>
              <w:left w:val="nil"/>
              <w:bottom w:val="single" w:sz="4" w:space="0" w:color="auto"/>
              <w:right w:val="single" w:sz="4" w:space="0" w:color="auto"/>
            </w:tcBorders>
            <w:vAlign w:val="center"/>
            <w:hideMark/>
          </w:tcPr>
          <w:p w:rsidR="0065716C" w:rsidRPr="009E22FE" w:rsidRDefault="0065716C">
            <w:pPr>
              <w:widowControl w:val="0"/>
              <w:spacing w:after="0" w:line="24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52</w:t>
            </w:r>
          </w:p>
        </w:tc>
        <w:tc>
          <w:tcPr>
            <w:tcW w:w="990" w:type="dxa"/>
            <w:tcBorders>
              <w:top w:val="nil"/>
              <w:left w:val="nil"/>
              <w:bottom w:val="single" w:sz="4" w:space="0" w:color="auto"/>
              <w:right w:val="single" w:sz="4" w:space="0" w:color="auto"/>
            </w:tcBorders>
            <w:shd w:val="clear" w:color="auto" w:fill="E4DFEC"/>
            <w:vAlign w:val="center"/>
            <w:hideMark/>
          </w:tcPr>
          <w:p w:rsidR="0065716C" w:rsidRPr="009E22FE" w:rsidRDefault="0065716C">
            <w:pPr>
              <w:widowControl w:val="0"/>
              <w:spacing w:after="0" w:line="24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 </w:t>
            </w:r>
          </w:p>
        </w:tc>
        <w:tc>
          <w:tcPr>
            <w:tcW w:w="990" w:type="dxa"/>
            <w:tcBorders>
              <w:top w:val="nil"/>
              <w:left w:val="nil"/>
              <w:bottom w:val="single" w:sz="4" w:space="0" w:color="auto"/>
              <w:right w:val="single" w:sz="4" w:space="0" w:color="auto"/>
            </w:tcBorders>
            <w:vAlign w:val="center"/>
            <w:hideMark/>
          </w:tcPr>
          <w:p w:rsidR="0065716C" w:rsidRPr="009E22FE" w:rsidRDefault="0065716C">
            <w:pPr>
              <w:widowControl w:val="0"/>
              <w:spacing w:after="0" w:line="24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 </w:t>
            </w:r>
          </w:p>
        </w:tc>
        <w:tc>
          <w:tcPr>
            <w:tcW w:w="990" w:type="dxa"/>
            <w:tcBorders>
              <w:top w:val="nil"/>
              <w:left w:val="nil"/>
              <w:bottom w:val="single" w:sz="4" w:space="0" w:color="auto"/>
              <w:right w:val="single" w:sz="4" w:space="0" w:color="auto"/>
            </w:tcBorders>
            <w:shd w:val="clear" w:color="auto" w:fill="E4DFEC"/>
            <w:vAlign w:val="center"/>
            <w:hideMark/>
          </w:tcPr>
          <w:p w:rsidR="0065716C" w:rsidRPr="009E22FE" w:rsidRDefault="0065716C">
            <w:pPr>
              <w:widowControl w:val="0"/>
              <w:spacing w:after="0" w:line="24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 </w:t>
            </w:r>
          </w:p>
        </w:tc>
        <w:tc>
          <w:tcPr>
            <w:tcW w:w="990" w:type="dxa"/>
            <w:tcBorders>
              <w:top w:val="nil"/>
              <w:left w:val="nil"/>
              <w:bottom w:val="single" w:sz="4" w:space="0" w:color="auto"/>
              <w:right w:val="single" w:sz="4" w:space="0" w:color="auto"/>
            </w:tcBorders>
            <w:vAlign w:val="center"/>
            <w:hideMark/>
          </w:tcPr>
          <w:p w:rsidR="0065716C" w:rsidRPr="009E22FE" w:rsidRDefault="0065716C">
            <w:pPr>
              <w:widowControl w:val="0"/>
              <w:spacing w:after="0" w:line="24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w:t>
            </w:r>
          </w:p>
        </w:tc>
        <w:tc>
          <w:tcPr>
            <w:tcW w:w="990" w:type="dxa"/>
            <w:tcBorders>
              <w:top w:val="nil"/>
              <w:left w:val="nil"/>
              <w:bottom w:val="single" w:sz="4" w:space="0" w:color="auto"/>
              <w:right w:val="single" w:sz="8" w:space="0" w:color="auto"/>
            </w:tcBorders>
            <w:shd w:val="clear" w:color="auto" w:fill="E4DFEC"/>
            <w:vAlign w:val="center"/>
            <w:hideMark/>
          </w:tcPr>
          <w:p w:rsidR="0065716C" w:rsidRPr="009E22FE" w:rsidRDefault="0065716C">
            <w:pPr>
              <w:widowControl w:val="0"/>
              <w:spacing w:after="0" w:line="24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 </w:t>
            </w:r>
          </w:p>
        </w:tc>
      </w:tr>
      <w:tr w:rsidR="009E22FE" w:rsidRPr="009E22FE" w:rsidTr="0065716C">
        <w:trPr>
          <w:trHeight w:val="298"/>
          <w:jc w:val="center"/>
        </w:trPr>
        <w:tc>
          <w:tcPr>
            <w:tcW w:w="0" w:type="auto"/>
            <w:vMerge/>
            <w:tcBorders>
              <w:top w:val="nil"/>
              <w:left w:val="single" w:sz="8" w:space="0" w:color="auto"/>
              <w:bottom w:val="single" w:sz="4" w:space="0" w:color="auto"/>
              <w:right w:val="single" w:sz="8" w:space="0" w:color="auto"/>
            </w:tcBorders>
            <w:vAlign w:val="center"/>
            <w:hideMark/>
          </w:tcPr>
          <w:p w:rsidR="0065716C" w:rsidRPr="009E22FE" w:rsidRDefault="0065716C">
            <w:pPr>
              <w:spacing w:after="0"/>
              <w:ind w:firstLine="0"/>
              <w:jc w:val="left"/>
              <w:rPr>
                <w:rFonts w:ascii="Garamond" w:eastAsia="Times New Roman" w:hAnsi="Garamond"/>
                <w:sz w:val="18"/>
                <w:szCs w:val="18"/>
                <w:lang w:val="sq-AL"/>
              </w:rPr>
            </w:pPr>
          </w:p>
        </w:tc>
        <w:tc>
          <w:tcPr>
            <w:tcW w:w="2501" w:type="dxa"/>
            <w:tcBorders>
              <w:top w:val="nil"/>
              <w:left w:val="nil"/>
              <w:bottom w:val="single" w:sz="4" w:space="0" w:color="auto"/>
              <w:right w:val="single" w:sz="4" w:space="0" w:color="auto"/>
            </w:tcBorders>
            <w:vAlign w:val="center"/>
            <w:hideMark/>
          </w:tcPr>
          <w:p w:rsidR="0065716C" w:rsidRPr="009E22FE" w:rsidRDefault="0065716C">
            <w:pPr>
              <w:widowControl w:val="0"/>
              <w:spacing w:after="0" w:line="240" w:lineRule="auto"/>
              <w:ind w:firstLine="0"/>
              <w:jc w:val="right"/>
              <w:rPr>
                <w:rFonts w:ascii="Garamond" w:eastAsia="Times New Roman" w:hAnsi="Garamond"/>
                <w:sz w:val="18"/>
                <w:szCs w:val="18"/>
                <w:u w:val="single"/>
                <w:lang w:val="sq-AL"/>
              </w:rPr>
            </w:pPr>
            <w:r w:rsidRPr="009E22FE">
              <w:rPr>
                <w:rFonts w:ascii="Garamond" w:eastAsia="Times New Roman" w:hAnsi="Garamond"/>
                <w:sz w:val="18"/>
                <w:szCs w:val="18"/>
                <w:u w:val="single"/>
                <w:lang w:val="sq-AL"/>
              </w:rPr>
              <w:t xml:space="preserve">Total 2 (ktoe) </w:t>
            </w:r>
          </w:p>
        </w:tc>
        <w:tc>
          <w:tcPr>
            <w:tcW w:w="990" w:type="dxa"/>
            <w:tcBorders>
              <w:top w:val="nil"/>
              <w:left w:val="nil"/>
              <w:bottom w:val="single" w:sz="4" w:space="0" w:color="auto"/>
              <w:right w:val="single" w:sz="4" w:space="0" w:color="auto"/>
            </w:tcBorders>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52</w:t>
            </w:r>
          </w:p>
        </w:tc>
        <w:tc>
          <w:tcPr>
            <w:tcW w:w="990" w:type="dxa"/>
            <w:tcBorders>
              <w:top w:val="nil"/>
              <w:left w:val="nil"/>
              <w:bottom w:val="single" w:sz="4" w:space="0" w:color="auto"/>
              <w:right w:val="single" w:sz="4" w:space="0" w:color="auto"/>
            </w:tcBorders>
            <w:shd w:val="clear" w:color="auto" w:fill="E4DFEC"/>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0</w:t>
            </w:r>
          </w:p>
        </w:tc>
        <w:tc>
          <w:tcPr>
            <w:tcW w:w="990" w:type="dxa"/>
            <w:tcBorders>
              <w:top w:val="nil"/>
              <w:left w:val="nil"/>
              <w:bottom w:val="single" w:sz="4" w:space="0" w:color="auto"/>
              <w:right w:val="single" w:sz="4" w:space="0" w:color="auto"/>
            </w:tcBorders>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990" w:type="dxa"/>
            <w:tcBorders>
              <w:top w:val="nil"/>
              <w:left w:val="nil"/>
              <w:bottom w:val="single" w:sz="4" w:space="0" w:color="auto"/>
              <w:right w:val="single" w:sz="4" w:space="0" w:color="auto"/>
            </w:tcBorders>
            <w:shd w:val="clear" w:color="auto" w:fill="E4DFEC"/>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990" w:type="dxa"/>
            <w:tcBorders>
              <w:top w:val="nil"/>
              <w:left w:val="nil"/>
              <w:bottom w:val="single" w:sz="4" w:space="0" w:color="auto"/>
              <w:right w:val="single" w:sz="4" w:space="0" w:color="auto"/>
            </w:tcBorders>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990" w:type="dxa"/>
            <w:tcBorders>
              <w:top w:val="nil"/>
              <w:left w:val="nil"/>
              <w:bottom w:val="single" w:sz="4" w:space="0" w:color="auto"/>
              <w:right w:val="single" w:sz="8" w:space="0" w:color="auto"/>
            </w:tcBorders>
            <w:shd w:val="clear" w:color="auto" w:fill="E4DFEC"/>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r>
      <w:tr w:rsidR="009E22FE" w:rsidRPr="009E22FE" w:rsidTr="0065716C">
        <w:trPr>
          <w:trHeight w:val="313"/>
          <w:jc w:val="center"/>
        </w:trPr>
        <w:tc>
          <w:tcPr>
            <w:tcW w:w="0" w:type="auto"/>
            <w:vMerge/>
            <w:tcBorders>
              <w:top w:val="nil"/>
              <w:left w:val="single" w:sz="8" w:space="0" w:color="auto"/>
              <w:bottom w:val="single" w:sz="4" w:space="0" w:color="auto"/>
              <w:right w:val="single" w:sz="8" w:space="0" w:color="auto"/>
            </w:tcBorders>
            <w:vAlign w:val="center"/>
            <w:hideMark/>
          </w:tcPr>
          <w:p w:rsidR="0065716C" w:rsidRPr="009E22FE" w:rsidRDefault="0065716C">
            <w:pPr>
              <w:spacing w:after="0"/>
              <w:ind w:firstLine="0"/>
              <w:jc w:val="left"/>
              <w:rPr>
                <w:rFonts w:ascii="Garamond" w:eastAsia="Times New Roman" w:hAnsi="Garamond"/>
                <w:sz w:val="18"/>
                <w:szCs w:val="18"/>
                <w:lang w:val="sq-AL"/>
              </w:rPr>
            </w:pPr>
          </w:p>
        </w:tc>
        <w:tc>
          <w:tcPr>
            <w:tcW w:w="2501" w:type="dxa"/>
            <w:tcBorders>
              <w:top w:val="nil"/>
              <w:left w:val="nil"/>
              <w:bottom w:val="single" w:sz="8" w:space="0" w:color="auto"/>
              <w:right w:val="single" w:sz="4" w:space="0" w:color="auto"/>
            </w:tcBorders>
            <w:shd w:val="clear" w:color="auto" w:fill="DDD9C3"/>
            <w:vAlign w:val="center"/>
            <w:hideMark/>
          </w:tcPr>
          <w:p w:rsidR="0065716C" w:rsidRPr="009E22FE" w:rsidRDefault="0065716C">
            <w:pPr>
              <w:widowControl w:val="0"/>
              <w:spacing w:after="0" w:line="240" w:lineRule="auto"/>
              <w:ind w:firstLine="0"/>
              <w:jc w:val="right"/>
              <w:rPr>
                <w:rFonts w:ascii="Garamond" w:eastAsia="Times New Roman" w:hAnsi="Garamond"/>
                <w:sz w:val="18"/>
                <w:szCs w:val="18"/>
                <w:u w:val="single"/>
                <w:lang w:val="sq-AL"/>
              </w:rPr>
            </w:pPr>
            <w:r w:rsidRPr="009E22FE">
              <w:rPr>
                <w:rFonts w:ascii="Garamond" w:eastAsia="Times New Roman" w:hAnsi="Garamond"/>
                <w:sz w:val="18"/>
                <w:szCs w:val="18"/>
                <w:u w:val="single"/>
                <w:lang w:val="sq-AL"/>
              </w:rPr>
              <w:t>% në KFBE</w:t>
            </w:r>
          </w:p>
        </w:tc>
        <w:tc>
          <w:tcPr>
            <w:tcW w:w="990" w:type="dxa"/>
            <w:tcBorders>
              <w:top w:val="nil"/>
              <w:left w:val="nil"/>
              <w:bottom w:val="single" w:sz="8" w:space="0" w:color="auto"/>
              <w:right w:val="single" w:sz="4" w:space="0" w:color="auto"/>
            </w:tcBorders>
            <w:shd w:val="clear" w:color="auto" w:fill="DDD9C3"/>
            <w:vAlign w:val="center"/>
            <w:hideMark/>
          </w:tcPr>
          <w:p w:rsidR="0065716C" w:rsidRPr="009E22FE" w:rsidRDefault="0065716C">
            <w:pPr>
              <w:widowControl w:val="0"/>
              <w:spacing w:after="0" w:line="240" w:lineRule="auto"/>
              <w:ind w:firstLine="0"/>
              <w:jc w:val="right"/>
              <w:rPr>
                <w:rFonts w:ascii="Garamond" w:eastAsia="Times New Roman" w:hAnsi="Garamond"/>
                <w:b/>
                <w:bCs/>
                <w:sz w:val="18"/>
                <w:szCs w:val="18"/>
                <w:lang w:val="sq-AL"/>
              </w:rPr>
            </w:pPr>
            <w:r w:rsidRPr="009E22FE">
              <w:rPr>
                <w:rFonts w:ascii="Garamond" w:eastAsia="Times New Roman" w:hAnsi="Garamond"/>
                <w:b/>
                <w:bCs/>
                <w:sz w:val="18"/>
                <w:szCs w:val="18"/>
                <w:lang w:val="sq-AL"/>
              </w:rPr>
              <w:t>10%</w:t>
            </w:r>
          </w:p>
        </w:tc>
        <w:tc>
          <w:tcPr>
            <w:tcW w:w="990" w:type="dxa"/>
            <w:tcBorders>
              <w:top w:val="nil"/>
              <w:left w:val="nil"/>
              <w:bottom w:val="single" w:sz="8" w:space="0" w:color="auto"/>
              <w:right w:val="single" w:sz="4" w:space="0" w:color="auto"/>
            </w:tcBorders>
            <w:shd w:val="clear" w:color="auto" w:fill="E4DFEC"/>
            <w:vAlign w:val="center"/>
            <w:hideMark/>
          </w:tcPr>
          <w:p w:rsidR="0065716C" w:rsidRPr="009E22FE" w:rsidRDefault="0065716C">
            <w:pPr>
              <w:widowControl w:val="0"/>
              <w:spacing w:after="0" w:line="240" w:lineRule="auto"/>
              <w:ind w:firstLine="0"/>
              <w:jc w:val="right"/>
              <w:rPr>
                <w:rFonts w:ascii="Garamond" w:eastAsia="Times New Roman" w:hAnsi="Garamond"/>
                <w:b/>
                <w:bCs/>
                <w:sz w:val="18"/>
                <w:szCs w:val="18"/>
                <w:lang w:val="sq-AL"/>
              </w:rPr>
            </w:pPr>
            <w:r w:rsidRPr="009E22FE">
              <w:rPr>
                <w:rFonts w:ascii="Garamond" w:eastAsia="Times New Roman" w:hAnsi="Garamond"/>
                <w:b/>
                <w:bCs/>
                <w:sz w:val="18"/>
                <w:szCs w:val="18"/>
                <w:lang w:val="sq-AL"/>
              </w:rPr>
              <w:t>0%</w:t>
            </w:r>
          </w:p>
        </w:tc>
        <w:tc>
          <w:tcPr>
            <w:tcW w:w="990" w:type="dxa"/>
            <w:tcBorders>
              <w:top w:val="nil"/>
              <w:left w:val="nil"/>
              <w:bottom w:val="single" w:sz="8" w:space="0" w:color="auto"/>
              <w:right w:val="single" w:sz="4" w:space="0" w:color="auto"/>
            </w:tcBorders>
            <w:shd w:val="clear" w:color="auto" w:fill="DDD9C3"/>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990" w:type="dxa"/>
            <w:tcBorders>
              <w:top w:val="nil"/>
              <w:left w:val="nil"/>
              <w:bottom w:val="single" w:sz="8" w:space="0" w:color="auto"/>
              <w:right w:val="single" w:sz="4" w:space="0" w:color="auto"/>
            </w:tcBorders>
            <w:shd w:val="clear" w:color="auto" w:fill="E4DFEC"/>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990" w:type="dxa"/>
            <w:tcBorders>
              <w:top w:val="nil"/>
              <w:left w:val="nil"/>
              <w:bottom w:val="single" w:sz="8" w:space="0" w:color="auto"/>
              <w:right w:val="single" w:sz="4" w:space="0" w:color="auto"/>
            </w:tcBorders>
            <w:shd w:val="clear" w:color="auto" w:fill="DDD9C3"/>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990" w:type="dxa"/>
            <w:tcBorders>
              <w:top w:val="nil"/>
              <w:left w:val="nil"/>
              <w:bottom w:val="single" w:sz="8" w:space="0" w:color="auto"/>
              <w:right w:val="single" w:sz="8" w:space="0" w:color="auto"/>
            </w:tcBorders>
            <w:shd w:val="clear" w:color="auto" w:fill="E4DFEC"/>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r>
      <w:tr w:rsidR="009E22FE" w:rsidRPr="009E22FE" w:rsidTr="0065716C">
        <w:trPr>
          <w:trHeight w:val="298"/>
          <w:jc w:val="center"/>
        </w:trPr>
        <w:tc>
          <w:tcPr>
            <w:tcW w:w="1121" w:type="dxa"/>
            <w:vMerge w:val="restart"/>
            <w:tcBorders>
              <w:top w:val="nil"/>
              <w:left w:val="single" w:sz="8" w:space="0" w:color="auto"/>
              <w:bottom w:val="single" w:sz="4" w:space="0" w:color="auto"/>
              <w:right w:val="single" w:sz="8" w:space="0" w:color="auto"/>
            </w:tcBorders>
            <w:vAlign w:val="center"/>
            <w:hideMark/>
          </w:tcPr>
          <w:p w:rsidR="0065716C" w:rsidRPr="009E22FE" w:rsidRDefault="0065716C">
            <w:pPr>
              <w:widowControl w:val="0"/>
              <w:spacing w:after="0" w:line="240" w:lineRule="auto"/>
              <w:ind w:firstLine="0"/>
              <w:jc w:val="center"/>
              <w:rPr>
                <w:rFonts w:ascii="Garamond" w:eastAsia="Times New Roman" w:hAnsi="Garamond"/>
                <w:sz w:val="18"/>
                <w:szCs w:val="18"/>
                <w:lang w:val="sq-AL"/>
              </w:rPr>
            </w:pPr>
            <w:r w:rsidRPr="009E22FE">
              <w:rPr>
                <w:rFonts w:ascii="Garamond" w:eastAsia="Times New Roman" w:hAnsi="Garamond"/>
                <w:sz w:val="18"/>
                <w:szCs w:val="18"/>
                <w:lang w:val="sq-AL"/>
              </w:rPr>
              <w:t xml:space="preserve">3. </w:t>
            </w:r>
          </w:p>
          <w:p w:rsidR="0065716C" w:rsidRPr="009E22FE" w:rsidRDefault="0065716C">
            <w:pPr>
              <w:widowControl w:val="0"/>
              <w:spacing w:after="0" w:line="240" w:lineRule="auto"/>
              <w:ind w:firstLine="0"/>
              <w:jc w:val="center"/>
              <w:rPr>
                <w:rFonts w:ascii="Garamond" w:eastAsia="Times New Roman" w:hAnsi="Garamond"/>
                <w:sz w:val="18"/>
                <w:szCs w:val="18"/>
                <w:lang w:val="sq-AL"/>
              </w:rPr>
            </w:pPr>
            <w:r w:rsidRPr="009E22FE">
              <w:rPr>
                <w:rFonts w:ascii="Garamond" w:eastAsia="Times New Roman" w:hAnsi="Garamond"/>
                <w:sz w:val="18"/>
                <w:szCs w:val="18"/>
                <w:lang w:val="sq-AL"/>
              </w:rPr>
              <w:t>BRE-T</w:t>
            </w:r>
          </w:p>
        </w:tc>
        <w:tc>
          <w:tcPr>
            <w:tcW w:w="2501" w:type="dxa"/>
            <w:tcBorders>
              <w:top w:val="nil"/>
              <w:left w:val="nil"/>
              <w:bottom w:val="single" w:sz="4" w:space="0" w:color="auto"/>
              <w:right w:val="single" w:sz="4" w:space="0" w:color="auto"/>
            </w:tcBorders>
            <w:vAlign w:val="center"/>
            <w:hideMark/>
          </w:tcPr>
          <w:p w:rsidR="0065716C" w:rsidRPr="009E22FE" w:rsidRDefault="0065716C">
            <w:pPr>
              <w:widowControl w:val="0"/>
              <w:spacing w:after="0" w:line="240" w:lineRule="auto"/>
              <w:ind w:firstLine="0"/>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Biokarburante FAME</w:t>
            </w:r>
          </w:p>
        </w:tc>
        <w:tc>
          <w:tcPr>
            <w:tcW w:w="990" w:type="dxa"/>
            <w:tcBorders>
              <w:top w:val="nil"/>
              <w:left w:val="nil"/>
              <w:bottom w:val="single" w:sz="4" w:space="0" w:color="auto"/>
              <w:right w:val="single" w:sz="4" w:space="0" w:color="auto"/>
            </w:tcBorders>
            <w:vAlign w:val="center"/>
            <w:hideMark/>
          </w:tcPr>
          <w:p w:rsidR="0065716C" w:rsidRPr="009E22FE" w:rsidRDefault="0065716C">
            <w:pPr>
              <w:widowControl w:val="0"/>
              <w:spacing w:after="0" w:line="24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75</w:t>
            </w:r>
          </w:p>
        </w:tc>
        <w:tc>
          <w:tcPr>
            <w:tcW w:w="990" w:type="dxa"/>
            <w:tcBorders>
              <w:top w:val="nil"/>
              <w:left w:val="nil"/>
              <w:bottom w:val="single" w:sz="4" w:space="0" w:color="auto"/>
              <w:right w:val="single" w:sz="4" w:space="0" w:color="auto"/>
            </w:tcBorders>
            <w:shd w:val="clear" w:color="auto" w:fill="E4DFEC"/>
            <w:vAlign w:val="center"/>
            <w:hideMark/>
          </w:tcPr>
          <w:p w:rsidR="0065716C" w:rsidRPr="009E22FE" w:rsidRDefault="0065716C">
            <w:pPr>
              <w:widowControl w:val="0"/>
              <w:spacing w:after="0" w:line="24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 </w:t>
            </w:r>
          </w:p>
        </w:tc>
        <w:tc>
          <w:tcPr>
            <w:tcW w:w="990" w:type="dxa"/>
            <w:tcBorders>
              <w:top w:val="nil"/>
              <w:left w:val="nil"/>
              <w:bottom w:val="single" w:sz="4" w:space="0" w:color="auto"/>
              <w:right w:val="single" w:sz="4" w:space="0" w:color="auto"/>
            </w:tcBorders>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990" w:type="dxa"/>
            <w:tcBorders>
              <w:top w:val="nil"/>
              <w:left w:val="nil"/>
              <w:bottom w:val="single" w:sz="4" w:space="0" w:color="auto"/>
              <w:right w:val="single" w:sz="4" w:space="0" w:color="auto"/>
            </w:tcBorders>
            <w:shd w:val="clear" w:color="auto" w:fill="E4DFEC"/>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990" w:type="dxa"/>
            <w:tcBorders>
              <w:top w:val="nil"/>
              <w:left w:val="nil"/>
              <w:bottom w:val="single" w:sz="4" w:space="0" w:color="auto"/>
              <w:right w:val="single" w:sz="4" w:space="0" w:color="auto"/>
            </w:tcBorders>
            <w:vAlign w:val="center"/>
            <w:hideMark/>
          </w:tcPr>
          <w:p w:rsidR="0065716C" w:rsidRPr="009E22FE" w:rsidRDefault="0065716C">
            <w:pPr>
              <w:widowControl w:val="0"/>
              <w:spacing w:after="0" w:line="24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w:t>
            </w:r>
          </w:p>
        </w:tc>
        <w:tc>
          <w:tcPr>
            <w:tcW w:w="990" w:type="dxa"/>
            <w:tcBorders>
              <w:top w:val="nil"/>
              <w:left w:val="nil"/>
              <w:bottom w:val="single" w:sz="4" w:space="0" w:color="auto"/>
              <w:right w:val="single" w:sz="8" w:space="0" w:color="auto"/>
            </w:tcBorders>
            <w:shd w:val="clear" w:color="auto" w:fill="E4DFEC"/>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r>
      <w:tr w:rsidR="009E22FE" w:rsidRPr="009E22FE" w:rsidTr="0065716C">
        <w:trPr>
          <w:trHeight w:val="298"/>
          <w:jc w:val="center"/>
        </w:trPr>
        <w:tc>
          <w:tcPr>
            <w:tcW w:w="0" w:type="auto"/>
            <w:vMerge/>
            <w:tcBorders>
              <w:top w:val="nil"/>
              <w:left w:val="single" w:sz="8" w:space="0" w:color="auto"/>
              <w:bottom w:val="single" w:sz="4" w:space="0" w:color="auto"/>
              <w:right w:val="single" w:sz="8" w:space="0" w:color="auto"/>
            </w:tcBorders>
            <w:vAlign w:val="center"/>
            <w:hideMark/>
          </w:tcPr>
          <w:p w:rsidR="0065716C" w:rsidRPr="009E22FE" w:rsidRDefault="0065716C">
            <w:pPr>
              <w:spacing w:after="0"/>
              <w:ind w:firstLine="0"/>
              <w:jc w:val="left"/>
              <w:rPr>
                <w:rFonts w:ascii="Garamond" w:eastAsia="Times New Roman" w:hAnsi="Garamond"/>
                <w:sz w:val="18"/>
                <w:szCs w:val="18"/>
                <w:lang w:val="sq-AL"/>
              </w:rPr>
            </w:pPr>
          </w:p>
        </w:tc>
        <w:tc>
          <w:tcPr>
            <w:tcW w:w="2501" w:type="dxa"/>
            <w:tcBorders>
              <w:top w:val="nil"/>
              <w:left w:val="nil"/>
              <w:bottom w:val="single" w:sz="4" w:space="0" w:color="auto"/>
              <w:right w:val="single" w:sz="4" w:space="0" w:color="auto"/>
            </w:tcBorders>
            <w:vAlign w:val="center"/>
            <w:hideMark/>
          </w:tcPr>
          <w:p w:rsidR="0065716C" w:rsidRPr="009E22FE" w:rsidRDefault="0065716C">
            <w:pPr>
              <w:widowControl w:val="0"/>
              <w:spacing w:after="0" w:line="240" w:lineRule="auto"/>
              <w:ind w:firstLine="0"/>
              <w:jc w:val="right"/>
              <w:rPr>
                <w:rFonts w:ascii="Garamond" w:eastAsia="Times New Roman" w:hAnsi="Garamond"/>
                <w:sz w:val="18"/>
                <w:szCs w:val="18"/>
                <w:u w:val="single"/>
                <w:lang w:val="sq-AL"/>
              </w:rPr>
            </w:pPr>
            <w:r w:rsidRPr="009E22FE">
              <w:rPr>
                <w:rFonts w:ascii="Garamond" w:eastAsia="Times New Roman" w:hAnsi="Garamond"/>
                <w:sz w:val="18"/>
                <w:szCs w:val="18"/>
                <w:u w:val="single"/>
                <w:lang w:val="sq-AL"/>
              </w:rPr>
              <w:t xml:space="preserve">Total 3 (ktoe) </w:t>
            </w:r>
          </w:p>
        </w:tc>
        <w:tc>
          <w:tcPr>
            <w:tcW w:w="990" w:type="dxa"/>
            <w:tcBorders>
              <w:top w:val="nil"/>
              <w:left w:val="nil"/>
              <w:bottom w:val="single" w:sz="4" w:space="0" w:color="auto"/>
              <w:right w:val="single" w:sz="4" w:space="0" w:color="auto"/>
            </w:tcBorders>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75</w:t>
            </w:r>
          </w:p>
        </w:tc>
        <w:tc>
          <w:tcPr>
            <w:tcW w:w="990" w:type="dxa"/>
            <w:tcBorders>
              <w:top w:val="nil"/>
              <w:left w:val="nil"/>
              <w:bottom w:val="single" w:sz="4" w:space="0" w:color="auto"/>
              <w:right w:val="single" w:sz="4" w:space="0" w:color="auto"/>
            </w:tcBorders>
            <w:shd w:val="clear" w:color="auto" w:fill="E4DFEC"/>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65.0</w:t>
            </w:r>
          </w:p>
        </w:tc>
        <w:tc>
          <w:tcPr>
            <w:tcW w:w="990" w:type="dxa"/>
            <w:tcBorders>
              <w:top w:val="nil"/>
              <w:left w:val="nil"/>
              <w:bottom w:val="single" w:sz="4" w:space="0" w:color="auto"/>
              <w:right w:val="single" w:sz="4" w:space="0" w:color="auto"/>
            </w:tcBorders>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990" w:type="dxa"/>
            <w:tcBorders>
              <w:top w:val="nil"/>
              <w:left w:val="nil"/>
              <w:bottom w:val="single" w:sz="4" w:space="0" w:color="auto"/>
              <w:right w:val="single" w:sz="4" w:space="0" w:color="auto"/>
            </w:tcBorders>
            <w:shd w:val="clear" w:color="auto" w:fill="E4DFEC"/>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990" w:type="dxa"/>
            <w:tcBorders>
              <w:top w:val="nil"/>
              <w:left w:val="nil"/>
              <w:bottom w:val="single" w:sz="4" w:space="0" w:color="auto"/>
              <w:right w:val="single" w:sz="4" w:space="0" w:color="auto"/>
            </w:tcBorders>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990" w:type="dxa"/>
            <w:tcBorders>
              <w:top w:val="nil"/>
              <w:left w:val="nil"/>
              <w:bottom w:val="single" w:sz="4" w:space="0" w:color="auto"/>
              <w:right w:val="single" w:sz="8" w:space="0" w:color="auto"/>
            </w:tcBorders>
            <w:shd w:val="clear" w:color="auto" w:fill="E4DFEC"/>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r>
      <w:tr w:rsidR="009E22FE" w:rsidRPr="009E22FE" w:rsidTr="0065716C">
        <w:trPr>
          <w:trHeight w:val="313"/>
          <w:jc w:val="center"/>
        </w:trPr>
        <w:tc>
          <w:tcPr>
            <w:tcW w:w="0" w:type="auto"/>
            <w:vMerge/>
            <w:tcBorders>
              <w:top w:val="nil"/>
              <w:left w:val="single" w:sz="8" w:space="0" w:color="auto"/>
              <w:bottom w:val="single" w:sz="4" w:space="0" w:color="auto"/>
              <w:right w:val="single" w:sz="8" w:space="0" w:color="auto"/>
            </w:tcBorders>
            <w:vAlign w:val="center"/>
            <w:hideMark/>
          </w:tcPr>
          <w:p w:rsidR="0065716C" w:rsidRPr="009E22FE" w:rsidRDefault="0065716C">
            <w:pPr>
              <w:spacing w:after="0"/>
              <w:ind w:firstLine="0"/>
              <w:jc w:val="left"/>
              <w:rPr>
                <w:rFonts w:ascii="Garamond" w:eastAsia="Times New Roman" w:hAnsi="Garamond"/>
                <w:sz w:val="18"/>
                <w:szCs w:val="18"/>
                <w:lang w:val="sq-AL"/>
              </w:rPr>
            </w:pPr>
          </w:p>
        </w:tc>
        <w:tc>
          <w:tcPr>
            <w:tcW w:w="2501" w:type="dxa"/>
            <w:tcBorders>
              <w:top w:val="nil"/>
              <w:left w:val="nil"/>
              <w:bottom w:val="single" w:sz="8" w:space="0" w:color="auto"/>
              <w:right w:val="single" w:sz="4" w:space="0" w:color="auto"/>
            </w:tcBorders>
            <w:shd w:val="clear" w:color="auto" w:fill="DDD9C3"/>
            <w:vAlign w:val="center"/>
            <w:hideMark/>
          </w:tcPr>
          <w:p w:rsidR="0065716C" w:rsidRPr="009E22FE" w:rsidRDefault="0065716C">
            <w:pPr>
              <w:widowControl w:val="0"/>
              <w:spacing w:after="0" w:line="240" w:lineRule="auto"/>
              <w:ind w:firstLine="0"/>
              <w:jc w:val="right"/>
              <w:rPr>
                <w:rFonts w:ascii="Garamond" w:eastAsia="Times New Roman" w:hAnsi="Garamond"/>
                <w:sz w:val="18"/>
                <w:szCs w:val="18"/>
                <w:u w:val="single"/>
                <w:lang w:val="sq-AL"/>
              </w:rPr>
            </w:pPr>
            <w:r w:rsidRPr="009E22FE">
              <w:rPr>
                <w:rFonts w:ascii="Garamond" w:eastAsia="Times New Roman" w:hAnsi="Garamond"/>
                <w:sz w:val="18"/>
                <w:szCs w:val="18"/>
                <w:u w:val="single"/>
                <w:lang w:val="sq-AL"/>
              </w:rPr>
              <w:t>% në KFBE</w:t>
            </w:r>
          </w:p>
        </w:tc>
        <w:tc>
          <w:tcPr>
            <w:tcW w:w="990" w:type="dxa"/>
            <w:tcBorders>
              <w:top w:val="nil"/>
              <w:left w:val="nil"/>
              <w:bottom w:val="single" w:sz="8" w:space="0" w:color="auto"/>
              <w:right w:val="single" w:sz="4" w:space="0" w:color="auto"/>
            </w:tcBorders>
            <w:shd w:val="clear" w:color="auto" w:fill="DDD9C3"/>
            <w:vAlign w:val="center"/>
            <w:hideMark/>
          </w:tcPr>
          <w:p w:rsidR="0065716C" w:rsidRPr="009E22FE" w:rsidRDefault="0065716C">
            <w:pPr>
              <w:widowControl w:val="0"/>
              <w:spacing w:after="0" w:line="240" w:lineRule="auto"/>
              <w:ind w:firstLine="0"/>
              <w:jc w:val="right"/>
              <w:rPr>
                <w:rFonts w:ascii="Garamond" w:eastAsia="Times New Roman" w:hAnsi="Garamond"/>
                <w:b/>
                <w:bCs/>
                <w:sz w:val="18"/>
                <w:szCs w:val="18"/>
                <w:lang w:val="sq-AL"/>
              </w:rPr>
            </w:pPr>
            <w:r w:rsidRPr="009E22FE">
              <w:rPr>
                <w:rFonts w:ascii="Garamond" w:eastAsia="Times New Roman" w:hAnsi="Garamond"/>
                <w:b/>
                <w:bCs/>
                <w:sz w:val="18"/>
                <w:szCs w:val="18"/>
                <w:lang w:val="sq-AL"/>
              </w:rPr>
              <w:t>3%</w:t>
            </w:r>
          </w:p>
        </w:tc>
        <w:tc>
          <w:tcPr>
            <w:tcW w:w="990" w:type="dxa"/>
            <w:tcBorders>
              <w:top w:val="nil"/>
              <w:left w:val="nil"/>
              <w:bottom w:val="single" w:sz="8" w:space="0" w:color="auto"/>
              <w:right w:val="single" w:sz="4" w:space="0" w:color="auto"/>
            </w:tcBorders>
            <w:shd w:val="clear" w:color="auto" w:fill="E4DFEC"/>
            <w:vAlign w:val="center"/>
            <w:hideMark/>
          </w:tcPr>
          <w:p w:rsidR="0065716C" w:rsidRPr="009E22FE" w:rsidRDefault="0065716C">
            <w:pPr>
              <w:widowControl w:val="0"/>
              <w:spacing w:after="0" w:line="240" w:lineRule="auto"/>
              <w:ind w:firstLine="0"/>
              <w:jc w:val="right"/>
              <w:rPr>
                <w:rFonts w:ascii="Garamond" w:eastAsia="Times New Roman" w:hAnsi="Garamond"/>
                <w:b/>
                <w:bCs/>
                <w:sz w:val="18"/>
                <w:szCs w:val="18"/>
                <w:lang w:val="sq-AL"/>
              </w:rPr>
            </w:pPr>
            <w:r w:rsidRPr="009E22FE">
              <w:rPr>
                <w:rFonts w:ascii="Garamond" w:eastAsia="Times New Roman" w:hAnsi="Garamond"/>
                <w:b/>
                <w:bCs/>
                <w:sz w:val="18"/>
                <w:szCs w:val="18"/>
                <w:lang w:val="sq-AL"/>
              </w:rPr>
              <w:t>3%</w:t>
            </w:r>
          </w:p>
        </w:tc>
        <w:tc>
          <w:tcPr>
            <w:tcW w:w="990" w:type="dxa"/>
            <w:tcBorders>
              <w:top w:val="nil"/>
              <w:left w:val="nil"/>
              <w:bottom w:val="single" w:sz="8" w:space="0" w:color="auto"/>
              <w:right w:val="single" w:sz="4" w:space="0" w:color="auto"/>
            </w:tcBorders>
            <w:shd w:val="clear" w:color="auto" w:fill="DDD9C3"/>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990" w:type="dxa"/>
            <w:tcBorders>
              <w:top w:val="nil"/>
              <w:left w:val="nil"/>
              <w:bottom w:val="single" w:sz="8" w:space="0" w:color="auto"/>
              <w:right w:val="single" w:sz="4" w:space="0" w:color="auto"/>
            </w:tcBorders>
            <w:shd w:val="clear" w:color="auto" w:fill="E4DFEC"/>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990" w:type="dxa"/>
            <w:tcBorders>
              <w:top w:val="nil"/>
              <w:left w:val="nil"/>
              <w:bottom w:val="single" w:sz="8" w:space="0" w:color="auto"/>
              <w:right w:val="single" w:sz="4" w:space="0" w:color="auto"/>
            </w:tcBorders>
            <w:shd w:val="clear" w:color="auto" w:fill="DDD9C3"/>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990" w:type="dxa"/>
            <w:tcBorders>
              <w:top w:val="nil"/>
              <w:left w:val="nil"/>
              <w:bottom w:val="single" w:sz="8" w:space="0" w:color="auto"/>
              <w:right w:val="single" w:sz="8" w:space="0" w:color="auto"/>
            </w:tcBorders>
            <w:shd w:val="clear" w:color="auto" w:fill="E4DFEC"/>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r>
      <w:tr w:rsidR="009E22FE" w:rsidRPr="009E22FE" w:rsidTr="0065716C">
        <w:trPr>
          <w:trHeight w:val="298"/>
          <w:jc w:val="center"/>
        </w:trPr>
        <w:tc>
          <w:tcPr>
            <w:tcW w:w="1121" w:type="dxa"/>
            <w:vMerge w:val="restart"/>
            <w:tcBorders>
              <w:top w:val="nil"/>
              <w:left w:val="single" w:sz="8" w:space="0" w:color="auto"/>
              <w:bottom w:val="single" w:sz="8" w:space="0" w:color="000000"/>
              <w:right w:val="single" w:sz="8" w:space="0" w:color="auto"/>
            </w:tcBorders>
            <w:vAlign w:val="center"/>
            <w:hideMark/>
          </w:tcPr>
          <w:p w:rsidR="0065716C" w:rsidRPr="009E22FE" w:rsidRDefault="0065716C">
            <w:pPr>
              <w:widowControl w:val="0"/>
              <w:spacing w:after="0" w:line="240" w:lineRule="auto"/>
              <w:ind w:firstLine="0"/>
              <w:jc w:val="center"/>
              <w:rPr>
                <w:rFonts w:ascii="Garamond" w:eastAsia="Times New Roman" w:hAnsi="Garamond"/>
                <w:sz w:val="18"/>
                <w:szCs w:val="18"/>
                <w:lang w:val="sq-AL"/>
              </w:rPr>
            </w:pPr>
            <w:r w:rsidRPr="009E22FE">
              <w:rPr>
                <w:rFonts w:ascii="Garamond" w:eastAsia="Times New Roman" w:hAnsi="Garamond"/>
                <w:sz w:val="18"/>
                <w:szCs w:val="18"/>
                <w:lang w:val="sq-AL"/>
              </w:rPr>
              <w:t>BER</w:t>
            </w:r>
          </w:p>
        </w:tc>
        <w:tc>
          <w:tcPr>
            <w:tcW w:w="2501" w:type="dxa"/>
            <w:tcBorders>
              <w:top w:val="nil"/>
              <w:left w:val="nil"/>
              <w:bottom w:val="single" w:sz="4" w:space="0" w:color="auto"/>
              <w:right w:val="single" w:sz="4" w:space="0" w:color="auto"/>
            </w:tcBorders>
            <w:noWrap/>
            <w:vAlign w:val="center"/>
            <w:hideMark/>
          </w:tcPr>
          <w:p w:rsidR="0065716C" w:rsidRPr="009E22FE" w:rsidRDefault="0065716C">
            <w:pPr>
              <w:widowControl w:val="0"/>
              <w:spacing w:after="0" w:line="240" w:lineRule="auto"/>
              <w:ind w:firstLine="0"/>
              <w:jc w:val="left"/>
              <w:rPr>
                <w:rFonts w:ascii="Garamond" w:eastAsia="Times New Roman" w:hAnsi="Garamond"/>
                <w:b/>
                <w:bCs/>
                <w:sz w:val="18"/>
                <w:szCs w:val="18"/>
                <w:u w:val="single"/>
                <w:lang w:val="sq-AL"/>
              </w:rPr>
            </w:pPr>
            <w:r w:rsidRPr="009E22FE">
              <w:rPr>
                <w:rFonts w:ascii="Garamond" w:eastAsia="Times New Roman" w:hAnsi="Garamond"/>
                <w:b/>
                <w:bCs/>
                <w:sz w:val="18"/>
                <w:szCs w:val="18"/>
                <w:u w:val="single"/>
                <w:lang w:val="sq-AL"/>
              </w:rPr>
              <w:t xml:space="preserve">Total 1+2+3 </w:t>
            </w:r>
          </w:p>
        </w:tc>
        <w:tc>
          <w:tcPr>
            <w:tcW w:w="990" w:type="dxa"/>
            <w:tcBorders>
              <w:top w:val="nil"/>
              <w:left w:val="nil"/>
              <w:bottom w:val="single" w:sz="4" w:space="0" w:color="auto"/>
              <w:right w:val="single" w:sz="4" w:space="0" w:color="auto"/>
            </w:tcBorders>
            <w:noWrap/>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397</w:t>
            </w:r>
          </w:p>
        </w:tc>
        <w:tc>
          <w:tcPr>
            <w:tcW w:w="990" w:type="dxa"/>
            <w:tcBorders>
              <w:top w:val="nil"/>
              <w:left w:val="nil"/>
              <w:bottom w:val="single" w:sz="4" w:space="0" w:color="auto"/>
              <w:right w:val="single" w:sz="4" w:space="0" w:color="auto"/>
            </w:tcBorders>
            <w:shd w:val="clear" w:color="auto" w:fill="E4DFEC"/>
            <w:noWrap/>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233.8</w:t>
            </w:r>
          </w:p>
        </w:tc>
        <w:tc>
          <w:tcPr>
            <w:tcW w:w="990" w:type="dxa"/>
            <w:tcBorders>
              <w:top w:val="nil"/>
              <w:left w:val="nil"/>
              <w:bottom w:val="single" w:sz="4" w:space="0" w:color="auto"/>
              <w:right w:val="single" w:sz="4" w:space="0" w:color="auto"/>
            </w:tcBorders>
            <w:noWrap/>
            <w:vAlign w:val="center"/>
            <w:hideMark/>
          </w:tcPr>
          <w:p w:rsidR="0065716C" w:rsidRPr="009E22FE" w:rsidRDefault="0065716C">
            <w:pPr>
              <w:widowControl w:val="0"/>
              <w:spacing w:after="0" w:line="240" w:lineRule="auto"/>
              <w:ind w:firstLine="0"/>
              <w:jc w:val="lef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990" w:type="dxa"/>
            <w:tcBorders>
              <w:top w:val="nil"/>
              <w:left w:val="nil"/>
              <w:bottom w:val="single" w:sz="4" w:space="0" w:color="auto"/>
              <w:right w:val="single" w:sz="4" w:space="0" w:color="auto"/>
            </w:tcBorders>
            <w:shd w:val="clear" w:color="auto" w:fill="E4DFEC"/>
            <w:noWrap/>
            <w:vAlign w:val="center"/>
            <w:hideMark/>
          </w:tcPr>
          <w:p w:rsidR="0065716C" w:rsidRPr="009E22FE" w:rsidRDefault="0065716C">
            <w:pPr>
              <w:widowControl w:val="0"/>
              <w:spacing w:after="0" w:line="240" w:lineRule="auto"/>
              <w:ind w:firstLine="0"/>
              <w:jc w:val="lef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990" w:type="dxa"/>
            <w:tcBorders>
              <w:top w:val="nil"/>
              <w:left w:val="nil"/>
              <w:bottom w:val="single" w:sz="4" w:space="0" w:color="auto"/>
              <w:right w:val="single" w:sz="4" w:space="0" w:color="auto"/>
            </w:tcBorders>
            <w:noWrap/>
            <w:vAlign w:val="center"/>
            <w:hideMark/>
          </w:tcPr>
          <w:p w:rsidR="0065716C" w:rsidRPr="009E22FE" w:rsidRDefault="0065716C">
            <w:pPr>
              <w:widowControl w:val="0"/>
              <w:spacing w:after="0" w:line="240" w:lineRule="auto"/>
              <w:ind w:firstLine="0"/>
              <w:jc w:val="lef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990" w:type="dxa"/>
            <w:tcBorders>
              <w:top w:val="nil"/>
              <w:left w:val="nil"/>
              <w:bottom w:val="single" w:sz="4" w:space="0" w:color="auto"/>
              <w:right w:val="single" w:sz="8" w:space="0" w:color="auto"/>
            </w:tcBorders>
            <w:shd w:val="clear" w:color="auto" w:fill="E4DFEC"/>
            <w:noWrap/>
            <w:vAlign w:val="center"/>
            <w:hideMark/>
          </w:tcPr>
          <w:p w:rsidR="0065716C" w:rsidRPr="009E22FE" w:rsidRDefault="0065716C">
            <w:pPr>
              <w:widowControl w:val="0"/>
              <w:spacing w:after="0" w:line="240" w:lineRule="auto"/>
              <w:ind w:firstLine="0"/>
              <w:jc w:val="lef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r>
      <w:tr w:rsidR="009E22FE" w:rsidRPr="009E22FE" w:rsidTr="0065716C">
        <w:trPr>
          <w:trHeight w:val="298"/>
          <w:jc w:val="center"/>
        </w:trPr>
        <w:tc>
          <w:tcPr>
            <w:tcW w:w="0" w:type="auto"/>
            <w:vMerge/>
            <w:tcBorders>
              <w:top w:val="nil"/>
              <w:left w:val="single" w:sz="8" w:space="0" w:color="auto"/>
              <w:bottom w:val="single" w:sz="8" w:space="0" w:color="000000"/>
              <w:right w:val="single" w:sz="8" w:space="0" w:color="auto"/>
            </w:tcBorders>
            <w:vAlign w:val="center"/>
            <w:hideMark/>
          </w:tcPr>
          <w:p w:rsidR="0065716C" w:rsidRPr="009E22FE" w:rsidRDefault="0065716C">
            <w:pPr>
              <w:spacing w:after="0"/>
              <w:ind w:firstLine="0"/>
              <w:jc w:val="left"/>
              <w:rPr>
                <w:rFonts w:ascii="Garamond" w:eastAsia="Times New Roman" w:hAnsi="Garamond"/>
                <w:sz w:val="18"/>
                <w:szCs w:val="18"/>
                <w:lang w:val="sq-AL"/>
              </w:rPr>
            </w:pPr>
          </w:p>
        </w:tc>
        <w:tc>
          <w:tcPr>
            <w:tcW w:w="2501" w:type="dxa"/>
            <w:tcBorders>
              <w:top w:val="nil"/>
              <w:left w:val="nil"/>
              <w:bottom w:val="single" w:sz="8" w:space="0" w:color="auto"/>
              <w:right w:val="single" w:sz="4" w:space="0" w:color="auto"/>
            </w:tcBorders>
            <w:noWrap/>
            <w:vAlign w:val="center"/>
            <w:hideMark/>
          </w:tcPr>
          <w:p w:rsidR="0065716C" w:rsidRPr="009E22FE" w:rsidRDefault="0065716C">
            <w:pPr>
              <w:widowControl w:val="0"/>
              <w:spacing w:after="0" w:line="240" w:lineRule="auto"/>
              <w:ind w:firstLine="0"/>
              <w:jc w:val="left"/>
              <w:rPr>
                <w:rFonts w:ascii="Garamond" w:eastAsia="Times New Roman" w:hAnsi="Garamond"/>
                <w:b/>
                <w:bCs/>
                <w:sz w:val="18"/>
                <w:szCs w:val="18"/>
                <w:u w:val="single"/>
                <w:lang w:val="sq-AL"/>
              </w:rPr>
            </w:pPr>
            <w:r w:rsidRPr="009E22FE">
              <w:rPr>
                <w:rFonts w:ascii="Garamond" w:eastAsia="Times New Roman" w:hAnsi="Garamond"/>
                <w:b/>
                <w:bCs/>
                <w:sz w:val="18"/>
                <w:szCs w:val="18"/>
                <w:u w:val="single"/>
                <w:lang w:val="sq-AL"/>
              </w:rPr>
              <w:t>% në KFBE</w:t>
            </w:r>
          </w:p>
        </w:tc>
        <w:tc>
          <w:tcPr>
            <w:tcW w:w="990" w:type="dxa"/>
            <w:tcBorders>
              <w:top w:val="nil"/>
              <w:left w:val="nil"/>
              <w:bottom w:val="single" w:sz="8" w:space="0" w:color="auto"/>
              <w:right w:val="single" w:sz="4" w:space="0" w:color="auto"/>
            </w:tcBorders>
            <w:noWrap/>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sz w:val="18"/>
                <w:szCs w:val="18"/>
                <w:lang w:val="sq-AL"/>
              </w:rPr>
              <w:t>38%</w:t>
            </w:r>
          </w:p>
        </w:tc>
        <w:tc>
          <w:tcPr>
            <w:tcW w:w="990" w:type="dxa"/>
            <w:tcBorders>
              <w:top w:val="nil"/>
              <w:left w:val="nil"/>
              <w:bottom w:val="single" w:sz="8" w:space="0" w:color="auto"/>
              <w:right w:val="single" w:sz="4" w:space="0" w:color="auto"/>
            </w:tcBorders>
            <w:shd w:val="clear" w:color="auto" w:fill="E4DFEC"/>
            <w:noWrap/>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sz w:val="18"/>
                <w:szCs w:val="18"/>
                <w:lang w:val="sq-AL"/>
              </w:rPr>
              <w:t> 35%</w:t>
            </w:r>
          </w:p>
        </w:tc>
        <w:tc>
          <w:tcPr>
            <w:tcW w:w="990" w:type="dxa"/>
            <w:tcBorders>
              <w:top w:val="nil"/>
              <w:left w:val="nil"/>
              <w:bottom w:val="single" w:sz="8" w:space="0" w:color="auto"/>
              <w:right w:val="single" w:sz="4" w:space="0" w:color="auto"/>
            </w:tcBorders>
            <w:noWrap/>
            <w:vAlign w:val="center"/>
            <w:hideMark/>
          </w:tcPr>
          <w:p w:rsidR="0065716C" w:rsidRPr="009E22FE" w:rsidRDefault="0065716C">
            <w:pPr>
              <w:widowControl w:val="0"/>
              <w:spacing w:after="0" w:line="24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990" w:type="dxa"/>
            <w:tcBorders>
              <w:top w:val="nil"/>
              <w:left w:val="nil"/>
              <w:bottom w:val="single" w:sz="8" w:space="0" w:color="auto"/>
              <w:right w:val="single" w:sz="4" w:space="0" w:color="auto"/>
            </w:tcBorders>
            <w:shd w:val="clear" w:color="auto" w:fill="E4DFEC"/>
            <w:noWrap/>
            <w:vAlign w:val="center"/>
            <w:hideMark/>
          </w:tcPr>
          <w:p w:rsidR="0065716C" w:rsidRPr="009E22FE" w:rsidRDefault="0065716C">
            <w:pPr>
              <w:widowControl w:val="0"/>
              <w:spacing w:after="0" w:line="240" w:lineRule="auto"/>
              <w:ind w:firstLine="0"/>
              <w:jc w:val="lef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990" w:type="dxa"/>
            <w:tcBorders>
              <w:top w:val="nil"/>
              <w:left w:val="nil"/>
              <w:bottom w:val="single" w:sz="8" w:space="0" w:color="auto"/>
              <w:right w:val="single" w:sz="4" w:space="0" w:color="auto"/>
            </w:tcBorders>
            <w:noWrap/>
            <w:vAlign w:val="center"/>
            <w:hideMark/>
          </w:tcPr>
          <w:p w:rsidR="0065716C" w:rsidRPr="009E22FE" w:rsidRDefault="0065716C">
            <w:pPr>
              <w:widowControl w:val="0"/>
              <w:spacing w:after="0" w:line="240" w:lineRule="auto"/>
              <w:ind w:firstLine="0"/>
              <w:jc w:val="lef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990" w:type="dxa"/>
            <w:tcBorders>
              <w:top w:val="nil"/>
              <w:left w:val="nil"/>
              <w:bottom w:val="single" w:sz="8" w:space="0" w:color="auto"/>
              <w:right w:val="single" w:sz="8" w:space="0" w:color="auto"/>
            </w:tcBorders>
            <w:shd w:val="clear" w:color="auto" w:fill="E4DFEC"/>
            <w:noWrap/>
            <w:vAlign w:val="center"/>
            <w:hideMark/>
          </w:tcPr>
          <w:p w:rsidR="0065716C" w:rsidRPr="009E22FE" w:rsidRDefault="0065716C">
            <w:pPr>
              <w:widowControl w:val="0"/>
              <w:spacing w:after="0" w:line="240" w:lineRule="auto"/>
              <w:ind w:firstLine="0"/>
              <w:jc w:val="lef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r>
    </w:tbl>
    <w:p w:rsidR="0065716C" w:rsidRPr="009E22FE" w:rsidRDefault="0065716C" w:rsidP="0065716C">
      <w:pPr>
        <w:widowControl w:val="0"/>
        <w:spacing w:after="0" w:line="240" w:lineRule="auto"/>
        <w:jc w:val="left"/>
        <w:rPr>
          <w:rFonts w:ascii="Garamond" w:hAnsi="Garamond"/>
          <w:sz w:val="24"/>
          <w:szCs w:val="24"/>
          <w:lang w:val="sq-AL"/>
        </w:rPr>
      </w:pPr>
      <w:bookmarkStart w:id="20" w:name="_Toc505599670"/>
    </w:p>
    <w:p w:rsidR="0065716C" w:rsidRPr="009E22FE" w:rsidRDefault="0065716C" w:rsidP="0065716C">
      <w:pPr>
        <w:widowControl w:val="0"/>
        <w:spacing w:after="0" w:line="240" w:lineRule="auto"/>
        <w:jc w:val="left"/>
        <w:rPr>
          <w:rFonts w:ascii="Garamond" w:hAnsi="Garamond"/>
          <w:sz w:val="24"/>
          <w:szCs w:val="24"/>
          <w:lang w:val="sq-AL"/>
        </w:rPr>
      </w:pPr>
      <w:r w:rsidRPr="009E22FE">
        <w:rPr>
          <w:rFonts w:ascii="Garamond" w:hAnsi="Garamond"/>
          <w:sz w:val="24"/>
          <w:szCs w:val="24"/>
          <w:lang w:val="sq-AL"/>
        </w:rPr>
        <w:t>2. Plani i veprimit për BRE-të për përmbushjen e objektivit për BRE-të në Shqipëri</w:t>
      </w:r>
      <w:bookmarkEnd w:id="20"/>
    </w:p>
    <w:p w:rsidR="0065716C" w:rsidRPr="009E22FE" w:rsidRDefault="0065716C" w:rsidP="00055077">
      <w:pPr>
        <w:pStyle w:val="Heading2"/>
        <w:widowControl w:val="0"/>
        <w:numPr>
          <w:ilvl w:val="0"/>
          <w:numId w:val="0"/>
        </w:numPr>
        <w:spacing w:before="0"/>
        <w:ind w:left="284"/>
        <w:rPr>
          <w:rFonts w:ascii="Garamond" w:hAnsi="Garamond"/>
          <w:b/>
          <w:color w:val="auto"/>
          <w:sz w:val="24"/>
          <w:szCs w:val="24"/>
          <w:lang w:val="sq-AL"/>
        </w:rPr>
      </w:pPr>
      <w:bookmarkStart w:id="21" w:name="_Toc505599671"/>
      <w:r w:rsidRPr="009E22FE">
        <w:rPr>
          <w:rFonts w:ascii="Garamond" w:hAnsi="Garamond"/>
          <w:color w:val="auto"/>
          <w:sz w:val="24"/>
          <w:szCs w:val="24"/>
          <w:lang w:val="sq-AL"/>
        </w:rPr>
        <w:t>2.1 Objektivat tregues për energjitë e rinovueshme deri në vitin 2020</w:t>
      </w:r>
      <w:bookmarkEnd w:id="21"/>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Në përputhje me nenin 4 të direktivës 2009/28/EC dhe kërkesave të ligjit nr. 7/2017, palëve kontraktuese në traktatin e KE-së u kërkohet që objektivat e tyre tregues për pjesën e energjisë me burime të rinovueshme për vitin 2020 të jenë të shpërndarë, si: i) ngrohja dhe ftohja (BER-N&amp;F); ii) energjia elektrike (BER-E); dhe iii) transporti (BER-T).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Në ligjin e 2017-ës, neni 4, Shqipëria ka dëshmuar se është e angazhuar për të realizuar këtë detyrim ndërkombëtar, dhe duke iu referuar shtojcës 1 të ligjit, ka deklaruar trajektoren e arritjes së objektivit kombëtar 38%. Kjo trajektore e aneksit 1 parashikon sipas tabelës së mëposhtme arritjen e objektivit 35.6% për mesataren e viteve 2017–2018.</w:t>
      </w:r>
    </w:p>
    <w:p w:rsidR="0065716C" w:rsidRPr="009E22FE" w:rsidRDefault="0065716C" w:rsidP="0065716C">
      <w:pPr>
        <w:widowControl w:val="0"/>
        <w:spacing w:after="0" w:line="240" w:lineRule="auto"/>
        <w:rPr>
          <w:rFonts w:ascii="Garamond" w:hAnsi="Garamond"/>
          <w:sz w:val="12"/>
          <w:szCs w:val="24"/>
          <w:lang w:val="sq-AL"/>
        </w:rPr>
      </w:pPr>
    </w:p>
    <w:tbl>
      <w:tblPr>
        <w:tblStyle w:val="TableGrid"/>
        <w:tblW w:w="0" w:type="auto"/>
        <w:jc w:val="center"/>
        <w:tblInd w:w="0" w:type="dxa"/>
        <w:tblLook w:val="04A0" w:firstRow="1" w:lastRow="0" w:firstColumn="1" w:lastColumn="0" w:noHBand="0" w:noVBand="1"/>
      </w:tblPr>
      <w:tblGrid>
        <w:gridCol w:w="2376"/>
        <w:gridCol w:w="1276"/>
        <w:gridCol w:w="1134"/>
        <w:gridCol w:w="1134"/>
        <w:gridCol w:w="1134"/>
        <w:gridCol w:w="2342"/>
      </w:tblGrid>
      <w:tr w:rsidR="009E22FE" w:rsidRPr="009E22FE" w:rsidTr="0065716C">
        <w:trPr>
          <w:jc w:val="center"/>
        </w:trPr>
        <w:tc>
          <w:tcPr>
            <w:tcW w:w="2376" w:type="dxa"/>
            <w:vMerge w:val="restart"/>
            <w:tcBorders>
              <w:top w:val="single" w:sz="4" w:space="0" w:color="auto"/>
              <w:left w:val="single" w:sz="4" w:space="0" w:color="auto"/>
              <w:bottom w:val="single" w:sz="4" w:space="0" w:color="auto"/>
              <w:right w:val="single" w:sz="4" w:space="0" w:color="auto"/>
            </w:tcBorders>
            <w:hideMark/>
          </w:tcPr>
          <w:p w:rsidR="0065716C" w:rsidRPr="009E22FE" w:rsidRDefault="0065716C">
            <w:pPr>
              <w:widowControl w:val="0"/>
              <w:spacing w:after="0" w:line="240" w:lineRule="auto"/>
              <w:ind w:firstLine="0"/>
              <w:jc w:val="center"/>
              <w:rPr>
                <w:rFonts w:ascii="Garamond" w:hAnsi="Garamond"/>
                <w:b/>
                <w:lang w:val="sq-AL"/>
              </w:rPr>
            </w:pPr>
            <w:r w:rsidRPr="009E22FE">
              <w:rPr>
                <w:rFonts w:ascii="Garamond" w:hAnsi="Garamond"/>
                <w:b/>
                <w:lang w:val="sq-AL"/>
              </w:rPr>
              <w:t>Pjesa e energjisë së rinovueshme të Shqipërisë në vitin 2009</w:t>
            </w:r>
          </w:p>
        </w:tc>
        <w:tc>
          <w:tcPr>
            <w:tcW w:w="4678" w:type="dxa"/>
            <w:gridSpan w:val="4"/>
            <w:tcBorders>
              <w:top w:val="single" w:sz="4" w:space="0" w:color="auto"/>
              <w:left w:val="single" w:sz="4" w:space="0" w:color="auto"/>
              <w:bottom w:val="single" w:sz="4" w:space="0" w:color="auto"/>
              <w:right w:val="single" w:sz="4" w:space="0" w:color="auto"/>
            </w:tcBorders>
            <w:hideMark/>
          </w:tcPr>
          <w:p w:rsidR="0065716C" w:rsidRPr="009E22FE" w:rsidRDefault="0065716C">
            <w:pPr>
              <w:widowControl w:val="0"/>
              <w:spacing w:after="0" w:line="240" w:lineRule="auto"/>
              <w:ind w:firstLine="0"/>
              <w:jc w:val="center"/>
              <w:rPr>
                <w:rFonts w:ascii="Garamond" w:hAnsi="Garamond"/>
                <w:b/>
                <w:lang w:val="sq-AL"/>
              </w:rPr>
            </w:pPr>
            <w:r w:rsidRPr="009E22FE">
              <w:rPr>
                <w:rFonts w:ascii="Garamond" w:hAnsi="Garamond"/>
                <w:b/>
                <w:lang w:val="sq-AL"/>
              </w:rPr>
              <w:t>Mesatarja për vitet nga:</w:t>
            </w:r>
          </w:p>
        </w:tc>
        <w:tc>
          <w:tcPr>
            <w:tcW w:w="2342" w:type="dxa"/>
            <w:vMerge w:val="restart"/>
            <w:tcBorders>
              <w:top w:val="single" w:sz="4" w:space="0" w:color="auto"/>
              <w:left w:val="single" w:sz="4" w:space="0" w:color="auto"/>
              <w:bottom w:val="single" w:sz="4" w:space="0" w:color="auto"/>
              <w:right w:val="single" w:sz="4" w:space="0" w:color="auto"/>
            </w:tcBorders>
            <w:hideMark/>
          </w:tcPr>
          <w:p w:rsidR="0065716C" w:rsidRPr="009E22FE" w:rsidRDefault="0065716C">
            <w:pPr>
              <w:widowControl w:val="0"/>
              <w:spacing w:after="0" w:line="240" w:lineRule="auto"/>
              <w:ind w:firstLine="0"/>
              <w:jc w:val="center"/>
              <w:rPr>
                <w:rFonts w:ascii="Garamond" w:hAnsi="Garamond"/>
                <w:b/>
                <w:lang w:val="sq-AL"/>
              </w:rPr>
            </w:pPr>
            <w:r w:rsidRPr="009E22FE">
              <w:rPr>
                <w:rFonts w:ascii="Garamond" w:hAnsi="Garamond"/>
                <w:b/>
                <w:lang w:val="sq-AL"/>
              </w:rPr>
              <w:t>Objektivi për energjinë e rinovueshme të Shqipërisë në vitin 2020</w:t>
            </w:r>
          </w:p>
        </w:tc>
      </w:tr>
      <w:tr w:rsidR="009E22FE" w:rsidRPr="009E22FE" w:rsidTr="0065716C">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716C" w:rsidRPr="009E22FE" w:rsidRDefault="0065716C">
            <w:pPr>
              <w:spacing w:after="0" w:line="240" w:lineRule="auto"/>
              <w:ind w:firstLine="0"/>
              <w:jc w:val="left"/>
              <w:rPr>
                <w:rFonts w:ascii="Garamond" w:hAnsi="Garamond"/>
                <w:b/>
                <w:lang w:val="sq-AL"/>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65716C" w:rsidRPr="009E22FE" w:rsidRDefault="0065716C">
            <w:pPr>
              <w:widowControl w:val="0"/>
              <w:spacing w:after="0" w:line="240" w:lineRule="auto"/>
              <w:ind w:firstLine="0"/>
              <w:jc w:val="center"/>
              <w:rPr>
                <w:rFonts w:ascii="Garamond" w:hAnsi="Garamond"/>
                <w:b/>
                <w:lang w:val="sq-AL"/>
              </w:rPr>
            </w:pPr>
            <w:r w:rsidRPr="009E22FE">
              <w:rPr>
                <w:rFonts w:ascii="Garamond" w:hAnsi="Garamond"/>
                <w:b/>
                <w:lang w:val="sq-AL"/>
              </w:rPr>
              <w:t>2011 –2012</w:t>
            </w:r>
          </w:p>
        </w:tc>
        <w:tc>
          <w:tcPr>
            <w:tcW w:w="1134" w:type="dxa"/>
            <w:tcBorders>
              <w:top w:val="single" w:sz="4" w:space="0" w:color="auto"/>
              <w:left w:val="single" w:sz="4" w:space="0" w:color="auto"/>
              <w:bottom w:val="single" w:sz="4" w:space="0" w:color="auto"/>
              <w:right w:val="single" w:sz="4" w:space="0" w:color="auto"/>
            </w:tcBorders>
            <w:vAlign w:val="center"/>
            <w:hideMark/>
          </w:tcPr>
          <w:p w:rsidR="0065716C" w:rsidRPr="009E22FE" w:rsidRDefault="0065716C">
            <w:pPr>
              <w:widowControl w:val="0"/>
              <w:spacing w:after="0" w:line="240" w:lineRule="auto"/>
              <w:ind w:firstLine="0"/>
              <w:jc w:val="center"/>
              <w:rPr>
                <w:rFonts w:ascii="Garamond" w:hAnsi="Garamond"/>
                <w:b/>
                <w:lang w:val="sq-AL"/>
              </w:rPr>
            </w:pPr>
            <w:r w:rsidRPr="009E22FE">
              <w:rPr>
                <w:rFonts w:ascii="Garamond" w:hAnsi="Garamond"/>
                <w:b/>
                <w:lang w:val="sq-AL"/>
              </w:rPr>
              <w:t>2013–2014</w:t>
            </w:r>
          </w:p>
        </w:tc>
        <w:tc>
          <w:tcPr>
            <w:tcW w:w="1134" w:type="dxa"/>
            <w:tcBorders>
              <w:top w:val="single" w:sz="4" w:space="0" w:color="auto"/>
              <w:left w:val="single" w:sz="4" w:space="0" w:color="auto"/>
              <w:bottom w:val="single" w:sz="4" w:space="0" w:color="auto"/>
              <w:right w:val="single" w:sz="4" w:space="0" w:color="auto"/>
            </w:tcBorders>
            <w:vAlign w:val="center"/>
            <w:hideMark/>
          </w:tcPr>
          <w:p w:rsidR="0065716C" w:rsidRPr="009E22FE" w:rsidRDefault="0065716C">
            <w:pPr>
              <w:widowControl w:val="0"/>
              <w:spacing w:after="0" w:line="240" w:lineRule="auto"/>
              <w:ind w:firstLine="0"/>
              <w:jc w:val="center"/>
              <w:rPr>
                <w:rFonts w:ascii="Garamond" w:hAnsi="Garamond"/>
                <w:b/>
                <w:lang w:val="sq-AL"/>
              </w:rPr>
            </w:pPr>
            <w:r w:rsidRPr="009E22FE">
              <w:rPr>
                <w:rFonts w:ascii="Garamond" w:hAnsi="Garamond"/>
                <w:b/>
                <w:lang w:val="sq-AL"/>
              </w:rPr>
              <w:t>2015–2016</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65716C" w:rsidRPr="009E22FE" w:rsidRDefault="0065716C">
            <w:pPr>
              <w:widowControl w:val="0"/>
              <w:spacing w:after="0" w:line="240" w:lineRule="auto"/>
              <w:ind w:firstLine="0"/>
              <w:jc w:val="center"/>
              <w:rPr>
                <w:rFonts w:ascii="Garamond" w:hAnsi="Garamond"/>
                <w:b/>
                <w:lang w:val="sq-AL"/>
              </w:rPr>
            </w:pPr>
            <w:r w:rsidRPr="009E22FE">
              <w:rPr>
                <w:rFonts w:ascii="Garamond" w:hAnsi="Garamond"/>
                <w:b/>
                <w:lang w:val="sq-AL"/>
              </w:rPr>
              <w:t>2017–2018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716C" w:rsidRPr="009E22FE" w:rsidRDefault="0065716C">
            <w:pPr>
              <w:spacing w:after="0" w:line="240" w:lineRule="auto"/>
              <w:ind w:firstLine="0"/>
              <w:jc w:val="left"/>
              <w:rPr>
                <w:rFonts w:ascii="Garamond" w:hAnsi="Garamond"/>
                <w:b/>
                <w:lang w:val="sq-AL"/>
              </w:rPr>
            </w:pPr>
          </w:p>
        </w:tc>
      </w:tr>
      <w:tr w:rsidR="009E22FE" w:rsidRPr="009E22FE" w:rsidTr="0065716C">
        <w:trPr>
          <w:jc w:val="center"/>
        </w:trPr>
        <w:tc>
          <w:tcPr>
            <w:tcW w:w="2376" w:type="dxa"/>
            <w:tcBorders>
              <w:top w:val="single" w:sz="4" w:space="0" w:color="auto"/>
              <w:left w:val="single" w:sz="4" w:space="0" w:color="auto"/>
              <w:bottom w:val="single" w:sz="4" w:space="0" w:color="auto"/>
              <w:right w:val="single" w:sz="4" w:space="0" w:color="auto"/>
            </w:tcBorders>
            <w:hideMark/>
          </w:tcPr>
          <w:p w:rsidR="0065716C" w:rsidRPr="009E22FE" w:rsidRDefault="0065716C">
            <w:pPr>
              <w:widowControl w:val="0"/>
              <w:spacing w:after="0" w:line="240" w:lineRule="auto"/>
              <w:ind w:firstLine="0"/>
              <w:jc w:val="center"/>
              <w:rPr>
                <w:rFonts w:ascii="Garamond" w:hAnsi="Garamond"/>
                <w:b/>
                <w:lang w:val="sq-AL"/>
              </w:rPr>
            </w:pPr>
            <w:r w:rsidRPr="009E22FE">
              <w:rPr>
                <w:rFonts w:ascii="Garamond" w:hAnsi="Garamond"/>
                <w:b/>
                <w:lang w:val="sq-AL"/>
              </w:rPr>
              <w:t>31,2 %</w:t>
            </w:r>
          </w:p>
        </w:tc>
        <w:tc>
          <w:tcPr>
            <w:tcW w:w="1276" w:type="dxa"/>
            <w:tcBorders>
              <w:top w:val="single" w:sz="4" w:space="0" w:color="auto"/>
              <w:left w:val="single" w:sz="4" w:space="0" w:color="auto"/>
              <w:bottom w:val="single" w:sz="4" w:space="0" w:color="auto"/>
              <w:right w:val="single" w:sz="4" w:space="0" w:color="auto"/>
            </w:tcBorders>
            <w:hideMark/>
          </w:tcPr>
          <w:p w:rsidR="0065716C" w:rsidRPr="009E22FE" w:rsidRDefault="0065716C">
            <w:pPr>
              <w:widowControl w:val="0"/>
              <w:spacing w:after="0" w:line="240" w:lineRule="auto"/>
              <w:ind w:firstLine="0"/>
              <w:jc w:val="center"/>
              <w:rPr>
                <w:rFonts w:ascii="Garamond" w:hAnsi="Garamond"/>
                <w:b/>
                <w:lang w:val="sq-AL"/>
              </w:rPr>
            </w:pPr>
            <w:r w:rsidRPr="009E22FE">
              <w:rPr>
                <w:rFonts w:ascii="Garamond" w:hAnsi="Garamond"/>
                <w:b/>
                <w:lang w:val="sq-AL"/>
              </w:rPr>
              <w:t>32,6 %</w:t>
            </w:r>
          </w:p>
        </w:tc>
        <w:tc>
          <w:tcPr>
            <w:tcW w:w="1134" w:type="dxa"/>
            <w:tcBorders>
              <w:top w:val="single" w:sz="4" w:space="0" w:color="auto"/>
              <w:left w:val="single" w:sz="4" w:space="0" w:color="auto"/>
              <w:bottom w:val="single" w:sz="4" w:space="0" w:color="auto"/>
              <w:right w:val="single" w:sz="4" w:space="0" w:color="auto"/>
            </w:tcBorders>
            <w:hideMark/>
          </w:tcPr>
          <w:p w:rsidR="0065716C" w:rsidRPr="009E22FE" w:rsidRDefault="0065716C">
            <w:pPr>
              <w:widowControl w:val="0"/>
              <w:spacing w:after="0" w:line="240" w:lineRule="auto"/>
              <w:ind w:firstLine="0"/>
              <w:jc w:val="center"/>
              <w:rPr>
                <w:rFonts w:ascii="Garamond" w:hAnsi="Garamond"/>
                <w:b/>
                <w:lang w:val="sq-AL"/>
              </w:rPr>
            </w:pPr>
            <w:r w:rsidRPr="009E22FE">
              <w:rPr>
                <w:rFonts w:ascii="Garamond" w:hAnsi="Garamond"/>
                <w:b/>
                <w:lang w:val="sq-AL"/>
              </w:rPr>
              <w:t>33,2 %</w:t>
            </w:r>
          </w:p>
        </w:tc>
        <w:tc>
          <w:tcPr>
            <w:tcW w:w="1134" w:type="dxa"/>
            <w:tcBorders>
              <w:top w:val="single" w:sz="4" w:space="0" w:color="auto"/>
              <w:left w:val="single" w:sz="4" w:space="0" w:color="auto"/>
              <w:bottom w:val="single" w:sz="4" w:space="0" w:color="auto"/>
              <w:right w:val="single" w:sz="4" w:space="0" w:color="auto"/>
            </w:tcBorders>
            <w:hideMark/>
          </w:tcPr>
          <w:p w:rsidR="0065716C" w:rsidRPr="009E22FE" w:rsidRDefault="0065716C">
            <w:pPr>
              <w:widowControl w:val="0"/>
              <w:spacing w:after="0" w:line="240" w:lineRule="auto"/>
              <w:ind w:firstLine="0"/>
              <w:jc w:val="center"/>
              <w:rPr>
                <w:rFonts w:ascii="Garamond" w:hAnsi="Garamond"/>
                <w:b/>
                <w:lang w:val="sq-AL"/>
              </w:rPr>
            </w:pPr>
            <w:r w:rsidRPr="009E22FE">
              <w:rPr>
                <w:rFonts w:ascii="Garamond" w:hAnsi="Garamond"/>
                <w:b/>
                <w:lang w:val="sq-AL"/>
              </w:rPr>
              <w:t>34,3 %</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65716C" w:rsidRPr="009E22FE" w:rsidRDefault="0065716C">
            <w:pPr>
              <w:widowControl w:val="0"/>
              <w:spacing w:after="0" w:line="240" w:lineRule="auto"/>
              <w:ind w:firstLine="0"/>
              <w:jc w:val="center"/>
              <w:rPr>
                <w:rFonts w:ascii="Garamond" w:hAnsi="Garamond"/>
                <w:b/>
                <w:lang w:val="sq-AL"/>
              </w:rPr>
            </w:pPr>
            <w:r w:rsidRPr="009E22FE">
              <w:rPr>
                <w:rFonts w:ascii="Garamond" w:hAnsi="Garamond"/>
                <w:b/>
                <w:lang w:val="sq-AL"/>
              </w:rPr>
              <w:t>35,6 %</w:t>
            </w:r>
          </w:p>
        </w:tc>
        <w:tc>
          <w:tcPr>
            <w:tcW w:w="2342" w:type="dxa"/>
            <w:tcBorders>
              <w:top w:val="single" w:sz="4" w:space="0" w:color="auto"/>
              <w:left w:val="single" w:sz="4" w:space="0" w:color="auto"/>
              <w:bottom w:val="single" w:sz="4" w:space="0" w:color="auto"/>
              <w:right w:val="single" w:sz="4" w:space="0" w:color="auto"/>
            </w:tcBorders>
            <w:hideMark/>
          </w:tcPr>
          <w:p w:rsidR="0065716C" w:rsidRPr="009E22FE" w:rsidRDefault="0065716C">
            <w:pPr>
              <w:widowControl w:val="0"/>
              <w:spacing w:after="0" w:line="240" w:lineRule="auto"/>
              <w:ind w:firstLine="0"/>
              <w:jc w:val="center"/>
              <w:rPr>
                <w:rFonts w:ascii="Garamond" w:hAnsi="Garamond"/>
                <w:b/>
                <w:lang w:val="sq-AL"/>
              </w:rPr>
            </w:pPr>
            <w:r w:rsidRPr="009E22FE">
              <w:rPr>
                <w:rFonts w:ascii="Garamond" w:hAnsi="Garamond"/>
                <w:b/>
                <w:lang w:val="sq-AL"/>
              </w:rPr>
              <w:t>38 %</w:t>
            </w:r>
          </w:p>
        </w:tc>
      </w:tr>
    </w:tbl>
    <w:p w:rsidR="0065716C" w:rsidRPr="009E22FE" w:rsidRDefault="0065716C" w:rsidP="0065716C">
      <w:pPr>
        <w:widowControl w:val="0"/>
        <w:spacing w:after="0" w:line="240" w:lineRule="auto"/>
        <w:rPr>
          <w:rFonts w:ascii="Garamond" w:hAnsi="Garamond"/>
          <w:sz w:val="14"/>
          <w:szCs w:val="24"/>
          <w:lang w:val="sq-AL"/>
        </w:rPr>
      </w:pPr>
    </w:p>
    <w:p w:rsidR="0065716C" w:rsidRPr="009E22FE" w:rsidRDefault="0065716C" w:rsidP="00055077">
      <w:pPr>
        <w:widowControl w:val="0"/>
        <w:spacing w:after="0" w:line="240" w:lineRule="auto"/>
        <w:rPr>
          <w:rFonts w:ascii="Garamond" w:hAnsi="Garamond"/>
          <w:sz w:val="24"/>
          <w:szCs w:val="24"/>
          <w:lang w:val="sq-AL"/>
        </w:rPr>
      </w:pPr>
      <w:r w:rsidRPr="009E22FE">
        <w:rPr>
          <w:rFonts w:ascii="Garamond" w:hAnsi="Garamond"/>
          <w:sz w:val="24"/>
          <w:szCs w:val="24"/>
          <w:lang w:val="sq-AL"/>
        </w:rPr>
        <w:t>Gjithashtu, Shqipëria nënshkroi Konventën Kuadër të UNFCCC-së, objektivin kombëtar për reduktimin e gazeve serrë (NDC) në masën -11.5%, referuar konsumit të parashikuar të vitit 2030, objektiv i cili rrjedh nga Marrëveshja e Parisit (COP21). Në këtë kontekst, PKVBRE 2017–2020 vendos objektivin kombëtar në përputhje me këtë Konventë.</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Tabela e mëposhtme është përditësuar me të dhënat e viteve 2015–2017 dhe duke e komentuar konkludojmë se, për vitin 2018 mbetet tepër ambicioz prodhimi i energjisë nga burime të rinovueshme.</w:t>
      </w:r>
    </w:p>
    <w:p w:rsidR="0065716C" w:rsidRPr="009E22FE" w:rsidRDefault="0065716C" w:rsidP="0065716C">
      <w:pPr>
        <w:pStyle w:val="FiguresandTables"/>
        <w:widowControl w:val="0"/>
        <w:spacing w:before="0" w:after="0"/>
        <w:ind w:firstLine="284"/>
        <w:rPr>
          <w:rFonts w:cs="Times New Roman"/>
          <w:i w:val="0"/>
          <w:noProof w:val="0"/>
          <w:sz w:val="24"/>
          <w:szCs w:val="24"/>
        </w:rPr>
      </w:pPr>
      <w:r w:rsidRPr="009E22FE">
        <w:rPr>
          <w:rFonts w:cs="Times New Roman"/>
          <w:i w:val="0"/>
          <w:noProof w:val="0"/>
          <w:sz w:val="24"/>
          <w:szCs w:val="24"/>
        </w:rPr>
        <w:t>Tabela 2. Objektivi specifik për 2020 dhe trajektorja e vlerësuar e energjisë nga BRE-të në ngrohje dhe ftohje, energji elektrike dhe transport (shifrat janë për skenarin me zbatimin e PKVEE-së)</w:t>
      </w:r>
    </w:p>
    <w:p w:rsidR="0065716C" w:rsidRPr="009E22FE" w:rsidRDefault="0065716C" w:rsidP="0065716C">
      <w:pPr>
        <w:pStyle w:val="FiguresandTables"/>
        <w:widowControl w:val="0"/>
        <w:spacing w:before="0" w:after="0"/>
        <w:ind w:firstLine="284"/>
        <w:rPr>
          <w:rFonts w:cs="Times New Roman"/>
          <w:i w:val="0"/>
          <w:noProof w:val="0"/>
          <w:sz w:val="24"/>
          <w:szCs w:val="24"/>
        </w:rPr>
      </w:pPr>
    </w:p>
    <w:tbl>
      <w:tblPr>
        <w:tblStyle w:val="LightList-Accent4"/>
        <w:tblW w:w="0" w:type="auto"/>
        <w:jc w:val="center"/>
        <w:tblInd w:w="0" w:type="dxa"/>
        <w:tblBorders>
          <w:insideH w:val="single" w:sz="8" w:space="0" w:color="FFC000" w:themeColor="accent4"/>
          <w:insideV w:val="single" w:sz="8" w:space="0" w:color="FFC000" w:themeColor="accent4"/>
        </w:tblBorders>
        <w:tblLook w:val="04A0" w:firstRow="1" w:lastRow="0" w:firstColumn="1" w:lastColumn="0" w:noHBand="0" w:noVBand="1"/>
      </w:tblPr>
      <w:tblGrid>
        <w:gridCol w:w="2160"/>
        <w:gridCol w:w="567"/>
        <w:gridCol w:w="553"/>
        <w:gridCol w:w="553"/>
        <w:gridCol w:w="553"/>
        <w:gridCol w:w="553"/>
        <w:gridCol w:w="676"/>
        <w:gridCol w:w="686"/>
        <w:gridCol w:w="686"/>
        <w:gridCol w:w="686"/>
        <w:gridCol w:w="686"/>
        <w:gridCol w:w="599"/>
        <w:gridCol w:w="599"/>
      </w:tblGrid>
      <w:tr w:rsidR="009E22FE" w:rsidRPr="009E22FE" w:rsidTr="0065716C">
        <w:trPr>
          <w:cnfStyle w:val="100000000000" w:firstRow="1" w:lastRow="0" w:firstColumn="0" w:lastColumn="0" w:oddVBand="0" w:evenVBand="0" w:oddHBand="0" w:evenHBand="0" w:firstRowFirstColumn="0" w:firstRowLastColumn="0" w:lastRowFirstColumn="0" w:lastRowLastColumn="0"/>
          <w:trHeight w:val="302"/>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center"/>
            <w:hideMark/>
          </w:tcPr>
          <w:p w:rsidR="0065716C" w:rsidRPr="009E22FE" w:rsidRDefault="0065716C">
            <w:pPr>
              <w:widowControl w:val="0"/>
              <w:spacing w:after="0" w:line="240" w:lineRule="auto"/>
              <w:ind w:firstLine="0"/>
              <w:jc w:val="center"/>
              <w:rPr>
                <w:rFonts w:ascii="Garamond" w:hAnsi="Garamond"/>
                <w:color w:val="auto"/>
                <w:spacing w:val="-6"/>
                <w:sz w:val="20"/>
                <w:szCs w:val="20"/>
                <w:lang w:val="sq-AL"/>
              </w:rPr>
            </w:pPr>
            <w:r w:rsidRPr="009E22FE">
              <w:rPr>
                <w:rFonts w:ascii="Garamond" w:hAnsi="Garamond"/>
                <w:color w:val="auto"/>
                <w:spacing w:val="-6"/>
                <w:sz w:val="20"/>
                <w:szCs w:val="20"/>
                <w:lang w:val="sq-AL"/>
              </w:rPr>
              <w:t>BRE (me EE)</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center"/>
            <w:hideMark/>
          </w:tcPr>
          <w:p w:rsidR="0065716C" w:rsidRPr="009E22FE" w:rsidRDefault="0065716C">
            <w:pPr>
              <w:widowControl w:val="0"/>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spacing w:val="-6"/>
                <w:sz w:val="20"/>
                <w:szCs w:val="20"/>
                <w:lang w:val="sq-AL"/>
              </w:rPr>
            </w:pPr>
            <w:r w:rsidRPr="009E22FE">
              <w:rPr>
                <w:rFonts w:ascii="Garamond" w:hAnsi="Garamond"/>
                <w:color w:val="auto"/>
                <w:spacing w:val="-6"/>
                <w:sz w:val="20"/>
                <w:szCs w:val="20"/>
                <w:lang w:val="sq-AL"/>
              </w:rPr>
              <w:t>2009</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center"/>
            <w:hideMark/>
          </w:tcPr>
          <w:p w:rsidR="0065716C" w:rsidRPr="009E22FE" w:rsidRDefault="0065716C">
            <w:pPr>
              <w:widowControl w:val="0"/>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spacing w:val="-6"/>
                <w:sz w:val="20"/>
                <w:szCs w:val="20"/>
                <w:lang w:val="sq-AL"/>
              </w:rPr>
            </w:pPr>
            <w:r w:rsidRPr="009E22FE">
              <w:rPr>
                <w:rFonts w:ascii="Garamond" w:hAnsi="Garamond"/>
                <w:color w:val="auto"/>
                <w:spacing w:val="-6"/>
                <w:sz w:val="20"/>
                <w:szCs w:val="20"/>
                <w:lang w:val="sq-AL"/>
              </w:rPr>
              <w:t>2010</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center"/>
            <w:hideMark/>
          </w:tcPr>
          <w:p w:rsidR="0065716C" w:rsidRPr="009E22FE" w:rsidRDefault="0065716C">
            <w:pPr>
              <w:widowControl w:val="0"/>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spacing w:val="-6"/>
                <w:sz w:val="20"/>
                <w:szCs w:val="20"/>
                <w:lang w:val="sq-AL"/>
              </w:rPr>
            </w:pPr>
            <w:r w:rsidRPr="009E22FE">
              <w:rPr>
                <w:rFonts w:ascii="Garamond" w:hAnsi="Garamond"/>
                <w:color w:val="auto"/>
                <w:spacing w:val="-6"/>
                <w:sz w:val="20"/>
                <w:szCs w:val="20"/>
                <w:lang w:val="sq-AL"/>
              </w:rPr>
              <w:t>2011</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center"/>
            <w:hideMark/>
          </w:tcPr>
          <w:p w:rsidR="0065716C" w:rsidRPr="009E22FE" w:rsidRDefault="0065716C">
            <w:pPr>
              <w:widowControl w:val="0"/>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spacing w:val="-6"/>
                <w:sz w:val="20"/>
                <w:szCs w:val="20"/>
                <w:lang w:val="sq-AL"/>
              </w:rPr>
            </w:pPr>
            <w:r w:rsidRPr="009E22FE">
              <w:rPr>
                <w:rFonts w:ascii="Garamond" w:hAnsi="Garamond"/>
                <w:color w:val="auto"/>
                <w:spacing w:val="-6"/>
                <w:sz w:val="20"/>
                <w:szCs w:val="20"/>
                <w:lang w:val="sq-AL"/>
              </w:rPr>
              <w:t>2012</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center"/>
            <w:hideMark/>
          </w:tcPr>
          <w:p w:rsidR="0065716C" w:rsidRPr="009E22FE" w:rsidRDefault="0065716C">
            <w:pPr>
              <w:widowControl w:val="0"/>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spacing w:val="-6"/>
                <w:sz w:val="20"/>
                <w:szCs w:val="20"/>
                <w:lang w:val="sq-AL"/>
              </w:rPr>
            </w:pPr>
            <w:r w:rsidRPr="009E22FE">
              <w:rPr>
                <w:rFonts w:ascii="Garamond" w:hAnsi="Garamond"/>
                <w:color w:val="auto"/>
                <w:spacing w:val="-6"/>
                <w:sz w:val="20"/>
                <w:szCs w:val="20"/>
                <w:lang w:val="sq-AL"/>
              </w:rPr>
              <w:t>2013</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center"/>
            <w:hideMark/>
          </w:tcPr>
          <w:p w:rsidR="0065716C" w:rsidRPr="009E22FE" w:rsidRDefault="0065716C">
            <w:pPr>
              <w:widowControl w:val="0"/>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spacing w:val="-6"/>
                <w:sz w:val="20"/>
                <w:szCs w:val="20"/>
                <w:lang w:val="sq-AL"/>
              </w:rPr>
            </w:pPr>
            <w:r w:rsidRPr="009E22FE">
              <w:rPr>
                <w:rFonts w:ascii="Garamond" w:hAnsi="Garamond"/>
                <w:color w:val="auto"/>
                <w:spacing w:val="-6"/>
                <w:sz w:val="20"/>
                <w:szCs w:val="20"/>
                <w:lang w:val="sq-AL"/>
              </w:rPr>
              <w:t>2014</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center"/>
            <w:hideMark/>
          </w:tcPr>
          <w:p w:rsidR="0065716C" w:rsidRPr="009E22FE" w:rsidRDefault="0065716C">
            <w:pPr>
              <w:widowControl w:val="0"/>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spacing w:val="-6"/>
                <w:sz w:val="20"/>
                <w:szCs w:val="20"/>
                <w:lang w:val="sq-AL"/>
              </w:rPr>
            </w:pPr>
            <w:r w:rsidRPr="009E22FE">
              <w:rPr>
                <w:rFonts w:ascii="Garamond" w:hAnsi="Garamond"/>
                <w:color w:val="auto"/>
                <w:spacing w:val="-6"/>
                <w:sz w:val="20"/>
                <w:szCs w:val="20"/>
                <w:lang w:val="sq-AL"/>
              </w:rPr>
              <w:t>2015</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center"/>
            <w:hideMark/>
          </w:tcPr>
          <w:p w:rsidR="0065716C" w:rsidRPr="009E22FE" w:rsidRDefault="0065716C">
            <w:pPr>
              <w:widowControl w:val="0"/>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spacing w:val="-6"/>
                <w:sz w:val="20"/>
                <w:szCs w:val="20"/>
                <w:lang w:val="sq-AL"/>
              </w:rPr>
            </w:pPr>
            <w:r w:rsidRPr="009E22FE">
              <w:rPr>
                <w:rFonts w:ascii="Garamond" w:hAnsi="Garamond"/>
                <w:color w:val="auto"/>
                <w:spacing w:val="-6"/>
                <w:sz w:val="20"/>
                <w:szCs w:val="20"/>
                <w:lang w:val="sq-AL"/>
              </w:rPr>
              <w:t>2016</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center"/>
            <w:hideMark/>
          </w:tcPr>
          <w:p w:rsidR="0065716C" w:rsidRPr="009E22FE" w:rsidRDefault="0065716C">
            <w:pPr>
              <w:widowControl w:val="0"/>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spacing w:val="-6"/>
                <w:sz w:val="20"/>
                <w:szCs w:val="20"/>
                <w:lang w:val="sq-AL"/>
              </w:rPr>
            </w:pPr>
            <w:r w:rsidRPr="009E22FE">
              <w:rPr>
                <w:rFonts w:ascii="Garamond" w:hAnsi="Garamond"/>
                <w:color w:val="auto"/>
                <w:spacing w:val="-6"/>
                <w:sz w:val="20"/>
                <w:szCs w:val="20"/>
                <w:lang w:val="sq-AL"/>
              </w:rPr>
              <w:t>2017</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center"/>
            <w:hideMark/>
          </w:tcPr>
          <w:p w:rsidR="0065716C" w:rsidRPr="009E22FE" w:rsidRDefault="0065716C">
            <w:pPr>
              <w:widowControl w:val="0"/>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spacing w:val="-6"/>
                <w:sz w:val="20"/>
                <w:szCs w:val="20"/>
                <w:lang w:val="sq-AL"/>
              </w:rPr>
            </w:pPr>
            <w:r w:rsidRPr="009E22FE">
              <w:rPr>
                <w:rFonts w:ascii="Garamond" w:hAnsi="Garamond"/>
                <w:color w:val="auto"/>
                <w:spacing w:val="-6"/>
                <w:sz w:val="20"/>
                <w:szCs w:val="20"/>
                <w:lang w:val="sq-AL"/>
              </w:rPr>
              <w:t>2018</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center"/>
            <w:hideMark/>
          </w:tcPr>
          <w:p w:rsidR="0065716C" w:rsidRPr="009E22FE" w:rsidRDefault="0065716C">
            <w:pPr>
              <w:widowControl w:val="0"/>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spacing w:val="-6"/>
                <w:sz w:val="20"/>
                <w:szCs w:val="20"/>
                <w:lang w:val="sq-AL"/>
              </w:rPr>
            </w:pPr>
            <w:r w:rsidRPr="009E22FE">
              <w:rPr>
                <w:rFonts w:ascii="Garamond" w:hAnsi="Garamond"/>
                <w:color w:val="auto"/>
                <w:spacing w:val="-6"/>
                <w:sz w:val="20"/>
                <w:szCs w:val="20"/>
                <w:lang w:val="sq-AL"/>
              </w:rPr>
              <w:t>2019</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center"/>
            <w:hideMark/>
          </w:tcPr>
          <w:p w:rsidR="0065716C" w:rsidRPr="009E22FE" w:rsidRDefault="0065716C">
            <w:pPr>
              <w:widowControl w:val="0"/>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spacing w:val="-6"/>
                <w:sz w:val="20"/>
                <w:szCs w:val="20"/>
                <w:lang w:val="sq-AL"/>
              </w:rPr>
            </w:pPr>
            <w:r w:rsidRPr="009E22FE">
              <w:rPr>
                <w:rFonts w:ascii="Garamond" w:hAnsi="Garamond"/>
                <w:color w:val="auto"/>
                <w:spacing w:val="-6"/>
                <w:sz w:val="20"/>
                <w:szCs w:val="20"/>
                <w:lang w:val="sq-AL"/>
              </w:rPr>
              <w:t>2020</w:t>
            </w:r>
          </w:p>
        </w:tc>
      </w:tr>
      <w:tr w:rsidR="009E22FE" w:rsidRPr="009E22FE" w:rsidTr="0065716C">
        <w:trPr>
          <w:cnfStyle w:val="000000100000" w:firstRow="0" w:lastRow="0" w:firstColumn="0" w:lastColumn="0" w:oddVBand="0" w:evenVBand="0" w:oddHBand="1" w:evenHBand="0" w:firstRowFirstColumn="0" w:firstRowLastColumn="0" w:lastRowFirstColumn="0" w:lastRowLastColumn="0"/>
          <w:trHeight w:val="302"/>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8" w:space="0" w:color="FFC000" w:themeColor="accent4"/>
            </w:tcBorders>
            <w:noWrap/>
            <w:vAlign w:val="center"/>
            <w:hideMark/>
          </w:tcPr>
          <w:p w:rsidR="0065716C" w:rsidRPr="009E22FE" w:rsidRDefault="0065716C">
            <w:pPr>
              <w:widowControl w:val="0"/>
              <w:spacing w:after="0" w:line="240" w:lineRule="auto"/>
              <w:ind w:firstLine="0"/>
              <w:jc w:val="left"/>
              <w:rPr>
                <w:rFonts w:ascii="Garamond" w:hAnsi="Garamond"/>
                <w:spacing w:val="-6"/>
                <w:sz w:val="20"/>
                <w:szCs w:val="20"/>
                <w:lang w:val="sq-AL"/>
              </w:rPr>
            </w:pPr>
            <w:r w:rsidRPr="009E22FE">
              <w:rPr>
                <w:rFonts w:ascii="Garamond" w:hAnsi="Garamond"/>
                <w:spacing w:val="-6"/>
                <w:sz w:val="20"/>
                <w:szCs w:val="20"/>
                <w:lang w:val="sq-AL"/>
              </w:rPr>
              <w:t>BRE-N&amp;F (%)</w:t>
            </w:r>
          </w:p>
        </w:tc>
        <w:tc>
          <w:tcPr>
            <w:tcW w:w="0" w:type="auto"/>
            <w:tcBorders>
              <w:left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pacing w:val="-6"/>
                <w:sz w:val="20"/>
                <w:szCs w:val="20"/>
                <w:lang w:val="sq-AL"/>
              </w:rPr>
            </w:pPr>
            <w:r w:rsidRPr="009E22FE">
              <w:rPr>
                <w:rFonts w:ascii="Garamond" w:hAnsi="Garamond"/>
                <w:spacing w:val="-6"/>
                <w:sz w:val="20"/>
                <w:szCs w:val="20"/>
                <w:lang w:val="sq-AL"/>
              </w:rPr>
              <w:t>10%</w:t>
            </w:r>
          </w:p>
        </w:tc>
        <w:tc>
          <w:tcPr>
            <w:tcW w:w="0" w:type="auto"/>
            <w:tcBorders>
              <w:left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pacing w:val="-6"/>
                <w:sz w:val="20"/>
                <w:szCs w:val="20"/>
                <w:lang w:val="sq-AL"/>
              </w:rPr>
            </w:pPr>
            <w:r w:rsidRPr="009E22FE">
              <w:rPr>
                <w:rFonts w:ascii="Garamond" w:hAnsi="Garamond"/>
                <w:spacing w:val="-6"/>
                <w:sz w:val="20"/>
                <w:szCs w:val="20"/>
                <w:lang w:val="sq-AL"/>
              </w:rPr>
              <w:t>10%</w:t>
            </w:r>
          </w:p>
        </w:tc>
        <w:tc>
          <w:tcPr>
            <w:tcW w:w="0" w:type="auto"/>
            <w:tcBorders>
              <w:left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pacing w:val="-6"/>
                <w:sz w:val="20"/>
                <w:szCs w:val="20"/>
                <w:lang w:val="sq-AL"/>
              </w:rPr>
            </w:pPr>
            <w:r w:rsidRPr="009E22FE">
              <w:rPr>
                <w:rFonts w:ascii="Garamond" w:hAnsi="Garamond"/>
                <w:spacing w:val="-6"/>
                <w:sz w:val="20"/>
                <w:szCs w:val="20"/>
                <w:lang w:val="sq-AL"/>
              </w:rPr>
              <w:t>10%</w:t>
            </w:r>
          </w:p>
        </w:tc>
        <w:tc>
          <w:tcPr>
            <w:tcW w:w="0" w:type="auto"/>
            <w:tcBorders>
              <w:left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pacing w:val="-6"/>
                <w:sz w:val="20"/>
                <w:szCs w:val="20"/>
                <w:lang w:val="sq-AL"/>
              </w:rPr>
            </w:pPr>
            <w:r w:rsidRPr="009E22FE">
              <w:rPr>
                <w:rFonts w:ascii="Garamond" w:hAnsi="Garamond"/>
                <w:spacing w:val="-6"/>
                <w:sz w:val="20"/>
                <w:szCs w:val="20"/>
                <w:lang w:val="sq-AL"/>
              </w:rPr>
              <w:t>11%</w:t>
            </w:r>
          </w:p>
        </w:tc>
        <w:tc>
          <w:tcPr>
            <w:tcW w:w="0" w:type="auto"/>
            <w:tcBorders>
              <w:left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pacing w:val="-6"/>
                <w:sz w:val="20"/>
                <w:szCs w:val="20"/>
                <w:lang w:val="sq-AL"/>
              </w:rPr>
            </w:pPr>
            <w:r w:rsidRPr="009E22FE">
              <w:rPr>
                <w:rFonts w:ascii="Garamond" w:hAnsi="Garamond"/>
                <w:spacing w:val="-6"/>
                <w:sz w:val="20"/>
                <w:szCs w:val="20"/>
                <w:lang w:val="sq-AL"/>
              </w:rPr>
              <w:t>9%</w:t>
            </w:r>
          </w:p>
        </w:tc>
        <w:tc>
          <w:tcPr>
            <w:tcW w:w="0" w:type="auto"/>
            <w:tcBorders>
              <w:left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pacing w:val="-6"/>
                <w:sz w:val="20"/>
                <w:szCs w:val="20"/>
                <w:lang w:val="sq-AL"/>
              </w:rPr>
            </w:pPr>
            <w:r w:rsidRPr="009E22FE">
              <w:rPr>
                <w:rFonts w:ascii="Garamond" w:hAnsi="Garamond"/>
                <w:spacing w:val="-6"/>
                <w:sz w:val="20"/>
                <w:szCs w:val="20"/>
                <w:lang w:val="sq-AL"/>
              </w:rPr>
              <w:t>9%</w:t>
            </w:r>
          </w:p>
        </w:tc>
        <w:tc>
          <w:tcPr>
            <w:tcW w:w="0" w:type="auto"/>
            <w:tcBorders>
              <w:left w:val="single" w:sz="8" w:space="0" w:color="FFC000" w:themeColor="accent4"/>
              <w:right w:val="single" w:sz="8" w:space="0" w:color="FFC000" w:themeColor="accent4"/>
            </w:tcBorders>
            <w:shd w:val="clear" w:color="auto" w:fill="D9E2F3" w:themeFill="accent5" w:themeFillTint="33"/>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pacing w:val="-6"/>
                <w:sz w:val="20"/>
                <w:szCs w:val="20"/>
                <w:lang w:val="sq-AL"/>
              </w:rPr>
            </w:pPr>
            <w:r w:rsidRPr="009E22FE">
              <w:rPr>
                <w:rFonts w:ascii="Garamond" w:hAnsi="Garamond"/>
                <w:spacing w:val="-6"/>
                <w:sz w:val="20"/>
                <w:szCs w:val="20"/>
                <w:lang w:val="sq-AL"/>
              </w:rPr>
              <w:t>9.89%</w:t>
            </w:r>
          </w:p>
        </w:tc>
        <w:tc>
          <w:tcPr>
            <w:tcW w:w="0" w:type="auto"/>
            <w:tcBorders>
              <w:left w:val="single" w:sz="8" w:space="0" w:color="FFC000" w:themeColor="accent4"/>
              <w:right w:val="single" w:sz="8" w:space="0" w:color="FFC000" w:themeColor="accent4"/>
            </w:tcBorders>
            <w:shd w:val="clear" w:color="auto" w:fill="D9E2F3" w:themeFill="accent5" w:themeFillTint="33"/>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pacing w:val="-6"/>
                <w:sz w:val="20"/>
                <w:szCs w:val="20"/>
                <w:lang w:val="sq-AL"/>
              </w:rPr>
            </w:pPr>
            <w:r w:rsidRPr="009E22FE">
              <w:rPr>
                <w:rFonts w:ascii="Garamond" w:hAnsi="Garamond"/>
                <w:spacing w:val="-6"/>
                <w:sz w:val="20"/>
                <w:szCs w:val="20"/>
                <w:lang w:val="sq-AL"/>
              </w:rPr>
              <w:t>9.23%</w:t>
            </w:r>
          </w:p>
        </w:tc>
        <w:tc>
          <w:tcPr>
            <w:tcW w:w="0" w:type="auto"/>
            <w:tcBorders>
              <w:left w:val="single" w:sz="8" w:space="0" w:color="FFC000" w:themeColor="accent4"/>
              <w:right w:val="single" w:sz="8" w:space="0" w:color="FFC000" w:themeColor="accent4"/>
            </w:tcBorders>
            <w:shd w:val="clear" w:color="auto" w:fill="FBE4D5" w:themeFill="accent2" w:themeFillTint="33"/>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8.7%</w:t>
            </w:r>
          </w:p>
        </w:tc>
        <w:tc>
          <w:tcPr>
            <w:tcW w:w="0" w:type="auto"/>
            <w:tcBorders>
              <w:left w:val="single" w:sz="8" w:space="0" w:color="FFC000" w:themeColor="accent4"/>
              <w:right w:val="single" w:sz="8" w:space="0" w:color="FFC000" w:themeColor="accent4"/>
            </w:tcBorders>
            <w:shd w:val="clear" w:color="auto" w:fill="C00000"/>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8.0%</w:t>
            </w:r>
          </w:p>
        </w:tc>
        <w:tc>
          <w:tcPr>
            <w:tcW w:w="0" w:type="auto"/>
            <w:tcBorders>
              <w:left w:val="single" w:sz="8" w:space="0" w:color="FFC000" w:themeColor="accent4"/>
              <w:right w:val="single" w:sz="8" w:space="0" w:color="FFC000" w:themeColor="accent4"/>
            </w:tcBorders>
            <w:shd w:val="clear" w:color="auto" w:fill="323E4F" w:themeFill="text2" w:themeFillShade="BF"/>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7.2%</w:t>
            </w:r>
          </w:p>
        </w:tc>
        <w:tc>
          <w:tcPr>
            <w:tcW w:w="0" w:type="auto"/>
            <w:tcBorders>
              <w:left w:val="single" w:sz="8" w:space="0" w:color="FFC000" w:themeColor="accent4"/>
            </w:tcBorders>
            <w:shd w:val="clear" w:color="auto" w:fill="7B7B7B" w:themeFill="accent3" w:themeFillShade="BF"/>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9.0%</w:t>
            </w:r>
          </w:p>
        </w:tc>
      </w:tr>
      <w:tr w:rsidR="009E22FE" w:rsidRPr="009E22FE" w:rsidTr="0065716C">
        <w:trPr>
          <w:trHeight w:val="302"/>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center"/>
            <w:hideMark/>
          </w:tcPr>
          <w:p w:rsidR="0065716C" w:rsidRPr="009E22FE" w:rsidRDefault="0065716C">
            <w:pPr>
              <w:widowControl w:val="0"/>
              <w:spacing w:after="0" w:line="240" w:lineRule="auto"/>
              <w:ind w:firstLine="0"/>
              <w:jc w:val="left"/>
              <w:rPr>
                <w:rFonts w:ascii="Garamond" w:hAnsi="Garamond"/>
                <w:spacing w:val="-6"/>
                <w:sz w:val="20"/>
                <w:szCs w:val="20"/>
                <w:lang w:val="sq-AL"/>
              </w:rPr>
            </w:pPr>
            <w:r w:rsidRPr="009E22FE">
              <w:rPr>
                <w:rFonts w:ascii="Garamond" w:hAnsi="Garamond"/>
                <w:spacing w:val="-6"/>
                <w:sz w:val="20"/>
                <w:szCs w:val="20"/>
                <w:lang w:val="sq-AL"/>
              </w:rPr>
              <w:t>BRE-E (%)</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6"/>
                <w:sz w:val="20"/>
                <w:szCs w:val="20"/>
                <w:lang w:val="sq-AL"/>
              </w:rPr>
            </w:pPr>
            <w:r w:rsidRPr="009E22FE">
              <w:rPr>
                <w:rFonts w:ascii="Garamond" w:hAnsi="Garamond"/>
                <w:spacing w:val="-6"/>
                <w:sz w:val="20"/>
                <w:szCs w:val="20"/>
                <w:lang w:val="sq-AL"/>
              </w:rPr>
              <w:t>19%</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6"/>
                <w:sz w:val="20"/>
                <w:szCs w:val="20"/>
                <w:lang w:val="sq-AL"/>
              </w:rPr>
            </w:pPr>
            <w:r w:rsidRPr="009E22FE">
              <w:rPr>
                <w:rFonts w:ascii="Garamond" w:hAnsi="Garamond"/>
                <w:spacing w:val="-6"/>
                <w:sz w:val="20"/>
                <w:szCs w:val="20"/>
                <w:lang w:val="sq-AL"/>
              </w:rPr>
              <w:t>20%</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6"/>
                <w:sz w:val="20"/>
                <w:szCs w:val="20"/>
                <w:lang w:val="sq-AL"/>
              </w:rPr>
            </w:pPr>
            <w:r w:rsidRPr="009E22FE">
              <w:rPr>
                <w:rFonts w:ascii="Garamond" w:hAnsi="Garamond"/>
                <w:spacing w:val="-6"/>
                <w:sz w:val="20"/>
                <w:szCs w:val="20"/>
                <w:lang w:val="sq-AL"/>
              </w:rPr>
              <w:t>16%</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6"/>
                <w:sz w:val="20"/>
                <w:szCs w:val="20"/>
                <w:lang w:val="sq-AL"/>
              </w:rPr>
            </w:pPr>
            <w:r w:rsidRPr="009E22FE">
              <w:rPr>
                <w:rFonts w:ascii="Garamond" w:hAnsi="Garamond"/>
                <w:spacing w:val="-6"/>
                <w:sz w:val="20"/>
                <w:szCs w:val="20"/>
                <w:lang w:val="sq-AL"/>
              </w:rPr>
              <w:t>20%</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6"/>
                <w:sz w:val="20"/>
                <w:szCs w:val="20"/>
                <w:lang w:val="sq-AL"/>
              </w:rPr>
            </w:pPr>
            <w:r w:rsidRPr="009E22FE">
              <w:rPr>
                <w:rFonts w:ascii="Garamond" w:hAnsi="Garamond"/>
                <w:spacing w:val="-6"/>
                <w:sz w:val="20"/>
                <w:szCs w:val="20"/>
                <w:lang w:val="sq-AL"/>
              </w:rPr>
              <w:t>26%</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6"/>
                <w:sz w:val="20"/>
                <w:szCs w:val="20"/>
                <w:lang w:val="sq-AL"/>
              </w:rPr>
            </w:pPr>
            <w:r w:rsidRPr="009E22FE">
              <w:rPr>
                <w:rFonts w:ascii="Garamond" w:hAnsi="Garamond"/>
                <w:spacing w:val="-6"/>
                <w:sz w:val="20"/>
                <w:szCs w:val="20"/>
                <w:lang w:val="sq-AL"/>
              </w:rPr>
              <w:t>19.6%</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D9E2F3" w:themeFill="accent5" w:themeFillTint="33"/>
            <w:noWrap/>
            <w:vAlign w:val="bottom"/>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6"/>
                <w:sz w:val="20"/>
                <w:szCs w:val="20"/>
                <w:lang w:val="sq-AL"/>
              </w:rPr>
            </w:pPr>
            <w:r w:rsidRPr="009E22FE">
              <w:rPr>
                <w:rFonts w:ascii="Garamond" w:hAnsi="Garamond"/>
                <w:spacing w:val="-6"/>
                <w:sz w:val="20"/>
                <w:szCs w:val="20"/>
                <w:lang w:val="sq-AL"/>
              </w:rPr>
              <w:t>24.5%</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D9E2F3" w:themeFill="accent5" w:themeFillTint="33"/>
            <w:noWrap/>
            <w:vAlign w:val="bottom"/>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6"/>
                <w:sz w:val="20"/>
                <w:szCs w:val="20"/>
                <w:lang w:val="sq-AL"/>
              </w:rPr>
            </w:pPr>
            <w:r w:rsidRPr="009E22FE">
              <w:rPr>
                <w:rFonts w:ascii="Garamond" w:hAnsi="Garamond"/>
                <w:spacing w:val="-6"/>
                <w:sz w:val="20"/>
                <w:szCs w:val="20"/>
                <w:lang w:val="sq-AL"/>
              </w:rPr>
              <w:t>23.0%</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BE4D5" w:themeFill="accent2" w:themeFillTint="33"/>
            <w:noWrap/>
            <w:vAlign w:val="bottom"/>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15.9%</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C00000"/>
            <w:noWrap/>
            <w:vAlign w:val="bottom"/>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34%</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323E4F" w:themeFill="text2" w:themeFillShade="BF"/>
            <w:noWrap/>
            <w:vAlign w:val="bottom"/>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27%</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7B7B7B" w:themeFill="accent3" w:themeFillShade="BF"/>
            <w:noWrap/>
            <w:vAlign w:val="bottom"/>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29%</w:t>
            </w:r>
          </w:p>
        </w:tc>
      </w:tr>
      <w:tr w:rsidR="009E22FE" w:rsidRPr="009E22FE" w:rsidTr="0065716C">
        <w:trPr>
          <w:cnfStyle w:val="000000100000" w:firstRow="0" w:lastRow="0" w:firstColumn="0" w:lastColumn="0" w:oddVBand="0" w:evenVBand="0" w:oddHBand="1" w:evenHBand="0" w:firstRowFirstColumn="0" w:firstRowLastColumn="0" w:lastRowFirstColumn="0" w:lastRowLastColumn="0"/>
          <w:trHeight w:val="302"/>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8" w:space="0" w:color="FFC000" w:themeColor="accent4"/>
            </w:tcBorders>
            <w:noWrap/>
            <w:vAlign w:val="center"/>
            <w:hideMark/>
          </w:tcPr>
          <w:p w:rsidR="0065716C" w:rsidRPr="009E22FE" w:rsidRDefault="0065716C">
            <w:pPr>
              <w:widowControl w:val="0"/>
              <w:spacing w:after="0" w:line="240" w:lineRule="auto"/>
              <w:ind w:firstLine="0"/>
              <w:jc w:val="left"/>
              <w:rPr>
                <w:rFonts w:ascii="Garamond" w:hAnsi="Garamond"/>
                <w:spacing w:val="-6"/>
                <w:sz w:val="20"/>
                <w:szCs w:val="20"/>
                <w:lang w:val="sq-AL"/>
              </w:rPr>
            </w:pPr>
            <w:r w:rsidRPr="009E22FE">
              <w:rPr>
                <w:rFonts w:ascii="Garamond" w:hAnsi="Garamond"/>
                <w:spacing w:val="-6"/>
                <w:sz w:val="20"/>
                <w:szCs w:val="20"/>
                <w:lang w:val="sq-AL"/>
              </w:rPr>
              <w:t>BRE-T (%)</w:t>
            </w:r>
          </w:p>
        </w:tc>
        <w:tc>
          <w:tcPr>
            <w:tcW w:w="0" w:type="auto"/>
            <w:tcBorders>
              <w:left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pacing w:val="-6"/>
                <w:sz w:val="20"/>
                <w:szCs w:val="20"/>
                <w:lang w:val="sq-AL"/>
              </w:rPr>
            </w:pPr>
            <w:r w:rsidRPr="009E22FE">
              <w:rPr>
                <w:rFonts w:ascii="Garamond" w:hAnsi="Garamond"/>
                <w:spacing w:val="-6"/>
                <w:sz w:val="20"/>
                <w:szCs w:val="20"/>
                <w:lang w:val="sq-AL"/>
              </w:rPr>
              <w:t>0%</w:t>
            </w:r>
          </w:p>
        </w:tc>
        <w:tc>
          <w:tcPr>
            <w:tcW w:w="0" w:type="auto"/>
            <w:tcBorders>
              <w:left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pacing w:val="-6"/>
                <w:sz w:val="20"/>
                <w:szCs w:val="20"/>
                <w:lang w:val="sq-AL"/>
              </w:rPr>
            </w:pPr>
            <w:r w:rsidRPr="009E22FE">
              <w:rPr>
                <w:rFonts w:ascii="Garamond" w:hAnsi="Garamond"/>
                <w:spacing w:val="-6"/>
                <w:sz w:val="20"/>
                <w:szCs w:val="20"/>
                <w:lang w:val="sq-AL"/>
              </w:rPr>
              <w:t>0%</w:t>
            </w:r>
          </w:p>
        </w:tc>
        <w:tc>
          <w:tcPr>
            <w:tcW w:w="0" w:type="auto"/>
            <w:tcBorders>
              <w:left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pacing w:val="-6"/>
                <w:sz w:val="20"/>
                <w:szCs w:val="20"/>
                <w:lang w:val="sq-AL"/>
              </w:rPr>
            </w:pPr>
            <w:r w:rsidRPr="009E22FE">
              <w:rPr>
                <w:rFonts w:ascii="Garamond" w:hAnsi="Garamond"/>
                <w:spacing w:val="-6"/>
                <w:sz w:val="20"/>
                <w:szCs w:val="20"/>
                <w:lang w:val="sq-AL"/>
              </w:rPr>
              <w:t>0%</w:t>
            </w:r>
          </w:p>
        </w:tc>
        <w:tc>
          <w:tcPr>
            <w:tcW w:w="0" w:type="auto"/>
            <w:tcBorders>
              <w:left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pacing w:val="-6"/>
                <w:sz w:val="20"/>
                <w:szCs w:val="20"/>
                <w:lang w:val="sq-AL"/>
              </w:rPr>
            </w:pPr>
            <w:r w:rsidRPr="009E22FE">
              <w:rPr>
                <w:rFonts w:ascii="Garamond" w:hAnsi="Garamond"/>
                <w:spacing w:val="-6"/>
                <w:sz w:val="20"/>
                <w:szCs w:val="20"/>
                <w:lang w:val="sq-AL"/>
              </w:rPr>
              <w:t>0%</w:t>
            </w:r>
          </w:p>
        </w:tc>
        <w:tc>
          <w:tcPr>
            <w:tcW w:w="0" w:type="auto"/>
            <w:tcBorders>
              <w:left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pacing w:val="-6"/>
                <w:sz w:val="20"/>
                <w:szCs w:val="20"/>
                <w:lang w:val="sq-AL"/>
              </w:rPr>
            </w:pPr>
            <w:r w:rsidRPr="009E22FE">
              <w:rPr>
                <w:rFonts w:ascii="Garamond" w:hAnsi="Garamond"/>
                <w:spacing w:val="-6"/>
                <w:sz w:val="20"/>
                <w:szCs w:val="20"/>
                <w:lang w:val="sq-AL"/>
              </w:rPr>
              <w:t>0%</w:t>
            </w:r>
          </w:p>
        </w:tc>
        <w:tc>
          <w:tcPr>
            <w:tcW w:w="0" w:type="auto"/>
            <w:tcBorders>
              <w:left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pacing w:val="-6"/>
                <w:sz w:val="20"/>
                <w:szCs w:val="20"/>
                <w:lang w:val="sq-AL"/>
              </w:rPr>
            </w:pPr>
            <w:r w:rsidRPr="009E22FE">
              <w:rPr>
                <w:rFonts w:ascii="Garamond" w:hAnsi="Garamond"/>
                <w:spacing w:val="-6"/>
                <w:sz w:val="20"/>
                <w:szCs w:val="20"/>
                <w:lang w:val="sq-AL"/>
              </w:rPr>
              <w:t>0%</w:t>
            </w:r>
          </w:p>
        </w:tc>
        <w:tc>
          <w:tcPr>
            <w:tcW w:w="0" w:type="auto"/>
            <w:tcBorders>
              <w:left w:val="single" w:sz="8" w:space="0" w:color="FFC000" w:themeColor="accent4"/>
              <w:right w:val="single" w:sz="8" w:space="0" w:color="FFC000" w:themeColor="accent4"/>
            </w:tcBorders>
            <w:shd w:val="clear" w:color="auto" w:fill="D9E2F3" w:themeFill="accent5" w:themeFillTint="33"/>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pacing w:val="-6"/>
                <w:sz w:val="20"/>
                <w:szCs w:val="20"/>
                <w:lang w:val="sq-AL"/>
              </w:rPr>
            </w:pPr>
            <w:r w:rsidRPr="009E22FE">
              <w:rPr>
                <w:rFonts w:ascii="Garamond" w:hAnsi="Garamond"/>
                <w:spacing w:val="-6"/>
                <w:sz w:val="20"/>
                <w:szCs w:val="20"/>
                <w:lang w:val="sq-AL"/>
              </w:rPr>
              <w:t>1%</w:t>
            </w:r>
          </w:p>
        </w:tc>
        <w:tc>
          <w:tcPr>
            <w:tcW w:w="0" w:type="auto"/>
            <w:tcBorders>
              <w:left w:val="single" w:sz="8" w:space="0" w:color="FFC000" w:themeColor="accent4"/>
              <w:right w:val="single" w:sz="8" w:space="0" w:color="FFC000" w:themeColor="accent4"/>
            </w:tcBorders>
            <w:shd w:val="clear" w:color="auto" w:fill="D9E2F3" w:themeFill="accent5" w:themeFillTint="33"/>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spacing w:val="-6"/>
                <w:sz w:val="20"/>
                <w:szCs w:val="20"/>
                <w:lang w:val="sq-AL"/>
              </w:rPr>
            </w:pPr>
            <w:r w:rsidRPr="009E22FE">
              <w:rPr>
                <w:rFonts w:ascii="Garamond" w:hAnsi="Garamond"/>
                <w:spacing w:val="-6"/>
                <w:sz w:val="20"/>
                <w:szCs w:val="20"/>
                <w:lang w:val="sq-AL"/>
              </w:rPr>
              <w:t>2%</w:t>
            </w:r>
          </w:p>
        </w:tc>
        <w:tc>
          <w:tcPr>
            <w:tcW w:w="0" w:type="auto"/>
            <w:tcBorders>
              <w:left w:val="single" w:sz="8" w:space="0" w:color="FFC000" w:themeColor="accent4"/>
              <w:right w:val="single" w:sz="8" w:space="0" w:color="FFC000" w:themeColor="accent4"/>
            </w:tcBorders>
            <w:shd w:val="clear" w:color="auto" w:fill="FBE4D5" w:themeFill="accent2" w:themeFillTint="33"/>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2%</w:t>
            </w:r>
          </w:p>
        </w:tc>
        <w:tc>
          <w:tcPr>
            <w:tcW w:w="0" w:type="auto"/>
            <w:tcBorders>
              <w:left w:val="single" w:sz="8" w:space="0" w:color="FFC000" w:themeColor="accent4"/>
              <w:right w:val="single" w:sz="8" w:space="0" w:color="FFC000" w:themeColor="accent4"/>
            </w:tcBorders>
            <w:shd w:val="clear" w:color="auto" w:fill="C00000"/>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2.5%</w:t>
            </w:r>
          </w:p>
        </w:tc>
        <w:tc>
          <w:tcPr>
            <w:tcW w:w="0" w:type="auto"/>
            <w:tcBorders>
              <w:left w:val="single" w:sz="8" w:space="0" w:color="FFC000" w:themeColor="accent4"/>
              <w:right w:val="single" w:sz="8" w:space="0" w:color="FFC000" w:themeColor="accent4"/>
            </w:tcBorders>
            <w:shd w:val="clear" w:color="auto" w:fill="323E4F" w:themeFill="text2" w:themeFillShade="BF"/>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2.8%</w:t>
            </w:r>
          </w:p>
        </w:tc>
        <w:tc>
          <w:tcPr>
            <w:tcW w:w="0" w:type="auto"/>
            <w:tcBorders>
              <w:left w:val="single" w:sz="8" w:space="0" w:color="FFC000" w:themeColor="accent4"/>
            </w:tcBorders>
            <w:shd w:val="clear" w:color="auto" w:fill="7B7B7B" w:themeFill="accent3" w:themeFillShade="BF"/>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3%</w:t>
            </w:r>
          </w:p>
        </w:tc>
      </w:tr>
      <w:tr w:rsidR="009E22FE" w:rsidRPr="009E22FE" w:rsidTr="0065716C">
        <w:trPr>
          <w:trHeight w:val="302"/>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center"/>
            <w:hideMark/>
          </w:tcPr>
          <w:p w:rsidR="0065716C" w:rsidRPr="009E22FE" w:rsidRDefault="0065716C">
            <w:pPr>
              <w:widowControl w:val="0"/>
              <w:spacing w:after="0" w:line="240" w:lineRule="auto"/>
              <w:ind w:firstLine="0"/>
              <w:jc w:val="left"/>
              <w:rPr>
                <w:rFonts w:ascii="Garamond" w:hAnsi="Garamond"/>
                <w:spacing w:val="-6"/>
                <w:sz w:val="20"/>
                <w:szCs w:val="20"/>
                <w:lang w:val="sq-AL"/>
              </w:rPr>
            </w:pPr>
            <w:r w:rsidRPr="009E22FE">
              <w:rPr>
                <w:rFonts w:ascii="Garamond" w:hAnsi="Garamond"/>
                <w:spacing w:val="-6"/>
                <w:sz w:val="20"/>
                <w:szCs w:val="20"/>
                <w:lang w:val="sq-AL"/>
              </w:rPr>
              <w:t>BRE total (%)</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30%</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31%</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29%</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32%</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33%</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32%</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D9E2F3" w:themeFill="accent5" w:themeFillTint="33"/>
            <w:noWrap/>
            <w:vAlign w:val="bottom"/>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35.4%</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D9E2F3" w:themeFill="accent5" w:themeFillTint="33"/>
            <w:noWrap/>
            <w:vAlign w:val="bottom"/>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34.2%</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BE4D5" w:themeFill="accent2" w:themeFillTint="33"/>
            <w:noWrap/>
            <w:vAlign w:val="bottom"/>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26.6%</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C00000"/>
            <w:noWrap/>
            <w:vAlign w:val="bottom"/>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44.5%</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323E4F" w:themeFill="text2" w:themeFillShade="BF"/>
            <w:noWrap/>
            <w:vAlign w:val="bottom"/>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37%</w:t>
            </w:r>
          </w:p>
        </w:tc>
        <w:tc>
          <w:tcPr>
            <w:tcW w:w="0" w:type="auto"/>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7B7B7B" w:themeFill="accent3" w:themeFillShade="BF"/>
            <w:noWrap/>
            <w:vAlign w:val="bottom"/>
            <w:hideMark/>
          </w:tcPr>
          <w:p w:rsidR="0065716C" w:rsidRPr="009E22FE" w:rsidRDefault="0065716C">
            <w:pPr>
              <w:widowControl w:val="0"/>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42%</w:t>
            </w:r>
          </w:p>
        </w:tc>
      </w:tr>
      <w:tr w:rsidR="009E22FE" w:rsidRPr="009E22FE" w:rsidTr="0065716C">
        <w:trPr>
          <w:cnfStyle w:val="000000100000" w:firstRow="0" w:lastRow="0" w:firstColumn="0" w:lastColumn="0" w:oddVBand="0" w:evenVBand="0" w:oddHBand="1" w:evenHBand="0" w:firstRowFirstColumn="0" w:firstRowLastColumn="0" w:lastRowFirstColumn="0" w:lastRowLastColumn="0"/>
          <w:trHeight w:val="302"/>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8" w:space="0" w:color="FFC000" w:themeColor="accent4"/>
            </w:tcBorders>
            <w:noWrap/>
            <w:vAlign w:val="center"/>
            <w:hideMark/>
          </w:tcPr>
          <w:p w:rsidR="0065716C" w:rsidRPr="009E22FE" w:rsidRDefault="0065716C">
            <w:pPr>
              <w:widowControl w:val="0"/>
              <w:spacing w:after="0" w:line="240" w:lineRule="auto"/>
              <w:ind w:firstLine="0"/>
              <w:jc w:val="left"/>
              <w:rPr>
                <w:rFonts w:ascii="Garamond" w:hAnsi="Garamond"/>
                <w:spacing w:val="-6"/>
                <w:sz w:val="20"/>
                <w:szCs w:val="20"/>
                <w:lang w:val="sq-AL"/>
              </w:rPr>
            </w:pPr>
            <w:r w:rsidRPr="009E22FE">
              <w:rPr>
                <w:rFonts w:ascii="Garamond" w:hAnsi="Garamond"/>
                <w:spacing w:val="-6"/>
                <w:sz w:val="20"/>
                <w:szCs w:val="20"/>
                <w:lang w:val="sq-AL"/>
              </w:rPr>
              <w:t>Mesatare, ligji nr. 7/2017</w:t>
            </w:r>
          </w:p>
        </w:tc>
        <w:tc>
          <w:tcPr>
            <w:tcW w:w="0" w:type="auto"/>
            <w:tcBorders>
              <w:left w:val="single" w:sz="8" w:space="0" w:color="FFC000" w:themeColor="accent4"/>
              <w:right w:val="single" w:sz="8" w:space="0" w:color="FFC000" w:themeColor="accent4"/>
            </w:tcBorders>
            <w:noWrap/>
            <w:vAlign w:val="bottom"/>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b/>
                <w:spacing w:val="-6"/>
                <w:sz w:val="20"/>
                <w:szCs w:val="20"/>
                <w:lang w:val="sq-AL"/>
              </w:rPr>
            </w:pPr>
          </w:p>
        </w:tc>
        <w:tc>
          <w:tcPr>
            <w:tcW w:w="0" w:type="auto"/>
            <w:tcBorders>
              <w:left w:val="single" w:sz="8" w:space="0" w:color="FFC000" w:themeColor="accent4"/>
              <w:right w:val="single" w:sz="8" w:space="0" w:color="FFC000" w:themeColor="accent4"/>
            </w:tcBorders>
            <w:noWrap/>
            <w:vAlign w:val="bottom"/>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b/>
                <w:spacing w:val="-6"/>
                <w:sz w:val="20"/>
                <w:szCs w:val="20"/>
                <w:lang w:val="sq-AL"/>
              </w:rPr>
            </w:pPr>
          </w:p>
        </w:tc>
        <w:tc>
          <w:tcPr>
            <w:tcW w:w="0" w:type="auto"/>
            <w:gridSpan w:val="2"/>
            <w:tcBorders>
              <w:left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32.6%</w:t>
            </w:r>
          </w:p>
        </w:tc>
        <w:tc>
          <w:tcPr>
            <w:tcW w:w="0" w:type="auto"/>
            <w:gridSpan w:val="2"/>
            <w:tcBorders>
              <w:left w:val="single" w:sz="8" w:space="0" w:color="FFC000" w:themeColor="accent4"/>
              <w:right w:val="single" w:sz="8" w:space="0" w:color="FFC000" w:themeColor="accent4"/>
            </w:tcBorders>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33.2%</w:t>
            </w:r>
          </w:p>
        </w:tc>
        <w:tc>
          <w:tcPr>
            <w:tcW w:w="0" w:type="auto"/>
            <w:gridSpan w:val="2"/>
            <w:tcBorders>
              <w:left w:val="single" w:sz="8" w:space="0" w:color="FFC000" w:themeColor="accent4"/>
              <w:right w:val="single" w:sz="8" w:space="0" w:color="FFC000" w:themeColor="accent4"/>
            </w:tcBorders>
            <w:shd w:val="clear" w:color="auto" w:fill="D9E2F3" w:themeFill="accent5" w:themeFillTint="33"/>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34.3%</w:t>
            </w:r>
          </w:p>
        </w:tc>
        <w:tc>
          <w:tcPr>
            <w:tcW w:w="0" w:type="auto"/>
            <w:gridSpan w:val="2"/>
            <w:tcBorders>
              <w:left w:val="single" w:sz="8" w:space="0" w:color="FFC000" w:themeColor="accent4"/>
              <w:right w:val="single" w:sz="8" w:space="0" w:color="FFC000" w:themeColor="accent4"/>
            </w:tcBorders>
            <w:shd w:val="clear" w:color="auto" w:fill="C00000"/>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35.6%</w:t>
            </w:r>
          </w:p>
        </w:tc>
        <w:tc>
          <w:tcPr>
            <w:tcW w:w="0" w:type="auto"/>
            <w:tcBorders>
              <w:left w:val="single" w:sz="8" w:space="0" w:color="FFC000" w:themeColor="accent4"/>
              <w:right w:val="single" w:sz="8" w:space="0" w:color="FFC000" w:themeColor="accent4"/>
            </w:tcBorders>
            <w:shd w:val="clear" w:color="auto" w:fill="323E4F" w:themeFill="text2" w:themeFillShade="BF"/>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37%</w:t>
            </w:r>
          </w:p>
        </w:tc>
        <w:tc>
          <w:tcPr>
            <w:tcW w:w="0" w:type="auto"/>
            <w:tcBorders>
              <w:left w:val="single" w:sz="8" w:space="0" w:color="FFC000" w:themeColor="accent4"/>
            </w:tcBorders>
            <w:shd w:val="clear" w:color="auto" w:fill="7B7B7B" w:themeFill="accent3" w:themeFillShade="BF"/>
            <w:noWrap/>
            <w:vAlign w:val="bottom"/>
            <w:hideMark/>
          </w:tcPr>
          <w:p w:rsidR="0065716C" w:rsidRPr="009E22FE" w:rsidRDefault="0065716C">
            <w:pPr>
              <w:widowControl w:val="0"/>
              <w:spacing w:after="0" w:line="240" w:lineRule="auto"/>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b/>
                <w:spacing w:val="-6"/>
                <w:sz w:val="20"/>
                <w:szCs w:val="20"/>
                <w:lang w:val="sq-AL"/>
              </w:rPr>
            </w:pPr>
            <w:r w:rsidRPr="009E22FE">
              <w:rPr>
                <w:rFonts w:ascii="Garamond" w:hAnsi="Garamond"/>
                <w:b/>
                <w:spacing w:val="-6"/>
                <w:sz w:val="20"/>
                <w:szCs w:val="20"/>
                <w:lang w:val="sq-AL"/>
              </w:rPr>
              <w:t>38%</w:t>
            </w:r>
          </w:p>
        </w:tc>
      </w:tr>
    </w:tbl>
    <w:p w:rsidR="0065716C" w:rsidRPr="009E22FE" w:rsidRDefault="0065716C" w:rsidP="0065716C">
      <w:pPr>
        <w:pStyle w:val="FiguresandTables"/>
        <w:widowControl w:val="0"/>
        <w:spacing w:before="0" w:after="0"/>
        <w:ind w:firstLine="284"/>
        <w:rPr>
          <w:rFonts w:cs="Times New Roman"/>
          <w:noProof w:val="0"/>
          <w:sz w:val="18"/>
          <w:szCs w:val="24"/>
        </w:rPr>
      </w:pPr>
    </w:p>
    <w:p w:rsidR="0065716C" w:rsidRPr="009E22FE" w:rsidRDefault="0065716C" w:rsidP="0065716C">
      <w:pPr>
        <w:widowControl w:val="0"/>
        <w:spacing w:after="0" w:line="240" w:lineRule="auto"/>
        <w:jc w:val="center"/>
        <w:rPr>
          <w:rFonts w:ascii="Garamond" w:hAnsi="Garamond"/>
          <w:sz w:val="24"/>
          <w:szCs w:val="24"/>
          <w:lang w:val="sq-AL"/>
        </w:rPr>
      </w:pPr>
      <w:r w:rsidRPr="009E22FE">
        <w:rPr>
          <w:rFonts w:ascii="Garamond" w:hAnsi="Garamond"/>
          <w:noProof/>
          <w:sz w:val="24"/>
          <w:szCs w:val="24"/>
        </w:rPr>
        <w:drawing>
          <wp:inline distT="0" distB="0" distL="0" distR="0">
            <wp:extent cx="4638675" cy="2571750"/>
            <wp:effectExtent l="19050" t="19050" r="28575" b="190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38675" cy="2571750"/>
                    </a:xfrm>
                    <a:prstGeom prst="rect">
                      <a:avLst/>
                    </a:prstGeom>
                    <a:noFill/>
                    <a:ln w="9525" cmpd="sng">
                      <a:solidFill>
                        <a:srgbClr val="000000"/>
                      </a:solidFill>
                      <a:miter lim="800000"/>
                      <a:headEnd/>
                      <a:tailEnd/>
                    </a:ln>
                    <a:effectLst/>
                  </pic:spPr>
                </pic:pic>
              </a:graphicData>
            </a:graphic>
          </wp:inline>
        </w:drawing>
      </w:r>
    </w:p>
    <w:p w:rsidR="0065716C" w:rsidRPr="009E22FE" w:rsidRDefault="0065716C" w:rsidP="0065716C">
      <w:pPr>
        <w:widowControl w:val="0"/>
        <w:spacing w:after="0" w:line="240" w:lineRule="auto"/>
        <w:jc w:val="center"/>
        <w:rPr>
          <w:rFonts w:ascii="Garamond" w:hAnsi="Garamond"/>
          <w:i/>
          <w:iCs/>
          <w:sz w:val="24"/>
          <w:szCs w:val="24"/>
          <w:lang w:val="sq-AL"/>
        </w:rPr>
      </w:pPr>
    </w:p>
    <w:p w:rsidR="0065716C" w:rsidRPr="009E22FE" w:rsidRDefault="0065716C" w:rsidP="0065716C">
      <w:pPr>
        <w:spacing w:after="0" w:line="240" w:lineRule="auto"/>
        <w:ind w:firstLine="0"/>
        <w:jc w:val="left"/>
        <w:rPr>
          <w:rFonts w:ascii="Garamond" w:hAnsi="Garamond"/>
          <w:i/>
          <w:iCs/>
          <w:sz w:val="24"/>
          <w:szCs w:val="24"/>
          <w:lang w:val="sq-AL"/>
        </w:rPr>
        <w:sectPr w:rsidR="0065716C" w:rsidRPr="009E22FE" w:rsidSect="0065716C">
          <w:type w:val="continuous"/>
          <w:pgSz w:w="11907" w:h="16840"/>
          <w:pgMar w:top="720" w:right="1134" w:bottom="720" w:left="1134" w:header="851" w:footer="851" w:gutter="0"/>
          <w:cols w:space="720"/>
        </w:sectPr>
      </w:pPr>
    </w:p>
    <w:p w:rsidR="0065716C" w:rsidRPr="009E22FE" w:rsidRDefault="0065716C" w:rsidP="00055077">
      <w:pPr>
        <w:pStyle w:val="Heading2"/>
        <w:widowControl w:val="0"/>
        <w:numPr>
          <w:ilvl w:val="0"/>
          <w:numId w:val="0"/>
        </w:numPr>
        <w:spacing w:before="0"/>
        <w:ind w:left="142"/>
        <w:rPr>
          <w:rFonts w:ascii="Garamond" w:hAnsi="Garamond"/>
          <w:b/>
          <w:color w:val="auto"/>
          <w:sz w:val="24"/>
          <w:szCs w:val="24"/>
          <w:lang w:val="sq-AL"/>
        </w:rPr>
      </w:pPr>
      <w:bookmarkStart w:id="22" w:name="_Toc505599672"/>
      <w:r w:rsidRPr="009E22FE">
        <w:rPr>
          <w:rFonts w:ascii="Garamond" w:hAnsi="Garamond"/>
          <w:color w:val="auto"/>
          <w:sz w:val="24"/>
          <w:szCs w:val="24"/>
          <w:lang w:val="sq-AL"/>
        </w:rPr>
        <w:t>2.2 Përmbledhje e politikave dhe masave për nxitjen e përdorimit të energjisë nga burime të rinovueshme</w:t>
      </w:r>
      <w:bookmarkEnd w:id="22"/>
      <w:r w:rsidRPr="009E22FE">
        <w:rPr>
          <w:rFonts w:ascii="Garamond" w:hAnsi="Garamond"/>
          <w:color w:val="auto"/>
          <w:sz w:val="24"/>
          <w:szCs w:val="24"/>
          <w:lang w:val="sq-AL"/>
        </w:rPr>
        <w:t>. Pse politika të diversifikimit të burimeve të rinovueshme në Shqipëri?</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Shqipëria ka ndërmarrë një sërë hapash për përfshirjen në politikën e saj për energjinë të kërkesave të direktivave të BE-së për rregullat e përbashkëta për krijimin dhe zhvillimin e tregut të brendshëm të energjisë dhe nxitjen e prodhimit dhe të konsumit të energjisë nga burimet e rinovueshme. Direktiva për BRE-të për promovimin e energjisë elektrike të prodhuar nga burime të rinovueshme energjie në tregun e brendshëm të energjisë elektrike është transpozuar në ligjin e ri për BRE-të të miratuar në shkurt 2017 dhe në projektndryshimet e ligjit për biokarburantet dhe lëndët e tjera djegëse BRE që përdoren në sektorin e transporteve, të miratuar në shkurt </w:t>
      </w:r>
      <w:r w:rsidRPr="009E22FE">
        <w:rPr>
          <w:rFonts w:ascii="Garamond" w:hAnsi="Garamond"/>
          <w:spacing w:val="-2"/>
          <w:sz w:val="24"/>
          <w:szCs w:val="24"/>
          <w:lang w:val="sq-AL"/>
        </w:rPr>
        <w:t>2008</w:t>
      </w:r>
      <w:r w:rsidRPr="009E22FE">
        <w:rPr>
          <w:rFonts w:ascii="Garamond" w:hAnsi="Garamond"/>
          <w:sz w:val="24"/>
          <w:szCs w:val="24"/>
          <w:lang w:val="sq-AL"/>
        </w:rPr>
        <w:t>.</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Një nga objektivat kryesorë të Planit të Kombëtar të Veprimit të Burimeve të Rinovueshme të Energjisë 2015–2020, ishte që Shqipëria të diversifikonte burimet e saj të energjisë së rinovueshme, për të arritur sigurinë politike dhe makroekonomike të prodhimit të energjisë. Burimet hidrike, tashmë përbëjnë pothuajse 98% të prodhimit të energjisë në vend. Prodhimi hidrik është i pabarabartë dhe i luhatshëm gjatë gjithë vitit dhe, sidomos gjatë 2017-ës, ka rezultuar në importe të larta të energjisë, si në sasi ashtu edhe në çmime. Së fundi, burimet e reja hidro, të cilat janë pajisur aktualisht me leje koncesione, kanë pak ose aspak progres në terren për shkak të kohëzgjatjes së investimeve të tilla.</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Duke treguar vëmendjen e duhur, MIE, në kuadër të ligjit nr. 7/2017, ka promovuar dhe ka inkurajuar burime të tjera të energjisë për të filluar me kontrata parablerjeje të energjisë elektrike për vepra gjeneruese, që nuk janë objekt koncesioni, duke dëshmuar kështu për politike diversifikuese të burimeve të energjisë së rinovueshme. Kjo edhe për shkak të avancimit të prodhimit të energjisë elektrike nga burime të rinovueshme me teknologji të ndryshme nga ajo që dominon sot prodhimin vendës të energjisë elektrike, vetëm me burimet hidro, si edhe të uljes së shpejtë të kostove për prodhimin e energjisë elektrike nga energjia diellore (PV) dhe e erës (eolike) janë globalisht burimet kryesore të shtimit të kapacitetit të energjisë në tregun me shumicë.</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Gjithashtu, studimet kanë treguar se Shqipëria ka mundësi të mëdha, akoma të pashfrytëzuara, për prodhimin e energjisë elektrike nga burime diellore (PV) dhe të erës në një pjesë të konsiderueshme të Shqipërisë. Po kështu, duke qenë se cikli i zhvillimit të projektit për impiantet e erës dhe të diellit është dukshëm më i shkurtër se burimet hidro, në muajt e fundit, është vërejtur një nivel i lartë i interesit nga investitorët e huaj në ngritjen e centraleve të mëdha diellore dhe të erës në shkallë të gjerë.</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Kështu, nga pikëpamja e investimit, impiantet diellore dhe të erës mund të ndërtohen në rreth 12 muaj në bazë të kapacitetit, ndërsa ato hidro kërkojnë më shumë se 4–5 vjet. Meqenëse objektivat duhet të arrihen brenda 2 viteve, është e domosdoshme të orientohemi drejt burimeve që mund të krijohen në korniza më të shkurtra kohore.</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2.2.1 Objektivat strategjikë të politikave të rekomanduara për BRE-të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Strategjia e energjisë (draft) adreson ligjet, rregulloret dhe reformat e reja institucionale që </w:t>
      </w:r>
      <w:r w:rsidRPr="009E22FE">
        <w:rPr>
          <w:rFonts w:ascii="Garamond" w:hAnsi="Garamond"/>
          <w:spacing w:val="-4"/>
          <w:sz w:val="24"/>
          <w:szCs w:val="24"/>
          <w:lang w:val="sq-AL"/>
        </w:rPr>
        <w:t>po zhvillohen aktualisht në Shqipëri, duke përfshirë incentivat për EE-në dhe BRE-të, reformën e tarifave të energjisë elektrike, zhvillimin e tregut dhe integrimin me BE-në dhe tregjet rajonale. Me zbatimin e Strategjisë Kombëtare të Energjisë, Shqipëria synon të arrijë rezultate edhe më të avancuara lidhur me BRE-të.</w:t>
      </w:r>
      <w:r w:rsidRPr="009E22FE">
        <w:rPr>
          <w:rFonts w:ascii="Garamond" w:hAnsi="Garamond"/>
          <w:sz w:val="24"/>
          <w:szCs w:val="24"/>
          <w:lang w:val="sq-AL"/>
        </w:rPr>
        <w:t xml:space="preserve">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Objektivat strategjikë të qeverisë shqiptare për zhvillimin e potencialeve të burimeve të rinovueshme të energjisë janë:</w:t>
      </w:r>
    </w:p>
    <w:p w:rsidR="0065716C" w:rsidRPr="009E22FE" w:rsidRDefault="0065716C" w:rsidP="0065716C">
      <w:pPr>
        <w:widowControl w:val="0"/>
        <w:tabs>
          <w:tab w:val="left" w:pos="720"/>
        </w:tabs>
        <w:spacing w:after="0" w:line="240" w:lineRule="auto"/>
        <w:rPr>
          <w:rFonts w:ascii="Garamond" w:hAnsi="Garamond"/>
          <w:sz w:val="24"/>
          <w:szCs w:val="24"/>
          <w:lang w:val="sq-AL"/>
        </w:rPr>
      </w:pPr>
      <w:r w:rsidRPr="009E22FE">
        <w:rPr>
          <w:rFonts w:ascii="Garamond" w:hAnsi="Garamond"/>
          <w:sz w:val="24"/>
          <w:szCs w:val="24"/>
          <w:lang w:val="sq-AL"/>
        </w:rPr>
        <w:t xml:space="preserve">- Rritja e përdorimit të teknologjive të BRE-ve, bazuar në planifikimin me kosto minimale, metodologji për çmimin e blerjes së energjisë elektrike nga teknologji për prodhimin e energjisë elektrike bazuar në koston e niveluar afatgjatë (LCOE) dhe kthim të investimeve në kohë të arsyeshme; </w:t>
      </w:r>
    </w:p>
    <w:p w:rsidR="0065716C" w:rsidRPr="009E22FE" w:rsidRDefault="0065716C" w:rsidP="0065716C">
      <w:pPr>
        <w:widowControl w:val="0"/>
        <w:tabs>
          <w:tab w:val="left" w:pos="720"/>
        </w:tabs>
        <w:spacing w:after="0" w:line="240" w:lineRule="auto"/>
        <w:rPr>
          <w:rFonts w:ascii="Garamond" w:hAnsi="Garamond"/>
          <w:sz w:val="24"/>
          <w:szCs w:val="24"/>
          <w:lang w:val="sq-AL"/>
        </w:rPr>
      </w:pPr>
      <w:r w:rsidRPr="009E22FE">
        <w:rPr>
          <w:rFonts w:ascii="Garamond" w:hAnsi="Garamond"/>
          <w:sz w:val="24"/>
          <w:szCs w:val="24"/>
          <w:lang w:val="sq-AL"/>
        </w:rPr>
        <w:t>- Të sigurojë diversifikimin e burimeve të rinovueshme duke u investuar në sisteme komplementare me kosto të ulët, siç janë PV-ja dhe eolike, veprimet ndaj klimës dhe mbrojtjen e mjedisit;</w:t>
      </w:r>
    </w:p>
    <w:p w:rsidR="0065716C" w:rsidRPr="009E22FE" w:rsidRDefault="0065716C" w:rsidP="0065716C">
      <w:pPr>
        <w:widowControl w:val="0"/>
        <w:tabs>
          <w:tab w:val="left" w:pos="720"/>
        </w:tabs>
        <w:spacing w:after="0" w:line="240" w:lineRule="auto"/>
        <w:rPr>
          <w:rFonts w:ascii="Garamond" w:hAnsi="Garamond"/>
          <w:sz w:val="24"/>
          <w:szCs w:val="24"/>
          <w:lang w:val="sq-AL"/>
        </w:rPr>
      </w:pPr>
      <w:r w:rsidRPr="009E22FE">
        <w:rPr>
          <w:rFonts w:ascii="Garamond" w:hAnsi="Garamond"/>
          <w:sz w:val="24"/>
          <w:szCs w:val="24"/>
          <w:lang w:val="sq-AL"/>
        </w:rPr>
        <w:t>- Bazuar në politikat e qeverisë lidhur me investimet në BRE, të sigurojë respektimin e marrëdhënieve me tokën bujqësore dhe të kritereve për eficiencën e përdorimit të saj, lokalizimin e këtyre impianteve në toka të papërdorshme (të kripura), pra në toka jo të punueshme, në vendndodhje jo të pasura me burime natyrore dhe në zona jo me një përqendrim të lartë të popullsisë, duke mundësuar që të mos ketë një konkurrencë mes projekteve të tjera industriale, si dhe mes përdorimit të tokës për prodhimin e energjisë dhe për prodhimin ushqimor. Për këtë qëllim, institucionet përgjegjëse vendosin për ndryshimin e bonitetit kur është e nevojshme dhe ofrimin e këtyre tokave si alternativa për investitorët potencialë strategjikë për ndërtimin e BRE-ve;</w:t>
      </w:r>
    </w:p>
    <w:p w:rsidR="0065716C" w:rsidRPr="009E22FE" w:rsidRDefault="0065716C" w:rsidP="0065716C">
      <w:pPr>
        <w:widowControl w:val="0"/>
        <w:tabs>
          <w:tab w:val="left" w:pos="720"/>
        </w:tabs>
        <w:spacing w:after="0" w:line="240" w:lineRule="auto"/>
        <w:rPr>
          <w:rFonts w:ascii="Garamond" w:hAnsi="Garamond"/>
          <w:sz w:val="24"/>
          <w:szCs w:val="24"/>
          <w:lang w:val="sq-AL"/>
        </w:rPr>
      </w:pPr>
      <w:r w:rsidRPr="009E22FE">
        <w:rPr>
          <w:rFonts w:ascii="Garamond" w:hAnsi="Garamond"/>
          <w:sz w:val="24"/>
          <w:szCs w:val="24"/>
          <w:lang w:val="sq-AL"/>
        </w:rPr>
        <w:t>- Për të siguruar një ekuilibër të qëndrueshëm ndërmjet promovimit të investimeve nga PV-ja dhe për të garantuar qëndrueshmërinë e sistemit të shpërndarjes dhe të transmetimit së energjisë elektrike, përcaktimi i sasive të energjisë elektrike të parashikuar në PKVBRE 2018–2020, që do të prodhohen nga centralet fotovoltaike deri në 2 mw apo mbi 2 mw dhe që do përfitojnë nga skemat e mbështetjes të përcaktuara në ligjin nr. 7/2017, “Për nxitjen e përdorimit të energjisë nga burimet e rinovueshme”, do të bëhet nga ministri përgjegjës për energjinë;</w:t>
      </w:r>
    </w:p>
    <w:p w:rsidR="0065716C" w:rsidRPr="009E22FE" w:rsidRDefault="0065716C" w:rsidP="0065716C">
      <w:pPr>
        <w:widowControl w:val="0"/>
        <w:tabs>
          <w:tab w:val="left" w:pos="720"/>
        </w:tabs>
        <w:spacing w:after="0" w:line="240" w:lineRule="auto"/>
        <w:rPr>
          <w:rFonts w:ascii="Garamond" w:hAnsi="Garamond"/>
          <w:sz w:val="24"/>
          <w:szCs w:val="24"/>
          <w:lang w:val="sq-AL"/>
        </w:rPr>
      </w:pPr>
      <w:r w:rsidRPr="009E22FE">
        <w:rPr>
          <w:rFonts w:ascii="Garamond" w:hAnsi="Garamond"/>
          <w:sz w:val="24"/>
          <w:szCs w:val="24"/>
          <w:lang w:val="sq-AL"/>
        </w:rPr>
        <w:t xml:space="preserve">- Me qëllim arritjen e objektivave të PKVBRE 2018-2020 dhe në mungesë të krijimit të një tregu të organizuar të energjisë elektrike, marrjen e masave për zhvillimin e mekanizmave mbështetës për nxitjen e investimeve të huaja direkte në sektorin e burimeve të rinovueshme të Shqipërisë, bazuar në skema transparente të organizimit të ankandeve për ndërtimin e kapaciteteve dhe garantimit ndërmjet të tjerave edhe të blerjes së energjisë për impiantet mbi 2 mw, të cilat ofrojnë shfrytëzimin e burimeve të pashfrytëzuara deri më sot, siç janë sistemet diellore PV dhe fermat eolike; </w:t>
      </w:r>
    </w:p>
    <w:p w:rsidR="0065716C" w:rsidRPr="009E22FE" w:rsidRDefault="0065716C" w:rsidP="0065716C">
      <w:pPr>
        <w:pStyle w:val="ListParagraph"/>
        <w:widowControl w:val="0"/>
        <w:numPr>
          <w:ilvl w:val="0"/>
          <w:numId w:val="25"/>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Ligji nr. 7/2017, “Për nxitjen e përdorimit të energjisë nga burimet e rinovueshme”, jep mundësinë që, nëpërmjet PKVBRE-së të mbështetë me incentiva, jo vetëm HEC-et e vogla të prodhuesve me përparësi të energjisë elektrike, edhe impiantet PV, eolike dhe MNU (prodhimin e energjisë nga mbetjet e biodegradueshme). Mbështetur në nenin 8, “Masat mbështetëse për prodhimin e energjisë elektrike nga burimet e rinovueshme” lidhin arritjen e objektivit kombëtar të energjisë së rinovueshme, me vendime që duhet të ndërmarrë Këshilli i Ministrave, duke miratuar masa konkrete për nxitjen e përdorimit të energjisë elektrike nga burimet e rinovueshme, të cilat në çdo rast jepen në përputhje me legjislacionin në fuqi për ndihmën shtetërore;</w:t>
      </w:r>
    </w:p>
    <w:p w:rsidR="0065716C" w:rsidRPr="009E22FE" w:rsidRDefault="0065716C" w:rsidP="0065716C">
      <w:pPr>
        <w:pStyle w:val="ListParagraph"/>
        <w:widowControl w:val="0"/>
        <w:tabs>
          <w:tab w:val="left" w:pos="720"/>
        </w:tabs>
        <w:spacing w:after="0" w:line="240" w:lineRule="auto"/>
        <w:ind w:left="0" w:firstLine="288"/>
        <w:jc w:val="both"/>
        <w:rPr>
          <w:rFonts w:ascii="Garamond" w:hAnsi="Garamond"/>
          <w:sz w:val="24"/>
          <w:szCs w:val="24"/>
          <w:lang w:val="sq-AL"/>
        </w:rPr>
      </w:pPr>
      <w:r w:rsidRPr="009E22FE">
        <w:rPr>
          <w:rFonts w:ascii="Garamond" w:hAnsi="Garamond"/>
          <w:sz w:val="24"/>
          <w:szCs w:val="24"/>
          <w:lang w:val="sq-AL"/>
        </w:rPr>
        <w:t xml:space="preserve">- Gjithashtu, neni 10, i ligjit nr. 7/2017, ofron mundësinë e aplikimeve për prodhues të teknologjive hidro, PV, eolike dhe MNU, duke dhënë mbështetje me tarifa </w:t>
      </w:r>
      <w:r w:rsidRPr="009E22FE">
        <w:rPr>
          <w:rFonts w:ascii="Garamond" w:hAnsi="Garamond"/>
          <w:i/>
          <w:sz w:val="24"/>
          <w:szCs w:val="24"/>
          <w:lang w:val="sq-AL"/>
        </w:rPr>
        <w:t>Feed</w:t>
      </w:r>
      <w:r w:rsidRPr="009E22FE">
        <w:rPr>
          <w:rFonts w:ascii="Garamond" w:hAnsi="Garamond"/>
          <w:sz w:val="24"/>
          <w:szCs w:val="24"/>
          <w:lang w:val="sq-AL"/>
        </w:rPr>
        <w:t xml:space="preserve">-in, me qëllim promovimin dhe fillimin e diversifikimit të burimeve të rinovueshme; </w:t>
      </w:r>
    </w:p>
    <w:p w:rsidR="0065716C" w:rsidRPr="009E22FE" w:rsidRDefault="0065716C" w:rsidP="0065716C">
      <w:pPr>
        <w:pStyle w:val="ListParagraph"/>
        <w:widowControl w:val="0"/>
        <w:tabs>
          <w:tab w:val="left" w:pos="720"/>
        </w:tabs>
        <w:spacing w:after="0" w:line="240" w:lineRule="auto"/>
        <w:ind w:left="0" w:firstLine="288"/>
        <w:jc w:val="both"/>
        <w:rPr>
          <w:rFonts w:ascii="Garamond" w:hAnsi="Garamond"/>
          <w:sz w:val="24"/>
          <w:szCs w:val="24"/>
          <w:lang w:val="sq-AL"/>
        </w:rPr>
      </w:pPr>
      <w:r w:rsidRPr="009E22FE">
        <w:rPr>
          <w:rFonts w:ascii="Garamond" w:hAnsi="Garamond"/>
          <w:sz w:val="24"/>
          <w:szCs w:val="24"/>
          <w:lang w:val="sq-AL"/>
        </w:rPr>
        <w:t>- Zhvillimin e kuadrit nënligjor për mënyrën e aplikimit të projekteve fizibël dhe në përputhje me objektivat strategjikë me synim dhënien e autorizimeve mbështetur në politika në përputhje me zhvillimin e tregut të energjisë dhe kosto të pranueshme për konsumatorët;</w:t>
      </w:r>
    </w:p>
    <w:p w:rsidR="0065716C" w:rsidRPr="009E22FE" w:rsidRDefault="0065716C" w:rsidP="0065716C">
      <w:pPr>
        <w:widowControl w:val="0"/>
        <w:numPr>
          <w:ilvl w:val="0"/>
          <w:numId w:val="25"/>
        </w:numPr>
        <w:spacing w:after="0" w:line="240" w:lineRule="auto"/>
        <w:ind w:left="0" w:firstLine="284"/>
        <w:rPr>
          <w:rFonts w:ascii="Garamond" w:hAnsi="Garamond"/>
          <w:sz w:val="24"/>
          <w:szCs w:val="24"/>
          <w:lang w:val="sq-AL"/>
        </w:rPr>
      </w:pPr>
      <w:r w:rsidRPr="009E22FE">
        <w:rPr>
          <w:rFonts w:ascii="Garamond" w:hAnsi="Garamond"/>
          <w:sz w:val="24"/>
          <w:szCs w:val="24"/>
          <w:lang w:val="sq-AL"/>
        </w:rPr>
        <w:t xml:space="preserve"> Zhvillimi i një kornize të politikave për energjinë (duke përfshirë efikasitetin e energjisë) në transport, bazuar në strategjinë e sektorit të transportit (VKM nr. 811, datë 16.11.2016) dhe prezantimin e makinave elektrike në këtë sektor.</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2.2.2 Objektivat strategjikë dhe BRE-të</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Zbatimi i PKVBRE 2018–2020 është në përputhje me strategjinë e energjisë dhe ka synimin të rrisë sigurinë e furnizimit të energjisë në Shqipëri dhe integrimin e BRE-ve në tregun shqiptar të energjisë dhe në tregjet rajonale dhe evropiane. Ky plan i përditësuar mbështet synimet e përgjithshme të zhvillimit ekonomik të vendit dhe bazohet në një skenar optimal të energjisë që balancon interesat kombëtarë me ato të nënsektorëve të ndryshëm të energjisë. Përveç kësaj, PKVBRE 2018–2020 është dizajnuar për të mbështetur synimet e zhvillimit social, duke rritur punësimin nëpërmjet promovimit të sektorit të energjisë në harmoni me mjedisin, duke stimuluar konkurrencën në tregun shqiptar të energjisë, duke siguruar stabilitetin e furnizimit, duke u zhvendosur drejt tregjeve rajonale, duke minimizuar kostot e furnizimit me energji për qytetarët dhe bizneset shqiptare dhe minimizimin e ndikimeve negative në mjedis.</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2.2.3 NDC dhe veprimet për ndryshimet klimatike</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Shqipëria ka nënshkruar Marrëveshjen e Parisit, më 22 prill 2016, duke hyrë në epokën e re të procesit të politikës ndërkombëtare të klimës. Shqipëria iu bashkua Konventës Kuadër të Kombeve të Bashkuara për Ndryshimet Klimatike (UNFCCC) në vitin 1995 dhe Protokollin e Kiotos në vitin 2005. Shqipëria ka filluar procesin e ndryshimit të statusit nga një vend në zhvillim në një vend të zhvilluar, në kontekstin e UNFCCC-së. Ky proces është pjesë integrale e procesit të integrimit në Bashkimin Evropian dhe përfshin zhvillimin e kapaciteteve në nivel kombëtar për monitorimin dhe raportimin vjetor të gazrave me efekt serrë (GHG), formulimin dhe zbatimin e politikave për të reduktuar GHG dhe adaptimin ndaj ndryshimeve klimatike, transpozimin dhe zbatimin e </w:t>
      </w:r>
      <w:r w:rsidRPr="009E22FE">
        <w:rPr>
          <w:rFonts w:ascii="Garamond" w:hAnsi="Garamond"/>
          <w:i/>
          <w:sz w:val="24"/>
          <w:szCs w:val="24"/>
          <w:lang w:val="sq-AL"/>
        </w:rPr>
        <w:t>Acquis</w:t>
      </w:r>
      <w:r w:rsidRPr="009E22FE">
        <w:rPr>
          <w:rFonts w:ascii="Garamond" w:hAnsi="Garamond"/>
          <w:sz w:val="24"/>
          <w:szCs w:val="24"/>
          <w:lang w:val="sq-AL"/>
        </w:rPr>
        <w:t>-it të Bashkimit Evropian për ndryshimet klimatike. Në përputhje me objektivat e BE 20-20-20, Shqipëria ka paraqitur Kontributin Kombëtar të Përcaktuar brenda procesit të Marrëveshjes së Parisit në shtator 2015, duke u angazhuar për të reduktuar emetimet e CO</w:t>
      </w:r>
      <w:r w:rsidRPr="009E22FE">
        <w:rPr>
          <w:rFonts w:ascii="Garamond" w:hAnsi="Garamond"/>
          <w:sz w:val="24"/>
          <w:szCs w:val="24"/>
          <w:vertAlign w:val="subscript"/>
          <w:lang w:val="sq-AL"/>
        </w:rPr>
        <w:t>2</w:t>
      </w:r>
      <w:r w:rsidRPr="009E22FE">
        <w:rPr>
          <w:rFonts w:ascii="Garamond" w:hAnsi="Garamond"/>
          <w:sz w:val="24"/>
          <w:szCs w:val="24"/>
          <w:lang w:val="sq-AL"/>
        </w:rPr>
        <w:t xml:space="preserve"> krahasuar me skenarin bazë në periudhën 2016 dhe duke synuar një reduktim me 11.5 % në vitin 2030.</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Niveli i kontributit kombëtar të përcaktuar do të rishikohet dhe do të përpunohet më tej sipas Planit të Integruar të Energjisë dhe Klimës që do miratohet më 2018-ën.</w:t>
      </w:r>
    </w:p>
    <w:p w:rsidR="0065716C" w:rsidRPr="009E22FE" w:rsidRDefault="0065716C" w:rsidP="0065716C">
      <w:pPr>
        <w:spacing w:after="0" w:line="240" w:lineRule="auto"/>
        <w:rPr>
          <w:rFonts w:ascii="Garamond" w:hAnsi="Garamond"/>
          <w:sz w:val="24"/>
          <w:szCs w:val="24"/>
          <w:lang w:val="sq-AL"/>
        </w:rPr>
      </w:pPr>
      <w:bookmarkStart w:id="23" w:name="_Toc505599673"/>
      <w:r w:rsidRPr="009E22FE">
        <w:rPr>
          <w:rFonts w:ascii="Garamond" w:hAnsi="Garamond"/>
          <w:sz w:val="24"/>
          <w:szCs w:val="24"/>
          <w:lang w:val="sq-AL"/>
        </w:rPr>
        <w:t>2.3 Metodologjitë e aprovuara me vendimin e Këshillit të Ministrave për përcaktimin e çmimeve për teknologjitë e HECV, PV, eolik dhe MNU</w:t>
      </w:r>
      <w:bookmarkEnd w:id="23"/>
      <w:r w:rsidRPr="009E22FE">
        <w:rPr>
          <w:rFonts w:ascii="Garamond" w:hAnsi="Garamond"/>
          <w:sz w:val="24"/>
          <w:szCs w:val="24"/>
          <w:lang w:val="sq-AL"/>
        </w:rPr>
        <w:t>, metodologjia tarifës promovuese që përdoret aktualisht për HECV.</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Në 10–12 vitet e fundit, debati rreth HEC-eve të vogla (deri në 15 mw instalim) është përqendruar në blerjen e energjisë elektrike nga prodhuesit me përparësi, të cilët shprehen për “pamundësinë” e tyre për të përballuar kostot e kapitalit, ato të operimit dhe të mirëmbajtjes, si edhe kosto që lidhen me ndryshime në legjislacionin për periudhën e vetëshlyerjes të investimit. Në këtë kuadër, ajo që shqetëson MIE-n dhe ERE-n është çmimi i blerjes së energjisë nga këta prodhues dhe respektimi i kushteve të kontratave koncesionare. Duhet theksuar se në këtë marrëdhënie, MIE dhe ERE, shpesh është përballur me mungesë të transparencës lidhur me kostot e kapitalit në këto impiante. Në këto kushte, nga ana e MIE-s është ndërmarrë një analizë më e plotë lidhur me këto kosto, duke konsideruar studimet që janë ndërmarrë në rang ndërkombëtar dhe sidomos në vendet e rajonit të Evropës Juglindore. Studimet janë përqendruar në praktikat më të mira të IRENA-s (Agjencia Ndërkombëtare e Energjisë së Rinovueshme) për dy çështje.</w:t>
      </w:r>
    </w:p>
    <w:p w:rsidR="0065716C" w:rsidRPr="009E22FE" w:rsidRDefault="0065716C" w:rsidP="0065716C">
      <w:pPr>
        <w:pStyle w:val="ListParagraph"/>
        <w:widowControl w:val="0"/>
        <w:numPr>
          <w:ilvl w:val="1"/>
          <w:numId w:val="26"/>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“Analizën e kostove të HEC-eve” (2012)</w:t>
      </w:r>
      <w:r w:rsidRPr="009E22FE">
        <w:rPr>
          <w:rStyle w:val="FootnoteReference"/>
          <w:rFonts w:ascii="Garamond" w:eastAsiaTheme="majorEastAsia" w:hAnsi="Garamond"/>
          <w:sz w:val="24"/>
          <w:szCs w:val="24"/>
          <w:lang w:val="sq-AL"/>
        </w:rPr>
        <w:footnoteReference w:id="11"/>
      </w:r>
      <w:r w:rsidRPr="009E22FE">
        <w:rPr>
          <w:rFonts w:ascii="Garamond" w:hAnsi="Garamond"/>
          <w:sz w:val="24"/>
          <w:szCs w:val="24"/>
          <w:lang w:val="sq-AL"/>
        </w:rPr>
        <w:t xml:space="preserve">; dhe </w:t>
      </w:r>
    </w:p>
    <w:p w:rsidR="0065716C" w:rsidRPr="009E22FE" w:rsidRDefault="0065716C" w:rsidP="0065716C">
      <w:pPr>
        <w:pStyle w:val="ListParagraph"/>
        <w:widowControl w:val="0"/>
        <w:numPr>
          <w:ilvl w:val="1"/>
          <w:numId w:val="26"/>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“Prodhimi i energjisë së rinovueshme me kosto konkurruese: Potenciali në të gjithë Evropën Juglindore” (2017)</w:t>
      </w:r>
      <w:r w:rsidRPr="009E22FE">
        <w:rPr>
          <w:rStyle w:val="FootnoteReference"/>
          <w:rFonts w:ascii="Garamond" w:eastAsiaTheme="majorEastAsia" w:hAnsi="Garamond"/>
          <w:sz w:val="24"/>
          <w:szCs w:val="24"/>
          <w:lang w:val="sq-AL"/>
        </w:rPr>
        <w:footnoteReference w:id="12"/>
      </w:r>
      <w:r w:rsidRPr="009E22FE">
        <w:rPr>
          <w:rFonts w:ascii="Garamond" w:hAnsi="Garamond"/>
          <w:sz w:val="24"/>
          <w:szCs w:val="24"/>
          <w:lang w:val="sq-AL"/>
        </w:rPr>
        <w:t>.</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Si edhe 2 studime të ECOFYS:</w:t>
      </w:r>
    </w:p>
    <w:p w:rsidR="0065716C" w:rsidRPr="009E22FE" w:rsidRDefault="0065716C" w:rsidP="0065716C">
      <w:pPr>
        <w:pStyle w:val="ListParagraph"/>
        <w:widowControl w:val="0"/>
        <w:numPr>
          <w:ilvl w:val="1"/>
          <w:numId w:val="27"/>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Metodologjia e vlerësimit të LCOE - 2014;</w:t>
      </w:r>
    </w:p>
    <w:p w:rsidR="0065716C" w:rsidRPr="009E22FE" w:rsidRDefault="0065716C" w:rsidP="0065716C">
      <w:pPr>
        <w:pStyle w:val="ListParagraph"/>
        <w:widowControl w:val="0"/>
        <w:numPr>
          <w:ilvl w:val="1"/>
          <w:numId w:val="27"/>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Hartimi i kostos së kapitalit për hidrot, erën dhe energjinë diellore në shtetet anëtare të Evropës Juglindore, 2017.</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Metodologjia e vlerësimit të kostove të energjisë nga burime të rinovueshme mbështetet te “kostoja e niveluar e energjisë elektrike” (</w:t>
      </w:r>
      <w:r w:rsidRPr="009E22FE">
        <w:rPr>
          <w:rFonts w:ascii="Garamond" w:hAnsi="Garamond"/>
          <w:i/>
          <w:sz w:val="24"/>
          <w:szCs w:val="24"/>
          <w:lang w:val="sq-AL"/>
        </w:rPr>
        <w:t>“LCOE” - Levelized Cost of Energy</w:t>
      </w:r>
      <w:r w:rsidRPr="009E22FE">
        <w:rPr>
          <w:rFonts w:ascii="Garamond" w:hAnsi="Garamond"/>
          <w:sz w:val="24"/>
          <w:szCs w:val="24"/>
          <w:lang w:val="sq-AL"/>
        </w:rPr>
        <w:t xml:space="preserve">). Kjo metodë është përdorur edhe për të shfrytëzuar burimet hidro të energjisë së rinovueshme. LCOE, e njohur si kosto e nivelit mesatar të energjisë (LEC), është vlera aktuale neto e kostos-njësi të energjisë elektrike (kwh) gjatë gjithë jetës së një njësie gjeneruese hidro deri në 15 mw instalim. Kjo vlerë e kostos është marrë si tarifë përfaqësuese për çmimin mesatar që njësia gjeneruese duhet të marrë në një treg për të kthyer investimin gjatë një periudhe të arsyeshme, siç e parashikon ligji nr. 7/2017, “Për nxitjen e përdorimit të energjisë nga burimet e rinovueshme””. Ky parametër është një vlerësimin ekonomik i rendit të parë të kostos së konkurrencës të një sistemi (në këtë rast HEC, PV, eolik) të energjisë elektrike gjeneruese që përfshin të gjitha shpenzimet rreth kohëzgjatjes të jetës së saj, si: </w:t>
      </w:r>
    </w:p>
    <w:p w:rsidR="0065716C" w:rsidRPr="009E22FE" w:rsidRDefault="0065716C" w:rsidP="0065716C">
      <w:pPr>
        <w:pStyle w:val="ListParagraph"/>
        <w:widowControl w:val="0"/>
        <w:numPr>
          <w:ilvl w:val="0"/>
          <w:numId w:val="28"/>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Investimi fillestar;</w:t>
      </w:r>
    </w:p>
    <w:p w:rsidR="0065716C" w:rsidRPr="009E22FE" w:rsidRDefault="0065716C" w:rsidP="0065716C">
      <w:pPr>
        <w:pStyle w:val="ListParagraph"/>
        <w:widowControl w:val="0"/>
        <w:numPr>
          <w:ilvl w:val="0"/>
          <w:numId w:val="28"/>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Shpenzimet për operimin dhe për mirë-mbajtjen;</w:t>
      </w:r>
    </w:p>
    <w:p w:rsidR="0065716C" w:rsidRPr="009E22FE" w:rsidRDefault="0065716C" w:rsidP="0065716C">
      <w:pPr>
        <w:pStyle w:val="ListParagraph"/>
        <w:widowControl w:val="0"/>
        <w:numPr>
          <w:ilvl w:val="0"/>
          <w:numId w:val="28"/>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Koston e lëndës djegëse e cila në rastin e sistemeve hidro. përgjithësisht ka të bëjë me taksat mbi përdorimin e ujit dhe/ose të përdorimit të tokës, sipas legjislacionit në fuqi; dhe </w:t>
      </w:r>
    </w:p>
    <w:p w:rsidR="0065716C" w:rsidRPr="009E22FE" w:rsidRDefault="0065716C" w:rsidP="0065716C">
      <w:pPr>
        <w:pStyle w:val="ListParagraph"/>
        <w:widowControl w:val="0"/>
        <w:numPr>
          <w:ilvl w:val="0"/>
          <w:numId w:val="28"/>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koston e kapitalit.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LCOE-ja mund të llogaritet afërsisht si vlera neto aktuale e të gjitha shpenzimeve gjatë jetës së njësisë gjeneruese në raport (pjesëtuar) me prodhimin total të energjisë elektrike të njësisë gjatë të gjithë periudhës së punës deri në shkatërrim. Formula për llogaritjen e LCOE-s është e njëjtë për të gjitha njësitë gjeneruese dhe në rastin e hidrove merr në konsideratë:</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It </w:t>
      </w:r>
      <w:r w:rsidRPr="009E22FE">
        <w:rPr>
          <w:rFonts w:ascii="Garamond" w:hAnsi="Garamond"/>
          <w:sz w:val="24"/>
          <w:szCs w:val="24"/>
          <w:lang w:val="sq-AL"/>
        </w:rPr>
        <w:tab/>
        <w:t>- Shpenzimet për investime në vitin t</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Mt </w:t>
      </w:r>
      <w:r w:rsidRPr="009E22FE">
        <w:rPr>
          <w:rFonts w:ascii="Garamond" w:hAnsi="Garamond"/>
          <w:sz w:val="24"/>
          <w:szCs w:val="24"/>
          <w:lang w:val="sq-AL"/>
        </w:rPr>
        <w:tab/>
        <w:t>- Operacionet dhe shpenzimet e mirëmbajtjes në vitin t</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Ft </w:t>
      </w:r>
      <w:r w:rsidRPr="009E22FE">
        <w:rPr>
          <w:rFonts w:ascii="Garamond" w:hAnsi="Garamond"/>
          <w:sz w:val="24"/>
          <w:szCs w:val="24"/>
          <w:lang w:val="sq-AL"/>
        </w:rPr>
        <w:tab/>
        <w:t>- Shpenzimet e lëndës djegëse në vitin t (taksa vjetore mbi përdorimin e ujit)</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Et </w:t>
      </w:r>
      <w:r w:rsidRPr="009E22FE">
        <w:rPr>
          <w:rFonts w:ascii="Garamond" w:hAnsi="Garamond"/>
          <w:sz w:val="24"/>
          <w:szCs w:val="24"/>
          <w:lang w:val="sq-AL"/>
        </w:rPr>
        <w:tab/>
        <w:t>- Energjia elektrike e gjeneruar në vitin t</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r </w:t>
      </w:r>
      <w:r w:rsidRPr="009E22FE">
        <w:rPr>
          <w:rFonts w:ascii="Garamond" w:hAnsi="Garamond"/>
          <w:sz w:val="24"/>
          <w:szCs w:val="24"/>
          <w:lang w:val="sq-AL"/>
        </w:rPr>
        <w:tab/>
        <w:t>- Norma e interesit të kostos</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n </w:t>
      </w:r>
      <w:r w:rsidRPr="009E22FE">
        <w:rPr>
          <w:rFonts w:ascii="Garamond" w:hAnsi="Garamond"/>
          <w:sz w:val="24"/>
          <w:szCs w:val="24"/>
          <w:lang w:val="sq-AL"/>
        </w:rPr>
        <w:tab/>
        <w:t>- Jetëgjatësia ekonomike e njësisë gjeneruese</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Në rastin e skemës mbështetëse të Shqipërisë për burimet e rinovueshme, LCOE-ja duhet të konsiderohet për një periudhë më të shkurtër (15 vjet), periudhë e cila, kërkon detyrimisht një mbështetje financiare më të lartë edhe pse kohëzgjatja e njësisë është më e gjatë 30–40 vjet. Në mungesë të të dhënave të disponueshme për periudha me të shkurtra kohore, LCOE është mirë të llogaritet një periudhë prej 20 vjetësh, periudhë gjatë të cilës impianti del me një fitim të arsyeshëm.</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Sistemi i ri i tarifës promovuese që paraqitet me anë të ndryshimeve të ligjit për BRE-të (ligji nr. 7/2017), të cilat janë duke u hartuar, duke pasur parasysh se nivelet e tarifave do të duhet të marrin në shqyrtim llojin e teknologjisë dhe eficiencën e pajisjeve gjeneruese. Gjithashtu, ligji i ri për BRE-të ofron stimuj të tjerë, si:</w:t>
      </w:r>
    </w:p>
    <w:p w:rsidR="0065716C" w:rsidRPr="009E22FE" w:rsidRDefault="0065716C" w:rsidP="0065716C">
      <w:pPr>
        <w:pStyle w:val="ListParagraph"/>
        <w:widowControl w:val="0"/>
        <w:numPr>
          <w:ilvl w:val="0"/>
          <w:numId w:val="29"/>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Lidhja e detyrueshme në rrjet të tyre me shoqëritë e transmetimit dhe të shpërndarjes;</w:t>
      </w:r>
    </w:p>
    <w:p w:rsidR="0065716C" w:rsidRPr="009E22FE" w:rsidRDefault="0065716C" w:rsidP="0065716C">
      <w:pPr>
        <w:pStyle w:val="ListParagraph"/>
        <w:widowControl w:val="0"/>
        <w:numPr>
          <w:ilvl w:val="0"/>
          <w:numId w:val="29"/>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Pagesa vetëm e kostove direkt të lidhjes në rrjetet e transmetimit dhe të shpërndarjes së BER-E;</w:t>
      </w:r>
    </w:p>
    <w:p w:rsidR="0065716C" w:rsidRPr="009E22FE" w:rsidRDefault="0065716C" w:rsidP="0065716C">
      <w:pPr>
        <w:pStyle w:val="ListParagraph"/>
        <w:widowControl w:val="0"/>
        <w:numPr>
          <w:ilvl w:val="0"/>
          <w:numId w:val="29"/>
        </w:numPr>
        <w:spacing w:after="0" w:line="240" w:lineRule="auto"/>
        <w:ind w:left="0" w:firstLine="284"/>
        <w:jc w:val="both"/>
        <w:rPr>
          <w:rFonts w:ascii="Garamond" w:hAnsi="Garamond"/>
          <w:spacing w:val="-4"/>
          <w:sz w:val="24"/>
          <w:szCs w:val="24"/>
          <w:lang w:val="sq-AL"/>
        </w:rPr>
      </w:pPr>
      <w:r w:rsidRPr="009E22FE">
        <w:rPr>
          <w:rFonts w:ascii="Garamond" w:hAnsi="Garamond"/>
          <w:spacing w:val="-4"/>
          <w:sz w:val="24"/>
          <w:szCs w:val="24"/>
          <w:lang w:val="sq-AL"/>
        </w:rPr>
        <w:t xml:space="preserve"> Marrëveshjet afatgjata të blerjes së energjisë elektrike të prodhuar (15 vjet për sa i përket energjisë elektrike të prodhuar nga hidrocentralet);</w:t>
      </w:r>
    </w:p>
    <w:p w:rsidR="0065716C" w:rsidRPr="009E22FE" w:rsidRDefault="0065716C" w:rsidP="0065716C">
      <w:pPr>
        <w:pStyle w:val="ListParagraph"/>
        <w:widowControl w:val="0"/>
        <w:numPr>
          <w:ilvl w:val="0"/>
          <w:numId w:val="29"/>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Blerja e detyrueshme e energjisë elektrike të prodhuar nga HEC-et e vogla.</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Për të përcaktuar nëse një impiant hidro në vendin e zgjedhur është ekonomikisht i qëndrueshëm, LCOE-ja e saj është krahasuar me LCOE-në e një impianti të brezit të karburantit fosil, më konkretisht, të qymyrit, linjitit dhe të impianteve me gaz natyror.</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Në këto kushte, WACC - Kostoja mesatare e ponderuar e kapitalit, duhet të jetë e barabartë me normën mesatare të kthimit, që një kompani pret për të kompensuar të gjithë investitorët e saj të ndryshëm, të cilët janë pjesë e çdo burimi të financimit në strukturën e kapitalit të synuar të kompanisë. Duke qenë se krahasimi duhet bërë me koston e CCGT (</w:t>
      </w:r>
      <w:r w:rsidRPr="009E22FE">
        <w:rPr>
          <w:rFonts w:ascii="Garamond" w:hAnsi="Garamond"/>
          <w:i/>
          <w:sz w:val="24"/>
          <w:szCs w:val="24"/>
          <w:lang w:val="sq-AL"/>
        </w:rPr>
        <w:t>Combined Cycle Gas Turbine</w:t>
      </w:r>
      <w:r w:rsidRPr="009E22FE">
        <w:rPr>
          <w:rFonts w:ascii="Garamond" w:hAnsi="Garamond"/>
          <w:sz w:val="24"/>
          <w:szCs w:val="24"/>
          <w:lang w:val="sq-AL"/>
        </w:rPr>
        <w:t xml:space="preserve">) si brezi më eficient i ciklit të kombinuar në turbinat me gaz, LCOE e burimit të zgjedhur të rinovueshëm të energjisë (në këtë rast HECV) ndikohet nga kosto mesatare e kapitalit (MPKK), e cila rritet me rritjen e potencialit të burimit të rinovueshëm. Në Shqipëri kjo kosto u rrit si rezultat i “potencialit të lartë” të HECV-ve gjatë viteve 2007–2013. Kështu që, edhe LCOE-ja për instalimet hidro deri në 2 mw mund të krahasohen për nga kosto e energjisë me CCGT dhe teknologjitë e rinovueshme janë më ekonomike se brezi i karburanteve fosile. Në këtë kuptim HECV-të deri në 15 mw kërkojnë detyrimisht mbështetje financiare </w:t>
      </w:r>
      <w:r w:rsidRPr="009E22FE">
        <w:rPr>
          <w:rFonts w:ascii="Garamond" w:hAnsi="Garamond"/>
          <w:i/>
          <w:sz w:val="24"/>
          <w:szCs w:val="24"/>
          <w:lang w:val="sq-AL"/>
        </w:rPr>
        <w:t>Feed-in-Tariff</w:t>
      </w:r>
      <w:r w:rsidRPr="009E22FE">
        <w:rPr>
          <w:rFonts w:ascii="Garamond" w:hAnsi="Garamond"/>
          <w:sz w:val="24"/>
          <w:szCs w:val="24"/>
          <w:lang w:val="sq-AL"/>
        </w:rPr>
        <w:t>, e cila do të bënte ato të zhvillohen dhe të kthejnë koston e kapitalit të investuar.</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Bazuar në analizën e kryer, si nga ana e MIE-s, por edhe studimeve të referuara, për të përcaktuar çmimin e blerjes së energjisë të prodhuar nga burimet hidro me përparësi, metodologjia merr në konsideratë faktorët e mësipërm. Në këtë mënyrë propozohet që çmimi i blerjes duhet të jetë i barabartë me çmimin mesatar të vitit përkatës të bursës hungareze (HUPX) të energjisë elektrike në euro-cent/kwh të shumëzuar me bonusin për promovimin 1.30, shumëzuar me normën mesatare të këmbimit në euro/lekë për vitin e fundit. Referimi që bëhet ndaj kostos së bursës hungareze, duke pasur parasysh mbështetjen në mbulimin e kostove totale të gjenerimit, që është një tregues i përafërt edhe në vlerësimin e objekteve për mbulimin e kostove edhe në gjeneruesit tanë. Ky është një vlerësim ekonomik i rendit të parë për kostot e konkurrencës të një sistemi të gjenerimit të energjisë elektrike, që përfshin të gjitha shpenzimet rreth kohëzgjatjes së kthimit të investimit, siç janë: investimi fillestar, operimi dhe mirëmbajtja, kostoja e kapitalit dhe shpenzime për taksat. Koeficienti 1.30 përfshin bonusin për promovimin e burimeve të rinovueshme, duke vlerësuar: i) normën mesatare të kthimit të arsyeshëm të vlerës së investimeve të burimeve të rinovueshme (e cila sipas analizës dhe llogaritjeve të mësipërme llogaritet mesatarisht në masën 8.8%); ii) efektin në reduktimin e humbjeve teknike në rrjetin e transmetimit dhe të shpërndarjes, si pasojë e furnizimit të energjisë elektrike në pikat e lidhjes së këtyre hidrocentraleve me rrjetin energjetik të tensionit të lartë dhe/ose të mesëm; dhe iii) kostot e shmangura të shërbimit të transmetimit dhe kostot e alokimit të kapaciteteve të interkoneksionit të energjisë nga importi.</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Për të pasur një qëndrueshmëri të çmimit të blerjes së energjisë nga këto burime, metodologjia ka vendosur disa kufij, për të pranuar riskun e paqëndrueshmërisë së çmimit në treg, duke u nisur nga një vlerë e pranuar paraprakisht referuese të çmimit të vitit 2016 dhe jo më të lartë se 15% e këtij çmimi. Ky do të ishte çmimi maksimal për blerjen e energjisë në kushtet më ekstreme të furnizimit, pra si çmimi tavan i blerjes. Ndërkohë, çmimi i bursës ka në vetvete mesatarizimin e ofertave në treg sipas metodës </w:t>
      </w:r>
      <w:r w:rsidRPr="009E22FE">
        <w:rPr>
          <w:rFonts w:ascii="Garamond" w:hAnsi="Garamond"/>
          <w:i/>
          <w:sz w:val="24"/>
          <w:szCs w:val="24"/>
          <w:lang w:val="sq-AL"/>
        </w:rPr>
        <w:t>merit order</w:t>
      </w:r>
      <w:r w:rsidRPr="009E22FE">
        <w:rPr>
          <w:rFonts w:ascii="Garamond" w:hAnsi="Garamond"/>
          <w:sz w:val="24"/>
          <w:szCs w:val="24"/>
          <w:lang w:val="sq-AL"/>
        </w:rPr>
        <w:t xml:space="preserve">. Në kushte reale, kjo metodë do të sillte një çmim mesatar të bursës fluktuative, e cila varet nga kushte të ndryshme në kohë reale, siç është niveli i kërkesës, situata hidroenergjetike, çmimi i karburanteve në treg etj.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Vendosja e këtyre kufijve do të mbronte prodhuesit nga reduktimi i çmimit, pasi këta investitorë në studimet e fizibilitetit të kryera, u janë referuar çmimit ekzistuese dhe nga ana tjetër, vendosja e një çmimi tavan, do të mbronte edhe konsumatorët nga rritja e çmimeve të tregut në kohë të ndryshme.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Pra në terma realë luhatja e çmimit do të jetë në kufijtë 7.48 lekë/kwh deri 8.6 lekë/kwh. Kjo përqasje siguron një efektivitet të investimeve të prodhueseve dhe ndërkohë një mbrojtje të konsumatorit nga shtrembërimet e përkohshme që mund të rezultojnë në treg në kushte të ndryshme, dhe gjithashtu, merr në konsideratë faktin që kthimi i investimit llogaritet për pjesën e mbetur të koncesionit, duke qenë se pjesa më e madhe e tyre kanë mesatarisht 3–4 vite që kanë hyrë në prodhim.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Gjithashtu, vlen të përmendim se me hyrjen në fuqi të ligjit nr. 7/2017, “Për nxitjen e përdorimit të energjisë nga burimet e rinovueshme”, ligji nr. 138/2013, “Për burimet e energjisë së rinovueshme”, i ndryshuar, është shfuqizuar, si rrjedhojë janë shfuqizuar edhe aktet nënligjore të dala në zbatim të këtij të fundit.</w:t>
      </w:r>
    </w:p>
    <w:p w:rsidR="0065716C" w:rsidRPr="009E22FE" w:rsidRDefault="0065716C" w:rsidP="00055077">
      <w:pPr>
        <w:pStyle w:val="Heading4"/>
        <w:widowControl w:val="0"/>
        <w:numPr>
          <w:ilvl w:val="0"/>
          <w:numId w:val="0"/>
        </w:numPr>
        <w:spacing w:before="0"/>
        <w:ind w:left="284"/>
        <w:rPr>
          <w:rFonts w:ascii="Garamond" w:hAnsi="Garamond"/>
          <w:b/>
          <w:i w:val="0"/>
          <w:color w:val="auto"/>
          <w:lang w:val="sq-AL"/>
        </w:rPr>
      </w:pPr>
      <w:r w:rsidRPr="009E22FE">
        <w:rPr>
          <w:rFonts w:ascii="Garamond" w:hAnsi="Garamond"/>
          <w:i w:val="0"/>
          <w:color w:val="auto"/>
          <w:lang w:val="sq-AL"/>
        </w:rPr>
        <w:t>2.3.1 Metodologjia e tarifës promovuese për përcaktimin e çmimit të blerjes së energjisë elektrike të prodhuar nga burimet e vogla të rinovueshme (PV dhe eolik)</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Ligji i ri nr. 7/2017, i miratuar në shkurt të këtij viti, garantoi skemën e mbështetjes për të respektuar kontratat koncesionare ekzistuese me hidro dhe, mbi të gjitha, i hapi rrugë të ardhmes se burimeve të tjera nga energjitë e rinovueshme në kuadër të tregut të liberalizuar dhe plotësimit të detyrimeve për të arritur objektivin kombëtar të BRE me 38% në 2020.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Plani Kombëtar i Veprimit të Burimeve të Energjisë së Rinovueshme (PKVBER) 2015–2020, parashikon kapacitetin e nevojshëm për të arritur objektivin kombëtar për vitin 2020, duke parashikuar instalimin të 30 mw gjeneratorë eolikë dhe 50 mw PV diellore. Në këtë parashikim deri tani janë ndërtuar pas vitit 2015 vetëm 150 mw njësi HEC-e të vogla dhe asnjë PV ose eolik. Kjo situatë kërkon rishikimin e PKVBRE-së në fund të 2017-ës.</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Ligji nr. 7/2017 parashikon vendosjen e tarifave FIP (</w:t>
      </w:r>
      <w:r w:rsidRPr="009E22FE">
        <w:rPr>
          <w:rFonts w:ascii="Garamond" w:hAnsi="Garamond"/>
          <w:i/>
          <w:sz w:val="24"/>
          <w:szCs w:val="24"/>
        </w:rPr>
        <w:t>Feed-in-Premium</w:t>
      </w:r>
      <w:r w:rsidRPr="009E22FE">
        <w:rPr>
          <w:rFonts w:ascii="Garamond" w:hAnsi="Garamond"/>
          <w:sz w:val="24"/>
          <w:szCs w:val="24"/>
          <w:lang w:val="sq-AL"/>
        </w:rPr>
        <w:t>) me anë të një procesi konkurrues, jodiskriminues të tenderimit (ankande) nëpërmjet kontratave për diferencë (CfD), ndërsa instalimet e reja deri 2 mw, përjashtohen nga procesi konkurrues me çmimin tavan që është vendosur bazuar në këtë metodologji. Në këtë ligj, gjithashtu është menduar edhe për të promovuar zhvillimin e një sistemi neto të matjes për njësi të vetëprodhuesit deri në 500 kw.</w:t>
      </w:r>
    </w:p>
    <w:p w:rsidR="0065716C" w:rsidRPr="009E22FE" w:rsidRDefault="0065716C" w:rsidP="0065716C">
      <w:pPr>
        <w:widowControl w:val="0"/>
        <w:spacing w:after="0" w:line="240" w:lineRule="auto"/>
        <w:rPr>
          <w:rFonts w:ascii="Garamond" w:hAnsi="Garamond"/>
          <w:i/>
          <w:sz w:val="24"/>
          <w:szCs w:val="24"/>
          <w:lang w:val="sq-AL"/>
        </w:rPr>
      </w:pPr>
      <w:r w:rsidRPr="009E22FE">
        <w:rPr>
          <w:rFonts w:ascii="Garamond" w:hAnsi="Garamond"/>
          <w:sz w:val="24"/>
          <w:szCs w:val="24"/>
          <w:lang w:val="sq-AL"/>
        </w:rPr>
        <w:t>Për shkak të burimeve potencialisht të larta të energjisë diellore (mbi 1700 kw/m</w:t>
      </w:r>
      <w:r w:rsidRPr="009E22FE">
        <w:rPr>
          <w:rFonts w:ascii="Garamond" w:hAnsi="Garamond"/>
          <w:sz w:val="24"/>
          <w:szCs w:val="24"/>
          <w:vertAlign w:val="superscript"/>
          <w:lang w:val="sq-AL"/>
        </w:rPr>
        <w:t>2</w:t>
      </w:r>
      <w:r w:rsidRPr="009E22FE">
        <w:rPr>
          <w:rFonts w:ascii="Garamond" w:hAnsi="Garamond"/>
          <w:sz w:val="24"/>
          <w:szCs w:val="24"/>
          <w:lang w:val="sq-AL"/>
        </w:rPr>
        <w:t>/vit) dhe shpejtësi relativisht të kënaqshme të erës (3,3–9,6 m/s), në rajone të kufizuara, potenciali i pashfrytëzuar për vendosjen e PV-së në tokë jopjellore është deri në 1,900 mw (p.sh. në toka të kripura deri në 4,500 ha), si edhe mundësia për vendosjen e gjeneratorëve eolikë është nga 980–2,100 mw. Këto dy burime të rinovueshme, tashmë mund të konsiderohen si alternativa në diversifikimin e burimeve të rinovueshme në Shqipëri, me qëllim arritjen e objektivit kombëtar për vitin 2020, 38%.</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Natyrshëm lind pyetja, cili është çmimi i energjisë (€/mwh) ose LCOE, “kostoja e niveluar e energjisë elektrike” (“LCOE”</w:t>
      </w:r>
      <w:r w:rsidRPr="009E22FE">
        <w:rPr>
          <w:rFonts w:ascii="Garamond" w:hAnsi="Garamond"/>
          <w:bCs/>
          <w:sz w:val="24"/>
          <w:szCs w:val="24"/>
          <w:lang w:val="sq-AL"/>
        </w:rPr>
        <w:t xml:space="preserve"> - </w:t>
      </w:r>
      <w:r w:rsidRPr="009E22FE">
        <w:rPr>
          <w:rFonts w:ascii="Garamond" w:hAnsi="Garamond"/>
          <w:bCs/>
          <w:i/>
          <w:sz w:val="24"/>
          <w:szCs w:val="24"/>
          <w:lang w:val="sq-AL"/>
        </w:rPr>
        <w:t>Levelized Cost of Energy</w:t>
      </w:r>
      <w:r w:rsidRPr="009E22FE">
        <w:rPr>
          <w:rFonts w:ascii="Garamond" w:hAnsi="Garamond"/>
          <w:bCs/>
          <w:sz w:val="24"/>
          <w:szCs w:val="24"/>
          <w:vertAlign w:val="superscript"/>
          <w:lang w:val="sq-AL"/>
        </w:rPr>
        <w:footnoteReference w:id="13"/>
      </w:r>
      <w:r w:rsidRPr="009E22FE">
        <w:rPr>
          <w:rFonts w:ascii="Garamond" w:hAnsi="Garamond"/>
          <w:sz w:val="24"/>
          <w:szCs w:val="24"/>
          <w:lang w:val="sq-AL"/>
        </w:rPr>
        <w:t>), dhe nga se influencohet një investim në PV dhe eolik në Shqipëri? Dy janë faktorët: kostoja e kapitalit dhe influenca e riskut.</w:t>
      </w:r>
    </w:p>
    <w:p w:rsidR="0065716C" w:rsidRPr="009E22FE" w:rsidRDefault="0065716C" w:rsidP="0065716C">
      <w:pPr>
        <w:widowControl w:val="0"/>
        <w:spacing w:after="0" w:line="240" w:lineRule="auto"/>
        <w:rPr>
          <w:rFonts w:ascii="Garamond" w:hAnsi="Garamond"/>
          <w:spacing w:val="-6"/>
          <w:sz w:val="24"/>
          <w:szCs w:val="24"/>
          <w:lang w:val="sq-AL" w:eastAsia="sq-AL"/>
        </w:rPr>
      </w:pPr>
      <w:r w:rsidRPr="009E22FE">
        <w:rPr>
          <w:rFonts w:ascii="Garamond" w:hAnsi="Garamond"/>
          <w:spacing w:val="-6"/>
          <w:sz w:val="24"/>
          <w:szCs w:val="24"/>
          <w:lang w:val="sq-AL" w:eastAsia="sq-AL"/>
        </w:rPr>
        <w:t>Studimet mbështetëse të analizave për LCOE-në</w:t>
      </w:r>
      <w:r w:rsidRPr="009E22FE">
        <w:rPr>
          <w:rFonts w:ascii="Garamond" w:hAnsi="Garamond"/>
          <w:spacing w:val="-6"/>
          <w:sz w:val="24"/>
          <w:szCs w:val="24"/>
          <w:lang w:val="sq-AL" w:eastAsia="sq-AL"/>
        </w:rPr>
        <w:tab/>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Nga ana e MEI-t është ndërmarrë një analizë më e plotë lidhur me kostot e kapitalit, duke konsideruar studimet e fundit që janë kryer në nivel ndërkombëtar, sidomos për vendet e rajonit të Evropës Juglindore, të cilat kanë eksperienca lidhur me PV dhe eoliket. Studimet janë përqendruar në praktikat më të mira të IRENA (Agjencia Ndërkombëtare e Energjisë së Rinovueshme) për vendet në Ballkanin Perëndimor, përfshirë Shqipërinë, dhe gjithashtu në studimin e ECOFYS 2017:</w:t>
      </w:r>
    </w:p>
    <w:p w:rsidR="0065716C" w:rsidRPr="009E22FE" w:rsidRDefault="0065716C" w:rsidP="0065716C">
      <w:pPr>
        <w:pStyle w:val="ListParagraph"/>
        <w:widowControl w:val="0"/>
        <w:numPr>
          <w:ilvl w:val="0"/>
          <w:numId w:val="30"/>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“Prodhimi e energjisë elektrike nga burime të rinovueshme me kosto konkurruese: Potenciali në të gjithë Evropën Juglindore” (2017)</w:t>
      </w:r>
      <w:r w:rsidRPr="009E22FE">
        <w:rPr>
          <w:rFonts w:ascii="Garamond" w:hAnsi="Garamond"/>
          <w:sz w:val="24"/>
          <w:szCs w:val="24"/>
          <w:vertAlign w:val="superscript"/>
          <w:lang w:val="sq-AL"/>
        </w:rPr>
        <w:footnoteReference w:id="14"/>
      </w:r>
      <w:r w:rsidRPr="009E22FE">
        <w:rPr>
          <w:rFonts w:ascii="Garamond" w:hAnsi="Garamond"/>
          <w:sz w:val="24"/>
          <w:szCs w:val="24"/>
          <w:lang w:val="sq-AL"/>
        </w:rPr>
        <w:t xml:space="preserve">; </w:t>
      </w:r>
    </w:p>
    <w:p w:rsidR="0065716C" w:rsidRPr="009E22FE" w:rsidRDefault="0065716C" w:rsidP="0065716C">
      <w:pPr>
        <w:pStyle w:val="ListParagraph"/>
        <w:widowControl w:val="0"/>
        <w:numPr>
          <w:ilvl w:val="0"/>
          <w:numId w:val="30"/>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Hartimi i kostos se kapitalit për erën dhe energjinë diellore në shtetet anëtare të Evropës Juglindore (2017)</w:t>
      </w:r>
      <w:r w:rsidRPr="009E22FE">
        <w:rPr>
          <w:rFonts w:ascii="Garamond" w:hAnsi="Garamond"/>
          <w:sz w:val="24"/>
          <w:szCs w:val="24"/>
          <w:vertAlign w:val="superscript"/>
          <w:lang w:val="sq-AL"/>
        </w:rPr>
        <w:footnoteReference w:id="15"/>
      </w:r>
      <w:r w:rsidRPr="009E22FE">
        <w:rPr>
          <w:rFonts w:ascii="Garamond" w:hAnsi="Garamond"/>
          <w:sz w:val="24"/>
          <w:szCs w:val="24"/>
          <w:lang w:val="sq-AL"/>
        </w:rPr>
        <w:t>.</w:t>
      </w:r>
    </w:p>
    <w:p w:rsidR="0065716C" w:rsidRPr="009E22FE" w:rsidRDefault="0065716C" w:rsidP="006B49C6">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Metodologjia e vlerësimit të kostove të energjisë nga burime të rinovueshme mbështetet te LCOE-ja, e njohur si kosto e nivelit mesatar të energjisë (LEC), është vlera aktuale neto e kostos-njësi të energjisë elektrike (kwh) gjatë gjithë jetës së një njësie gjeneruese.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Kjo vlerë e kostos është marrë si “tarifë” përfaqësuese për çmimin mesatar që njësia gjeneruese duhet të marrë në një treg për të kthyer investimin gjatë një periudhe të arsyeshme, siç e parashikon ligji nr. 7/2017, “Për nxitjen e përdorimit të energjisë nga burimet e rinovueshme”. Kjo vlerë e llogaritur është një vlerësimin ekonomik i rendit të parë të kostos së konkurrencës të një sistemi (në këtë rast PV, eolik) të energjisë elektrike gjeneruese që përfshin të gjitha shpenzimet rreth kohëzgjatjes të jetës së saj, siç janë: </w:t>
      </w:r>
    </w:p>
    <w:p w:rsidR="0065716C" w:rsidRPr="009E22FE" w:rsidRDefault="0065716C" w:rsidP="0065716C">
      <w:pPr>
        <w:pStyle w:val="ListParagraph"/>
        <w:widowControl w:val="0"/>
        <w:numPr>
          <w:ilvl w:val="0"/>
          <w:numId w:val="31"/>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Investimi fillestar;</w:t>
      </w:r>
    </w:p>
    <w:p w:rsidR="0065716C" w:rsidRPr="009E22FE" w:rsidRDefault="0065716C" w:rsidP="0065716C">
      <w:pPr>
        <w:pStyle w:val="ListParagraph"/>
        <w:widowControl w:val="0"/>
        <w:numPr>
          <w:ilvl w:val="0"/>
          <w:numId w:val="31"/>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Shpenzimet operimin dhe mirëmbajtjen; </w:t>
      </w:r>
    </w:p>
    <w:p w:rsidR="0065716C" w:rsidRPr="009E22FE" w:rsidRDefault="0065716C" w:rsidP="0065716C">
      <w:pPr>
        <w:pStyle w:val="ListParagraph"/>
        <w:widowControl w:val="0"/>
        <w:numPr>
          <w:ilvl w:val="0"/>
          <w:numId w:val="31"/>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Koston e lëndës djegëse, e cila në rastin e sistemeve PV/eolik përgjithësisht ka të bëjë me taksat mbi përdorimin e tokës, taksa vendore, qira etj., sipas legjislacionit në fuqi, kosto e cila në rastin e impianteve me energji fosile, përveç sa më sipër, është kosto e lëndës djegëse; dhe </w:t>
      </w:r>
    </w:p>
    <w:p w:rsidR="0065716C" w:rsidRPr="009E22FE" w:rsidRDefault="0065716C" w:rsidP="0065716C">
      <w:pPr>
        <w:pStyle w:val="ListParagraph"/>
        <w:widowControl w:val="0"/>
        <w:numPr>
          <w:ilvl w:val="0"/>
          <w:numId w:val="31"/>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Koston e kapitalit.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Kosto e prodhimit të energjisë elektrike nga burime të rinovueshme ka vetëm një formulë që llogarit LCOE-në, e cila është vlera neto aktuale e të gjitha shpenzimeve gjatë jetës së njësisë gjeneruese në raport (pjesëtuar) me prodhimin total të energjisë elektrike të njësisë, gjatë të gjithë periudhës se punës deri në shkatërrim.</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Formula për llogaritjen e LCOE është paraqitur më poshtë:</w:t>
      </w:r>
    </w:p>
    <w:p w:rsidR="0065716C" w:rsidRPr="009E22FE" w:rsidRDefault="0065716C" w:rsidP="0065716C">
      <w:pPr>
        <w:widowControl w:val="0"/>
        <w:spacing w:after="0" w:line="240" w:lineRule="auto"/>
        <w:ind w:firstLine="0"/>
        <w:jc w:val="left"/>
        <w:rPr>
          <w:rFonts w:ascii="Garamond" w:hAnsi="Garamond"/>
          <w:sz w:val="24"/>
          <w:szCs w:val="24"/>
          <w:lang w:val="sq-AL"/>
        </w:rPr>
      </w:pPr>
      <w:r w:rsidRPr="009E22FE">
        <w:rPr>
          <w:noProof/>
        </w:rPr>
        <w:drawing>
          <wp:inline distT="0" distB="0" distL="0" distR="0">
            <wp:extent cx="2905125" cy="4381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l="4608" r="4599" b="15517"/>
                    <a:stretch>
                      <a:fillRect/>
                    </a:stretch>
                  </pic:blipFill>
                  <pic:spPr bwMode="auto">
                    <a:xfrm>
                      <a:off x="0" y="0"/>
                      <a:ext cx="2905125" cy="438150"/>
                    </a:xfrm>
                    <a:prstGeom prst="rect">
                      <a:avLst/>
                    </a:prstGeom>
                    <a:noFill/>
                    <a:ln>
                      <a:noFill/>
                    </a:ln>
                  </pic:spPr>
                </pic:pic>
              </a:graphicData>
            </a:graphic>
          </wp:inline>
        </w:drawing>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Ku: </w:t>
      </w:r>
      <w:r w:rsidRPr="009E22FE">
        <w:rPr>
          <w:rFonts w:ascii="Garamond" w:hAnsi="Garamond"/>
          <w:sz w:val="24"/>
          <w:szCs w:val="24"/>
          <w:lang w:val="sq-AL"/>
        </w:rPr>
        <w:tab/>
        <w:t>I</w:t>
      </w:r>
      <w:r w:rsidRPr="009E22FE">
        <w:rPr>
          <w:rFonts w:ascii="Garamond" w:hAnsi="Garamond"/>
          <w:sz w:val="24"/>
          <w:szCs w:val="24"/>
          <w:vertAlign w:val="subscript"/>
          <w:lang w:val="sq-AL"/>
        </w:rPr>
        <w:t>t</w:t>
      </w:r>
      <w:r w:rsidRPr="009E22FE">
        <w:rPr>
          <w:rFonts w:ascii="Garamond" w:hAnsi="Garamond"/>
          <w:sz w:val="24"/>
          <w:szCs w:val="24"/>
          <w:lang w:val="sq-AL"/>
        </w:rPr>
        <w:tab/>
        <w:t xml:space="preserve"> - Shpenzimet për investime në vitin t</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M</w:t>
      </w:r>
      <w:r w:rsidRPr="009E22FE">
        <w:rPr>
          <w:rFonts w:ascii="Garamond" w:hAnsi="Garamond"/>
          <w:sz w:val="24"/>
          <w:szCs w:val="24"/>
          <w:vertAlign w:val="subscript"/>
          <w:lang w:val="sq-AL"/>
        </w:rPr>
        <w:t>t</w:t>
      </w:r>
      <w:r w:rsidRPr="009E22FE">
        <w:rPr>
          <w:rFonts w:ascii="Garamond" w:hAnsi="Garamond"/>
          <w:sz w:val="24"/>
          <w:szCs w:val="24"/>
          <w:lang w:val="sq-AL"/>
        </w:rPr>
        <w:tab/>
        <w:t xml:space="preserve"> - Operacionet dhe shpenzimet e mirëmbajtjes në vitin t</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F</w:t>
      </w:r>
      <w:r w:rsidRPr="009E22FE">
        <w:rPr>
          <w:rFonts w:ascii="Garamond" w:hAnsi="Garamond"/>
          <w:sz w:val="24"/>
          <w:szCs w:val="24"/>
          <w:vertAlign w:val="subscript"/>
          <w:lang w:val="sq-AL"/>
        </w:rPr>
        <w:t>t</w:t>
      </w:r>
      <w:r w:rsidRPr="009E22FE">
        <w:rPr>
          <w:rFonts w:ascii="Garamond" w:hAnsi="Garamond"/>
          <w:sz w:val="24"/>
          <w:szCs w:val="24"/>
          <w:lang w:val="sq-AL"/>
        </w:rPr>
        <w:tab/>
        <w:t xml:space="preserve"> - Shpenzimet e lëndës djegëse në vitin t (taksa vjetore, përdorimi tokës, qira etj.)</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E</w:t>
      </w:r>
      <w:r w:rsidRPr="009E22FE">
        <w:rPr>
          <w:rFonts w:ascii="Garamond" w:hAnsi="Garamond"/>
          <w:sz w:val="24"/>
          <w:szCs w:val="24"/>
          <w:vertAlign w:val="subscript"/>
          <w:lang w:val="sq-AL"/>
        </w:rPr>
        <w:t>t</w:t>
      </w:r>
      <w:r w:rsidRPr="009E22FE">
        <w:rPr>
          <w:rFonts w:ascii="Garamond" w:hAnsi="Garamond"/>
          <w:sz w:val="24"/>
          <w:szCs w:val="24"/>
          <w:lang w:val="sq-AL"/>
        </w:rPr>
        <w:tab/>
        <w:t xml:space="preserve"> - Energjia elektrike e gjeneruar në vitin t</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r</w:t>
      </w:r>
      <w:r w:rsidRPr="009E22FE">
        <w:rPr>
          <w:rFonts w:ascii="Garamond" w:hAnsi="Garamond"/>
          <w:sz w:val="24"/>
          <w:szCs w:val="24"/>
          <w:lang w:val="sq-AL"/>
        </w:rPr>
        <w:tab/>
        <w:t xml:space="preserve"> - Norma e interesit të kostos së impiantit</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n</w:t>
      </w:r>
      <w:r w:rsidRPr="009E22FE">
        <w:rPr>
          <w:rFonts w:ascii="Garamond" w:hAnsi="Garamond"/>
          <w:sz w:val="24"/>
          <w:szCs w:val="24"/>
          <w:lang w:val="sq-AL"/>
        </w:rPr>
        <w:tab/>
        <w:t xml:space="preserve"> - Jetëgjatësia ekonomike e njësisë gjeneruese</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Në këtë kontekst, duhet theksuar se zakonisht për gjenerimin e energjisë elektrike me teknologjitë me burime të rinovueshme, LCOE-ja llogaritet në jetëgjatësinë e projektimit të një njësie gjeneruese, e cila është zakonisht 20 deri në 40 vjet. Bazuar në ligjin nr. 7/2017, “Për nxitjen e përdorimit të energjisë nga burimet e rinovueshme”, LCOE-ja duhet të konsiderohet për një periudhë më të shkurtër (max 15 vjet), periudhë e cila, kërkon detyrimisht një mbështetje financiare më të lartë edhe pse kohëzgjatja e njësisë është më e gjatë. Në mungesë të eksperiencës në këto impiante dhe të të dhënave të disponueshme për periudha me të shkurtra kohore, LCOE-ja është e arsyeshme, që në rastin e PV-së, të llogaritet për një periudhë prej 25 vjetësh, periudhë gjatë së cilës impianti del me një fitim të konsiderueshëm. Kjo periudhë për eoliket është më shumë se 25 vjet.</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Shqipëria, sipas studimeve, klasifikohet në vendet me risk të mesëm. Kuadri ligjor dhe rregullator, së fundi me ligjin nr. 7/2017, “Për nxitjen e përdorimit të energjisë nga burimet e rinovueshme”, ka adresuar me ligj nxitjen e burimeve të rinovueshme dhe, sipas tij, nëpërmjet PKVBRE 2018–2020, qeveria synon që, jo vetëm të hartojë planin dhe të vendosë objektiva, por edhe të rishikojë në çdo 2 vjet përmbushjen e objektivave kombëtarë të detyrueshme për përqindjen e burimeve të rinovueshme në konsumin përfundimtar bruto deri më 2020-n.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Ligji parashikon gjithashtu, që një sërë aktesh nënligjore që priten të miratohen nga Këshilli i Ministrave gjatë 2017–‘18, do të bëjnë të mundur zbatimin e një politike nxitëse për diversifikimin e burimeve të rinovueshme, me qëllim investimet në këto burime. Kështu, për të adresuar riskun që buron nga kuadri ligjor dhe rregullator, në këtë dokument po reflektohen ndryshimet te PKVBRE 2017–2020, me qëllim sigurinë e arritjes së objektivit kombëtar. Kjo do të thotë se duhet të ndryshojë raporti i instalimeve të parashikuara në PKVBRE 2015–2020, në drejtim të rritjes së investimeve të impianteve PV dhe eolike, me qëllim garantimin e diversifikimit të burimeve të rinovueshme në Shqipëri.</w:t>
      </w:r>
    </w:p>
    <w:p w:rsidR="0065716C" w:rsidRPr="009E22FE" w:rsidRDefault="0065716C" w:rsidP="00055077">
      <w:pPr>
        <w:widowControl w:val="0"/>
        <w:spacing w:after="0" w:line="240" w:lineRule="auto"/>
        <w:rPr>
          <w:rFonts w:ascii="Garamond" w:hAnsi="Garamond"/>
          <w:sz w:val="24"/>
          <w:szCs w:val="24"/>
          <w:lang w:val="sq-AL"/>
        </w:rPr>
      </w:pPr>
      <w:r w:rsidRPr="009E22FE">
        <w:rPr>
          <w:rFonts w:ascii="Garamond" w:hAnsi="Garamond"/>
          <w:sz w:val="24"/>
          <w:szCs w:val="24"/>
          <w:lang w:val="sq-AL" w:eastAsia="sq-AL"/>
        </w:rPr>
        <w:t xml:space="preserve">Konkluzione të metodologjisë së përdorur në politikat e çmimit. </w:t>
      </w:r>
      <w:r w:rsidRPr="009E22FE">
        <w:rPr>
          <w:rFonts w:ascii="Garamond" w:hAnsi="Garamond"/>
          <w:sz w:val="24"/>
          <w:szCs w:val="24"/>
          <w:lang w:val="sq-AL"/>
        </w:rPr>
        <w:t>Teorikisht dhe praktikisht, WACC - Kostoja mesatare e ponderuar e kapitalit duhet të jetë e barabartë me normën mesatare të kthimit që një kompani pret për të kompensuar të gjithë investitorët e saj të ndryshëm, të cilët janë pjesë e çdo burimi të financimit në strukturën e kapitalit të synuar të kompanisë. Kjo vlen edhe për kompanitë që dëshirojnë të investohen në teknologjitë eolike dhe PV.</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Në këtë analizë janë vlerësuar propozime të kostove me qëllim të vendosjes së një çmimi tavan (fillestar) për energjinë elektrike të prodhuar me impiante eolike dhe PV. Qëllimi është vendosja e çmimit fillestar bazuar në këtë metodologji të llogaritjes së LCOE-së dhe WACC-së, në kushtet kur Shqipëria nuk ka eksperienca të deritanishme për investime në këto teknologji. Çmimi fillestar i llogaritur gjithashtu shërben si nivel maksimal dhe vendoset si një nga elementet, me qëllim organizimin e ankandeve.</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Duke qenë se krahasimi është bërë me vendet e Evropës Juglindore (WB6) ku përfshihet Shqipëria, që përgjithësisht kanë çmime të ulëta të energjisë elektrike, kostot e konkurrencës për gjenerimin e impianteve PV dhe eolike, ndikojnë ndjeshëm në çmime të ulëta. Në të kundërt, vendet e BE-së në këtë rajon, të cilat kanë çmime më të larta të tregut, reflektohet gjithashtu në kostot e gjenerimit të këtyre impianteve, duke ofruar çmime të larta të konkurrencës. Analiza jonë është bërë duke marrë në konsideratë të dy tendencat. Siç duket nga shembujt e mësipërm, p.sh., PV-ja në Greqi është 120 euro/mwh (vend i BE-së me kushtet natyrore të ngjashme me Shqipërinë), ndërsa për impiantet eolike 96 euro/mwh.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Në përfundim, nga zbatimi i formulës së LCOE-së, duke marrë në konsideratë studimet e IRENA-s dhe ECOFYS-ë, si dhe duke llogaritur LCOE-në dhe WACC-në për kushtet e vendit tonë, sipas tabelës së mëposhtme, çmimi i mesatarizuar për secilën teknologji rezulton si vijon:</w:t>
      </w:r>
    </w:p>
    <w:p w:rsidR="0065716C" w:rsidRPr="009E22FE" w:rsidRDefault="0065716C" w:rsidP="0065716C">
      <w:pPr>
        <w:spacing w:after="0" w:line="240" w:lineRule="auto"/>
        <w:ind w:firstLine="0"/>
        <w:jc w:val="left"/>
        <w:rPr>
          <w:rFonts w:ascii="Garamond" w:hAnsi="Garamond"/>
          <w:sz w:val="24"/>
          <w:szCs w:val="24"/>
          <w:lang w:val="sq-AL"/>
        </w:rPr>
        <w:sectPr w:rsidR="0065716C" w:rsidRPr="009E22FE" w:rsidSect="0065716C">
          <w:type w:val="continuous"/>
          <w:pgSz w:w="11907" w:h="16840"/>
          <w:pgMar w:top="720" w:right="1134" w:bottom="720" w:left="1134" w:header="851" w:footer="851" w:gutter="0"/>
          <w:cols w:space="454"/>
        </w:sectPr>
      </w:pP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 </w:t>
      </w:r>
    </w:p>
    <w:tbl>
      <w:tblPr>
        <w:tblStyle w:val="TableGrid10"/>
        <w:tblW w:w="5000" w:type="pct"/>
        <w:jc w:val="center"/>
        <w:tblInd w:w="0" w:type="dxa"/>
        <w:tblLook w:val="04A0" w:firstRow="1" w:lastRow="0" w:firstColumn="1" w:lastColumn="0" w:noHBand="0" w:noVBand="1"/>
      </w:tblPr>
      <w:tblGrid>
        <w:gridCol w:w="4299"/>
        <w:gridCol w:w="2026"/>
        <w:gridCol w:w="1550"/>
        <w:gridCol w:w="1754"/>
      </w:tblGrid>
      <w:tr w:rsidR="009E22FE" w:rsidRPr="009E22FE" w:rsidTr="0065716C">
        <w:trPr>
          <w:jc w:val="center"/>
        </w:trPr>
        <w:tc>
          <w:tcPr>
            <w:tcW w:w="3283" w:type="pct"/>
            <w:gridSpan w:val="2"/>
            <w:tcBorders>
              <w:top w:val="single" w:sz="4" w:space="0" w:color="auto"/>
              <w:left w:val="single" w:sz="4" w:space="0" w:color="auto"/>
              <w:bottom w:val="single" w:sz="4" w:space="0" w:color="auto"/>
              <w:right w:val="single" w:sz="4" w:space="0" w:color="auto"/>
            </w:tcBorders>
            <w:vAlign w:val="center"/>
            <w:hideMark/>
          </w:tcPr>
          <w:p w:rsidR="0065716C" w:rsidRPr="009E22FE" w:rsidRDefault="0065716C">
            <w:pPr>
              <w:widowControl w:val="0"/>
              <w:spacing w:after="0" w:line="240" w:lineRule="auto"/>
              <w:ind w:firstLine="0"/>
              <w:jc w:val="center"/>
              <w:rPr>
                <w:rFonts w:ascii="Garamond" w:hAnsi="Garamond"/>
                <w:b/>
                <w:sz w:val="22"/>
                <w:szCs w:val="22"/>
                <w:lang w:val="sq-AL"/>
              </w:rPr>
            </w:pPr>
            <w:r w:rsidRPr="009E22FE">
              <w:rPr>
                <w:rFonts w:ascii="Garamond" w:hAnsi="Garamond"/>
                <w:b/>
                <w:lang w:val="sq-AL"/>
              </w:rPr>
              <w:t>Teknologjia</w:t>
            </w:r>
          </w:p>
        </w:tc>
        <w:tc>
          <w:tcPr>
            <w:tcW w:w="805" w:type="pct"/>
            <w:tcBorders>
              <w:top w:val="single" w:sz="4" w:space="0" w:color="auto"/>
              <w:left w:val="single" w:sz="4" w:space="0" w:color="auto"/>
              <w:bottom w:val="single" w:sz="4" w:space="0" w:color="auto"/>
              <w:right w:val="single" w:sz="4" w:space="0" w:color="auto"/>
            </w:tcBorders>
            <w:vAlign w:val="center"/>
            <w:hideMark/>
          </w:tcPr>
          <w:p w:rsidR="0065716C" w:rsidRPr="009E22FE" w:rsidRDefault="0065716C">
            <w:pPr>
              <w:widowControl w:val="0"/>
              <w:spacing w:after="0" w:line="240" w:lineRule="auto"/>
              <w:ind w:firstLine="0"/>
              <w:jc w:val="center"/>
              <w:rPr>
                <w:rFonts w:ascii="Garamond" w:hAnsi="Garamond"/>
                <w:b/>
                <w:lang w:val="sq-AL"/>
              </w:rPr>
            </w:pPr>
            <w:r w:rsidRPr="009E22FE">
              <w:rPr>
                <w:rFonts w:ascii="Garamond" w:hAnsi="Garamond"/>
                <w:b/>
                <w:lang w:val="sq-AL"/>
              </w:rPr>
              <w:t>PV</w:t>
            </w:r>
          </w:p>
        </w:tc>
        <w:tc>
          <w:tcPr>
            <w:tcW w:w="912" w:type="pct"/>
            <w:tcBorders>
              <w:top w:val="single" w:sz="4" w:space="0" w:color="auto"/>
              <w:left w:val="single" w:sz="4" w:space="0" w:color="auto"/>
              <w:bottom w:val="single" w:sz="4" w:space="0" w:color="auto"/>
              <w:right w:val="single" w:sz="4" w:space="0" w:color="auto"/>
            </w:tcBorders>
            <w:vAlign w:val="center"/>
            <w:hideMark/>
          </w:tcPr>
          <w:p w:rsidR="0065716C" w:rsidRPr="009E22FE" w:rsidRDefault="0065716C">
            <w:pPr>
              <w:widowControl w:val="0"/>
              <w:spacing w:after="0" w:line="240" w:lineRule="auto"/>
              <w:ind w:firstLine="0"/>
              <w:jc w:val="center"/>
              <w:rPr>
                <w:rFonts w:ascii="Garamond" w:hAnsi="Garamond"/>
                <w:b/>
                <w:lang w:val="sq-AL"/>
              </w:rPr>
            </w:pPr>
            <w:r w:rsidRPr="009E22FE">
              <w:rPr>
                <w:rFonts w:ascii="Garamond" w:hAnsi="Garamond"/>
                <w:b/>
                <w:lang w:val="sq-AL"/>
              </w:rPr>
              <w:t>Eolike</w:t>
            </w:r>
          </w:p>
        </w:tc>
      </w:tr>
      <w:tr w:rsidR="009E22FE" w:rsidRPr="009E22FE" w:rsidTr="0065716C">
        <w:trPr>
          <w:jc w:val="center"/>
        </w:trPr>
        <w:tc>
          <w:tcPr>
            <w:tcW w:w="2232" w:type="pct"/>
            <w:vMerge w:val="restart"/>
            <w:tcBorders>
              <w:top w:val="single" w:sz="4" w:space="0" w:color="auto"/>
              <w:left w:val="single" w:sz="4" w:space="0" w:color="auto"/>
              <w:bottom w:val="single" w:sz="4" w:space="0" w:color="auto"/>
              <w:right w:val="single" w:sz="4" w:space="0" w:color="auto"/>
            </w:tcBorders>
            <w:shd w:val="clear" w:color="auto" w:fill="DDD9C3"/>
            <w:vAlign w:val="center"/>
            <w:hideMark/>
          </w:tcPr>
          <w:p w:rsidR="0065716C" w:rsidRPr="009E22FE" w:rsidRDefault="0065716C">
            <w:pPr>
              <w:widowControl w:val="0"/>
              <w:spacing w:after="0" w:line="240" w:lineRule="auto"/>
              <w:ind w:firstLine="0"/>
              <w:rPr>
                <w:rFonts w:ascii="Garamond" w:hAnsi="Garamond"/>
                <w:lang w:val="sq-AL"/>
              </w:rPr>
            </w:pPr>
            <w:r w:rsidRPr="009E22FE">
              <w:rPr>
                <w:rFonts w:ascii="Garamond" w:hAnsi="Garamond"/>
                <w:lang w:val="sq-AL"/>
              </w:rPr>
              <w:t xml:space="preserve">LCOE </w:t>
            </w:r>
          </w:p>
        </w:tc>
        <w:tc>
          <w:tcPr>
            <w:tcW w:w="1052" w:type="pct"/>
            <w:tcBorders>
              <w:top w:val="single" w:sz="4" w:space="0" w:color="auto"/>
              <w:left w:val="single" w:sz="4" w:space="0" w:color="auto"/>
              <w:bottom w:val="single" w:sz="4" w:space="0" w:color="auto"/>
              <w:right w:val="single" w:sz="4" w:space="0" w:color="auto"/>
            </w:tcBorders>
            <w:shd w:val="clear" w:color="auto" w:fill="DDD9C3"/>
            <w:vAlign w:val="center"/>
            <w:hideMark/>
          </w:tcPr>
          <w:p w:rsidR="0065716C" w:rsidRPr="009E22FE" w:rsidRDefault="0065716C">
            <w:pPr>
              <w:widowControl w:val="0"/>
              <w:spacing w:after="0" w:line="240" w:lineRule="auto"/>
              <w:ind w:firstLine="0"/>
              <w:jc w:val="right"/>
              <w:rPr>
                <w:rFonts w:ascii="Garamond" w:hAnsi="Garamond"/>
                <w:lang w:val="sq-AL"/>
              </w:rPr>
            </w:pPr>
            <w:r w:rsidRPr="009E22FE">
              <w:rPr>
                <w:rFonts w:ascii="Garamond" w:hAnsi="Garamond"/>
                <w:lang w:val="sq-AL"/>
              </w:rPr>
              <w:t>2017 (€/mw)</w:t>
            </w:r>
          </w:p>
        </w:tc>
        <w:tc>
          <w:tcPr>
            <w:tcW w:w="805" w:type="pct"/>
            <w:tcBorders>
              <w:top w:val="single" w:sz="4" w:space="0" w:color="auto"/>
              <w:left w:val="single" w:sz="4" w:space="0" w:color="auto"/>
              <w:bottom w:val="single" w:sz="4" w:space="0" w:color="auto"/>
              <w:right w:val="single" w:sz="4" w:space="0" w:color="auto"/>
            </w:tcBorders>
            <w:shd w:val="clear" w:color="auto" w:fill="DDD9C3"/>
            <w:vAlign w:val="center"/>
            <w:hideMark/>
          </w:tcPr>
          <w:p w:rsidR="0065716C" w:rsidRPr="009E22FE" w:rsidRDefault="0065716C">
            <w:pPr>
              <w:widowControl w:val="0"/>
              <w:spacing w:after="0" w:line="240" w:lineRule="auto"/>
              <w:ind w:firstLine="0"/>
              <w:jc w:val="right"/>
              <w:rPr>
                <w:rFonts w:ascii="Garamond" w:hAnsi="Garamond"/>
                <w:lang w:val="sq-AL"/>
              </w:rPr>
            </w:pPr>
            <w:r w:rsidRPr="009E22FE">
              <w:rPr>
                <w:rFonts w:ascii="Garamond" w:hAnsi="Garamond"/>
                <w:lang w:val="sq-AL"/>
              </w:rPr>
              <w:t>1,400</w:t>
            </w:r>
          </w:p>
        </w:tc>
        <w:tc>
          <w:tcPr>
            <w:tcW w:w="912" w:type="pct"/>
            <w:tcBorders>
              <w:top w:val="single" w:sz="4" w:space="0" w:color="auto"/>
              <w:left w:val="single" w:sz="4" w:space="0" w:color="auto"/>
              <w:bottom w:val="single" w:sz="4" w:space="0" w:color="auto"/>
              <w:right w:val="single" w:sz="4" w:space="0" w:color="auto"/>
            </w:tcBorders>
            <w:shd w:val="clear" w:color="auto" w:fill="DDD9C3"/>
            <w:vAlign w:val="center"/>
            <w:hideMark/>
          </w:tcPr>
          <w:p w:rsidR="0065716C" w:rsidRPr="009E22FE" w:rsidRDefault="0065716C">
            <w:pPr>
              <w:widowControl w:val="0"/>
              <w:spacing w:after="0" w:line="240" w:lineRule="auto"/>
              <w:ind w:firstLine="0"/>
              <w:jc w:val="right"/>
              <w:rPr>
                <w:rFonts w:ascii="Garamond" w:hAnsi="Garamond"/>
                <w:lang w:val="sq-AL"/>
              </w:rPr>
            </w:pPr>
            <w:r w:rsidRPr="009E22FE">
              <w:rPr>
                <w:rFonts w:ascii="Garamond" w:hAnsi="Garamond"/>
                <w:lang w:val="sq-AL"/>
              </w:rPr>
              <w:t>1,450</w:t>
            </w:r>
          </w:p>
        </w:tc>
      </w:tr>
      <w:tr w:rsidR="009E22FE" w:rsidRPr="009E22FE" w:rsidTr="0065716C">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716C" w:rsidRPr="009E22FE" w:rsidRDefault="0065716C">
            <w:pPr>
              <w:spacing w:after="0" w:line="240" w:lineRule="auto"/>
              <w:ind w:firstLine="0"/>
              <w:jc w:val="left"/>
              <w:rPr>
                <w:rFonts w:ascii="Garamond" w:hAnsi="Garamond"/>
                <w:sz w:val="22"/>
                <w:szCs w:val="22"/>
                <w:lang w:val="sq-AL"/>
              </w:rPr>
            </w:pPr>
          </w:p>
        </w:tc>
        <w:tc>
          <w:tcPr>
            <w:tcW w:w="1052" w:type="pct"/>
            <w:tcBorders>
              <w:top w:val="single" w:sz="4" w:space="0" w:color="auto"/>
              <w:left w:val="single" w:sz="4" w:space="0" w:color="auto"/>
              <w:bottom w:val="single" w:sz="4" w:space="0" w:color="auto"/>
              <w:right w:val="single" w:sz="4" w:space="0" w:color="auto"/>
            </w:tcBorders>
            <w:shd w:val="clear" w:color="auto" w:fill="DDD9C3"/>
            <w:vAlign w:val="center"/>
            <w:hideMark/>
          </w:tcPr>
          <w:p w:rsidR="0065716C" w:rsidRPr="009E22FE" w:rsidRDefault="0065716C">
            <w:pPr>
              <w:widowControl w:val="0"/>
              <w:spacing w:after="0" w:line="240" w:lineRule="auto"/>
              <w:ind w:firstLine="0"/>
              <w:jc w:val="right"/>
              <w:rPr>
                <w:rFonts w:ascii="Garamond" w:hAnsi="Garamond"/>
                <w:lang w:val="sq-AL"/>
              </w:rPr>
            </w:pPr>
            <w:r w:rsidRPr="009E22FE">
              <w:rPr>
                <w:rFonts w:ascii="Garamond" w:hAnsi="Garamond"/>
                <w:lang w:val="sq-AL"/>
              </w:rPr>
              <w:t>2018 (€/mw)</w:t>
            </w:r>
          </w:p>
        </w:tc>
        <w:tc>
          <w:tcPr>
            <w:tcW w:w="805" w:type="pct"/>
            <w:tcBorders>
              <w:top w:val="single" w:sz="4" w:space="0" w:color="auto"/>
              <w:left w:val="single" w:sz="4" w:space="0" w:color="auto"/>
              <w:bottom w:val="single" w:sz="4" w:space="0" w:color="auto"/>
              <w:right w:val="single" w:sz="4" w:space="0" w:color="auto"/>
            </w:tcBorders>
            <w:shd w:val="clear" w:color="auto" w:fill="DDD9C3"/>
            <w:vAlign w:val="center"/>
            <w:hideMark/>
          </w:tcPr>
          <w:p w:rsidR="0065716C" w:rsidRPr="009E22FE" w:rsidRDefault="0065716C">
            <w:pPr>
              <w:widowControl w:val="0"/>
              <w:spacing w:after="0" w:line="240" w:lineRule="auto"/>
              <w:ind w:firstLine="0"/>
              <w:jc w:val="right"/>
              <w:rPr>
                <w:rFonts w:ascii="Garamond" w:hAnsi="Garamond"/>
                <w:lang w:val="sq-AL"/>
              </w:rPr>
            </w:pPr>
            <w:r w:rsidRPr="009E22FE">
              <w:rPr>
                <w:rFonts w:ascii="Garamond" w:hAnsi="Garamond"/>
                <w:lang w:val="sq-AL"/>
              </w:rPr>
              <w:t>1,200</w:t>
            </w:r>
          </w:p>
        </w:tc>
        <w:tc>
          <w:tcPr>
            <w:tcW w:w="912" w:type="pct"/>
            <w:tcBorders>
              <w:top w:val="single" w:sz="4" w:space="0" w:color="auto"/>
              <w:left w:val="single" w:sz="4" w:space="0" w:color="auto"/>
              <w:bottom w:val="single" w:sz="4" w:space="0" w:color="auto"/>
              <w:right w:val="single" w:sz="4" w:space="0" w:color="auto"/>
            </w:tcBorders>
            <w:shd w:val="clear" w:color="auto" w:fill="DDD9C3"/>
            <w:vAlign w:val="center"/>
            <w:hideMark/>
          </w:tcPr>
          <w:p w:rsidR="0065716C" w:rsidRPr="009E22FE" w:rsidRDefault="0065716C">
            <w:pPr>
              <w:widowControl w:val="0"/>
              <w:spacing w:after="0" w:line="240" w:lineRule="auto"/>
              <w:ind w:firstLine="0"/>
              <w:jc w:val="right"/>
              <w:rPr>
                <w:rFonts w:ascii="Garamond" w:hAnsi="Garamond"/>
                <w:lang w:val="sq-AL"/>
              </w:rPr>
            </w:pPr>
            <w:r w:rsidRPr="009E22FE">
              <w:rPr>
                <w:rFonts w:ascii="Garamond" w:hAnsi="Garamond"/>
                <w:lang w:val="sq-AL"/>
              </w:rPr>
              <w:t>1,200</w:t>
            </w:r>
          </w:p>
        </w:tc>
      </w:tr>
      <w:tr w:rsidR="009E22FE" w:rsidRPr="009E22FE" w:rsidTr="0065716C">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716C" w:rsidRPr="009E22FE" w:rsidRDefault="0065716C">
            <w:pPr>
              <w:spacing w:after="0" w:line="240" w:lineRule="auto"/>
              <w:ind w:firstLine="0"/>
              <w:jc w:val="left"/>
              <w:rPr>
                <w:rFonts w:ascii="Garamond" w:hAnsi="Garamond"/>
                <w:sz w:val="22"/>
                <w:szCs w:val="22"/>
                <w:lang w:val="sq-AL"/>
              </w:rPr>
            </w:pPr>
          </w:p>
        </w:tc>
        <w:tc>
          <w:tcPr>
            <w:tcW w:w="1052" w:type="pct"/>
            <w:tcBorders>
              <w:top w:val="single" w:sz="4" w:space="0" w:color="auto"/>
              <w:left w:val="single" w:sz="4" w:space="0" w:color="auto"/>
              <w:bottom w:val="single" w:sz="4" w:space="0" w:color="auto"/>
              <w:right w:val="single" w:sz="4" w:space="0" w:color="auto"/>
            </w:tcBorders>
            <w:shd w:val="clear" w:color="auto" w:fill="DDD9C3"/>
            <w:vAlign w:val="center"/>
            <w:hideMark/>
          </w:tcPr>
          <w:p w:rsidR="0065716C" w:rsidRPr="009E22FE" w:rsidRDefault="0065716C">
            <w:pPr>
              <w:widowControl w:val="0"/>
              <w:spacing w:after="0" w:line="240" w:lineRule="auto"/>
              <w:ind w:firstLine="0"/>
              <w:jc w:val="right"/>
              <w:rPr>
                <w:rFonts w:ascii="Garamond" w:hAnsi="Garamond"/>
                <w:lang w:val="sq-AL"/>
              </w:rPr>
            </w:pPr>
            <w:r w:rsidRPr="009E22FE">
              <w:rPr>
                <w:rFonts w:ascii="Garamond" w:hAnsi="Garamond"/>
                <w:lang w:val="sq-AL"/>
              </w:rPr>
              <w:t>2019 (€/mw)</w:t>
            </w:r>
          </w:p>
        </w:tc>
        <w:tc>
          <w:tcPr>
            <w:tcW w:w="805" w:type="pct"/>
            <w:tcBorders>
              <w:top w:val="single" w:sz="4" w:space="0" w:color="auto"/>
              <w:left w:val="single" w:sz="4" w:space="0" w:color="auto"/>
              <w:bottom w:val="single" w:sz="4" w:space="0" w:color="auto"/>
              <w:right w:val="single" w:sz="4" w:space="0" w:color="auto"/>
            </w:tcBorders>
            <w:shd w:val="clear" w:color="auto" w:fill="DDD9C3"/>
            <w:vAlign w:val="center"/>
            <w:hideMark/>
          </w:tcPr>
          <w:p w:rsidR="0065716C" w:rsidRPr="009E22FE" w:rsidRDefault="0065716C">
            <w:pPr>
              <w:widowControl w:val="0"/>
              <w:spacing w:after="0" w:line="240" w:lineRule="auto"/>
              <w:ind w:firstLine="0"/>
              <w:jc w:val="right"/>
              <w:rPr>
                <w:rFonts w:ascii="Garamond" w:hAnsi="Garamond"/>
                <w:lang w:val="sq-AL"/>
              </w:rPr>
            </w:pPr>
            <w:r w:rsidRPr="009E22FE">
              <w:rPr>
                <w:rFonts w:ascii="Garamond" w:hAnsi="Garamond"/>
                <w:lang w:val="sq-AL"/>
              </w:rPr>
              <w:t>900</w:t>
            </w:r>
          </w:p>
        </w:tc>
        <w:tc>
          <w:tcPr>
            <w:tcW w:w="912" w:type="pct"/>
            <w:tcBorders>
              <w:top w:val="single" w:sz="4" w:space="0" w:color="auto"/>
              <w:left w:val="single" w:sz="4" w:space="0" w:color="auto"/>
              <w:bottom w:val="single" w:sz="4" w:space="0" w:color="auto"/>
              <w:right w:val="single" w:sz="4" w:space="0" w:color="auto"/>
            </w:tcBorders>
            <w:shd w:val="clear" w:color="auto" w:fill="DDD9C3"/>
            <w:vAlign w:val="center"/>
            <w:hideMark/>
          </w:tcPr>
          <w:p w:rsidR="0065716C" w:rsidRPr="009E22FE" w:rsidRDefault="0065716C">
            <w:pPr>
              <w:widowControl w:val="0"/>
              <w:spacing w:after="0" w:line="240" w:lineRule="auto"/>
              <w:ind w:firstLine="0"/>
              <w:jc w:val="right"/>
              <w:rPr>
                <w:rFonts w:ascii="Garamond" w:hAnsi="Garamond"/>
                <w:lang w:val="sq-AL"/>
              </w:rPr>
            </w:pPr>
            <w:r w:rsidRPr="009E22FE">
              <w:rPr>
                <w:rFonts w:ascii="Garamond" w:hAnsi="Garamond"/>
                <w:lang w:val="sq-AL"/>
              </w:rPr>
              <w:t>1,150</w:t>
            </w:r>
          </w:p>
        </w:tc>
      </w:tr>
      <w:tr w:rsidR="009E22FE" w:rsidRPr="009E22FE" w:rsidTr="0065716C">
        <w:trPr>
          <w:jc w:val="center"/>
        </w:trPr>
        <w:tc>
          <w:tcPr>
            <w:tcW w:w="2232" w:type="pct"/>
            <w:vMerge w:val="restart"/>
            <w:tcBorders>
              <w:top w:val="single" w:sz="4" w:space="0" w:color="auto"/>
              <w:left w:val="single" w:sz="4" w:space="0" w:color="auto"/>
              <w:bottom w:val="single" w:sz="4" w:space="0" w:color="auto"/>
              <w:right w:val="single" w:sz="4" w:space="0" w:color="auto"/>
            </w:tcBorders>
            <w:shd w:val="clear" w:color="auto" w:fill="D6E3BC"/>
            <w:vAlign w:val="center"/>
            <w:hideMark/>
          </w:tcPr>
          <w:p w:rsidR="0065716C" w:rsidRPr="009E22FE" w:rsidRDefault="0065716C">
            <w:pPr>
              <w:widowControl w:val="0"/>
              <w:spacing w:after="0" w:line="240" w:lineRule="auto"/>
              <w:ind w:firstLine="0"/>
              <w:rPr>
                <w:rFonts w:ascii="Garamond" w:hAnsi="Garamond"/>
                <w:lang w:val="sq-AL"/>
              </w:rPr>
            </w:pPr>
            <w:r w:rsidRPr="009E22FE">
              <w:rPr>
                <w:rFonts w:ascii="Garamond" w:hAnsi="Garamond"/>
                <w:lang w:val="sq-AL"/>
              </w:rPr>
              <w:t>WACC</w:t>
            </w:r>
          </w:p>
        </w:tc>
        <w:tc>
          <w:tcPr>
            <w:tcW w:w="1052" w:type="pct"/>
            <w:tcBorders>
              <w:top w:val="single" w:sz="4" w:space="0" w:color="auto"/>
              <w:left w:val="single" w:sz="4" w:space="0" w:color="auto"/>
              <w:bottom w:val="single" w:sz="4" w:space="0" w:color="auto"/>
              <w:right w:val="single" w:sz="4" w:space="0" w:color="auto"/>
            </w:tcBorders>
            <w:shd w:val="clear" w:color="auto" w:fill="D6E3BC"/>
            <w:vAlign w:val="center"/>
            <w:hideMark/>
          </w:tcPr>
          <w:p w:rsidR="0065716C" w:rsidRPr="009E22FE" w:rsidRDefault="0065716C">
            <w:pPr>
              <w:widowControl w:val="0"/>
              <w:spacing w:after="0" w:line="240" w:lineRule="auto"/>
              <w:ind w:firstLine="0"/>
              <w:jc w:val="right"/>
              <w:rPr>
                <w:rFonts w:ascii="Garamond" w:hAnsi="Garamond"/>
                <w:lang w:val="sq-AL"/>
              </w:rPr>
            </w:pPr>
            <w:r w:rsidRPr="009E22FE">
              <w:rPr>
                <w:rFonts w:ascii="Garamond" w:hAnsi="Garamond"/>
                <w:lang w:val="sq-AL"/>
              </w:rPr>
              <w:t>2017 (%)</w:t>
            </w:r>
          </w:p>
        </w:tc>
        <w:tc>
          <w:tcPr>
            <w:tcW w:w="805" w:type="pct"/>
            <w:tcBorders>
              <w:top w:val="single" w:sz="4" w:space="0" w:color="auto"/>
              <w:left w:val="single" w:sz="4" w:space="0" w:color="auto"/>
              <w:bottom w:val="single" w:sz="4" w:space="0" w:color="auto"/>
              <w:right w:val="single" w:sz="4" w:space="0" w:color="auto"/>
            </w:tcBorders>
            <w:shd w:val="clear" w:color="auto" w:fill="D6E3BC"/>
            <w:vAlign w:val="center"/>
            <w:hideMark/>
          </w:tcPr>
          <w:p w:rsidR="0065716C" w:rsidRPr="009E22FE" w:rsidRDefault="0065716C">
            <w:pPr>
              <w:widowControl w:val="0"/>
              <w:spacing w:after="0" w:line="240" w:lineRule="auto"/>
              <w:ind w:firstLine="0"/>
              <w:jc w:val="right"/>
              <w:rPr>
                <w:rFonts w:ascii="Garamond" w:hAnsi="Garamond"/>
                <w:lang w:val="sq-AL"/>
              </w:rPr>
            </w:pPr>
            <w:r w:rsidRPr="009E22FE">
              <w:rPr>
                <w:rFonts w:ascii="Garamond" w:hAnsi="Garamond"/>
                <w:lang w:val="sq-AL"/>
              </w:rPr>
              <w:t>8.8</w:t>
            </w:r>
          </w:p>
        </w:tc>
        <w:tc>
          <w:tcPr>
            <w:tcW w:w="912" w:type="pct"/>
            <w:tcBorders>
              <w:top w:val="single" w:sz="4" w:space="0" w:color="auto"/>
              <w:left w:val="single" w:sz="4" w:space="0" w:color="auto"/>
              <w:bottom w:val="single" w:sz="4" w:space="0" w:color="auto"/>
              <w:right w:val="single" w:sz="4" w:space="0" w:color="auto"/>
            </w:tcBorders>
            <w:shd w:val="clear" w:color="auto" w:fill="D6E3BC"/>
            <w:vAlign w:val="center"/>
            <w:hideMark/>
          </w:tcPr>
          <w:p w:rsidR="0065716C" w:rsidRPr="009E22FE" w:rsidRDefault="0065716C">
            <w:pPr>
              <w:widowControl w:val="0"/>
              <w:spacing w:after="0" w:line="240" w:lineRule="auto"/>
              <w:ind w:firstLine="0"/>
              <w:jc w:val="right"/>
              <w:rPr>
                <w:rFonts w:ascii="Garamond" w:hAnsi="Garamond"/>
                <w:lang w:val="sq-AL"/>
              </w:rPr>
            </w:pPr>
            <w:r w:rsidRPr="009E22FE">
              <w:rPr>
                <w:rFonts w:ascii="Garamond" w:hAnsi="Garamond"/>
                <w:lang w:val="sq-AL"/>
              </w:rPr>
              <w:t>8.8</w:t>
            </w:r>
          </w:p>
        </w:tc>
      </w:tr>
      <w:tr w:rsidR="009E22FE" w:rsidRPr="009E22FE" w:rsidTr="0065716C">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716C" w:rsidRPr="009E22FE" w:rsidRDefault="0065716C">
            <w:pPr>
              <w:spacing w:after="0" w:line="240" w:lineRule="auto"/>
              <w:ind w:firstLine="0"/>
              <w:jc w:val="left"/>
              <w:rPr>
                <w:rFonts w:ascii="Garamond" w:hAnsi="Garamond"/>
                <w:sz w:val="22"/>
                <w:szCs w:val="22"/>
                <w:lang w:val="sq-AL"/>
              </w:rPr>
            </w:pPr>
          </w:p>
        </w:tc>
        <w:tc>
          <w:tcPr>
            <w:tcW w:w="1052" w:type="pct"/>
            <w:tcBorders>
              <w:top w:val="single" w:sz="4" w:space="0" w:color="auto"/>
              <w:left w:val="single" w:sz="4" w:space="0" w:color="auto"/>
              <w:bottom w:val="single" w:sz="4" w:space="0" w:color="auto"/>
              <w:right w:val="single" w:sz="4" w:space="0" w:color="auto"/>
            </w:tcBorders>
            <w:shd w:val="clear" w:color="auto" w:fill="D6E3BC"/>
            <w:vAlign w:val="center"/>
            <w:hideMark/>
          </w:tcPr>
          <w:p w:rsidR="0065716C" w:rsidRPr="009E22FE" w:rsidRDefault="0065716C">
            <w:pPr>
              <w:widowControl w:val="0"/>
              <w:spacing w:after="0" w:line="240" w:lineRule="auto"/>
              <w:ind w:firstLine="0"/>
              <w:jc w:val="right"/>
              <w:rPr>
                <w:rFonts w:ascii="Garamond" w:hAnsi="Garamond"/>
                <w:lang w:val="sq-AL"/>
              </w:rPr>
            </w:pPr>
            <w:r w:rsidRPr="009E22FE">
              <w:rPr>
                <w:rFonts w:ascii="Garamond" w:hAnsi="Garamond"/>
                <w:lang w:val="sq-AL"/>
              </w:rPr>
              <w:t>2018 (%)</w:t>
            </w:r>
          </w:p>
        </w:tc>
        <w:tc>
          <w:tcPr>
            <w:tcW w:w="805" w:type="pct"/>
            <w:tcBorders>
              <w:top w:val="single" w:sz="4" w:space="0" w:color="auto"/>
              <w:left w:val="single" w:sz="4" w:space="0" w:color="auto"/>
              <w:bottom w:val="single" w:sz="4" w:space="0" w:color="auto"/>
              <w:right w:val="single" w:sz="4" w:space="0" w:color="auto"/>
            </w:tcBorders>
            <w:shd w:val="clear" w:color="auto" w:fill="D6E3BC"/>
            <w:vAlign w:val="center"/>
            <w:hideMark/>
          </w:tcPr>
          <w:p w:rsidR="0065716C" w:rsidRPr="009E22FE" w:rsidRDefault="0065716C">
            <w:pPr>
              <w:widowControl w:val="0"/>
              <w:spacing w:after="0" w:line="240" w:lineRule="auto"/>
              <w:ind w:firstLine="0"/>
              <w:jc w:val="right"/>
              <w:rPr>
                <w:rFonts w:ascii="Garamond" w:hAnsi="Garamond"/>
                <w:lang w:val="sq-AL"/>
              </w:rPr>
            </w:pPr>
            <w:r w:rsidRPr="009E22FE">
              <w:rPr>
                <w:rFonts w:ascii="Garamond" w:hAnsi="Garamond"/>
                <w:lang w:val="sq-AL"/>
              </w:rPr>
              <w:t>8.0</w:t>
            </w:r>
          </w:p>
        </w:tc>
        <w:tc>
          <w:tcPr>
            <w:tcW w:w="912" w:type="pct"/>
            <w:tcBorders>
              <w:top w:val="single" w:sz="4" w:space="0" w:color="auto"/>
              <w:left w:val="single" w:sz="4" w:space="0" w:color="auto"/>
              <w:bottom w:val="single" w:sz="4" w:space="0" w:color="auto"/>
              <w:right w:val="single" w:sz="4" w:space="0" w:color="auto"/>
            </w:tcBorders>
            <w:shd w:val="clear" w:color="auto" w:fill="D6E3BC"/>
            <w:vAlign w:val="center"/>
            <w:hideMark/>
          </w:tcPr>
          <w:p w:rsidR="0065716C" w:rsidRPr="009E22FE" w:rsidRDefault="0065716C">
            <w:pPr>
              <w:widowControl w:val="0"/>
              <w:spacing w:after="0" w:line="240" w:lineRule="auto"/>
              <w:ind w:firstLine="0"/>
              <w:jc w:val="right"/>
              <w:rPr>
                <w:rFonts w:ascii="Garamond" w:hAnsi="Garamond"/>
                <w:lang w:val="sq-AL"/>
              </w:rPr>
            </w:pPr>
            <w:r w:rsidRPr="009E22FE">
              <w:rPr>
                <w:rFonts w:ascii="Garamond" w:hAnsi="Garamond"/>
                <w:lang w:val="sq-AL"/>
              </w:rPr>
              <w:t>8.0</w:t>
            </w:r>
          </w:p>
        </w:tc>
      </w:tr>
      <w:tr w:rsidR="009E22FE" w:rsidRPr="009E22FE" w:rsidTr="0065716C">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716C" w:rsidRPr="009E22FE" w:rsidRDefault="0065716C">
            <w:pPr>
              <w:spacing w:after="0" w:line="240" w:lineRule="auto"/>
              <w:ind w:firstLine="0"/>
              <w:jc w:val="left"/>
              <w:rPr>
                <w:rFonts w:ascii="Garamond" w:hAnsi="Garamond"/>
                <w:sz w:val="22"/>
                <w:szCs w:val="22"/>
                <w:lang w:val="sq-AL"/>
              </w:rPr>
            </w:pPr>
          </w:p>
        </w:tc>
        <w:tc>
          <w:tcPr>
            <w:tcW w:w="1052" w:type="pct"/>
            <w:tcBorders>
              <w:top w:val="single" w:sz="4" w:space="0" w:color="auto"/>
              <w:left w:val="single" w:sz="4" w:space="0" w:color="auto"/>
              <w:bottom w:val="single" w:sz="4" w:space="0" w:color="auto"/>
              <w:right w:val="single" w:sz="4" w:space="0" w:color="auto"/>
            </w:tcBorders>
            <w:shd w:val="clear" w:color="auto" w:fill="D6E3BC"/>
            <w:vAlign w:val="center"/>
            <w:hideMark/>
          </w:tcPr>
          <w:p w:rsidR="0065716C" w:rsidRPr="009E22FE" w:rsidRDefault="0065716C">
            <w:pPr>
              <w:widowControl w:val="0"/>
              <w:spacing w:after="0" w:line="240" w:lineRule="auto"/>
              <w:ind w:firstLine="0"/>
              <w:jc w:val="right"/>
              <w:rPr>
                <w:rFonts w:ascii="Garamond" w:hAnsi="Garamond"/>
                <w:lang w:val="sq-AL"/>
              </w:rPr>
            </w:pPr>
            <w:r w:rsidRPr="009E22FE">
              <w:rPr>
                <w:rFonts w:ascii="Garamond" w:hAnsi="Garamond"/>
                <w:lang w:val="sq-AL"/>
              </w:rPr>
              <w:t>2019 (%)</w:t>
            </w:r>
          </w:p>
        </w:tc>
        <w:tc>
          <w:tcPr>
            <w:tcW w:w="805" w:type="pct"/>
            <w:tcBorders>
              <w:top w:val="single" w:sz="4" w:space="0" w:color="auto"/>
              <w:left w:val="single" w:sz="4" w:space="0" w:color="auto"/>
              <w:bottom w:val="single" w:sz="4" w:space="0" w:color="auto"/>
              <w:right w:val="single" w:sz="4" w:space="0" w:color="auto"/>
            </w:tcBorders>
            <w:shd w:val="clear" w:color="auto" w:fill="D6E3BC"/>
            <w:vAlign w:val="center"/>
            <w:hideMark/>
          </w:tcPr>
          <w:p w:rsidR="0065716C" w:rsidRPr="009E22FE" w:rsidRDefault="0065716C">
            <w:pPr>
              <w:widowControl w:val="0"/>
              <w:spacing w:after="0" w:line="240" w:lineRule="auto"/>
              <w:ind w:firstLine="0"/>
              <w:jc w:val="right"/>
              <w:rPr>
                <w:rFonts w:ascii="Garamond" w:hAnsi="Garamond"/>
                <w:lang w:val="sq-AL"/>
              </w:rPr>
            </w:pPr>
            <w:r w:rsidRPr="009E22FE">
              <w:rPr>
                <w:rFonts w:ascii="Garamond" w:hAnsi="Garamond"/>
                <w:lang w:val="sq-AL"/>
              </w:rPr>
              <w:t>7.5</w:t>
            </w:r>
          </w:p>
        </w:tc>
        <w:tc>
          <w:tcPr>
            <w:tcW w:w="912" w:type="pct"/>
            <w:tcBorders>
              <w:top w:val="single" w:sz="4" w:space="0" w:color="auto"/>
              <w:left w:val="single" w:sz="4" w:space="0" w:color="auto"/>
              <w:bottom w:val="single" w:sz="4" w:space="0" w:color="auto"/>
              <w:right w:val="single" w:sz="4" w:space="0" w:color="auto"/>
            </w:tcBorders>
            <w:shd w:val="clear" w:color="auto" w:fill="D6E3BC"/>
            <w:vAlign w:val="center"/>
            <w:hideMark/>
          </w:tcPr>
          <w:p w:rsidR="0065716C" w:rsidRPr="009E22FE" w:rsidRDefault="0065716C">
            <w:pPr>
              <w:widowControl w:val="0"/>
              <w:spacing w:after="0" w:line="240" w:lineRule="auto"/>
              <w:ind w:firstLine="0"/>
              <w:jc w:val="right"/>
              <w:rPr>
                <w:rFonts w:ascii="Garamond" w:hAnsi="Garamond"/>
                <w:lang w:val="sq-AL"/>
              </w:rPr>
            </w:pPr>
            <w:r w:rsidRPr="009E22FE">
              <w:rPr>
                <w:rFonts w:ascii="Garamond" w:hAnsi="Garamond"/>
                <w:lang w:val="sq-AL"/>
              </w:rPr>
              <w:t>7.5</w:t>
            </w:r>
          </w:p>
        </w:tc>
      </w:tr>
      <w:tr w:rsidR="009E22FE" w:rsidRPr="009E22FE" w:rsidTr="0065716C">
        <w:trPr>
          <w:jc w:val="center"/>
        </w:trPr>
        <w:tc>
          <w:tcPr>
            <w:tcW w:w="2232" w:type="pct"/>
            <w:tcBorders>
              <w:top w:val="single" w:sz="4" w:space="0" w:color="auto"/>
              <w:left w:val="single" w:sz="4" w:space="0" w:color="auto"/>
              <w:bottom w:val="single" w:sz="4" w:space="0" w:color="auto"/>
              <w:right w:val="single" w:sz="4" w:space="0" w:color="auto"/>
            </w:tcBorders>
            <w:shd w:val="clear" w:color="auto" w:fill="FBD4B4"/>
            <w:vAlign w:val="center"/>
            <w:hideMark/>
          </w:tcPr>
          <w:p w:rsidR="0065716C" w:rsidRPr="009E22FE" w:rsidRDefault="0065716C">
            <w:pPr>
              <w:widowControl w:val="0"/>
              <w:spacing w:after="0" w:line="240" w:lineRule="auto"/>
              <w:ind w:firstLine="0"/>
              <w:rPr>
                <w:rFonts w:ascii="Garamond" w:hAnsi="Garamond"/>
                <w:lang w:val="sq-AL"/>
              </w:rPr>
            </w:pPr>
            <w:r w:rsidRPr="009E22FE">
              <w:rPr>
                <w:rFonts w:ascii="Garamond" w:hAnsi="Garamond"/>
                <w:lang w:val="sq-AL"/>
              </w:rPr>
              <w:t>Çmimi i mesatarizuar për vitin 2017</w:t>
            </w:r>
          </w:p>
        </w:tc>
        <w:tc>
          <w:tcPr>
            <w:tcW w:w="1052" w:type="pct"/>
            <w:tcBorders>
              <w:top w:val="single" w:sz="4" w:space="0" w:color="auto"/>
              <w:left w:val="single" w:sz="4" w:space="0" w:color="auto"/>
              <w:bottom w:val="single" w:sz="4" w:space="0" w:color="auto"/>
              <w:right w:val="single" w:sz="4" w:space="0" w:color="auto"/>
            </w:tcBorders>
            <w:shd w:val="clear" w:color="auto" w:fill="FBD4B4"/>
            <w:vAlign w:val="center"/>
            <w:hideMark/>
          </w:tcPr>
          <w:p w:rsidR="0065716C" w:rsidRPr="009E22FE" w:rsidRDefault="0065716C">
            <w:pPr>
              <w:widowControl w:val="0"/>
              <w:spacing w:after="0" w:line="240" w:lineRule="auto"/>
              <w:ind w:firstLine="0"/>
              <w:jc w:val="right"/>
              <w:rPr>
                <w:rFonts w:ascii="Garamond" w:hAnsi="Garamond"/>
                <w:lang w:val="sq-AL"/>
              </w:rPr>
            </w:pPr>
            <w:r w:rsidRPr="009E22FE">
              <w:rPr>
                <w:rFonts w:ascii="Garamond" w:hAnsi="Garamond"/>
                <w:lang w:val="sq-AL"/>
              </w:rPr>
              <w:t>(€/mwh)</w:t>
            </w:r>
          </w:p>
        </w:tc>
        <w:tc>
          <w:tcPr>
            <w:tcW w:w="805" w:type="pct"/>
            <w:tcBorders>
              <w:top w:val="single" w:sz="4" w:space="0" w:color="auto"/>
              <w:left w:val="single" w:sz="4" w:space="0" w:color="auto"/>
              <w:bottom w:val="single" w:sz="4" w:space="0" w:color="auto"/>
              <w:right w:val="single" w:sz="4" w:space="0" w:color="auto"/>
            </w:tcBorders>
            <w:shd w:val="clear" w:color="auto" w:fill="FBD4B4"/>
            <w:vAlign w:val="center"/>
            <w:hideMark/>
          </w:tcPr>
          <w:p w:rsidR="0065716C" w:rsidRPr="009E22FE" w:rsidRDefault="0065716C">
            <w:pPr>
              <w:widowControl w:val="0"/>
              <w:spacing w:after="0" w:line="240" w:lineRule="auto"/>
              <w:ind w:firstLine="0"/>
              <w:jc w:val="right"/>
              <w:rPr>
                <w:rFonts w:ascii="Garamond" w:hAnsi="Garamond"/>
                <w:lang w:val="sq-AL"/>
              </w:rPr>
            </w:pPr>
            <w:r w:rsidRPr="009E22FE">
              <w:rPr>
                <w:rFonts w:ascii="Garamond" w:hAnsi="Garamond"/>
                <w:lang w:val="sq-AL"/>
              </w:rPr>
              <w:t>100</w:t>
            </w:r>
          </w:p>
        </w:tc>
        <w:tc>
          <w:tcPr>
            <w:tcW w:w="912" w:type="pct"/>
            <w:tcBorders>
              <w:top w:val="single" w:sz="4" w:space="0" w:color="auto"/>
              <w:left w:val="single" w:sz="4" w:space="0" w:color="auto"/>
              <w:bottom w:val="single" w:sz="4" w:space="0" w:color="auto"/>
              <w:right w:val="single" w:sz="4" w:space="0" w:color="auto"/>
            </w:tcBorders>
            <w:shd w:val="clear" w:color="auto" w:fill="FBD4B4"/>
            <w:vAlign w:val="center"/>
            <w:hideMark/>
          </w:tcPr>
          <w:p w:rsidR="0065716C" w:rsidRPr="009E22FE" w:rsidRDefault="0065716C">
            <w:pPr>
              <w:widowControl w:val="0"/>
              <w:spacing w:after="0" w:line="240" w:lineRule="auto"/>
              <w:ind w:firstLine="0"/>
              <w:jc w:val="right"/>
              <w:rPr>
                <w:rFonts w:ascii="Garamond" w:hAnsi="Garamond"/>
                <w:lang w:val="sq-AL"/>
              </w:rPr>
            </w:pPr>
            <w:r w:rsidRPr="009E22FE">
              <w:rPr>
                <w:rFonts w:ascii="Garamond" w:hAnsi="Garamond"/>
                <w:lang w:val="sq-AL"/>
              </w:rPr>
              <w:t>76</w:t>
            </w:r>
          </w:p>
        </w:tc>
      </w:tr>
    </w:tbl>
    <w:p w:rsidR="0065716C" w:rsidRPr="009E22FE" w:rsidRDefault="0065716C" w:rsidP="0065716C">
      <w:pPr>
        <w:widowControl w:val="0"/>
        <w:spacing w:after="0" w:line="240" w:lineRule="auto"/>
        <w:rPr>
          <w:rFonts w:ascii="Garamond" w:hAnsi="Garamond"/>
          <w:sz w:val="24"/>
          <w:szCs w:val="24"/>
          <w:lang w:val="sq-AL"/>
        </w:rPr>
      </w:pPr>
    </w:p>
    <w:p w:rsidR="0065716C" w:rsidRPr="009E22FE" w:rsidRDefault="0065716C" w:rsidP="0065716C">
      <w:pPr>
        <w:spacing w:after="0" w:line="240" w:lineRule="auto"/>
        <w:ind w:firstLine="0"/>
        <w:jc w:val="left"/>
        <w:rPr>
          <w:rFonts w:ascii="Garamond" w:hAnsi="Garamond"/>
          <w:sz w:val="24"/>
          <w:szCs w:val="24"/>
          <w:lang w:val="sq-AL"/>
        </w:rPr>
        <w:sectPr w:rsidR="0065716C" w:rsidRPr="009E22FE" w:rsidSect="0065716C">
          <w:type w:val="continuous"/>
          <w:pgSz w:w="11907" w:h="16840"/>
          <w:pgMar w:top="720" w:right="1134" w:bottom="720" w:left="1134" w:header="851" w:footer="851" w:gutter="0"/>
          <w:cols w:space="720"/>
        </w:sectPr>
      </w:pP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Mbështetur në ligjin nr. 7/2017, neni 10, pika 3, Enti Rregullator i Energjisë, do të miratojë çmimin mesatar të blerjes së energjisë elektrike të prodhuar nga burimet e vogla të rinovueshme nga dielli dhe era, për vitet në vijim, në përputhje me parashikimet e kësaj metodologjie, për sa i takon LCOE-së dhe WACC-së. </w:t>
      </w:r>
    </w:p>
    <w:p w:rsidR="0065716C" w:rsidRPr="009E22FE" w:rsidRDefault="0065716C" w:rsidP="0065716C">
      <w:pPr>
        <w:widowControl w:val="0"/>
        <w:spacing w:after="0" w:line="240" w:lineRule="auto"/>
        <w:rPr>
          <w:rFonts w:ascii="Garamond" w:eastAsia="Times New Roman" w:hAnsi="Garamond"/>
          <w:sz w:val="24"/>
          <w:szCs w:val="24"/>
          <w:lang w:val="sq-AL"/>
        </w:rPr>
      </w:pPr>
      <w:r w:rsidRPr="009E22FE">
        <w:rPr>
          <w:rFonts w:ascii="Garamond" w:hAnsi="Garamond"/>
          <w:sz w:val="24"/>
          <w:szCs w:val="24"/>
          <w:lang w:val="sq-AL"/>
        </w:rPr>
        <w:t xml:space="preserve">Ky çmim do të shërbejë si nivel i çmimit mbi bazën e të cilit do të përzgjidhen </w:t>
      </w:r>
      <w:r w:rsidRPr="009E22FE">
        <w:rPr>
          <w:rFonts w:ascii="Garamond" w:eastAsia="Times New Roman" w:hAnsi="Garamond"/>
          <w:sz w:val="24"/>
          <w:szCs w:val="24"/>
          <w:lang w:val="sq-AL"/>
        </w:rPr>
        <w:t>përfituesit e skemës së mbështetjes, sipas kontrat</w:t>
      </w:r>
      <w:r w:rsidRPr="009E22FE">
        <w:rPr>
          <w:rFonts w:ascii="Garamond" w:hAnsi="Garamond"/>
          <w:sz w:val="24"/>
          <w:szCs w:val="24"/>
          <w:lang w:val="sq-AL"/>
        </w:rPr>
        <w:t>ës</w:t>
      </w:r>
      <w:r w:rsidRPr="009E22FE">
        <w:rPr>
          <w:rFonts w:ascii="Garamond" w:eastAsia="Times New Roman" w:hAnsi="Garamond"/>
          <w:sz w:val="24"/>
          <w:szCs w:val="24"/>
          <w:lang w:val="sq-AL"/>
        </w:rPr>
        <w:t xml:space="preserve"> për diferencë, </w:t>
      </w:r>
      <w:r w:rsidRPr="009E22FE">
        <w:rPr>
          <w:rFonts w:ascii="Garamond" w:hAnsi="Garamond"/>
          <w:sz w:val="24"/>
          <w:szCs w:val="24"/>
          <w:lang w:val="sq-AL"/>
        </w:rPr>
        <w:t xml:space="preserve">si një prej elementeve të procedurës konkurruese, </w:t>
      </w:r>
      <w:r w:rsidRPr="009E22FE">
        <w:rPr>
          <w:rFonts w:ascii="Garamond" w:eastAsia="Times New Roman" w:hAnsi="Garamond"/>
          <w:sz w:val="24"/>
          <w:szCs w:val="24"/>
          <w:lang w:val="sq-AL"/>
        </w:rPr>
        <w:t>n</w:t>
      </w:r>
      <w:r w:rsidRPr="009E22FE">
        <w:rPr>
          <w:rFonts w:ascii="Garamond" w:hAnsi="Garamond"/>
          <w:sz w:val="24"/>
          <w:szCs w:val="24"/>
          <w:lang w:val="sq-AL"/>
        </w:rPr>
        <w:t>ë</w:t>
      </w:r>
      <w:r w:rsidRPr="009E22FE">
        <w:rPr>
          <w:rFonts w:ascii="Garamond" w:eastAsia="Times New Roman" w:hAnsi="Garamond"/>
          <w:sz w:val="24"/>
          <w:szCs w:val="24"/>
          <w:lang w:val="sq-AL"/>
        </w:rPr>
        <w:t xml:space="preserve"> p</w:t>
      </w:r>
      <w:r w:rsidRPr="009E22FE">
        <w:rPr>
          <w:rFonts w:ascii="Garamond" w:hAnsi="Garamond"/>
          <w:sz w:val="24"/>
          <w:szCs w:val="24"/>
          <w:lang w:val="sq-AL"/>
        </w:rPr>
        <w:t>ë</w:t>
      </w:r>
      <w:r w:rsidRPr="009E22FE">
        <w:rPr>
          <w:rFonts w:ascii="Garamond" w:eastAsia="Times New Roman" w:hAnsi="Garamond"/>
          <w:sz w:val="24"/>
          <w:szCs w:val="24"/>
          <w:lang w:val="sq-AL"/>
        </w:rPr>
        <w:t>rputhje me parashikimet e nenit 9, pika 2, 3 dhe 4, t</w:t>
      </w:r>
      <w:r w:rsidRPr="009E22FE">
        <w:rPr>
          <w:rFonts w:ascii="Garamond" w:hAnsi="Garamond"/>
          <w:sz w:val="24"/>
          <w:szCs w:val="24"/>
          <w:lang w:val="sq-AL"/>
        </w:rPr>
        <w:t>ë</w:t>
      </w:r>
      <w:r w:rsidRPr="009E22FE">
        <w:rPr>
          <w:rFonts w:ascii="Garamond" w:eastAsia="Times New Roman" w:hAnsi="Garamond"/>
          <w:sz w:val="24"/>
          <w:szCs w:val="24"/>
          <w:lang w:val="sq-AL"/>
        </w:rPr>
        <w:t xml:space="preserve"> ligjit nr. 7/2017.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eastAsia="Times New Roman" w:hAnsi="Garamond"/>
          <w:sz w:val="24"/>
          <w:szCs w:val="24"/>
          <w:lang w:val="sq-AL"/>
        </w:rPr>
        <w:t xml:space="preserve">2.3.2 </w:t>
      </w:r>
      <w:r w:rsidRPr="009E22FE">
        <w:rPr>
          <w:rFonts w:ascii="Garamond" w:hAnsi="Garamond"/>
          <w:sz w:val="24"/>
          <w:szCs w:val="24"/>
          <w:lang w:val="sq-AL"/>
        </w:rPr>
        <w:t>Metodologjia për llogaritjen e kostos së energjisë elektrike të prodhuar nga teknologjia me djegie të MNU-së me rikuperim energjie</w:t>
      </w:r>
    </w:p>
    <w:p w:rsidR="0065716C" w:rsidRPr="009E22FE" w:rsidRDefault="0065716C" w:rsidP="0065716C">
      <w:pPr>
        <w:widowControl w:val="0"/>
        <w:spacing w:after="0" w:line="240" w:lineRule="auto"/>
        <w:rPr>
          <w:rFonts w:ascii="Garamond" w:hAnsi="Garamond"/>
          <w:sz w:val="24"/>
          <w:szCs w:val="24"/>
          <w:lang w:val="sq-AL" w:eastAsia="it-IT"/>
        </w:rPr>
      </w:pPr>
      <w:r w:rsidRPr="009E22FE">
        <w:rPr>
          <w:rFonts w:ascii="Garamond" w:hAnsi="Garamond"/>
          <w:sz w:val="24"/>
          <w:szCs w:val="24"/>
          <w:lang w:val="sq-AL" w:eastAsia="it-IT"/>
        </w:rPr>
        <w:t>Miratimi i Strategjisë Kombëtare për Menaxhimin e Mbetjeve dhe ligjit për menaxhimin e integruar të mbetjeve në vitin 2013, kanë vlerësuar midis të tjerave, si detyrë kryesore reduktimin e mbetjeve nëpërmjet parandalimit, edhe shfrytëzimin të energjisë nga pjesa e biodegradueshme e mbeturinave industriale, urbane dhe rurale nëpërmjet djegies. Mbetjet e djegshme përgjithësisht njihen si mbetjet e ngurta urbane (MNU).</w:t>
      </w:r>
    </w:p>
    <w:p w:rsidR="0065716C" w:rsidRPr="009E22FE" w:rsidRDefault="0065716C" w:rsidP="0065716C">
      <w:pPr>
        <w:widowControl w:val="0"/>
        <w:spacing w:after="0" w:line="240" w:lineRule="auto"/>
        <w:rPr>
          <w:rFonts w:ascii="Garamond" w:hAnsi="Garamond"/>
          <w:sz w:val="24"/>
          <w:szCs w:val="24"/>
          <w:lang w:val="sq-AL" w:eastAsia="it-IT"/>
        </w:rPr>
      </w:pPr>
      <w:r w:rsidRPr="009E22FE">
        <w:rPr>
          <w:rFonts w:ascii="Garamond" w:hAnsi="Garamond"/>
          <w:sz w:val="24"/>
          <w:szCs w:val="24"/>
          <w:lang w:val="sq-AL" w:eastAsia="it-IT"/>
        </w:rPr>
        <w:t>Gjithashtu, në kuadër të Strategjisë Kombëtare të Menaxhimit të Mbetjeve përcaktohet drejtimi i politikës së qeverisë shqiptare për menaxhimin e qëndrueshëm të mbetjeve deri në vitin 2025, e ndarë në 3 faza operacionale me nga 5 vjet secila. Objektivat e vitit 2013 parashikonin se, deri në vitin 2015 synohej që 25% e mbetjeve bashkiake të riciklohej/të kompostohej. Deri në vitin 2020 synohet të ndalohet rritja e mbetjeve bashkiake të prodhuara me riciklimin/kompostimin e 55% të mbetjeve bashkiake, ndërsa deri në vitin 2025: rikuperimi i energjisë nga 15 % e mbetjeve bashkiake.</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Plani kombëtar i veprimit të burimeve të energjisë së rinovueshme (PKVBER) 2015–2020, nuk ka parashikuar kapacitetin e nevojshëm për të arritur objektivin kombëtar për vitin 2020, duke parashikuar instalimin e njësive të prodhimit të energjisë nga biomasa ose, ndryshe nga pjesa e biodegradueshme e mbetjeve të ngurta urbane. Në këtë kuadër është e domosdoshme që këto kapacitete të programohen në përputhje me zhvillimin e këtyre gjeneratorëve që përdoren për prodhimin e energjisë elektrike deri në 2 mw nga pjesa e biodegradueshme e MNU-ve. Gjithsesi, ligji nr. 7/2017 parashikon vendosjen e tarifave FIP (</w:t>
      </w:r>
      <w:r w:rsidRPr="009E22FE">
        <w:rPr>
          <w:rFonts w:ascii="Garamond" w:hAnsi="Garamond"/>
          <w:i/>
          <w:sz w:val="24"/>
          <w:szCs w:val="24"/>
        </w:rPr>
        <w:t>Feed-in-Premium</w:t>
      </w:r>
      <w:r w:rsidRPr="009E22FE">
        <w:rPr>
          <w:rFonts w:ascii="Garamond" w:hAnsi="Garamond"/>
          <w:sz w:val="24"/>
          <w:szCs w:val="24"/>
          <w:lang w:val="sq-AL"/>
        </w:rPr>
        <w:t>) me anë të një procesi konkurrues, jodiskriminues të tenderimit (ankande) nëpërmjet kontratave për diferencë (CfD), ndërsa instalimet e reja deri 2 mw, përjashtohen nga procesi konkurrues me çmimin tavan që vendoset bazuar në këtë metodologji.</w:t>
      </w:r>
    </w:p>
    <w:p w:rsidR="0065716C" w:rsidRPr="009E22FE" w:rsidRDefault="0065716C" w:rsidP="0065716C">
      <w:pPr>
        <w:widowControl w:val="0"/>
        <w:spacing w:after="0" w:line="240" w:lineRule="auto"/>
        <w:rPr>
          <w:rFonts w:ascii="Garamond" w:hAnsi="Garamond"/>
          <w:sz w:val="24"/>
          <w:szCs w:val="24"/>
          <w:u w:val="single"/>
          <w:lang w:val="sq-AL"/>
        </w:rPr>
      </w:pPr>
      <w:r w:rsidRPr="009E22FE">
        <w:rPr>
          <w:rFonts w:ascii="Garamond" w:hAnsi="Garamond"/>
          <w:sz w:val="24"/>
          <w:szCs w:val="24"/>
          <w:lang w:val="sq-AL"/>
        </w:rPr>
        <w:t>Si masa parësore në strategjinë e MNU-ve u kërkua që mbetjet industriale dhe urbane (MNU - mbetjet e ngurta urbane) të trashëguara nga e kaluara dhe të depozituara në disa venddepozitime të vendit, duhet të jenë prioritare për trajtimin dhe asgjësimin e tyre nëpërmjet teknologjive të pastra. Një nga masat në këtë drejtim ka parashikuar: “Vendosjen e inceneratorit në afërsi të ndonjë prej fabrikave të çimentos për djegien e mbetjeve të rrezikshme dhe urbane për shfrytëzimin e energjisë së prodhuar për qëllime industriale të prodhimit”. Për më tepër që, ligji nr. 7/2017, “Për nxitjen e përdorimit të energjisë nga burimet e rinovueshme” parashikon që teknologji të tilla kanë nevojë për mbështetje, siç parashikohen në nenin 10, pika “a”, “... për prodhimin e energjisë elektrike nga burimet e vogla të rinovueshme për prodhuesit me përparësi, me kapacitet të instaluar të energjisë elektrike deri në 2 mw”. Gjithashtu, neni 10, pika 3, shprehet se: “Çmimi i blerjes së energjisë elektrike, nga çdo prodhues tjetër me përparësi, do të jetë në përputhje me metodologjinë e miratuar nga Këshilli i Ministrave, me propozimin e ministrit përgjegjës për energjinë. Metodologjia përcakton kriteret e llogaritjes së çmimit, duke u bazuar në kthimin e arsyeshëm të vlerës së investimeve, sipas llojit të teknologjisë së përdorur”.</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Si rekomandim, në kuadër të “Zbatimit të planit të menaxhimit të mbetjeve 2010–2025” është krijimi i strukturave administrative në nivel kombëtar, rajonal dhe lokal për forcimin e mëtejshëm të administrimit të mbetjeve. Sistemet e menaxhimit të mbetjeve të ngurta urbane me mbetje mjedisore të ulët, që mbrojnë shëndetin dhe sigurinë e banorëve, parashikojnë përveç të tjerave, edhe asgjësimin e mbetjeve me qëllim prodhimin e energjisë, e cila krahasuar me landfillin, është teknologjia me impaktin më minimal në mjedis.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Sot, në Shqipëri ekziston një interes në rritje për aplikimin e metodave të pastra të gjenerimit të energjisë elektrike nga burime të rinovueshme nëpërmjet impianteve të shfrytëzimit të MNU-së në nivelin e gjenerimit të mbetjeve vjetore nga 80 në 120 mijë tonë/vit (40 në 65 mijë tonë MNU të djegshme). Teknologjitë e prodhimit të energjisë së rinovueshme nga pjesa e biodegradueshme të mbetjeve të ngurta mund të llogaritet në nivelin nga 1 deri në 2 mw impiante lokale të instaluara pranë depozitave të MNU-së, të cilat janë fleksibël për zinxhirin e asgjësimit të këtyre mbetjeve të biodegradueshme në përqendrimet pranë qendrave relativisht të mëdha në vendin tonë. Nga një analizë e bërë nga Ministria e Mjedisit</w:t>
      </w:r>
      <w:r w:rsidRPr="009E22FE">
        <w:rPr>
          <w:rFonts w:ascii="Garamond" w:hAnsi="Garamond"/>
          <w:sz w:val="24"/>
          <w:szCs w:val="24"/>
          <w:vertAlign w:val="superscript"/>
          <w:lang w:val="sq-AL"/>
        </w:rPr>
        <w:footnoteReference w:id="16"/>
      </w:r>
      <w:r w:rsidRPr="009E22FE">
        <w:rPr>
          <w:rFonts w:ascii="Garamond" w:hAnsi="Garamond"/>
          <w:sz w:val="24"/>
          <w:szCs w:val="24"/>
          <w:lang w:val="sq-AL"/>
        </w:rPr>
        <w:t>, më shumë prioritet kanë qarqet si Tirana me gjenerim të mbetjeve deri në 310 mijë ton/vit (e cila tejkalon instalimet deri në 2 mw), Durrësi me 210 mijë, Elbasani me 110 mijë, Fieri me 190 mijë tonë/vit etj. Duke parashikuar se:</w:t>
      </w:r>
    </w:p>
    <w:p w:rsidR="0065716C" w:rsidRPr="009E22FE" w:rsidRDefault="0065716C" w:rsidP="0065716C">
      <w:pPr>
        <w:pStyle w:val="ListParagraph"/>
        <w:widowControl w:val="0"/>
        <w:numPr>
          <w:ilvl w:val="0"/>
          <w:numId w:val="32"/>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Gjenerimi vjetor i mbetjeve të ngurta nisur nga mbetjet për numër banorësh lokalë nga 350,000 deri në 550,000, nuk e kalon nivelin 100 deri 110 mijë tonë/vit (0.25–0.30 tonë/banor/ vit</w:t>
      </w:r>
      <w:r w:rsidRPr="009E22FE">
        <w:rPr>
          <w:rFonts w:ascii="Garamond" w:hAnsi="Garamond"/>
          <w:sz w:val="24"/>
          <w:szCs w:val="24"/>
          <w:vertAlign w:val="superscript"/>
          <w:lang w:val="sq-AL"/>
        </w:rPr>
        <w:footnoteReference w:id="17"/>
      </w:r>
      <w:r w:rsidRPr="009E22FE">
        <w:rPr>
          <w:rFonts w:ascii="Garamond" w:hAnsi="Garamond"/>
          <w:sz w:val="24"/>
          <w:szCs w:val="24"/>
          <w:lang w:val="sq-AL"/>
        </w:rPr>
        <w:t>); dhe</w:t>
      </w:r>
    </w:p>
    <w:p w:rsidR="0065716C" w:rsidRPr="009E22FE" w:rsidRDefault="0065716C" w:rsidP="0065716C">
      <w:pPr>
        <w:pStyle w:val="ListParagraph"/>
        <w:widowControl w:val="0"/>
        <w:numPr>
          <w:ilvl w:val="0"/>
          <w:numId w:val="32"/>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Grumbullimi i hershëm i MNU-së kalon depozitimin e tyre për një periudhë të mëparshme prej 10–15 vjetësh.</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Nga kjo analizë, ka mundësi reale që për një periudhë 12–15-vjeçare të arrihet në asgjësimin zinxhir të mbetjeve të biodegradueshme, duke përdorur kapacitetin e instaluar “të palimituar” për të gjithë kapacitetin e depozituar të MNU-së në nivel qarku. Me kapacitet të palimituar vjetor do të nënkuptojmë prodhimin e energjisë elektrike nga gjeneratorë të vegjël të instaluar (deri në 2 mw), me burime të rinovueshme, që shfrytëzojnë pjesën e biodegradueshme të MNU-së</w:t>
      </w:r>
      <w:r w:rsidRPr="009E22FE">
        <w:rPr>
          <w:rFonts w:ascii="Garamond" w:hAnsi="Garamond"/>
          <w:sz w:val="24"/>
          <w:szCs w:val="24"/>
          <w:vertAlign w:val="superscript"/>
          <w:lang w:val="sq-AL"/>
        </w:rPr>
        <w:footnoteReference w:id="18"/>
      </w:r>
      <w:r w:rsidRPr="009E22FE">
        <w:rPr>
          <w:rFonts w:ascii="Garamond" w:hAnsi="Garamond"/>
          <w:sz w:val="24"/>
          <w:szCs w:val="24"/>
          <w:lang w:val="sq-AL"/>
        </w:rPr>
        <w:t>, e cila jo vetëm gjenerohet çdo vit, por shfrytëzon edhe pjesën e depozituar e cila, megjithëse e degraduar, ka vlera kalorifike të shfrytëzueshme.</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z w:val="24"/>
          <w:szCs w:val="24"/>
          <w:lang w:val="sq-AL"/>
        </w:rPr>
        <w:t>Vendosja e inceneratorit në kantierin e depozitimit të MNU-së, me qëllim shfrytëzimin e nxehtësisë për prodhimin e energjisë elektrike me turbinë me avull të tejnxehur, kërkon shpenzime shtesë, të cilat, krahasuar me ndërtimin e landfillit si njësi depozitimi, mund të justifikojë financiarisht incenerimin e pjesës së biodegradueshme (inkluduar asgjësimin). Nga analiza sasiore dhe cilësore në “Planin e menaxhimit të mbetjeve 2010–2025”</w:t>
      </w:r>
      <w:r w:rsidRPr="009E22FE">
        <w:rPr>
          <w:rFonts w:ascii="Garamond" w:hAnsi="Garamond"/>
          <w:sz w:val="24"/>
          <w:szCs w:val="24"/>
          <w:vertAlign w:val="superscript"/>
          <w:lang w:val="sq-AL"/>
        </w:rPr>
        <w:footnoteReference w:id="19"/>
      </w:r>
      <w:r w:rsidRPr="009E22FE">
        <w:rPr>
          <w:rFonts w:ascii="Garamond" w:hAnsi="Garamond"/>
          <w:sz w:val="24"/>
          <w:szCs w:val="24"/>
          <w:lang w:val="sq-AL"/>
        </w:rPr>
        <w:t xml:space="preserve">, është gjetur e mbështetur teknologjia e prodhimit e energjisë </w:t>
      </w:r>
      <w:r w:rsidRPr="009E22FE">
        <w:rPr>
          <w:rFonts w:ascii="Garamond" w:hAnsi="Garamond"/>
          <w:spacing w:val="-4"/>
          <w:sz w:val="24"/>
          <w:szCs w:val="24"/>
          <w:lang w:val="sq-AL"/>
        </w:rPr>
        <w:t xml:space="preserve">elektrike me kapacitete të limituara deri në 2 mw, duke shfrytëzuar energjinë e rinovueshme nga pjesët e biodegradueshme që gjendet në MNU. Instalime të kësaj natyre janë mjaft të përhapura në Evropë dhe sot, me teknologjinë </w:t>
      </w:r>
      <w:r w:rsidRPr="009E22FE">
        <w:rPr>
          <w:rFonts w:ascii="Garamond" w:hAnsi="Garamond"/>
          <w:i/>
          <w:spacing w:val="-4"/>
          <w:sz w:val="24"/>
          <w:szCs w:val="24"/>
          <w:lang w:val="sq-AL"/>
        </w:rPr>
        <w:t>Waste-to-Energy</w:t>
      </w:r>
      <w:r w:rsidRPr="009E22FE">
        <w:rPr>
          <w:rFonts w:ascii="Garamond" w:hAnsi="Garamond"/>
          <w:i/>
          <w:spacing w:val="-4"/>
          <w:sz w:val="24"/>
          <w:szCs w:val="24"/>
          <w:vertAlign w:val="superscript"/>
          <w:lang w:val="sq-AL"/>
        </w:rPr>
        <w:footnoteReference w:id="20"/>
      </w:r>
      <w:r w:rsidRPr="009E22FE">
        <w:rPr>
          <w:rFonts w:ascii="Garamond" w:hAnsi="Garamond"/>
          <w:spacing w:val="-4"/>
          <w:sz w:val="24"/>
          <w:szCs w:val="24"/>
          <w:lang w:val="sq-AL"/>
        </w:rPr>
        <w:t xml:space="preserve">, si një teknologji asgjësimi me prodhim energjie nga burime të rinovueshme për pjesën e biodegradueshme të mbetjeve të ngurta industriale, urbane dhe rurale po zgjidhet problemi i zënies së tokës nga landfillet. Gjithsesi, trajtimi me djegie ose incenerimi është një metodë e njohur për asgjësimin e mbetjeve të ngurta urbane. Në vitet e fundit impiantet e incenerimit, si edhe metodat e tjera </w:t>
      </w:r>
      <w:r w:rsidRPr="009E22FE">
        <w:rPr>
          <w:rFonts w:ascii="Garamond" w:hAnsi="Garamond"/>
          <w:i/>
          <w:spacing w:val="-4"/>
          <w:sz w:val="24"/>
          <w:szCs w:val="24"/>
          <w:lang w:val="sq-AL"/>
        </w:rPr>
        <w:t>Waste-to-Energy</w:t>
      </w:r>
      <w:r w:rsidRPr="009E22FE">
        <w:rPr>
          <w:rFonts w:ascii="Garamond" w:hAnsi="Garamond"/>
          <w:spacing w:val="-4"/>
          <w:sz w:val="24"/>
          <w:szCs w:val="24"/>
          <w:lang w:val="sq-AL"/>
        </w:rPr>
        <w:t>, si gazifikimi dhe piroliza, kanë pasur një interes në rritje.</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Metodologjia për llogaritjen e kostos së prodhimit të energjisë elektrike nga pjesa e biodegradueshme, si burim i rinovueshëm për shfrytëzimin e MNU-së, ka si qëllim përcaktimin e kostove të të  gjitha proceseve që shoqërojnë zhvillimin e projekteve të trajtimit të mbeturinave urbane me djegie ose incenerim.</w:t>
      </w:r>
      <w:r w:rsidRPr="009E22FE">
        <w:rPr>
          <w:rFonts w:ascii="Garamond" w:hAnsi="Garamond"/>
          <w:i/>
          <w:spacing w:val="-4"/>
          <w:sz w:val="24"/>
          <w:szCs w:val="24"/>
          <w:lang w:val="sq-AL"/>
        </w:rPr>
        <w:t xml:space="preserve"> </w:t>
      </w:r>
      <w:r w:rsidRPr="009E22FE">
        <w:rPr>
          <w:rFonts w:ascii="Garamond" w:hAnsi="Garamond"/>
          <w:spacing w:val="-4"/>
          <w:sz w:val="24"/>
          <w:szCs w:val="24"/>
          <w:lang w:val="sq-AL"/>
        </w:rPr>
        <w:t>Elementet që përbëjnë kostot e prodhimit të energjisë elektrike nga këto projekte të vogla në përgjithësi janë:</w:t>
      </w:r>
    </w:p>
    <w:p w:rsidR="0065716C" w:rsidRPr="009E22FE" w:rsidRDefault="0065716C" w:rsidP="0065716C">
      <w:pPr>
        <w:pStyle w:val="ListParagraph"/>
        <w:widowControl w:val="0"/>
        <w:numPr>
          <w:ilvl w:val="0"/>
          <w:numId w:val="33"/>
        </w:numPr>
        <w:spacing w:after="0" w:line="240" w:lineRule="auto"/>
        <w:ind w:left="0" w:firstLine="284"/>
        <w:jc w:val="both"/>
        <w:rPr>
          <w:rFonts w:ascii="Garamond" w:hAnsi="Garamond"/>
          <w:spacing w:val="-4"/>
          <w:sz w:val="24"/>
          <w:szCs w:val="24"/>
          <w:lang w:val="sq-AL"/>
        </w:rPr>
      </w:pPr>
      <w:r w:rsidRPr="009E22FE">
        <w:rPr>
          <w:rFonts w:ascii="Garamond" w:hAnsi="Garamond"/>
          <w:spacing w:val="-4"/>
          <w:sz w:val="24"/>
          <w:szCs w:val="24"/>
          <w:lang w:val="sq-AL"/>
        </w:rPr>
        <w:t xml:space="preserve"> Lloji i teknologjisë për incenerimin e MNU-së (mbetjeve të ngurta urbane), bazuar në eficiencën e energjisë (rendimentit) të gjeneratorit për prodhimin e energjisë elektrike nga impianti termik, si referencë për sasinë e djegshme që gjenerohet në përmbajtjen e MNU-së;</w:t>
      </w:r>
    </w:p>
    <w:p w:rsidR="0065716C" w:rsidRPr="009E22FE" w:rsidRDefault="0065716C" w:rsidP="0065716C">
      <w:pPr>
        <w:pStyle w:val="ListParagraph"/>
        <w:widowControl w:val="0"/>
        <w:numPr>
          <w:ilvl w:val="0"/>
          <w:numId w:val="33"/>
        </w:numPr>
        <w:spacing w:after="0" w:line="240" w:lineRule="auto"/>
        <w:ind w:left="0" w:firstLine="284"/>
        <w:jc w:val="both"/>
        <w:rPr>
          <w:rFonts w:ascii="Garamond" w:hAnsi="Garamond"/>
          <w:spacing w:val="-4"/>
          <w:sz w:val="24"/>
          <w:szCs w:val="24"/>
          <w:lang w:val="sq-AL"/>
        </w:rPr>
      </w:pPr>
      <w:r w:rsidRPr="009E22FE">
        <w:rPr>
          <w:rFonts w:ascii="Garamond" w:hAnsi="Garamond"/>
          <w:spacing w:val="-4"/>
          <w:sz w:val="24"/>
          <w:szCs w:val="24"/>
          <w:lang w:val="sq-AL"/>
        </w:rPr>
        <w:t xml:space="preserve"> Përmbajtja energjetike (fuqia kalorifike) e MNU-së; </w:t>
      </w:r>
    </w:p>
    <w:p w:rsidR="0065716C" w:rsidRPr="009E22FE" w:rsidRDefault="0065716C" w:rsidP="0065716C">
      <w:pPr>
        <w:pStyle w:val="ListParagraph"/>
        <w:widowControl w:val="0"/>
        <w:numPr>
          <w:ilvl w:val="0"/>
          <w:numId w:val="33"/>
        </w:numPr>
        <w:spacing w:after="0" w:line="240" w:lineRule="auto"/>
        <w:ind w:left="0" w:firstLine="284"/>
        <w:jc w:val="both"/>
        <w:rPr>
          <w:rFonts w:ascii="Garamond" w:hAnsi="Garamond"/>
          <w:spacing w:val="-4"/>
          <w:sz w:val="24"/>
          <w:szCs w:val="24"/>
          <w:lang w:val="sq-AL"/>
        </w:rPr>
      </w:pPr>
      <w:r w:rsidRPr="009E22FE">
        <w:rPr>
          <w:rFonts w:ascii="Garamond" w:hAnsi="Garamond"/>
          <w:spacing w:val="-4"/>
          <w:sz w:val="24"/>
          <w:szCs w:val="24"/>
          <w:lang w:val="sq-AL"/>
        </w:rPr>
        <w:t xml:space="preserve"> “LCOE - Kostoja e niveluar e energjisë elektrike”, e shprehur në euro/mwh, përfaqëson koston totale përgjatë ciklit të jetës për prodhimin të një mwh energji elektrike, duke përdorur një teknologji të caktuar për të shfrytëzuar pjesën e biodegradueshme, si burim i rinovueshëm për mbeturinat industriale, urbane dhe rurale. Ky është faktori përcaktues i njëjtë për mbështetjen e nevojshme për të gjitha burimet e rinovueshme në përgjithësi, me elementet e mëposhtme:</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a) “Shpenzimet ose kosto kapitale të investimit, C</w:t>
      </w:r>
      <w:r w:rsidRPr="009E22FE">
        <w:rPr>
          <w:rFonts w:ascii="Garamond" w:hAnsi="Garamond"/>
          <w:spacing w:val="-4"/>
          <w:sz w:val="24"/>
          <w:szCs w:val="24"/>
          <w:vertAlign w:val="subscript"/>
          <w:lang w:val="sq-AL"/>
        </w:rPr>
        <w:t>I”</w:t>
      </w:r>
      <w:r w:rsidRPr="009E22FE">
        <w:rPr>
          <w:rFonts w:ascii="Garamond" w:hAnsi="Garamond"/>
          <w:spacing w:val="-4"/>
          <w:sz w:val="24"/>
          <w:szCs w:val="24"/>
          <w:lang w:val="sq-AL"/>
        </w:rPr>
        <w:t>, kjo kosto përfshin koston totale për zhvillimin dhe ndërtimin e impiantit, përveç kostove për lidhjen me rrjetin e energjisë elektrike;</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b) “Kosto e operimit, C</w:t>
      </w:r>
      <w:r w:rsidRPr="009E22FE">
        <w:rPr>
          <w:rFonts w:ascii="Garamond" w:hAnsi="Garamond"/>
          <w:spacing w:val="-4"/>
          <w:sz w:val="24"/>
          <w:szCs w:val="24"/>
          <w:vertAlign w:val="subscript"/>
          <w:lang w:val="sq-AL"/>
        </w:rPr>
        <w:t>O&amp;M</w:t>
      </w:r>
      <w:r w:rsidRPr="009E22FE">
        <w:rPr>
          <w:rFonts w:ascii="Garamond" w:hAnsi="Garamond"/>
          <w:spacing w:val="-4"/>
          <w:sz w:val="24"/>
          <w:szCs w:val="24"/>
          <w:vertAlign w:val="superscript"/>
          <w:lang w:val="sq-AL"/>
        </w:rPr>
        <w:t>”</w:t>
      </w:r>
      <w:r w:rsidRPr="009E22FE">
        <w:rPr>
          <w:rFonts w:ascii="Garamond" w:hAnsi="Garamond"/>
          <w:spacing w:val="-4"/>
          <w:sz w:val="24"/>
          <w:szCs w:val="24"/>
          <w:lang w:val="sq-AL"/>
        </w:rPr>
        <w:t xml:space="preserve"> përfshin shpenzimet totale vjetore të operimit që nga viti i parë i operimit të projektit për periudhën e vetëshlyerjes; kjo për njësi të kapacitetit të instaluar;</w:t>
      </w:r>
    </w:p>
    <w:p w:rsidR="0065716C" w:rsidRPr="009E22FE" w:rsidRDefault="0065716C" w:rsidP="0065716C">
      <w:pPr>
        <w:widowControl w:val="0"/>
        <w:spacing w:after="0" w:line="240" w:lineRule="auto"/>
        <w:rPr>
          <w:rFonts w:ascii="Garamond" w:hAnsi="Garamond"/>
          <w:spacing w:val="-4"/>
          <w:sz w:val="24"/>
          <w:szCs w:val="24"/>
          <w:lang w:val="sq-AL"/>
        </w:rPr>
      </w:pPr>
      <w:r w:rsidRPr="009E22FE">
        <w:rPr>
          <w:rFonts w:ascii="Garamond" w:hAnsi="Garamond"/>
          <w:spacing w:val="-4"/>
          <w:sz w:val="24"/>
          <w:szCs w:val="24"/>
          <w:lang w:val="sq-AL"/>
        </w:rPr>
        <w:t>c) “Faktori i ngarkesës” është raporti midis sasisë së energjisë elektrike të gjeneruar në mwh/vit të dhënë, ndaj energjisë elektrike që do të gjenerohej për punë me ngarkesë të plotë dhe të vazhduar gjatë një viti pa ndërprerje ose për 8760 orë të plota.</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pacing w:val="-4"/>
          <w:sz w:val="24"/>
          <w:szCs w:val="24"/>
          <w:lang w:val="sq-AL"/>
        </w:rPr>
        <w:t>Me të aplikueshme nga pikëpamja e madhësisë se instalimit, në vendin tonë mund të jenë inceneratorët, që mund të përballojnë në një kohë të arsyeshme, asgjësimin e MNU-ve të depozituara ndër vite. Ashtu siç edhe studimi i UPT-së parashikon, deri në 2 mw instalime të impianteve për incenerimin e mbeturinave të ngurta, janë të përshtatshme për vend-grumbullimet e përmendura më lart. Kjo përshtatshmëri ka përputhshmëri edhe për faktin, që ligji nr. 7/2017, “Për nxitjen e përdorimit të energjisë nga burimet e rinovueshme” mbështet me çmime preferenciale këto lloj impiantesh. Kjo mbështetje është e domosdoshme dhe rregullon koston e lartë të energjisë. Midis teknologjive për djegien e MNU-së me rikuperim energjie, dy më të përdorurat janë: furrat me skarë të lëvizshme dhe furrat me shtresë fluidi. Këto dy tipologji</w:t>
      </w:r>
      <w:r w:rsidRPr="009E22FE">
        <w:rPr>
          <w:rFonts w:ascii="Garamond" w:hAnsi="Garamond"/>
          <w:sz w:val="24"/>
          <w:szCs w:val="24"/>
          <w:lang w:val="sq-AL"/>
        </w:rPr>
        <w:t xml:space="preserve"> furrash ndryshojnë në shume aspekte:</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Në një furrë me skarë të lëvizshme lënda e djegshme futet në pjesën e sipërme të furrës. Ndërsa zhvendoset përgjatë furrës, ajo, së pari, thahet dhe më tej digjet, ndërsa hiri mblidhet në fund të vatrës se furrës. Ajri për djegie jepet në dy pjesë: si ajër primar nga pjesa nën skarë dhe si ajër sekondar sipër lëndës djegëse. Kjo mënyrë përdoret për një kontakt të plotë midis lëndës së djegshme dhe ajrit.</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Furrat me shtresë fluidi përdorin një material inert, siç është rëra, e cila shërben për të shpërndarë lëndën e djegshme gjatë procesit të djegies. Ekzistojnë dy lloje furrash me shtresë të fluidizuar: me shtresë fluidi vluese dhe me shtresë fluidi qarkulluese, të cilat në thelb dallojnë nga shpejtësia e fluksit të ajrit në dhomën e djegies. Për të ndarë materialin inert nga fluksi i gazeve të shkarkimit, përdoret një pajisje ndarëse, e tipit ciklon, pas dhomës së djegies. Materiali inert riqarkullohet në furrë.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Por midis dy teknikave kryesore të djegies ekzistojnë edhe dy ndryshime thelbësore:</w:t>
      </w:r>
    </w:p>
    <w:p w:rsidR="0065716C" w:rsidRPr="009E22FE" w:rsidRDefault="0065716C" w:rsidP="0065716C">
      <w:pPr>
        <w:pStyle w:val="ListParagraph"/>
        <w:widowControl w:val="0"/>
        <w:numPr>
          <w:ilvl w:val="0"/>
          <w:numId w:val="34"/>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Temperatura e djegies, e cila është më e lartë në furrën me skarë të lëvizshme se sa në furrat me shtresë fluidi;</w:t>
      </w:r>
    </w:p>
    <w:p w:rsidR="0065716C" w:rsidRPr="009E22FE" w:rsidRDefault="0065716C" w:rsidP="0065716C">
      <w:pPr>
        <w:pStyle w:val="ListParagraph"/>
        <w:widowControl w:val="0"/>
        <w:numPr>
          <w:ilvl w:val="0"/>
          <w:numId w:val="34"/>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Për furrat me shtresë fluidi duhet që materiali, që ushqehet në furrë, t’i nënshtrohet një procesi homogjenizimi, nëpërmjet një trajtimi paraprak copëtimi, për të bërë të mundur fluidizimin e tij.</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Aktualisht, furra me skarë të lëvizshme është teknologjia më e përhapur dhe e mirë testuar për incenerimin e MNU-së.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Përmbajtja energjetike e MNU-së. Energjia e rikuperuar nga trajtimi me djegie e MNU-së mund të përdoret si avull për procese të ndryshme teknologjike, për ngrohje rajonale dhe për prodhimin e energjisë elektrike. Opsioni më i mirë për kushtet e vendit tonë është prodhimi i energjisë elektrike, të cilin do ta trajtojmë në vazhdim. Hapi i parë për të llogaritur sasinë e energjisë elektrike, që mund të përftohet nga rikuperimi i energjisë nga djegia e MNU-së, është vlerësimi i fuqisë kalorifike të MNU-së. Fuqia kalorifike e MNU-së varet nga një numër parametrash fizikë dhe kimikë të MNU-së, të cilët ndryshojnë nga një zonë në një tjetër. Në këtë kuadër, nga analiza e përmbajtjes së pjesës së biodegradueshme, theksojmë se MNU përbëjnë një lëndë djegëse johomogjene që ndryshon mjaft nga lëndët djegëse fosile. Për ketë arsye llogaritja e fuqisë kalorifike të MNU-së është komplekse dhe mund të çojë në gabime të mëdha nëse nuk kryhet në mënyrë korrekte. Për këtë, studimi i UPT-së bëri përzgjedhjen e kampionit për analizim, i cili është një nga fazat më kritike dhe është analizuar me një konsideratë të veçantë nga kampionet e deklaruara, megjithëse, studimi e sheh këtë moment si një nga variacionet më të komplikuara.</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Gjithsesi, për vendin tonë të dhënat e publikuara në dokumentin “Zbatimi i planit kombëtar për përafrimin e legjislacionit mjedisor në Shqipëri, Plani kombëtar për menaxhimin e mbetjeve, 2010–2025” janë të mesatarizuara në rang kombëtar dhe përmbajnë një të dhënë shumë të rëndësishme për fraksionin e biodegradueshëm të MNU-së, që rezulton 62.3% në masë. </w:t>
      </w:r>
    </w:p>
    <w:p w:rsidR="0065716C" w:rsidRPr="009E22FE" w:rsidRDefault="0065716C" w:rsidP="0065716C">
      <w:pPr>
        <w:spacing w:after="0" w:line="240" w:lineRule="auto"/>
        <w:ind w:firstLine="0"/>
        <w:jc w:val="left"/>
        <w:rPr>
          <w:rFonts w:ascii="Garamond" w:hAnsi="Garamond"/>
          <w:sz w:val="24"/>
          <w:szCs w:val="24"/>
          <w:lang w:val="sq-AL"/>
        </w:rPr>
        <w:sectPr w:rsidR="0065716C" w:rsidRPr="009E22FE" w:rsidSect="0065716C">
          <w:type w:val="continuous"/>
          <w:pgSz w:w="11907" w:h="16840"/>
          <w:pgMar w:top="720" w:right="1134" w:bottom="720" w:left="1134" w:header="851" w:footer="851" w:gutter="0"/>
          <w:cols w:space="454"/>
        </w:sectPr>
      </w:pPr>
    </w:p>
    <w:p w:rsidR="0065716C" w:rsidRPr="009E22FE" w:rsidRDefault="0065716C" w:rsidP="0065716C">
      <w:pPr>
        <w:widowControl w:val="0"/>
        <w:spacing w:after="0" w:line="240" w:lineRule="auto"/>
        <w:rPr>
          <w:rFonts w:ascii="Garamond" w:hAnsi="Garamond"/>
          <w:sz w:val="24"/>
          <w:szCs w:val="24"/>
          <w:lang w:val="sq-AL"/>
        </w:rPr>
      </w:pPr>
    </w:p>
    <w:p w:rsidR="0065716C" w:rsidRPr="009E22FE" w:rsidRDefault="0065716C" w:rsidP="0065716C">
      <w:pPr>
        <w:widowControl w:val="0"/>
        <w:spacing w:after="0" w:line="240" w:lineRule="auto"/>
        <w:ind w:firstLine="0"/>
        <w:rPr>
          <w:rFonts w:ascii="Garamond" w:hAnsi="Garamond"/>
          <w:sz w:val="24"/>
          <w:szCs w:val="24"/>
          <w:lang w:val="sq-AL"/>
        </w:rPr>
      </w:pPr>
      <w:r w:rsidRPr="009E22FE">
        <w:rPr>
          <w:rFonts w:ascii="Garamond" w:hAnsi="Garamond"/>
          <w:noProof/>
          <w:sz w:val="24"/>
          <w:szCs w:val="24"/>
        </w:rPr>
        <w:drawing>
          <wp:inline distT="0" distB="0" distL="0" distR="0">
            <wp:extent cx="6096000" cy="13239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zh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0" cy="1323975"/>
                    </a:xfrm>
                    <a:prstGeom prst="rect">
                      <a:avLst/>
                    </a:prstGeom>
                    <a:noFill/>
                    <a:ln>
                      <a:noFill/>
                    </a:ln>
                  </pic:spPr>
                </pic:pic>
              </a:graphicData>
            </a:graphic>
          </wp:inline>
        </w:drawing>
      </w:r>
    </w:p>
    <w:p w:rsidR="0065716C" w:rsidRPr="009E22FE" w:rsidRDefault="0065716C" w:rsidP="00055077">
      <w:pPr>
        <w:widowControl w:val="0"/>
        <w:spacing w:after="0" w:line="240" w:lineRule="auto"/>
        <w:rPr>
          <w:rFonts w:ascii="Garamond" w:hAnsi="Garamond"/>
          <w:sz w:val="24"/>
          <w:szCs w:val="24"/>
          <w:vertAlign w:val="superscript"/>
          <w:lang w:val="sq-AL"/>
        </w:rPr>
        <w:sectPr w:rsidR="0065716C" w:rsidRPr="009E22FE" w:rsidSect="0065716C">
          <w:type w:val="continuous"/>
          <w:pgSz w:w="11907" w:h="16840"/>
          <w:pgMar w:top="720" w:right="1134" w:bottom="720" w:left="1134" w:header="851" w:footer="851" w:gutter="0"/>
          <w:cols w:space="720"/>
        </w:sectPr>
      </w:pPr>
      <w:r w:rsidRPr="009E22FE">
        <w:rPr>
          <w:rFonts w:ascii="Garamond" w:hAnsi="Garamond"/>
          <w:sz w:val="24"/>
          <w:szCs w:val="24"/>
          <w:vertAlign w:val="superscript"/>
          <w:lang w:val="sq-AL"/>
        </w:rPr>
        <w:t>Burimi. Strategjia dhe plani kombëtar për menaxhimin e mbetjeve, 2010–2025.</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Dy janë metodat e përcaktimit të fuqisë kalorifike të ulët </w:t>
      </w:r>
      <m:oMath>
        <m:sSubSup>
          <m:sSubSupPr>
            <m:ctrlPr>
              <w:rPr>
                <w:rFonts w:ascii="Cambria Math" w:hAnsi="Cambria Math"/>
                <w:i/>
                <w:sz w:val="24"/>
                <w:szCs w:val="24"/>
                <w:lang w:val="sq-AL"/>
              </w:rPr>
            </m:ctrlPr>
          </m:sSubSupPr>
          <m:e>
            <m:r>
              <w:rPr>
                <w:rFonts w:ascii="Cambria Math" w:hAnsi="Cambria Math"/>
                <w:sz w:val="24"/>
                <w:szCs w:val="24"/>
                <w:lang w:val="sq-AL"/>
              </w:rPr>
              <m:t>Q</m:t>
            </m:r>
          </m:e>
          <m:sub>
            <m:r>
              <w:rPr>
                <w:rFonts w:ascii="Cambria Math" w:hAnsi="Cambria Math"/>
                <w:sz w:val="24"/>
                <w:szCs w:val="24"/>
                <w:lang w:val="sq-AL"/>
              </w:rPr>
              <m:t>u</m:t>
            </m:r>
          </m:sub>
          <m:sup>
            <m:r>
              <w:rPr>
                <w:rFonts w:ascii="Cambria Math" w:hAnsi="Cambria Math"/>
                <w:sz w:val="24"/>
                <w:szCs w:val="24"/>
                <w:lang w:val="sq-AL"/>
              </w:rPr>
              <m:t>p</m:t>
            </m:r>
          </m:sup>
        </m:sSubSup>
      </m:oMath>
      <w:r w:rsidRPr="009E22FE">
        <w:rPr>
          <w:rFonts w:ascii="Garamond" w:hAnsi="Garamond"/>
          <w:sz w:val="24"/>
          <w:szCs w:val="24"/>
          <w:lang w:val="sq-AL"/>
        </w:rPr>
        <w:t xml:space="preserve"> , si parametër që ka më shumë rëndësi në rekuperimin e energjisë nëpërmjet përmbajtjes së fuqisë kalorifike të MNU-së:</w:t>
      </w:r>
    </w:p>
    <w:p w:rsidR="0065716C" w:rsidRPr="009E22FE" w:rsidRDefault="0065716C" w:rsidP="0065716C">
      <w:pPr>
        <w:pStyle w:val="ListParagraph"/>
        <w:widowControl w:val="0"/>
        <w:numPr>
          <w:ilvl w:val="0"/>
          <w:numId w:val="35"/>
        </w:numPr>
        <w:spacing w:after="0" w:line="240" w:lineRule="auto"/>
        <w:ind w:left="0" w:firstLine="284"/>
        <w:jc w:val="both"/>
        <w:rPr>
          <w:rFonts w:ascii="Garamond" w:hAnsi="Garamond"/>
          <w:sz w:val="24"/>
          <w:szCs w:val="24"/>
          <w:lang w:val="sq-AL"/>
        </w:rPr>
      </w:pPr>
      <w:r w:rsidRPr="009E22FE">
        <w:rPr>
          <w:rFonts w:ascii="Garamond" w:hAnsi="Garamond"/>
          <w:i/>
          <w:sz w:val="24"/>
          <w:szCs w:val="24"/>
          <w:lang w:val="sq-AL"/>
        </w:rPr>
        <w:t xml:space="preserve"> </w:t>
      </w:r>
      <w:r w:rsidRPr="009E22FE">
        <w:rPr>
          <w:rFonts w:ascii="Garamond" w:hAnsi="Garamond"/>
          <w:sz w:val="24"/>
          <w:szCs w:val="24"/>
          <w:lang w:val="sq-AL"/>
        </w:rPr>
        <w:t>Metoda e parë nuk merr në konsideratë hirin dhe ujin (</w:t>
      </w:r>
      <m:oMath>
        <m:sSubSup>
          <m:sSubSupPr>
            <m:ctrlPr>
              <w:rPr>
                <w:rFonts w:ascii="Cambria Math" w:eastAsia="Calibri" w:hAnsi="Cambria Math"/>
                <w:i/>
                <w:sz w:val="24"/>
                <w:szCs w:val="24"/>
                <w:lang w:val="sq-AL"/>
              </w:rPr>
            </m:ctrlPr>
          </m:sSubSupPr>
          <m:e>
            <m:r>
              <w:rPr>
                <w:rFonts w:ascii="Cambria Math" w:hAnsi="Cambria Math"/>
                <w:sz w:val="24"/>
                <w:szCs w:val="24"/>
                <w:lang w:val="sq-AL"/>
              </w:rPr>
              <m:t>Q</m:t>
            </m:r>
          </m:e>
          <m:sub>
            <m:r>
              <w:rPr>
                <w:rFonts w:ascii="Cambria Math" w:hAnsi="Cambria Math"/>
                <w:sz w:val="24"/>
                <w:szCs w:val="24"/>
                <w:lang w:val="sq-AL"/>
              </w:rPr>
              <m:t>pa (W+A)</m:t>
            </m:r>
          </m:sub>
          <m:sup/>
        </m:sSubSup>
      </m:oMath>
      <w:r w:rsidRPr="009E22FE">
        <w:rPr>
          <w:rFonts w:ascii="Garamond" w:hAnsi="Garamond"/>
          <w:sz w:val="24"/>
          <w:szCs w:val="24"/>
          <w:lang w:val="sq-AL"/>
        </w:rPr>
        <w:t>) dhe shpreh fuqinë kalorifike të ulët të fraksionit të djegshëm e dhënë në kJ/kg (1 kJ = 0.00028 kwh);</w:t>
      </w:r>
    </w:p>
    <w:p w:rsidR="0065716C" w:rsidRPr="009E22FE" w:rsidRDefault="0065716C" w:rsidP="0065716C">
      <w:pPr>
        <w:pStyle w:val="ListParagraph"/>
        <w:widowControl w:val="0"/>
        <w:numPr>
          <w:ilvl w:val="0"/>
          <w:numId w:val="35"/>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Metoda e dytë është mënyra më e saktë për të përcaktuar cilësinë e mbetjeve të ngurta urbane si lëndë djegëse, bazohet në ndarjen e saj, bazuar në përmbajtjen e:</w:t>
      </w:r>
    </w:p>
    <w:p w:rsidR="0065716C" w:rsidRPr="009E22FE" w:rsidRDefault="0065716C" w:rsidP="0065716C">
      <w:pPr>
        <w:pStyle w:val="ListParagraph"/>
        <w:widowControl w:val="0"/>
        <w:numPr>
          <w:ilvl w:val="0"/>
          <w:numId w:val="36"/>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Komponentëve merceologjike (mbetje organike, plastika, letër dhe kartonë, inerte etj.); </w:t>
      </w:r>
    </w:p>
    <w:p w:rsidR="0065716C" w:rsidRPr="009E22FE" w:rsidRDefault="0065716C" w:rsidP="0065716C">
      <w:pPr>
        <w:pStyle w:val="ListParagraph"/>
        <w:widowControl w:val="0"/>
        <w:numPr>
          <w:ilvl w:val="0"/>
          <w:numId w:val="36"/>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Përmbajtjen e ujit (W në %);</w:t>
      </w:r>
    </w:p>
    <w:p w:rsidR="0065716C" w:rsidRPr="009E22FE" w:rsidRDefault="0065716C" w:rsidP="0065716C">
      <w:pPr>
        <w:pStyle w:val="ListParagraph"/>
        <w:widowControl w:val="0"/>
        <w:numPr>
          <w:ilvl w:val="0"/>
          <w:numId w:val="36"/>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Përmbajtjen e hireve (A në %); dhe </w:t>
      </w:r>
    </w:p>
    <w:p w:rsidR="0065716C" w:rsidRPr="009E22FE" w:rsidRDefault="0065716C" w:rsidP="0065716C">
      <w:pPr>
        <w:pStyle w:val="ListParagraph"/>
        <w:widowControl w:val="0"/>
        <w:numPr>
          <w:ilvl w:val="0"/>
          <w:numId w:val="36"/>
        </w:numPr>
        <w:spacing w:after="0" w:line="240" w:lineRule="auto"/>
        <w:ind w:left="0" w:firstLine="284"/>
        <w:jc w:val="both"/>
        <w:rPr>
          <w:rFonts w:ascii="Garamond" w:hAnsi="Garamond"/>
          <w:spacing w:val="-4"/>
          <w:sz w:val="24"/>
          <w:szCs w:val="24"/>
          <w:lang w:val="sq-AL"/>
        </w:rPr>
      </w:pPr>
      <w:r w:rsidRPr="009E22FE">
        <w:rPr>
          <w:rFonts w:ascii="Garamond" w:hAnsi="Garamond"/>
          <w:spacing w:val="-4"/>
          <w:sz w:val="24"/>
          <w:szCs w:val="24"/>
          <w:lang w:val="sq-AL"/>
        </w:rPr>
        <w:t xml:space="preserve"> Përmbajtjen e fraksionit të djegshëm (C në %).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Kostot e impiantit. Kostot e një impianti incenerator për MNU përbëhen nga kostot totale të investimit dhe kostot e operimit dhe të mirëmbajtjes. Kostoja aktuale e investimit për një impiant incenerimi varet nga një numër i madh faktorësh, si: përmasat ose kapaciteti i impiantit, fuqia kalorifike e ulët e mbetjeve, çmimi i blerjes së tokës etj. Kostot e operimit dhe mirëmbajtjes përbëhen nga: </w:t>
      </w:r>
    </w:p>
    <w:p w:rsidR="0065716C" w:rsidRPr="009E22FE" w:rsidRDefault="0065716C" w:rsidP="0065716C">
      <w:pPr>
        <w:pStyle w:val="ListParagraph"/>
        <w:widowControl w:val="0"/>
        <w:spacing w:after="0" w:line="240" w:lineRule="auto"/>
        <w:ind w:left="284"/>
        <w:jc w:val="both"/>
        <w:rPr>
          <w:rFonts w:ascii="Garamond" w:hAnsi="Garamond"/>
          <w:sz w:val="24"/>
          <w:szCs w:val="24"/>
          <w:lang w:val="sq-AL"/>
        </w:rPr>
      </w:pPr>
      <w:r w:rsidRPr="009E22FE">
        <w:rPr>
          <w:rFonts w:ascii="Garamond" w:hAnsi="Garamond"/>
          <w:sz w:val="24"/>
          <w:szCs w:val="24"/>
          <w:lang w:val="sq-AL"/>
        </w:rPr>
        <w:t xml:space="preserve">1. Kostot fikse të operimit; </w:t>
      </w:r>
    </w:p>
    <w:p w:rsidR="0065716C" w:rsidRPr="009E22FE" w:rsidRDefault="0065716C" w:rsidP="0065716C">
      <w:pPr>
        <w:pStyle w:val="ListParagraph"/>
        <w:widowControl w:val="0"/>
        <w:spacing w:after="0" w:line="240" w:lineRule="auto"/>
        <w:ind w:left="284"/>
        <w:jc w:val="both"/>
        <w:rPr>
          <w:rFonts w:ascii="Garamond" w:hAnsi="Garamond"/>
          <w:sz w:val="24"/>
          <w:szCs w:val="24"/>
          <w:lang w:val="sq-AL"/>
        </w:rPr>
      </w:pPr>
      <w:r w:rsidRPr="009E22FE">
        <w:rPr>
          <w:rFonts w:ascii="Garamond" w:hAnsi="Garamond"/>
          <w:sz w:val="24"/>
          <w:szCs w:val="24"/>
          <w:lang w:val="sq-AL"/>
        </w:rPr>
        <w:t xml:space="preserve">2. Kostot variabël të operimit; </w:t>
      </w:r>
    </w:p>
    <w:p w:rsidR="0065716C" w:rsidRPr="009E22FE" w:rsidRDefault="0065716C" w:rsidP="0065716C">
      <w:pPr>
        <w:pStyle w:val="ListParagraph"/>
        <w:widowControl w:val="0"/>
        <w:spacing w:after="0" w:line="240" w:lineRule="auto"/>
        <w:ind w:left="284"/>
        <w:jc w:val="both"/>
        <w:rPr>
          <w:rFonts w:ascii="Garamond" w:hAnsi="Garamond"/>
          <w:sz w:val="24"/>
          <w:szCs w:val="24"/>
          <w:lang w:val="sq-AL"/>
        </w:rPr>
      </w:pPr>
      <w:r w:rsidRPr="009E22FE">
        <w:rPr>
          <w:rFonts w:ascii="Garamond" w:hAnsi="Garamond"/>
          <w:sz w:val="24"/>
          <w:szCs w:val="24"/>
          <w:lang w:val="sq-AL"/>
        </w:rPr>
        <w:t>3. Kostot e mirëmbajtjes.</w:t>
      </w:r>
    </w:p>
    <w:p w:rsidR="0065716C" w:rsidRPr="009E22FE" w:rsidRDefault="0065716C" w:rsidP="00055077">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Incenerimi ose trajtimi me djegie është teknologjia më e drejtpërdrejt dhe e përdorur për rikuperimin e energjisë nga biomasa (pjesët e biodegradueshme) dhe mbetjet e ngurta, dhe përfshin djegien e kësaj mase për të prodhuar nxehtësi, ujë të nxehtë dhe për të gjeneruar avull. Kur bëhet fjalë për gjenerimin e energjisë elektrike nga djegia e mbetjeve të ngurta urbane (MNU), ekonomia e këtyre impianteve ndryshon shumë nga rasti kur si lëndë djegëse përdoret biomasa, sepse, përveç arsyetimit të shpjeguar më lart për veçoritë e MNU-së si lëndë djegëse relativisht lëndëve djegëse të tjera, në vend që impianti incenerator të paguajë për sasinë e mbetjeve të ngurta urbane që vijnë në impiant, këto impiante përfitojnë atë që quhet </w:t>
      </w:r>
      <w:r w:rsidRPr="009E22FE">
        <w:rPr>
          <w:rFonts w:ascii="Garamond" w:hAnsi="Garamond"/>
          <w:i/>
          <w:sz w:val="24"/>
          <w:szCs w:val="24"/>
          <w:lang w:val="sq-AL"/>
        </w:rPr>
        <w:t>gate fee</w:t>
      </w:r>
      <w:r w:rsidRPr="009E22FE">
        <w:rPr>
          <w:rFonts w:ascii="Garamond" w:hAnsi="Garamond"/>
          <w:sz w:val="24"/>
          <w:szCs w:val="24"/>
          <w:lang w:val="sq-AL"/>
        </w:rPr>
        <w:t xml:space="preserve"> si një e ardhur për asgjësimin e mbetjeve, e cila varion sipas vendeve të ndryshme.</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Kostoja e niveluar e energjisë elektrike (LCOE). Kostot e një projekti për prodhimin e energjisë nga një burim energjisë i rinovueshëm përfshijnë koston e financimit, si dhe koston e pajisjeve, instalimit, operimit dhe mirëmbajtjes, si dhe koston e lëndëve djegëse. Për çdo teknologji, katër parametrat kryesorë që ndikojnë te kostoja e prodhimit janë:</w:t>
      </w:r>
    </w:p>
    <w:p w:rsidR="0065716C" w:rsidRPr="009E22FE" w:rsidRDefault="0065716C" w:rsidP="0065716C">
      <w:pPr>
        <w:pStyle w:val="ListParagraph"/>
        <w:widowControl w:val="0"/>
        <w:numPr>
          <w:ilvl w:val="0"/>
          <w:numId w:val="37"/>
        </w:numPr>
        <w:spacing w:after="0" w:line="240" w:lineRule="auto"/>
        <w:ind w:left="0" w:firstLine="284"/>
        <w:jc w:val="both"/>
        <w:rPr>
          <w:rFonts w:ascii="Garamond" w:hAnsi="Garamond"/>
          <w:spacing w:val="-4"/>
          <w:sz w:val="24"/>
          <w:szCs w:val="24"/>
          <w:lang w:val="sq-AL"/>
        </w:rPr>
      </w:pPr>
      <w:r w:rsidRPr="009E22FE">
        <w:rPr>
          <w:rFonts w:ascii="Garamond" w:hAnsi="Garamond"/>
          <w:spacing w:val="-4"/>
          <w:sz w:val="24"/>
          <w:szCs w:val="24"/>
          <w:lang w:val="sq-AL"/>
        </w:rPr>
        <w:t xml:space="preserve"> Shpenzimet ose kostoja kapitale të investimit, C</w:t>
      </w:r>
      <w:r w:rsidRPr="009E22FE">
        <w:rPr>
          <w:rFonts w:ascii="Garamond" w:hAnsi="Garamond"/>
          <w:spacing w:val="-4"/>
          <w:sz w:val="24"/>
          <w:szCs w:val="24"/>
          <w:vertAlign w:val="subscript"/>
          <w:lang w:val="sq-AL"/>
        </w:rPr>
        <w:t>I</w:t>
      </w:r>
      <w:r w:rsidRPr="009E22FE">
        <w:rPr>
          <w:rFonts w:ascii="Garamond" w:hAnsi="Garamond"/>
          <w:spacing w:val="-4"/>
          <w:sz w:val="24"/>
          <w:szCs w:val="24"/>
          <w:lang w:val="sq-AL"/>
        </w:rPr>
        <w:t>, kjo kosto përfshin koston totale për zhvillimin dhe ndërtimin e impiantit, përveç kostove për lidhjen me rrjetin e energjisë elektrike;</w:t>
      </w:r>
    </w:p>
    <w:p w:rsidR="0065716C" w:rsidRPr="009E22FE" w:rsidRDefault="0065716C" w:rsidP="0065716C">
      <w:pPr>
        <w:pStyle w:val="ListParagraph"/>
        <w:widowControl w:val="0"/>
        <w:numPr>
          <w:ilvl w:val="0"/>
          <w:numId w:val="37"/>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Kostoja e operimit, C</w:t>
      </w:r>
      <w:r w:rsidRPr="009E22FE">
        <w:rPr>
          <w:rFonts w:ascii="Garamond" w:hAnsi="Garamond"/>
          <w:sz w:val="24"/>
          <w:szCs w:val="24"/>
          <w:vertAlign w:val="subscript"/>
          <w:lang w:val="sq-AL"/>
        </w:rPr>
        <w:t>O&amp;M</w:t>
      </w:r>
      <w:r w:rsidRPr="009E22FE">
        <w:rPr>
          <w:rFonts w:ascii="Garamond" w:hAnsi="Garamond"/>
          <w:sz w:val="24"/>
          <w:szCs w:val="24"/>
          <w:lang w:val="sq-AL"/>
        </w:rPr>
        <w:t xml:space="preserve"> përfshin shpenzimet totale vjetore të operimit që nga viti i parë i operimit të projektit, për njësi të kapacitetit të instaluar;</w:t>
      </w:r>
    </w:p>
    <w:p w:rsidR="0065716C" w:rsidRPr="009E22FE" w:rsidRDefault="0065716C" w:rsidP="0065716C">
      <w:pPr>
        <w:pStyle w:val="ListParagraph"/>
        <w:widowControl w:val="0"/>
        <w:numPr>
          <w:ilvl w:val="0"/>
          <w:numId w:val="37"/>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Faktori i ngarkesës është raporti midis sasisë së energjisë elektrike të gjeneruar në mwh në një vit të dhënë, ndaj energjisë elektrike, që do të gjenerohej për punë me ngarkesë të plotë dhe të vazhduar gjatë një viti ose për 8760 orë të plota;</w:t>
      </w:r>
    </w:p>
    <w:p w:rsidR="0065716C" w:rsidRPr="009E22FE" w:rsidRDefault="0065716C" w:rsidP="0065716C">
      <w:pPr>
        <w:pStyle w:val="ListParagraph"/>
        <w:widowControl w:val="0"/>
        <w:numPr>
          <w:ilvl w:val="0"/>
          <w:numId w:val="37"/>
        </w:numPr>
        <w:spacing w:after="0" w:line="240" w:lineRule="auto"/>
        <w:ind w:left="0" w:firstLine="284"/>
        <w:jc w:val="both"/>
        <w:rPr>
          <w:rFonts w:ascii="Garamond" w:hAnsi="Garamond"/>
          <w:sz w:val="24"/>
          <w:szCs w:val="24"/>
          <w:lang w:val="sq-AL"/>
        </w:rPr>
      </w:pPr>
      <w:r w:rsidRPr="009E22FE">
        <w:rPr>
          <w:rFonts w:ascii="Garamond" w:hAnsi="Garamond"/>
          <w:sz w:val="24"/>
          <w:szCs w:val="24"/>
          <w:lang w:val="sq-AL"/>
        </w:rPr>
        <w:t xml:space="preserve"> Kostoja e niveluar e energjisë elektrike (</w:t>
      </w:r>
      <w:r w:rsidRPr="009E22FE">
        <w:rPr>
          <w:rFonts w:ascii="Garamond" w:hAnsi="Garamond"/>
          <w:i/>
          <w:sz w:val="24"/>
          <w:szCs w:val="24"/>
          <w:lang w:val="sq-AL"/>
        </w:rPr>
        <w:t>Levelised Cost of Electricity - LCOE</w:t>
      </w:r>
      <w:r w:rsidRPr="009E22FE">
        <w:rPr>
          <w:rFonts w:ascii="Garamond" w:hAnsi="Garamond"/>
          <w:sz w:val="24"/>
          <w:szCs w:val="24"/>
          <w:lang w:val="sq-AL"/>
        </w:rPr>
        <w:t>) shprehur në USD ose euro/mwh, përfaqëson koston totale gjatë ciklit të jetës për prodhimin e një mwh fuqi, duke përdorur një teknologji të caktuar. LCOE llogaritet me shprehjen:</w:t>
      </w:r>
    </w:p>
    <w:p w:rsidR="0065716C" w:rsidRPr="009E22FE" w:rsidRDefault="0065716C" w:rsidP="0065716C">
      <w:pPr>
        <w:widowControl w:val="0"/>
        <w:spacing w:after="0" w:line="240" w:lineRule="auto"/>
        <w:rPr>
          <w:rFonts w:ascii="Garamond" w:hAnsi="Garamond"/>
          <w:sz w:val="24"/>
          <w:szCs w:val="24"/>
          <w:lang w:val="sq-AL"/>
        </w:rPr>
      </w:pPr>
      <m:oMath>
        <m:r>
          <w:rPr>
            <w:rFonts w:ascii="Cambria Math" w:hAnsi="Cambria Math"/>
            <w:sz w:val="24"/>
            <w:szCs w:val="24"/>
            <w:lang w:val="sq-AL"/>
          </w:rPr>
          <m:t>LCOE</m:t>
        </m:r>
        <m:r>
          <m:rPr>
            <m:sty m:val="p"/>
          </m:rPr>
          <w:rPr>
            <w:rFonts w:ascii="Cambria Math" w:hAnsi="Cambria Math"/>
            <w:sz w:val="24"/>
            <w:szCs w:val="24"/>
            <w:lang w:val="sq-AL"/>
          </w:rPr>
          <m:t xml:space="preserve">= </m:t>
        </m:r>
        <m:f>
          <m:fPr>
            <m:ctrlPr>
              <w:rPr>
                <w:rFonts w:ascii="Cambria Math" w:hAnsi="Cambria Math"/>
                <w:sz w:val="24"/>
                <w:szCs w:val="24"/>
                <w:lang w:val="sq-AL"/>
              </w:rPr>
            </m:ctrlPr>
          </m:fPr>
          <m:num>
            <m:nary>
              <m:naryPr>
                <m:chr m:val="∑"/>
                <m:limLoc m:val="undOvr"/>
                <m:ctrlPr>
                  <w:rPr>
                    <w:rFonts w:ascii="Cambria Math" w:hAnsi="Cambria Math"/>
                    <w:sz w:val="24"/>
                    <w:szCs w:val="24"/>
                    <w:lang w:val="sq-AL"/>
                  </w:rPr>
                </m:ctrlPr>
              </m:naryPr>
              <m:sub>
                <m:r>
                  <w:rPr>
                    <w:rFonts w:ascii="Cambria Math" w:hAnsi="Cambria Math"/>
                    <w:sz w:val="24"/>
                    <w:szCs w:val="24"/>
                    <w:lang w:val="sq-AL"/>
                  </w:rPr>
                  <m:t>t</m:t>
                </m:r>
                <m:r>
                  <m:rPr>
                    <m:sty m:val="p"/>
                  </m:rPr>
                  <w:rPr>
                    <w:rFonts w:ascii="Cambria Math" w:hAnsi="Cambria Math"/>
                    <w:sz w:val="24"/>
                    <w:szCs w:val="24"/>
                    <w:lang w:val="sq-AL"/>
                  </w:rPr>
                  <m:t>=0</m:t>
                </m:r>
              </m:sub>
              <m:sup>
                <m:r>
                  <w:rPr>
                    <w:rFonts w:ascii="Cambria Math" w:hAnsi="Cambria Math"/>
                    <w:sz w:val="24"/>
                    <w:szCs w:val="24"/>
                    <w:lang w:val="sq-AL"/>
                  </w:rPr>
                  <m:t>n</m:t>
                </m:r>
              </m:sup>
              <m:e>
                <m:f>
                  <m:fPr>
                    <m:ctrlPr>
                      <w:rPr>
                        <w:rFonts w:ascii="Cambria Math" w:hAnsi="Cambria Math"/>
                        <w:sz w:val="24"/>
                        <w:szCs w:val="24"/>
                        <w:lang w:val="sq-AL"/>
                      </w:rPr>
                    </m:ctrlPr>
                  </m:fPr>
                  <m:num>
                    <m:sSub>
                      <m:sSubPr>
                        <m:ctrlPr>
                          <w:rPr>
                            <w:rFonts w:ascii="Cambria Math" w:hAnsi="Cambria Math"/>
                            <w:sz w:val="24"/>
                            <w:szCs w:val="24"/>
                            <w:lang w:val="sq-AL"/>
                          </w:rPr>
                        </m:ctrlPr>
                      </m:sSubPr>
                      <m:e>
                        <m:r>
                          <w:rPr>
                            <w:rFonts w:ascii="Cambria Math" w:hAnsi="Cambria Math"/>
                            <w:sz w:val="24"/>
                            <w:szCs w:val="24"/>
                            <w:lang w:val="sq-AL"/>
                          </w:rPr>
                          <m:t>C</m:t>
                        </m:r>
                      </m:e>
                      <m:sub>
                        <m:r>
                          <w:rPr>
                            <w:rFonts w:ascii="Cambria Math" w:hAnsi="Cambria Math"/>
                            <w:sz w:val="24"/>
                            <w:szCs w:val="24"/>
                            <w:lang w:val="sq-AL"/>
                          </w:rPr>
                          <m:t>I</m:t>
                        </m:r>
                        <m:r>
                          <m:rPr>
                            <m:sty m:val="p"/>
                          </m:rPr>
                          <w:rPr>
                            <w:rFonts w:ascii="Cambria Math" w:hAnsi="Cambria Math"/>
                            <w:sz w:val="24"/>
                            <w:szCs w:val="24"/>
                            <w:lang w:val="sq-AL"/>
                          </w:rPr>
                          <m:t>,</m:t>
                        </m:r>
                        <m:r>
                          <w:rPr>
                            <w:rFonts w:ascii="Cambria Math" w:hAnsi="Cambria Math"/>
                            <w:sz w:val="24"/>
                            <w:szCs w:val="24"/>
                            <w:lang w:val="sq-AL"/>
                          </w:rPr>
                          <m:t>t</m:t>
                        </m:r>
                      </m:sub>
                    </m:sSub>
                    <m:r>
                      <m:rPr>
                        <m:sty m:val="p"/>
                      </m:rPr>
                      <w:rPr>
                        <w:rFonts w:ascii="Cambria Math" w:hAnsi="Cambria Math"/>
                        <w:sz w:val="24"/>
                        <w:szCs w:val="24"/>
                        <w:lang w:val="sq-AL"/>
                      </w:rPr>
                      <m:t>+</m:t>
                    </m:r>
                    <m:sSub>
                      <m:sSubPr>
                        <m:ctrlPr>
                          <w:rPr>
                            <w:rFonts w:ascii="Cambria Math" w:hAnsi="Cambria Math"/>
                            <w:sz w:val="24"/>
                            <w:szCs w:val="24"/>
                            <w:lang w:val="sq-AL"/>
                          </w:rPr>
                        </m:ctrlPr>
                      </m:sSubPr>
                      <m:e>
                        <m:r>
                          <w:rPr>
                            <w:rFonts w:ascii="Cambria Math" w:hAnsi="Cambria Math"/>
                            <w:sz w:val="24"/>
                            <w:szCs w:val="24"/>
                            <w:lang w:val="sq-AL"/>
                          </w:rPr>
                          <m:t>C</m:t>
                        </m:r>
                      </m:e>
                      <m:sub>
                        <m:r>
                          <w:rPr>
                            <w:rFonts w:ascii="Cambria Math" w:hAnsi="Cambria Math"/>
                            <w:sz w:val="24"/>
                            <w:szCs w:val="24"/>
                            <w:lang w:val="sq-AL"/>
                          </w:rPr>
                          <m:t>l</m:t>
                        </m:r>
                        <m:r>
                          <m:rPr>
                            <m:sty m:val="p"/>
                          </m:rPr>
                          <w:rPr>
                            <w:rFonts w:ascii="Cambria Math" w:hAnsi="Cambria Math"/>
                            <w:sz w:val="24"/>
                            <w:szCs w:val="24"/>
                            <w:lang w:val="sq-AL"/>
                          </w:rPr>
                          <m:t>.</m:t>
                        </m:r>
                        <m:r>
                          <w:rPr>
                            <w:rFonts w:ascii="Cambria Math" w:hAnsi="Cambria Math"/>
                            <w:sz w:val="24"/>
                            <w:szCs w:val="24"/>
                            <w:lang w:val="sq-AL"/>
                          </w:rPr>
                          <m:t>djeg</m:t>
                        </m:r>
                        <m:r>
                          <m:rPr>
                            <m:sty m:val="p"/>
                          </m:rPr>
                          <w:rPr>
                            <w:rFonts w:ascii="Cambria Math" w:hAnsi="Cambria Math"/>
                            <w:sz w:val="24"/>
                            <w:szCs w:val="24"/>
                            <w:lang w:val="sq-AL"/>
                          </w:rPr>
                          <m:t>,</m:t>
                        </m:r>
                        <m:r>
                          <w:rPr>
                            <w:rFonts w:ascii="Cambria Math" w:hAnsi="Cambria Math"/>
                            <w:sz w:val="24"/>
                            <w:szCs w:val="24"/>
                            <w:lang w:val="sq-AL"/>
                          </w:rPr>
                          <m:t>t</m:t>
                        </m:r>
                      </m:sub>
                    </m:sSub>
                    <m:r>
                      <m:rPr>
                        <m:sty m:val="p"/>
                      </m:rPr>
                      <w:rPr>
                        <w:rFonts w:ascii="Cambria Math" w:hAnsi="Cambria Math"/>
                        <w:sz w:val="24"/>
                        <w:szCs w:val="24"/>
                        <w:lang w:val="sq-AL"/>
                      </w:rPr>
                      <m:t>+</m:t>
                    </m:r>
                    <m:sSub>
                      <m:sSubPr>
                        <m:ctrlPr>
                          <w:rPr>
                            <w:rFonts w:ascii="Cambria Math" w:hAnsi="Cambria Math"/>
                            <w:sz w:val="24"/>
                            <w:szCs w:val="24"/>
                            <w:lang w:val="sq-AL"/>
                          </w:rPr>
                        </m:ctrlPr>
                      </m:sSubPr>
                      <m:e>
                        <m:r>
                          <w:rPr>
                            <w:rFonts w:ascii="Cambria Math" w:hAnsi="Cambria Math"/>
                            <w:sz w:val="24"/>
                            <w:szCs w:val="24"/>
                            <w:lang w:val="sq-AL"/>
                          </w:rPr>
                          <m:t>C</m:t>
                        </m:r>
                      </m:e>
                      <m:sub>
                        <m:r>
                          <w:rPr>
                            <w:rFonts w:ascii="Cambria Math" w:hAnsi="Cambria Math"/>
                            <w:sz w:val="24"/>
                            <w:szCs w:val="24"/>
                            <w:lang w:val="sq-AL"/>
                          </w:rPr>
                          <m:t>O</m:t>
                        </m:r>
                        <m:r>
                          <m:rPr>
                            <m:sty m:val="p"/>
                          </m:rPr>
                          <w:rPr>
                            <w:rFonts w:ascii="Cambria Math" w:hAnsi="Cambria Math"/>
                            <w:sz w:val="24"/>
                            <w:szCs w:val="24"/>
                            <w:lang w:val="sq-AL"/>
                          </w:rPr>
                          <m:t>&amp;</m:t>
                        </m:r>
                        <m:r>
                          <w:rPr>
                            <w:rFonts w:ascii="Cambria Math" w:hAnsi="Cambria Math"/>
                            <w:sz w:val="24"/>
                            <w:szCs w:val="24"/>
                            <w:lang w:val="sq-AL"/>
                          </w:rPr>
                          <m:t>M</m:t>
                        </m:r>
                        <m:r>
                          <m:rPr>
                            <m:sty m:val="p"/>
                          </m:rPr>
                          <w:rPr>
                            <w:rFonts w:ascii="Cambria Math" w:hAnsi="Cambria Math"/>
                            <w:sz w:val="24"/>
                            <w:szCs w:val="24"/>
                            <w:lang w:val="sq-AL"/>
                          </w:rPr>
                          <m:t>,</m:t>
                        </m:r>
                        <m:r>
                          <w:rPr>
                            <w:rFonts w:ascii="Cambria Math" w:hAnsi="Cambria Math"/>
                            <w:sz w:val="24"/>
                            <w:szCs w:val="24"/>
                            <w:lang w:val="sq-AL"/>
                          </w:rPr>
                          <m:t>t</m:t>
                        </m:r>
                      </m:sub>
                    </m:sSub>
                  </m:num>
                  <m:den>
                    <m:sSup>
                      <m:sSupPr>
                        <m:ctrlPr>
                          <w:rPr>
                            <w:rFonts w:ascii="Cambria Math" w:hAnsi="Cambria Math"/>
                            <w:sz w:val="24"/>
                            <w:szCs w:val="24"/>
                            <w:lang w:val="sq-AL"/>
                          </w:rPr>
                        </m:ctrlPr>
                      </m:sSupPr>
                      <m:e>
                        <m:r>
                          <m:rPr>
                            <m:sty m:val="p"/>
                          </m:rPr>
                          <w:rPr>
                            <w:rFonts w:ascii="Cambria Math" w:hAnsi="Cambria Math"/>
                            <w:sz w:val="24"/>
                            <w:szCs w:val="24"/>
                            <w:lang w:val="sq-AL"/>
                          </w:rPr>
                          <m:t>(1+</m:t>
                        </m:r>
                        <m:r>
                          <w:rPr>
                            <w:rFonts w:ascii="Cambria Math" w:hAnsi="Cambria Math"/>
                            <w:sz w:val="24"/>
                            <w:szCs w:val="24"/>
                            <w:lang w:val="sq-AL"/>
                          </w:rPr>
                          <m:t>r</m:t>
                        </m:r>
                        <m:r>
                          <m:rPr>
                            <m:sty m:val="p"/>
                          </m:rPr>
                          <w:rPr>
                            <w:rFonts w:ascii="Cambria Math" w:hAnsi="Cambria Math"/>
                            <w:sz w:val="24"/>
                            <w:szCs w:val="24"/>
                            <w:lang w:val="sq-AL"/>
                          </w:rPr>
                          <m:t>)</m:t>
                        </m:r>
                      </m:e>
                      <m:sup>
                        <m:r>
                          <w:rPr>
                            <w:rFonts w:ascii="Cambria Math" w:hAnsi="Cambria Math"/>
                            <w:sz w:val="24"/>
                            <w:szCs w:val="24"/>
                            <w:lang w:val="sq-AL"/>
                          </w:rPr>
                          <m:t>t</m:t>
                        </m:r>
                      </m:sup>
                    </m:sSup>
                  </m:den>
                </m:f>
              </m:e>
            </m:nary>
          </m:num>
          <m:den>
            <m:nary>
              <m:naryPr>
                <m:chr m:val="∑"/>
                <m:limLoc m:val="undOvr"/>
                <m:ctrlPr>
                  <w:rPr>
                    <w:rFonts w:ascii="Cambria Math" w:hAnsi="Cambria Math"/>
                    <w:sz w:val="24"/>
                    <w:szCs w:val="24"/>
                    <w:lang w:val="sq-AL"/>
                  </w:rPr>
                </m:ctrlPr>
              </m:naryPr>
              <m:sub>
                <m:r>
                  <w:rPr>
                    <w:rFonts w:ascii="Cambria Math" w:hAnsi="Cambria Math"/>
                    <w:sz w:val="24"/>
                    <w:szCs w:val="24"/>
                    <w:lang w:val="sq-AL"/>
                  </w:rPr>
                  <m:t>t</m:t>
                </m:r>
                <m:r>
                  <m:rPr>
                    <m:sty m:val="p"/>
                  </m:rPr>
                  <w:rPr>
                    <w:rFonts w:ascii="Cambria Math" w:hAnsi="Cambria Math"/>
                    <w:sz w:val="24"/>
                    <w:szCs w:val="24"/>
                    <w:lang w:val="sq-AL"/>
                  </w:rPr>
                  <m:t>=0</m:t>
                </m:r>
              </m:sub>
              <m:sup>
                <m:r>
                  <w:rPr>
                    <w:rFonts w:ascii="Cambria Math" w:hAnsi="Cambria Math"/>
                    <w:sz w:val="24"/>
                    <w:szCs w:val="24"/>
                    <w:lang w:val="sq-AL"/>
                  </w:rPr>
                  <m:t>n</m:t>
                </m:r>
              </m:sup>
              <m:e>
                <m:f>
                  <m:fPr>
                    <m:ctrlPr>
                      <w:rPr>
                        <w:rFonts w:ascii="Cambria Math" w:hAnsi="Cambria Math"/>
                        <w:sz w:val="24"/>
                        <w:szCs w:val="24"/>
                        <w:lang w:val="sq-AL"/>
                      </w:rPr>
                    </m:ctrlPr>
                  </m:fPr>
                  <m:num>
                    <m:sSub>
                      <m:sSubPr>
                        <m:ctrlPr>
                          <w:rPr>
                            <w:rFonts w:ascii="Cambria Math" w:hAnsi="Cambria Math"/>
                            <w:sz w:val="24"/>
                            <w:szCs w:val="24"/>
                            <w:lang w:val="sq-AL"/>
                          </w:rPr>
                        </m:ctrlPr>
                      </m:sSubPr>
                      <m:e>
                        <m:r>
                          <w:rPr>
                            <w:rFonts w:ascii="Cambria Math" w:hAnsi="Cambria Math"/>
                            <w:sz w:val="24"/>
                            <w:szCs w:val="24"/>
                            <w:lang w:val="sq-AL"/>
                          </w:rPr>
                          <m:t>E</m:t>
                        </m:r>
                      </m:e>
                      <m:sub>
                        <m:r>
                          <w:rPr>
                            <w:rFonts w:ascii="Cambria Math" w:hAnsi="Cambria Math"/>
                            <w:sz w:val="24"/>
                            <w:szCs w:val="24"/>
                            <w:lang w:val="sq-AL"/>
                          </w:rPr>
                          <m:t>t</m:t>
                        </m:r>
                      </m:sub>
                    </m:sSub>
                  </m:num>
                  <m:den>
                    <m:sSup>
                      <m:sSupPr>
                        <m:ctrlPr>
                          <w:rPr>
                            <w:rFonts w:ascii="Cambria Math" w:hAnsi="Cambria Math"/>
                            <w:sz w:val="24"/>
                            <w:szCs w:val="24"/>
                            <w:lang w:val="sq-AL"/>
                          </w:rPr>
                        </m:ctrlPr>
                      </m:sSupPr>
                      <m:e>
                        <m:r>
                          <m:rPr>
                            <m:sty m:val="p"/>
                          </m:rPr>
                          <w:rPr>
                            <w:rFonts w:ascii="Cambria Math" w:hAnsi="Cambria Math"/>
                            <w:sz w:val="24"/>
                            <w:szCs w:val="24"/>
                            <w:lang w:val="sq-AL"/>
                          </w:rPr>
                          <m:t>(1+</m:t>
                        </m:r>
                        <m:r>
                          <w:rPr>
                            <w:rFonts w:ascii="Cambria Math" w:hAnsi="Cambria Math"/>
                            <w:sz w:val="24"/>
                            <w:szCs w:val="24"/>
                            <w:lang w:val="sq-AL"/>
                          </w:rPr>
                          <m:t>r</m:t>
                        </m:r>
                        <m:r>
                          <m:rPr>
                            <m:sty m:val="p"/>
                          </m:rPr>
                          <w:rPr>
                            <w:rFonts w:ascii="Cambria Math" w:hAnsi="Cambria Math"/>
                            <w:sz w:val="24"/>
                            <w:szCs w:val="24"/>
                            <w:lang w:val="sq-AL"/>
                          </w:rPr>
                          <m:t>)</m:t>
                        </m:r>
                      </m:e>
                      <m:sup>
                        <m:r>
                          <w:rPr>
                            <w:rFonts w:ascii="Cambria Math" w:hAnsi="Cambria Math"/>
                            <w:sz w:val="24"/>
                            <w:szCs w:val="24"/>
                            <w:lang w:val="sq-AL"/>
                          </w:rPr>
                          <m:t>t</m:t>
                        </m:r>
                      </m:sup>
                    </m:sSup>
                  </m:den>
                </m:f>
              </m:e>
            </m:nary>
          </m:den>
        </m:f>
      </m:oMath>
      <w:r w:rsidRPr="009E22FE">
        <w:rPr>
          <w:rFonts w:ascii="Garamond" w:hAnsi="Garamond"/>
          <w:sz w:val="24"/>
          <w:szCs w:val="24"/>
          <w:lang w:val="sq-AL"/>
        </w:rPr>
        <w:tab/>
      </w:r>
      <w:r w:rsidRPr="009E22FE">
        <w:rPr>
          <w:rFonts w:ascii="Garamond" w:hAnsi="Garamond"/>
          <w:sz w:val="24"/>
          <w:szCs w:val="24"/>
          <w:lang w:val="sq-AL"/>
        </w:rPr>
        <w:tab/>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LCOE është çmimi që duhet të paguhet për një njësi </w:t>
      </w:r>
      <w:r w:rsidRPr="009E22FE">
        <w:rPr>
          <w:rFonts w:ascii="Garamond" w:hAnsi="Garamond"/>
          <w:i/>
          <w:sz w:val="24"/>
          <w:szCs w:val="24"/>
          <w:lang w:val="sq-AL"/>
        </w:rPr>
        <w:t>output</w:t>
      </w:r>
      <w:r w:rsidRPr="009E22FE">
        <w:rPr>
          <w:rFonts w:ascii="Garamond" w:hAnsi="Garamond"/>
          <w:sz w:val="24"/>
          <w:szCs w:val="24"/>
          <w:lang w:val="sq-AL"/>
        </w:rPr>
        <w:t xml:space="preserve"> si pagesë për fuqinë e prodhuar, me qëllim që të arrihet një rikthim financiar i caktuar ose të vendoset thjesht çmimi që projekti duhet të fitojë për mwh, me qëllim që të arrihet </w:t>
      </w:r>
      <w:r w:rsidRPr="009E22FE">
        <w:rPr>
          <w:rFonts w:ascii="Garamond" w:hAnsi="Garamond"/>
          <w:i/>
          <w:sz w:val="24"/>
          <w:szCs w:val="24"/>
          <w:lang w:val="sq-AL"/>
        </w:rPr>
        <w:t>break-even</w:t>
      </w:r>
      <w:r w:rsidRPr="009E22FE">
        <w:rPr>
          <w:rFonts w:ascii="Garamond" w:hAnsi="Garamond"/>
          <w:sz w:val="24"/>
          <w:szCs w:val="24"/>
          <w:lang w:val="sq-AL"/>
        </w:rPr>
        <w:t xml:space="preserve"> ose të ardhurat të barazojnë kostot e prodhimit.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Parametrat kritikë të kërkuar për të llogaritur LCOE për sistemet e gjenerimit të fuqisë nga biomasa dhe mbetjet e ngurta janë: </w:t>
      </w:r>
    </w:p>
    <w:p w:rsidR="0065716C" w:rsidRPr="009E22FE" w:rsidRDefault="0065716C" w:rsidP="0065716C">
      <w:pPr>
        <w:pStyle w:val="ListParagraph"/>
        <w:widowControl w:val="0"/>
        <w:spacing w:after="0" w:line="240" w:lineRule="auto"/>
        <w:ind w:left="284"/>
        <w:jc w:val="both"/>
        <w:rPr>
          <w:rFonts w:ascii="Garamond" w:hAnsi="Garamond"/>
          <w:sz w:val="24"/>
          <w:szCs w:val="24"/>
          <w:lang w:val="sq-AL"/>
        </w:rPr>
      </w:pPr>
      <w:r w:rsidRPr="009E22FE">
        <w:rPr>
          <w:rFonts w:ascii="Garamond" w:hAnsi="Garamond"/>
          <w:sz w:val="24"/>
          <w:szCs w:val="24"/>
          <w:lang w:val="sq-AL"/>
        </w:rPr>
        <w:t>1. Kosto kapitale të investimit fillestar (C</w:t>
      </w:r>
      <w:r w:rsidRPr="009E22FE">
        <w:rPr>
          <w:rFonts w:ascii="Garamond" w:hAnsi="Garamond"/>
          <w:sz w:val="24"/>
          <w:szCs w:val="24"/>
          <w:vertAlign w:val="subscript"/>
          <w:lang w:val="sq-AL"/>
        </w:rPr>
        <w:t>I</w:t>
      </w:r>
      <w:r w:rsidRPr="009E22FE">
        <w:rPr>
          <w:rFonts w:ascii="Garamond" w:hAnsi="Garamond"/>
          <w:sz w:val="24"/>
          <w:szCs w:val="24"/>
          <w:lang w:val="sq-AL"/>
        </w:rPr>
        <w:t>);</w:t>
      </w:r>
    </w:p>
    <w:p w:rsidR="0065716C" w:rsidRPr="009E22FE" w:rsidRDefault="0065716C" w:rsidP="0065716C">
      <w:pPr>
        <w:pStyle w:val="ListParagraph"/>
        <w:widowControl w:val="0"/>
        <w:spacing w:after="0" w:line="240" w:lineRule="auto"/>
        <w:ind w:left="284"/>
        <w:jc w:val="both"/>
        <w:rPr>
          <w:rFonts w:ascii="Garamond" w:hAnsi="Garamond"/>
          <w:sz w:val="24"/>
          <w:szCs w:val="24"/>
          <w:lang w:val="sq-AL"/>
        </w:rPr>
      </w:pPr>
      <w:r w:rsidRPr="009E22FE">
        <w:rPr>
          <w:rFonts w:ascii="Garamond" w:hAnsi="Garamond"/>
          <w:sz w:val="24"/>
          <w:szCs w:val="24"/>
          <w:lang w:val="sq-AL"/>
        </w:rPr>
        <w:t>2. Norma e aktualizimit (r në %);</w:t>
      </w:r>
    </w:p>
    <w:p w:rsidR="0065716C" w:rsidRPr="009E22FE" w:rsidRDefault="0065716C" w:rsidP="0065716C">
      <w:pPr>
        <w:pStyle w:val="ListParagraph"/>
        <w:widowControl w:val="0"/>
        <w:spacing w:after="0" w:line="240" w:lineRule="auto"/>
        <w:ind w:left="284"/>
        <w:jc w:val="both"/>
        <w:rPr>
          <w:rFonts w:ascii="Garamond" w:hAnsi="Garamond"/>
          <w:sz w:val="24"/>
          <w:szCs w:val="24"/>
          <w:lang w:val="sq-AL"/>
        </w:rPr>
      </w:pPr>
      <w:r w:rsidRPr="009E22FE">
        <w:rPr>
          <w:rFonts w:ascii="Garamond" w:hAnsi="Garamond"/>
          <w:sz w:val="24"/>
          <w:szCs w:val="24"/>
          <w:lang w:val="sq-AL"/>
        </w:rPr>
        <w:t>3. Jeta ekonomike e impiantit (n);</w:t>
      </w:r>
    </w:p>
    <w:p w:rsidR="0065716C" w:rsidRPr="009E22FE" w:rsidRDefault="0065716C" w:rsidP="0065716C">
      <w:pPr>
        <w:pStyle w:val="ListParagraph"/>
        <w:widowControl w:val="0"/>
        <w:spacing w:after="0" w:line="240" w:lineRule="auto"/>
        <w:ind w:left="284"/>
        <w:jc w:val="both"/>
        <w:rPr>
          <w:rFonts w:ascii="Garamond" w:hAnsi="Garamond"/>
          <w:sz w:val="24"/>
          <w:szCs w:val="24"/>
          <w:lang w:val="sq-AL"/>
        </w:rPr>
      </w:pPr>
      <w:r w:rsidRPr="009E22FE">
        <w:rPr>
          <w:rFonts w:ascii="Garamond" w:hAnsi="Garamond"/>
          <w:sz w:val="24"/>
          <w:szCs w:val="24"/>
          <w:lang w:val="sq-AL"/>
        </w:rPr>
        <w:t>4. Kosto për materialin e djegshëm (C</w:t>
      </w:r>
      <w:r w:rsidRPr="009E22FE">
        <w:rPr>
          <w:rFonts w:ascii="Garamond" w:hAnsi="Garamond"/>
          <w:sz w:val="24"/>
          <w:szCs w:val="24"/>
          <w:vertAlign w:val="subscript"/>
          <w:lang w:val="sq-AL"/>
        </w:rPr>
        <w:t>mat. të djegshëm</w:t>
      </w:r>
      <w:r w:rsidRPr="009E22FE">
        <w:rPr>
          <w:rFonts w:ascii="Garamond" w:hAnsi="Garamond"/>
          <w:sz w:val="24"/>
          <w:szCs w:val="24"/>
          <w:lang w:val="sq-AL"/>
        </w:rPr>
        <w:t>);</w:t>
      </w:r>
    </w:p>
    <w:p w:rsidR="0065716C" w:rsidRPr="009E22FE" w:rsidRDefault="0065716C" w:rsidP="0065716C">
      <w:pPr>
        <w:pStyle w:val="ListParagraph"/>
        <w:widowControl w:val="0"/>
        <w:spacing w:after="0" w:line="240" w:lineRule="auto"/>
        <w:ind w:left="284"/>
        <w:jc w:val="both"/>
        <w:rPr>
          <w:rFonts w:ascii="Garamond" w:hAnsi="Garamond"/>
          <w:sz w:val="24"/>
          <w:szCs w:val="24"/>
          <w:lang w:val="sq-AL"/>
        </w:rPr>
      </w:pPr>
      <w:r w:rsidRPr="009E22FE">
        <w:rPr>
          <w:rFonts w:ascii="Garamond" w:hAnsi="Garamond"/>
          <w:sz w:val="24"/>
          <w:szCs w:val="24"/>
          <w:lang w:val="sq-AL"/>
        </w:rPr>
        <w:t>5. Kostot e operimit dhe të mirëmbajtjes (C</w:t>
      </w:r>
      <w:r w:rsidRPr="009E22FE">
        <w:rPr>
          <w:rFonts w:ascii="Garamond" w:hAnsi="Garamond"/>
          <w:sz w:val="24"/>
          <w:szCs w:val="24"/>
          <w:vertAlign w:val="subscript"/>
          <w:lang w:val="sq-AL"/>
        </w:rPr>
        <w:t>O&amp;M</w:t>
      </w:r>
      <w:r w:rsidRPr="009E22FE">
        <w:rPr>
          <w:rFonts w:ascii="Garamond" w:hAnsi="Garamond"/>
          <w:sz w:val="24"/>
          <w:szCs w:val="24"/>
          <w:lang w:val="sq-AL"/>
        </w:rPr>
        <w:t>);</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6. Eficienca e gjenerimit të energjisë elektrike të impiantit.</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Në rastin e djegies së MNU-së për prodhim energjie, LCOE-ja përfaqëson vetëm koston e gjenerimit të energjisë elektrike dhe jo koston totale të shpërndarjes ose të furnizimit të energjisë elektrike, siç është lidhja me rrjetin ose kostot e balancimit. Gjithashtu, kjo nuk përfshin as kostot e kërkuara për kapacitetin mbështetës bazuar tek impiantet termike konvencionale, si dhe shpenzimet e rastit për reduktim të kapacitetit dhe të tjera shtesë. Supozimet gjatë llogaritjes së LCOE-së kanë rezultuar nga studimi i të dhënave për këto tip impiantesh</w:t>
      </w:r>
      <w:r w:rsidRPr="009E22FE">
        <w:rPr>
          <w:rFonts w:ascii="Garamond" w:hAnsi="Garamond"/>
          <w:sz w:val="24"/>
          <w:szCs w:val="24"/>
          <w:vertAlign w:val="superscript"/>
          <w:lang w:val="sq-AL"/>
        </w:rPr>
        <w:footnoteReference w:id="21"/>
      </w:r>
      <w:r w:rsidRPr="009E22FE">
        <w:rPr>
          <w:rFonts w:ascii="Garamond" w:hAnsi="Garamond"/>
          <w:sz w:val="24"/>
          <w:szCs w:val="24"/>
          <w:lang w:val="sq-AL"/>
        </w:rPr>
        <w:t xml:space="preserve">.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Norma e aktualizimit (ose diskontimit) që do të përdorim për të përfaqësuar koston e kapitalit për gjenerimin e fuqisë nga incenerimi i MNU-së është supozuar 10%. LCOE e një impianti të tillë është përgjithësisht e ndjeshme ndaj normës së aktualizimit të përdorur. Sikurse edhe në teknologjitë e tjera të prodhimit të energjisë nga impiante që përdorin burime të rinovueshme të energjisë, kostoja e kapitalit në Shqipëri nuk e kalon supozimin e mësipërm. Jeta ekonomike e impianteve të incenerimit të MNU-së me rikuperim energjie përgjithësisht supozohet 20–25 vjet.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Vlerat, të cilat mund të merren në konsiderate për të llogaritur LCOE, janë përzgjedhur midis opsioneve të ndryshme teknologjike dhe i referohen prodhimit të energjisë elektrike nga incenerimi i MNU-së me rikuperim energjie. Këto vlera mbështetur në studimin e UPT-së janë pranuar:</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1. Kostoja kapitale e investimit, për instalime djegie deri në 2 mw C</w:t>
      </w:r>
      <w:r w:rsidRPr="009E22FE">
        <w:rPr>
          <w:rFonts w:ascii="Garamond" w:hAnsi="Garamond"/>
          <w:sz w:val="24"/>
          <w:szCs w:val="24"/>
          <w:vertAlign w:val="subscript"/>
          <w:lang w:val="sq-AL"/>
        </w:rPr>
        <w:t>I</w:t>
      </w:r>
      <w:r w:rsidRPr="009E22FE">
        <w:rPr>
          <w:rFonts w:ascii="Garamond" w:hAnsi="Garamond"/>
          <w:sz w:val="24"/>
          <w:szCs w:val="24"/>
          <w:lang w:val="sq-AL"/>
        </w:rPr>
        <w:t xml:space="preserve"> = 2.05 – 2.30 (milionë euro/mw) sipas teknologjisë që ofrohet; </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2. Kostoja e operimit dhe e mirëmbajtjes, C</w:t>
      </w:r>
      <w:r w:rsidRPr="009E22FE">
        <w:rPr>
          <w:rFonts w:ascii="Garamond" w:hAnsi="Garamond"/>
          <w:sz w:val="24"/>
          <w:szCs w:val="24"/>
          <w:vertAlign w:val="subscript"/>
          <w:lang w:val="sq-AL"/>
        </w:rPr>
        <w:t>O&amp;M</w:t>
      </w:r>
      <w:r w:rsidRPr="009E22FE">
        <w:rPr>
          <w:rFonts w:ascii="Garamond" w:hAnsi="Garamond"/>
          <w:sz w:val="24"/>
          <w:szCs w:val="24"/>
          <w:lang w:val="sq-AL"/>
        </w:rPr>
        <w:t xml:space="preserve"> = 150,000 (euro/mw/vit);</w:t>
      </w:r>
    </w:p>
    <w:p w:rsidR="0065716C" w:rsidRPr="009E22FE" w:rsidRDefault="0065716C" w:rsidP="0065716C">
      <w:pPr>
        <w:pStyle w:val="ListParagraph"/>
        <w:widowControl w:val="0"/>
        <w:spacing w:after="0" w:line="240" w:lineRule="auto"/>
        <w:ind w:left="284"/>
        <w:jc w:val="both"/>
        <w:rPr>
          <w:rFonts w:ascii="Garamond" w:hAnsi="Garamond"/>
          <w:sz w:val="24"/>
          <w:szCs w:val="24"/>
          <w:lang w:val="sq-AL"/>
        </w:rPr>
      </w:pPr>
      <w:r w:rsidRPr="009E22FE">
        <w:rPr>
          <w:rFonts w:ascii="Garamond" w:hAnsi="Garamond"/>
          <w:sz w:val="24"/>
          <w:szCs w:val="24"/>
          <w:lang w:val="sq-AL"/>
        </w:rPr>
        <w:t>3. Faktori i përdorimit të impiantit: 85% ose 7500 orë pune/vit;</w:t>
      </w:r>
    </w:p>
    <w:p w:rsidR="0065716C" w:rsidRPr="009E22FE" w:rsidRDefault="0065716C" w:rsidP="0065716C">
      <w:pPr>
        <w:pStyle w:val="ListParagraph"/>
        <w:widowControl w:val="0"/>
        <w:spacing w:after="0" w:line="240" w:lineRule="auto"/>
        <w:ind w:left="284"/>
        <w:jc w:val="both"/>
        <w:rPr>
          <w:rFonts w:ascii="Garamond" w:hAnsi="Garamond"/>
          <w:sz w:val="24"/>
          <w:szCs w:val="24"/>
          <w:lang w:val="sq-AL"/>
        </w:rPr>
      </w:pPr>
      <w:r w:rsidRPr="009E22FE">
        <w:rPr>
          <w:rFonts w:ascii="Garamond" w:hAnsi="Garamond"/>
          <w:sz w:val="24"/>
          <w:szCs w:val="24"/>
          <w:lang w:val="sq-AL"/>
        </w:rPr>
        <w:t>4. LCOE = 100 (eur/mwh).</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Duket se LCOE e energjisë elektrike të prodhuar nga djegia e MNU rezulton disi më e lartë krahasuar me sistemet e tjera konvencionale energjetike, për shkak të tre faktorëve ndikues:</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1. Për shkak të kuadrit ligjor strikt për ndotjen nga impiantet e incenerimit të MNU-së, duke përdorur teknologji të avancuara për kontrollin e ndotjes, që çojnë edhe në vlera me të larta të LCOE-së;</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2. Impiantet e incenerimit të MNU-së përgjithësisht janë impiante më të shtrenjta, sepse përdorin një lëndë djegëse me fuqi kalorifike të ulët (krahasuar me lëndët djegëse konvencionale, si: qymyr, naftë, gaz natyror), për gjenerimin e energjisë elektrike, kështu që edhe LCOE-ja është më e lartë se sistemet konvencionale të fuqisë;</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3. Një tjetër faktor është edhe përbërja merceologjike tipike e MNU-së në vendin tonë, ku fraksioni organik përbën mesatarisht në rang kombëtar 47.36% të MNU-së, ndërkaq që përmbajtja e lagështisë e fraksionit organik supozohet rreth 70%. Këto bëjnë që të ulet fuqia kalorifike e MNU-së dhe të zvogëlohet sasia e energjisë që mund të përftohet prej tyre.</w:t>
      </w:r>
    </w:p>
    <w:p w:rsidR="0065716C" w:rsidRPr="009E22FE" w:rsidRDefault="0065716C" w:rsidP="0065716C">
      <w:pPr>
        <w:widowControl w:val="0"/>
        <w:spacing w:after="0" w:line="240" w:lineRule="auto"/>
        <w:rPr>
          <w:rFonts w:ascii="Garamond" w:hAnsi="Garamond"/>
          <w:sz w:val="24"/>
          <w:szCs w:val="24"/>
          <w:lang w:val="sq-AL"/>
        </w:rPr>
      </w:pPr>
      <w:r w:rsidRPr="009E22FE">
        <w:rPr>
          <w:rFonts w:ascii="Garamond" w:hAnsi="Garamond"/>
          <w:sz w:val="24"/>
          <w:szCs w:val="24"/>
          <w:lang w:val="sq-AL"/>
        </w:rPr>
        <w:t xml:space="preserve">Së fundi, Shqipëria sipas këtij studimi, mund të klasifikohet në vendet me risk të mesëm. Kuadri ligjor dhe rregullator, së fundi me ligjin nr. 7/2017, “Për nxitjen e përdorimit të energjisë nga burimet e rinovueshme”, ka adresuar me ligj nxitjen e burimeve të rinovueshme dhe, sipas këtij ligji, nëpërmjet PKVBRE 2015–2020, qeveria “detyrohet” që, jo vetëm të hartojë planin dhe të vendosë objektiva, por edhe të rishikojë në çdo 2 vjet objektivat kombëtarë të detyrueshëm për kontributin e burimeve të rinovueshme në konsumin përfundimtar bruto deri më 2020-ën. </w:t>
      </w:r>
    </w:p>
    <w:p w:rsidR="0065716C" w:rsidRPr="009E22FE" w:rsidRDefault="0065716C" w:rsidP="0065716C">
      <w:pPr>
        <w:pStyle w:val="Paragrafi"/>
        <w:rPr>
          <w:rFonts w:eastAsia="Times New Roman"/>
          <w:spacing w:val="-4"/>
          <w:lang w:val="sq-AL" w:eastAsia="en-GB"/>
        </w:rPr>
      </w:pPr>
      <w:r w:rsidRPr="009E22FE">
        <w:rPr>
          <w:rFonts w:cs="Times New Roman"/>
          <w:szCs w:val="24"/>
          <w:lang w:val="sq-AL"/>
        </w:rPr>
        <w:t>Ligji parashikon gjithashtu që, një sërë aktesh nënligjore që priten të miratohen nga Këshilli i Ministrave gjatë 2017</w:t>
      </w:r>
      <w:r w:rsidRPr="009E22FE">
        <w:rPr>
          <w:szCs w:val="24"/>
          <w:lang w:val="sq-AL"/>
        </w:rPr>
        <w:t>–</w:t>
      </w:r>
      <w:r w:rsidRPr="009E22FE">
        <w:rPr>
          <w:rFonts w:cs="Times New Roman"/>
          <w:szCs w:val="24"/>
          <w:lang w:val="sq-AL"/>
        </w:rPr>
        <w:t>2018, do të bëjnë të mundur zbatimin e një politike nxitëse për diversifikimin e burimeve të rinovueshme, me qëllim investimet në këto burime. Kështu, për të adresuar riskun që buron nga kuadri ligjor dhe rregullator, Shqipëria duhet të fillojë të reflektojë ndryshime te PKVBRE 2016</w:t>
      </w:r>
      <w:r w:rsidRPr="009E22FE">
        <w:rPr>
          <w:szCs w:val="24"/>
          <w:lang w:val="sq-AL"/>
        </w:rPr>
        <w:t>–</w:t>
      </w:r>
      <w:r w:rsidRPr="009E22FE">
        <w:rPr>
          <w:rFonts w:cs="Times New Roman"/>
          <w:szCs w:val="24"/>
          <w:lang w:val="sq-AL"/>
        </w:rPr>
        <w:t>2020, me qëllim sigurinë e arritjes së objektivit kombëtar. Kjo do të thotë se duhet të ndryshojë raporti i instalimeve të parashikuara në PKVBRE 2016</w:t>
      </w:r>
      <w:r w:rsidRPr="009E22FE">
        <w:rPr>
          <w:szCs w:val="24"/>
          <w:lang w:val="sq-AL"/>
        </w:rPr>
        <w:t>–</w:t>
      </w:r>
      <w:r w:rsidRPr="009E22FE">
        <w:rPr>
          <w:rFonts w:cs="Times New Roman"/>
          <w:szCs w:val="24"/>
          <w:lang w:val="sq-AL"/>
        </w:rPr>
        <w:t>2020, në drejtim të rritjes të investimeve të impianteve PV dhe eolike, me qëllim garantimin e diversifikimit të burimeve të rinovueshme në Shqipëri</w:t>
      </w:r>
    </w:p>
    <w:p w:rsidR="0065716C" w:rsidRPr="009E22FE" w:rsidRDefault="0065716C"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pPr>
    </w:p>
    <w:p w:rsidR="00055077" w:rsidRPr="009E22FE" w:rsidRDefault="00055077" w:rsidP="00055077">
      <w:pPr>
        <w:pStyle w:val="NeniNr"/>
        <w:rPr>
          <w:b/>
          <w:lang w:val="sq-AL"/>
        </w:rPr>
      </w:pPr>
      <w:r w:rsidRPr="009E22FE">
        <w:rPr>
          <w:b/>
          <w:lang w:val="sq-AL"/>
        </w:rPr>
        <w:t>Tabela 4. Përmbledhje e të gjitha politikave dhe masave</w:t>
      </w:r>
    </w:p>
    <w:p w:rsidR="00055077" w:rsidRPr="009E22FE" w:rsidRDefault="00055077" w:rsidP="00055077">
      <w:pPr>
        <w:pStyle w:val="Paragrafi"/>
        <w:rPr>
          <w:rFonts w:eastAsia="Times New Roman"/>
          <w:b/>
          <w:spacing w:val="-4"/>
          <w:lang w:val="sq-AL" w:eastAsia="en-GB"/>
        </w:rPr>
      </w:pPr>
    </w:p>
    <w:tbl>
      <w:tblPr>
        <w:tblpPr w:leftFromText="180" w:rightFromText="180" w:bottomFromText="200" w:vertAnchor="text" w:tblpXSpec="center"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84"/>
        <w:gridCol w:w="1642"/>
        <w:gridCol w:w="2897"/>
        <w:gridCol w:w="2509"/>
        <w:gridCol w:w="1834"/>
        <w:gridCol w:w="2724"/>
      </w:tblGrid>
      <w:tr w:rsidR="009E22FE" w:rsidRPr="009E22FE" w:rsidTr="00055077">
        <w:tc>
          <w:tcPr>
            <w:tcW w:w="1229"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center"/>
              <w:rPr>
                <w:rFonts w:ascii="Garamond" w:hAnsi="Garamond"/>
                <w:b/>
                <w:lang w:val="sq-AL"/>
              </w:rPr>
            </w:pPr>
            <w:r w:rsidRPr="009E22FE">
              <w:rPr>
                <w:rFonts w:ascii="Garamond" w:hAnsi="Garamond"/>
                <w:b/>
                <w:lang w:val="sq-AL"/>
              </w:rPr>
              <w:t>Emri dhe referenca e masës</w:t>
            </w:r>
          </w:p>
        </w:tc>
        <w:tc>
          <w:tcPr>
            <w:tcW w:w="533"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center"/>
              <w:rPr>
                <w:rFonts w:ascii="Garamond" w:hAnsi="Garamond"/>
                <w:b/>
                <w:lang w:val="sq-AL"/>
              </w:rPr>
            </w:pPr>
            <w:r w:rsidRPr="009E22FE">
              <w:rPr>
                <w:rFonts w:ascii="Garamond" w:hAnsi="Garamond"/>
                <w:b/>
                <w:lang w:val="sq-AL"/>
              </w:rPr>
              <w:t>Lloji i masës</w:t>
            </w:r>
          </w:p>
        </w:tc>
        <w:tc>
          <w:tcPr>
            <w:tcW w:w="941"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center"/>
              <w:rPr>
                <w:rFonts w:ascii="Garamond" w:hAnsi="Garamond"/>
                <w:b/>
                <w:lang w:val="sq-AL"/>
              </w:rPr>
            </w:pPr>
            <w:r w:rsidRPr="009E22FE">
              <w:rPr>
                <w:rFonts w:ascii="Garamond" w:hAnsi="Garamond"/>
                <w:b/>
                <w:lang w:val="sq-AL"/>
              </w:rPr>
              <w:t>Rezultatet e pritshme</w:t>
            </w:r>
          </w:p>
        </w:tc>
        <w:tc>
          <w:tcPr>
            <w:tcW w:w="81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center"/>
              <w:rPr>
                <w:rFonts w:ascii="Garamond" w:hAnsi="Garamond"/>
                <w:b/>
                <w:lang w:val="sq-AL"/>
              </w:rPr>
            </w:pPr>
            <w:r w:rsidRPr="009E22FE">
              <w:rPr>
                <w:rFonts w:ascii="Garamond" w:hAnsi="Garamond"/>
                <w:b/>
                <w:lang w:val="sq-AL"/>
              </w:rPr>
              <w:t>Grupi i synuar dhe/ose aktivitet</w:t>
            </w:r>
          </w:p>
        </w:tc>
        <w:tc>
          <w:tcPr>
            <w:tcW w:w="596"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center"/>
              <w:rPr>
                <w:rFonts w:ascii="Garamond" w:hAnsi="Garamond"/>
                <w:b/>
                <w:lang w:val="sq-AL"/>
              </w:rPr>
            </w:pPr>
            <w:r w:rsidRPr="009E22FE">
              <w:rPr>
                <w:rFonts w:ascii="Garamond" w:hAnsi="Garamond"/>
                <w:b/>
                <w:lang w:val="sq-AL"/>
              </w:rPr>
              <w:t>Ekzistuese ose e planifikuar</w:t>
            </w:r>
          </w:p>
        </w:tc>
        <w:tc>
          <w:tcPr>
            <w:tcW w:w="88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center"/>
              <w:rPr>
                <w:rFonts w:ascii="Garamond" w:hAnsi="Garamond"/>
                <w:b/>
                <w:lang w:val="sq-AL"/>
              </w:rPr>
            </w:pPr>
            <w:r w:rsidRPr="009E22FE">
              <w:rPr>
                <w:rFonts w:ascii="Garamond" w:hAnsi="Garamond"/>
                <w:b/>
                <w:lang w:val="sq-AL"/>
              </w:rPr>
              <w:t>Data e fillimit dhe e përfundimit të masës</w:t>
            </w:r>
          </w:p>
        </w:tc>
      </w:tr>
      <w:tr w:rsidR="009E22FE" w:rsidRPr="009E22FE" w:rsidTr="00055077">
        <w:tc>
          <w:tcPr>
            <w:tcW w:w="1229"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ind w:firstLine="0"/>
              <w:jc w:val="left"/>
              <w:rPr>
                <w:rFonts w:ascii="Garamond" w:hAnsi="Garamond"/>
                <w:lang w:val="sq-AL"/>
              </w:rPr>
            </w:pPr>
            <w:r w:rsidRPr="009E22FE">
              <w:rPr>
                <w:rFonts w:ascii="Garamond" w:hAnsi="Garamond"/>
                <w:lang w:val="sq-AL"/>
              </w:rPr>
              <w:t>Projektakti për metodologjinë e llogaritjes se “Objektivave kombëtarë”</w:t>
            </w:r>
          </w:p>
        </w:tc>
        <w:tc>
          <w:tcPr>
            <w:tcW w:w="533"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 xml:space="preserve">Rregullatore </w:t>
            </w:r>
          </w:p>
        </w:tc>
        <w:tc>
          <w:tcPr>
            <w:tcW w:w="941"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Korrigjimi i objektivit kombëtar të BRE-ve</w:t>
            </w:r>
          </w:p>
        </w:tc>
        <w:tc>
          <w:tcPr>
            <w:tcW w:w="81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MIE, investitorët dhe operatorët e tregut</w:t>
            </w:r>
          </w:p>
        </w:tc>
        <w:tc>
          <w:tcPr>
            <w:tcW w:w="596"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E planifikuar</w:t>
            </w:r>
          </w:p>
        </w:tc>
        <w:tc>
          <w:tcPr>
            <w:tcW w:w="88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Përfundon në tetor 2018</w:t>
            </w:r>
          </w:p>
        </w:tc>
      </w:tr>
      <w:tr w:rsidR="009E22FE" w:rsidRPr="009E22FE" w:rsidTr="00055077">
        <w:tc>
          <w:tcPr>
            <w:tcW w:w="1229"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ind w:firstLine="0"/>
              <w:jc w:val="left"/>
              <w:rPr>
                <w:rFonts w:ascii="Garamond" w:hAnsi="Garamond"/>
                <w:lang w:val="sq-AL"/>
              </w:rPr>
            </w:pPr>
            <w:r w:rsidRPr="009E22FE">
              <w:rPr>
                <w:rFonts w:ascii="Garamond" w:hAnsi="Garamond"/>
                <w:lang w:val="sq-AL"/>
              </w:rPr>
              <w:t>“Procedura për ankandet” për teknologjinë e PV-së në shkallë të gjerë mbi 2 mw</w:t>
            </w:r>
          </w:p>
        </w:tc>
        <w:tc>
          <w:tcPr>
            <w:tcW w:w="533"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Rregullatore</w:t>
            </w:r>
          </w:p>
        </w:tc>
        <w:tc>
          <w:tcPr>
            <w:tcW w:w="941"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Kërkesë e ligjit nr. 7/2017.</w:t>
            </w:r>
          </w:p>
          <w:p w:rsidR="00055077" w:rsidRPr="009E22FE" w:rsidRDefault="00055077">
            <w:pPr>
              <w:spacing w:after="0"/>
              <w:ind w:firstLine="0"/>
              <w:jc w:val="left"/>
              <w:rPr>
                <w:rFonts w:ascii="Garamond" w:hAnsi="Garamond"/>
                <w:lang w:val="sq-AL"/>
              </w:rPr>
            </w:pPr>
            <w:r w:rsidRPr="009E22FE">
              <w:rPr>
                <w:rFonts w:ascii="Garamond" w:hAnsi="Garamond"/>
                <w:lang w:val="sq-AL"/>
              </w:rPr>
              <w:t>Procesi transparent për dhënien e kapaciteteve gjeneruese me PV</w:t>
            </w:r>
          </w:p>
        </w:tc>
        <w:tc>
          <w:tcPr>
            <w:tcW w:w="81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MIE, investitorët dhe operatorët e tregut</w:t>
            </w:r>
          </w:p>
        </w:tc>
        <w:tc>
          <w:tcPr>
            <w:tcW w:w="596"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E planifikuar</w:t>
            </w:r>
          </w:p>
        </w:tc>
        <w:tc>
          <w:tcPr>
            <w:tcW w:w="88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Përfundon në tetor 2019 me asistencën e BERZH-it</w:t>
            </w:r>
          </w:p>
        </w:tc>
      </w:tr>
      <w:tr w:rsidR="009E22FE" w:rsidRPr="009E22FE" w:rsidTr="00055077">
        <w:trPr>
          <w:trHeight w:val="1178"/>
        </w:trPr>
        <w:tc>
          <w:tcPr>
            <w:tcW w:w="1229"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ind w:firstLine="0"/>
              <w:jc w:val="left"/>
              <w:rPr>
                <w:rFonts w:ascii="Garamond" w:hAnsi="Garamond"/>
                <w:lang w:val="sq-AL"/>
              </w:rPr>
            </w:pPr>
            <w:r w:rsidRPr="009E22FE">
              <w:rPr>
                <w:rFonts w:ascii="Garamond" w:hAnsi="Garamond"/>
                <w:lang w:val="sq-AL"/>
              </w:rPr>
              <w:t>Rishikimi i VKM-së nr. 822/718, “Për procedurat e aplikimeve të veprave gjeneruese që nuk janë objekt koncesioni për BRE-të” nga hidro, era dhe PV</w:t>
            </w:r>
          </w:p>
        </w:tc>
        <w:tc>
          <w:tcPr>
            <w:tcW w:w="533"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Rregullatore</w:t>
            </w:r>
          </w:p>
        </w:tc>
        <w:tc>
          <w:tcPr>
            <w:tcW w:w="941"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Përmirësimi i proceduarave pas daljes së ligjit nr. 7/2017</w:t>
            </w:r>
          </w:p>
        </w:tc>
        <w:tc>
          <w:tcPr>
            <w:tcW w:w="81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MIE, MIE, investitorët dhe operatorët e tregut</w:t>
            </w:r>
          </w:p>
        </w:tc>
        <w:tc>
          <w:tcPr>
            <w:tcW w:w="596"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E re</w:t>
            </w:r>
          </w:p>
        </w:tc>
        <w:tc>
          <w:tcPr>
            <w:tcW w:w="88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Përfundon në dhjetor 2018</w:t>
            </w:r>
          </w:p>
        </w:tc>
      </w:tr>
      <w:tr w:rsidR="009E22FE" w:rsidRPr="009E22FE" w:rsidTr="00055077">
        <w:tc>
          <w:tcPr>
            <w:tcW w:w="1229"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ind w:firstLine="0"/>
              <w:jc w:val="left"/>
              <w:rPr>
                <w:rFonts w:ascii="Garamond" w:hAnsi="Garamond"/>
                <w:lang w:val="sq-AL"/>
              </w:rPr>
            </w:pPr>
            <w:r w:rsidRPr="009E22FE">
              <w:rPr>
                <w:rFonts w:ascii="Garamond" w:hAnsi="Garamond"/>
                <w:lang w:val="sq-AL"/>
              </w:rPr>
              <w:t>Themelimi i agjencisë përgjegjëse për burimet e rinovueshme të energjisë</w:t>
            </w:r>
          </w:p>
        </w:tc>
        <w:tc>
          <w:tcPr>
            <w:tcW w:w="533"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Rregullatore</w:t>
            </w:r>
          </w:p>
        </w:tc>
        <w:tc>
          <w:tcPr>
            <w:tcW w:w="941"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Kërkesë e ligjit nr. 7/2017</w:t>
            </w:r>
          </w:p>
        </w:tc>
        <w:tc>
          <w:tcPr>
            <w:tcW w:w="81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MIE</w:t>
            </w:r>
          </w:p>
        </w:tc>
        <w:tc>
          <w:tcPr>
            <w:tcW w:w="596"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E planifikuar</w:t>
            </w:r>
          </w:p>
        </w:tc>
        <w:tc>
          <w:tcPr>
            <w:tcW w:w="88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Përfundon në dhjetor 2018</w:t>
            </w:r>
          </w:p>
        </w:tc>
      </w:tr>
      <w:tr w:rsidR="009E22FE" w:rsidRPr="009E22FE" w:rsidTr="00055077">
        <w:tc>
          <w:tcPr>
            <w:tcW w:w="1229"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ind w:firstLine="0"/>
              <w:jc w:val="left"/>
              <w:rPr>
                <w:rFonts w:ascii="Garamond" w:hAnsi="Garamond"/>
                <w:lang w:val="sq-AL"/>
              </w:rPr>
            </w:pPr>
            <w:r w:rsidRPr="009E22FE">
              <w:rPr>
                <w:rFonts w:ascii="Garamond" w:hAnsi="Garamond"/>
                <w:lang w:val="sq-AL"/>
              </w:rPr>
              <w:t xml:space="preserve">Projektakti për mbështetjen e “Kontratave për diferencë” </w:t>
            </w:r>
          </w:p>
        </w:tc>
        <w:tc>
          <w:tcPr>
            <w:tcW w:w="533"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Rregullatore</w:t>
            </w:r>
          </w:p>
        </w:tc>
        <w:tc>
          <w:tcPr>
            <w:tcW w:w="941"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Kërkesë e ligjit nr. 7/2017. BRE-të integrohen në sistemin elektroenergjetik sipas rregullave të tregut të liberalizuar.</w:t>
            </w:r>
          </w:p>
        </w:tc>
        <w:tc>
          <w:tcPr>
            <w:tcW w:w="81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 xml:space="preserve">MIE, investitorët </w:t>
            </w:r>
          </w:p>
        </w:tc>
        <w:tc>
          <w:tcPr>
            <w:tcW w:w="596"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E re</w:t>
            </w:r>
          </w:p>
        </w:tc>
        <w:tc>
          <w:tcPr>
            <w:tcW w:w="88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Masa do të vazhdojë përtej vitit 2020 deri në krijimin e tregut</w:t>
            </w:r>
          </w:p>
        </w:tc>
      </w:tr>
      <w:tr w:rsidR="009E22FE" w:rsidRPr="009E22FE" w:rsidTr="00055077">
        <w:tc>
          <w:tcPr>
            <w:tcW w:w="1229"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ind w:firstLine="0"/>
              <w:jc w:val="left"/>
              <w:rPr>
                <w:rFonts w:ascii="Garamond" w:hAnsi="Garamond"/>
                <w:lang w:val="sq-AL"/>
              </w:rPr>
            </w:pPr>
            <w:r w:rsidRPr="009E22FE">
              <w:rPr>
                <w:rFonts w:ascii="Garamond" w:hAnsi="Garamond"/>
                <w:lang w:val="sq-AL"/>
              </w:rPr>
              <w:t>Projektakti për “Skemat e matjes neto të energjisë” për vetëkonsumin deri në 500 kw instalime PV</w:t>
            </w:r>
          </w:p>
        </w:tc>
        <w:tc>
          <w:tcPr>
            <w:tcW w:w="533"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Rregullatore</w:t>
            </w:r>
          </w:p>
        </w:tc>
        <w:tc>
          <w:tcPr>
            <w:tcW w:w="941"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Kërkesë e ligjit nr. 7/2017</w:t>
            </w:r>
          </w:p>
          <w:p w:rsidR="00055077" w:rsidRPr="009E22FE" w:rsidRDefault="00055077">
            <w:pPr>
              <w:spacing w:after="0"/>
              <w:ind w:firstLine="0"/>
              <w:jc w:val="left"/>
              <w:rPr>
                <w:rFonts w:ascii="Garamond" w:hAnsi="Garamond"/>
                <w:lang w:val="sq-AL"/>
              </w:rPr>
            </w:pPr>
            <w:r w:rsidRPr="009E22FE">
              <w:rPr>
                <w:rFonts w:ascii="Garamond" w:hAnsi="Garamond"/>
                <w:lang w:val="sq-AL"/>
              </w:rPr>
              <w:t>Energji e prodhuar (ktoe)</w:t>
            </w:r>
          </w:p>
        </w:tc>
        <w:tc>
          <w:tcPr>
            <w:tcW w:w="81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MIE, OSHEE, investitorët</w:t>
            </w:r>
          </w:p>
        </w:tc>
        <w:tc>
          <w:tcPr>
            <w:tcW w:w="596"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E planifikuar</w:t>
            </w:r>
          </w:p>
        </w:tc>
        <w:tc>
          <w:tcPr>
            <w:tcW w:w="88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Përfundon në prill 2018</w:t>
            </w:r>
          </w:p>
        </w:tc>
      </w:tr>
      <w:tr w:rsidR="009E22FE" w:rsidRPr="009E22FE" w:rsidTr="00055077">
        <w:tc>
          <w:tcPr>
            <w:tcW w:w="1229"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ind w:firstLine="0"/>
              <w:jc w:val="left"/>
              <w:rPr>
                <w:rFonts w:ascii="Garamond" w:hAnsi="Garamond"/>
                <w:lang w:val="sq-AL"/>
              </w:rPr>
            </w:pPr>
            <w:r w:rsidRPr="009E22FE">
              <w:rPr>
                <w:rFonts w:ascii="Garamond" w:hAnsi="Garamond"/>
                <w:lang w:val="sq-AL"/>
              </w:rPr>
              <w:t>Projektakti për përcaktimin e “Operatorit të energjisë së rinovueshme”</w:t>
            </w:r>
            <w:r w:rsidRPr="009E22FE">
              <w:rPr>
                <w:rFonts w:ascii="Garamond" w:hAnsi="Garamond"/>
                <w:lang w:val="sq-AL"/>
              </w:rPr>
              <w:tab/>
            </w:r>
          </w:p>
        </w:tc>
        <w:tc>
          <w:tcPr>
            <w:tcW w:w="533"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Rregullatore</w:t>
            </w:r>
          </w:p>
        </w:tc>
        <w:tc>
          <w:tcPr>
            <w:tcW w:w="941" w:type="pct"/>
            <w:tcBorders>
              <w:top w:val="single" w:sz="4" w:space="0" w:color="auto"/>
              <w:left w:val="single" w:sz="4" w:space="0" w:color="auto"/>
              <w:bottom w:val="single" w:sz="4" w:space="0" w:color="auto"/>
              <w:right w:val="single" w:sz="4" w:space="0" w:color="auto"/>
            </w:tcBorders>
            <w:vAlign w:val="center"/>
          </w:tcPr>
          <w:p w:rsidR="00055077" w:rsidRPr="009E22FE" w:rsidRDefault="00055077">
            <w:pPr>
              <w:spacing w:after="0"/>
              <w:ind w:firstLine="0"/>
              <w:jc w:val="left"/>
              <w:rPr>
                <w:rFonts w:ascii="Garamond" w:hAnsi="Garamond"/>
                <w:lang w:val="sq-AL"/>
              </w:rPr>
            </w:pPr>
            <w:r w:rsidRPr="009E22FE">
              <w:rPr>
                <w:rFonts w:ascii="Garamond" w:hAnsi="Garamond"/>
                <w:lang w:val="sq-AL"/>
              </w:rPr>
              <w:t>Kërkesë e ligjit nr. 7/2017</w:t>
            </w:r>
          </w:p>
          <w:p w:rsidR="00055077" w:rsidRPr="009E22FE" w:rsidRDefault="00055077">
            <w:pPr>
              <w:spacing w:after="0"/>
              <w:ind w:firstLine="0"/>
              <w:jc w:val="left"/>
              <w:rPr>
                <w:rFonts w:ascii="Garamond" w:hAnsi="Garamond"/>
                <w:lang w:val="sq-AL"/>
              </w:rPr>
            </w:pPr>
            <w:r w:rsidRPr="009E22FE">
              <w:rPr>
                <w:rFonts w:ascii="Garamond" w:hAnsi="Garamond"/>
                <w:lang w:val="sq-AL"/>
              </w:rPr>
              <w:t>Energji e prodhuar (ktoe)</w:t>
            </w:r>
          </w:p>
          <w:p w:rsidR="00055077" w:rsidRPr="009E22FE" w:rsidRDefault="00055077">
            <w:pPr>
              <w:spacing w:after="0"/>
              <w:ind w:firstLine="0"/>
              <w:jc w:val="left"/>
              <w:rPr>
                <w:rFonts w:ascii="Garamond" w:hAnsi="Garamond"/>
                <w:lang w:val="sq-AL"/>
              </w:rPr>
            </w:pPr>
          </w:p>
        </w:tc>
        <w:tc>
          <w:tcPr>
            <w:tcW w:w="81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MIE</w:t>
            </w:r>
          </w:p>
        </w:tc>
        <w:tc>
          <w:tcPr>
            <w:tcW w:w="596"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E re</w:t>
            </w:r>
          </w:p>
        </w:tc>
        <w:tc>
          <w:tcPr>
            <w:tcW w:w="88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Përfundon në mars 2019</w:t>
            </w:r>
          </w:p>
        </w:tc>
      </w:tr>
      <w:tr w:rsidR="009E22FE" w:rsidRPr="009E22FE" w:rsidTr="00055077">
        <w:tc>
          <w:tcPr>
            <w:tcW w:w="1229"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Projektakti për rregullat e “Aksesit në rrjet” dhe “Lidhja me rrjetin”</w:t>
            </w:r>
          </w:p>
        </w:tc>
        <w:tc>
          <w:tcPr>
            <w:tcW w:w="533"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Rregullatore</w:t>
            </w:r>
          </w:p>
        </w:tc>
        <w:tc>
          <w:tcPr>
            <w:tcW w:w="941" w:type="pct"/>
            <w:tcBorders>
              <w:top w:val="single" w:sz="4" w:space="0" w:color="auto"/>
              <w:left w:val="single" w:sz="4" w:space="0" w:color="auto"/>
              <w:bottom w:val="single" w:sz="4" w:space="0" w:color="auto"/>
              <w:right w:val="single" w:sz="4" w:space="0" w:color="auto"/>
            </w:tcBorders>
            <w:vAlign w:val="center"/>
          </w:tcPr>
          <w:p w:rsidR="00055077" w:rsidRPr="009E22FE" w:rsidRDefault="00055077">
            <w:pPr>
              <w:spacing w:after="0"/>
              <w:ind w:firstLine="0"/>
              <w:jc w:val="left"/>
              <w:rPr>
                <w:rFonts w:ascii="Garamond" w:hAnsi="Garamond"/>
                <w:lang w:val="sq-AL"/>
              </w:rPr>
            </w:pPr>
            <w:r w:rsidRPr="009E22FE">
              <w:rPr>
                <w:rFonts w:ascii="Garamond" w:hAnsi="Garamond"/>
                <w:lang w:val="sq-AL"/>
              </w:rPr>
              <w:t>Kërkesë e ligjit nr. 7/2017</w:t>
            </w:r>
          </w:p>
          <w:p w:rsidR="00055077" w:rsidRPr="009E22FE" w:rsidRDefault="00055077">
            <w:pPr>
              <w:spacing w:after="0"/>
              <w:ind w:firstLine="0"/>
              <w:jc w:val="left"/>
              <w:rPr>
                <w:rFonts w:ascii="Garamond" w:hAnsi="Garamond"/>
                <w:lang w:val="sq-AL"/>
              </w:rPr>
            </w:pPr>
            <w:r w:rsidRPr="009E22FE">
              <w:rPr>
                <w:rFonts w:ascii="Garamond" w:hAnsi="Garamond"/>
                <w:lang w:val="sq-AL"/>
              </w:rPr>
              <w:t>Energji e prodhuar (ktoe)</w:t>
            </w:r>
          </w:p>
          <w:p w:rsidR="00055077" w:rsidRPr="009E22FE" w:rsidRDefault="00055077">
            <w:pPr>
              <w:spacing w:after="0"/>
              <w:ind w:firstLine="0"/>
              <w:jc w:val="left"/>
              <w:rPr>
                <w:rFonts w:ascii="Garamond" w:hAnsi="Garamond"/>
                <w:lang w:val="sq-AL"/>
              </w:rPr>
            </w:pPr>
          </w:p>
        </w:tc>
        <w:tc>
          <w:tcPr>
            <w:tcW w:w="81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MIE, ERE, OSHEE, investitorët</w:t>
            </w:r>
          </w:p>
        </w:tc>
        <w:tc>
          <w:tcPr>
            <w:tcW w:w="596"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E re</w:t>
            </w:r>
          </w:p>
        </w:tc>
        <w:tc>
          <w:tcPr>
            <w:tcW w:w="88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Përfundon në dhjetor 2019</w:t>
            </w:r>
          </w:p>
        </w:tc>
      </w:tr>
      <w:tr w:rsidR="009E22FE" w:rsidRPr="009E22FE" w:rsidTr="00055077">
        <w:tc>
          <w:tcPr>
            <w:tcW w:w="1229" w:type="pct"/>
            <w:tcBorders>
              <w:top w:val="single" w:sz="4" w:space="0" w:color="auto"/>
              <w:left w:val="single" w:sz="4" w:space="0" w:color="auto"/>
              <w:bottom w:val="single" w:sz="4" w:space="0" w:color="auto"/>
              <w:right w:val="single" w:sz="4" w:space="0" w:color="auto"/>
            </w:tcBorders>
            <w:vAlign w:val="center"/>
          </w:tcPr>
          <w:p w:rsidR="00055077" w:rsidRPr="009E22FE" w:rsidRDefault="00055077">
            <w:pPr>
              <w:ind w:firstLine="0"/>
              <w:jc w:val="left"/>
              <w:rPr>
                <w:rFonts w:ascii="Garamond" w:hAnsi="Garamond"/>
                <w:lang w:val="sq-AL"/>
              </w:rPr>
            </w:pPr>
            <w:r w:rsidRPr="009E22FE">
              <w:rPr>
                <w:rFonts w:ascii="Garamond" w:hAnsi="Garamond"/>
                <w:lang w:val="sq-AL"/>
              </w:rPr>
              <w:t>Projektakti për “Garancitë e origjinës” të BRE-ve me qëllim.</w:t>
            </w:r>
          </w:p>
          <w:p w:rsidR="00055077" w:rsidRPr="009E22FE" w:rsidRDefault="00055077">
            <w:pPr>
              <w:spacing w:after="0"/>
              <w:ind w:firstLine="0"/>
              <w:jc w:val="left"/>
              <w:rPr>
                <w:rFonts w:ascii="Garamond" w:hAnsi="Garamond"/>
                <w:lang w:val="sq-AL"/>
              </w:rPr>
            </w:pPr>
          </w:p>
        </w:tc>
        <w:tc>
          <w:tcPr>
            <w:tcW w:w="533"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Rregullatore dhe financiare</w:t>
            </w:r>
          </w:p>
        </w:tc>
        <w:tc>
          <w:tcPr>
            <w:tcW w:w="941"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Këmbimin e BRE-ve për të arritur objektivat në vende të tjera që mund të investojnë.</w:t>
            </w:r>
          </w:p>
          <w:p w:rsidR="00055077" w:rsidRPr="009E22FE" w:rsidRDefault="00055077">
            <w:pPr>
              <w:spacing w:after="0"/>
              <w:ind w:firstLine="0"/>
              <w:jc w:val="left"/>
              <w:rPr>
                <w:rFonts w:ascii="Garamond" w:hAnsi="Garamond"/>
                <w:lang w:val="sq-AL"/>
              </w:rPr>
            </w:pPr>
            <w:r w:rsidRPr="009E22FE">
              <w:rPr>
                <w:rFonts w:ascii="Garamond" w:hAnsi="Garamond"/>
                <w:lang w:val="sq-AL"/>
              </w:rPr>
              <w:t>Kërkesë e ligjit nr. 7/2017</w:t>
            </w:r>
          </w:p>
        </w:tc>
        <w:tc>
          <w:tcPr>
            <w:tcW w:w="815" w:type="pct"/>
            <w:tcBorders>
              <w:top w:val="single" w:sz="4" w:space="0" w:color="auto"/>
              <w:left w:val="single" w:sz="4" w:space="0" w:color="auto"/>
              <w:bottom w:val="single" w:sz="4" w:space="0" w:color="auto"/>
              <w:right w:val="single" w:sz="4" w:space="0" w:color="auto"/>
            </w:tcBorders>
            <w:vAlign w:val="center"/>
          </w:tcPr>
          <w:p w:rsidR="00055077" w:rsidRPr="009E22FE" w:rsidRDefault="00055077">
            <w:pPr>
              <w:spacing w:after="0"/>
              <w:ind w:firstLine="0"/>
              <w:jc w:val="left"/>
              <w:rPr>
                <w:rFonts w:ascii="Garamond" w:hAnsi="Garamond"/>
                <w:lang w:val="sq-AL"/>
              </w:rPr>
            </w:pPr>
            <w:r w:rsidRPr="009E22FE">
              <w:rPr>
                <w:rFonts w:ascii="Garamond" w:hAnsi="Garamond"/>
                <w:lang w:val="sq-AL"/>
              </w:rPr>
              <w:t>MIE, ERE, investitorët</w:t>
            </w:r>
          </w:p>
          <w:p w:rsidR="00055077" w:rsidRPr="009E22FE" w:rsidRDefault="00055077">
            <w:pPr>
              <w:spacing w:after="0"/>
              <w:ind w:firstLine="0"/>
              <w:jc w:val="left"/>
              <w:rPr>
                <w:rFonts w:ascii="Garamond" w:hAnsi="Garamond"/>
                <w:lang w:val="sq-AL"/>
              </w:rPr>
            </w:pPr>
          </w:p>
        </w:tc>
        <w:tc>
          <w:tcPr>
            <w:tcW w:w="596"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 xml:space="preserve">E re </w:t>
            </w:r>
          </w:p>
        </w:tc>
        <w:tc>
          <w:tcPr>
            <w:tcW w:w="88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Përfundon në dhjetor 2019</w:t>
            </w:r>
          </w:p>
        </w:tc>
      </w:tr>
      <w:tr w:rsidR="009E22FE" w:rsidRPr="009E22FE" w:rsidTr="00055077">
        <w:tc>
          <w:tcPr>
            <w:tcW w:w="1229"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Projektligj për biokarburantet</w:t>
            </w:r>
          </w:p>
        </w:tc>
        <w:tc>
          <w:tcPr>
            <w:tcW w:w="533"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Administrative</w:t>
            </w:r>
          </w:p>
        </w:tc>
        <w:tc>
          <w:tcPr>
            <w:tcW w:w="941"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Përdorimi i biokarburanteve për transport</w:t>
            </w:r>
          </w:p>
        </w:tc>
        <w:tc>
          <w:tcPr>
            <w:tcW w:w="81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MIE, distributorët dhe përdoruesit fundorë</w:t>
            </w:r>
          </w:p>
        </w:tc>
        <w:tc>
          <w:tcPr>
            <w:tcW w:w="596"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Ekzistuese</w:t>
            </w:r>
          </w:p>
        </w:tc>
        <w:tc>
          <w:tcPr>
            <w:tcW w:w="88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Përfundon në janar 2019</w:t>
            </w:r>
          </w:p>
        </w:tc>
      </w:tr>
      <w:tr w:rsidR="009E22FE" w:rsidRPr="009E22FE" w:rsidTr="00055077">
        <w:tc>
          <w:tcPr>
            <w:tcW w:w="1229"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Kriteret e qëndrueshmërisë së biokarburanteve</w:t>
            </w:r>
          </w:p>
        </w:tc>
        <w:tc>
          <w:tcPr>
            <w:tcW w:w="533"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Administrative</w:t>
            </w:r>
          </w:p>
        </w:tc>
        <w:tc>
          <w:tcPr>
            <w:tcW w:w="941"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Përdorimi i biokarburanteve për transport</w:t>
            </w:r>
          </w:p>
        </w:tc>
        <w:tc>
          <w:tcPr>
            <w:tcW w:w="81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 xml:space="preserve">MIE, distributorët, përdoruesit fundorë </w:t>
            </w:r>
          </w:p>
        </w:tc>
        <w:tc>
          <w:tcPr>
            <w:tcW w:w="596"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E re</w:t>
            </w:r>
          </w:p>
        </w:tc>
        <w:tc>
          <w:tcPr>
            <w:tcW w:w="88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Përfundon në janar 2019</w:t>
            </w:r>
          </w:p>
        </w:tc>
      </w:tr>
      <w:tr w:rsidR="009E22FE" w:rsidRPr="009E22FE" w:rsidTr="00055077">
        <w:tc>
          <w:tcPr>
            <w:tcW w:w="1229"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Kriteret e verifikimit të biokarburanteve</w:t>
            </w:r>
          </w:p>
        </w:tc>
        <w:tc>
          <w:tcPr>
            <w:tcW w:w="533"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Administrative</w:t>
            </w:r>
          </w:p>
        </w:tc>
        <w:tc>
          <w:tcPr>
            <w:tcW w:w="941"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Kursime të energjisë dhe energji e prodhuar (ktoe)</w:t>
            </w:r>
          </w:p>
        </w:tc>
        <w:tc>
          <w:tcPr>
            <w:tcW w:w="81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Investitorët dhe përdoruesit fundorë (industrialë)</w:t>
            </w:r>
          </w:p>
        </w:tc>
        <w:tc>
          <w:tcPr>
            <w:tcW w:w="596"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E re</w:t>
            </w:r>
          </w:p>
        </w:tc>
        <w:tc>
          <w:tcPr>
            <w:tcW w:w="88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Përfundon në janar 2019</w:t>
            </w:r>
          </w:p>
        </w:tc>
      </w:tr>
      <w:tr w:rsidR="009E22FE" w:rsidRPr="009E22FE" w:rsidTr="00055077">
        <w:trPr>
          <w:trHeight w:val="872"/>
        </w:trPr>
        <w:tc>
          <w:tcPr>
            <w:tcW w:w="1229"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Diversifikimi i burimeve të rinovueshme për prodhimin e energjisë elektrike nga PV/eolike</w:t>
            </w:r>
          </w:p>
        </w:tc>
        <w:tc>
          <w:tcPr>
            <w:tcW w:w="533"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Administrative</w:t>
            </w:r>
          </w:p>
        </w:tc>
        <w:tc>
          <w:tcPr>
            <w:tcW w:w="941" w:type="pct"/>
            <w:tcBorders>
              <w:top w:val="single" w:sz="4" w:space="0" w:color="auto"/>
              <w:left w:val="single" w:sz="4" w:space="0" w:color="auto"/>
              <w:bottom w:val="single" w:sz="4" w:space="0" w:color="auto"/>
              <w:right w:val="single" w:sz="4" w:space="0" w:color="auto"/>
            </w:tcBorders>
            <w:vAlign w:val="center"/>
          </w:tcPr>
          <w:p w:rsidR="00055077" w:rsidRPr="009E22FE" w:rsidRDefault="00055077">
            <w:pPr>
              <w:spacing w:after="0"/>
              <w:ind w:firstLine="0"/>
              <w:jc w:val="left"/>
              <w:rPr>
                <w:rFonts w:ascii="Garamond" w:hAnsi="Garamond"/>
                <w:lang w:val="sq-AL"/>
              </w:rPr>
            </w:pPr>
            <w:r w:rsidRPr="009E22FE">
              <w:rPr>
                <w:rFonts w:ascii="Garamond" w:hAnsi="Garamond"/>
                <w:lang w:val="sq-AL"/>
              </w:rPr>
              <w:t>Optimizimi i energjisë prodhuar nga BRE</w:t>
            </w:r>
          </w:p>
          <w:p w:rsidR="00055077" w:rsidRPr="009E22FE" w:rsidRDefault="00055077">
            <w:pPr>
              <w:spacing w:after="0"/>
              <w:ind w:firstLine="0"/>
              <w:jc w:val="left"/>
              <w:rPr>
                <w:rFonts w:ascii="Garamond" w:hAnsi="Garamond"/>
                <w:lang w:val="sq-AL"/>
              </w:rPr>
            </w:pPr>
          </w:p>
        </w:tc>
        <w:tc>
          <w:tcPr>
            <w:tcW w:w="81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MIE, konsulencë, investitorët</w:t>
            </w:r>
          </w:p>
        </w:tc>
        <w:tc>
          <w:tcPr>
            <w:tcW w:w="596"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right="-108" w:firstLine="0"/>
              <w:jc w:val="left"/>
              <w:rPr>
                <w:rFonts w:ascii="Garamond" w:hAnsi="Garamond"/>
                <w:lang w:val="sq-AL"/>
              </w:rPr>
            </w:pPr>
            <w:r w:rsidRPr="009E22FE">
              <w:rPr>
                <w:rFonts w:ascii="Garamond" w:hAnsi="Garamond"/>
                <w:lang w:val="sq-AL"/>
              </w:rPr>
              <w:t xml:space="preserve">Ekzistuese BERZH/KfW </w:t>
            </w:r>
          </w:p>
        </w:tc>
        <w:tc>
          <w:tcPr>
            <w:tcW w:w="885" w:type="pct"/>
            <w:tcBorders>
              <w:top w:val="single" w:sz="4" w:space="0" w:color="auto"/>
              <w:left w:val="single" w:sz="4" w:space="0" w:color="auto"/>
              <w:bottom w:val="single" w:sz="4" w:space="0" w:color="auto"/>
              <w:right w:val="single" w:sz="4" w:space="0" w:color="auto"/>
            </w:tcBorders>
            <w:vAlign w:val="center"/>
          </w:tcPr>
          <w:p w:rsidR="00055077" w:rsidRPr="009E22FE" w:rsidRDefault="00055077">
            <w:pPr>
              <w:spacing w:after="0"/>
              <w:ind w:firstLine="0"/>
              <w:jc w:val="left"/>
              <w:rPr>
                <w:rFonts w:ascii="Garamond" w:hAnsi="Garamond"/>
                <w:lang w:val="sq-AL"/>
              </w:rPr>
            </w:pPr>
            <w:r w:rsidRPr="009E22FE">
              <w:rPr>
                <w:rFonts w:ascii="Garamond" w:hAnsi="Garamond"/>
                <w:lang w:val="sq-AL"/>
              </w:rPr>
              <w:t>Qershor 2018</w:t>
            </w:r>
            <w:r w:rsidRPr="009E22FE">
              <w:rPr>
                <w:rFonts w:ascii="Garamond" w:hAnsi="Garamond"/>
                <w:sz w:val="24"/>
                <w:szCs w:val="24"/>
                <w:lang w:val="sq-AL"/>
              </w:rPr>
              <w:t>–</w:t>
            </w:r>
            <w:r w:rsidRPr="009E22FE">
              <w:rPr>
                <w:rFonts w:ascii="Garamond" w:hAnsi="Garamond"/>
                <w:lang w:val="sq-AL"/>
              </w:rPr>
              <w:t>2019</w:t>
            </w:r>
          </w:p>
          <w:p w:rsidR="00055077" w:rsidRPr="009E22FE" w:rsidRDefault="00055077">
            <w:pPr>
              <w:spacing w:after="0"/>
              <w:ind w:firstLine="0"/>
              <w:jc w:val="left"/>
              <w:rPr>
                <w:rFonts w:ascii="Garamond" w:hAnsi="Garamond"/>
                <w:lang w:val="sq-AL"/>
              </w:rPr>
            </w:pPr>
          </w:p>
        </w:tc>
      </w:tr>
      <w:tr w:rsidR="009E22FE" w:rsidRPr="009E22FE" w:rsidTr="00055077">
        <w:tc>
          <w:tcPr>
            <w:tcW w:w="1229"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Studime për identifikimin e treguesit BER-N&amp;F në nivel kombëtar</w:t>
            </w:r>
          </w:p>
        </w:tc>
        <w:tc>
          <w:tcPr>
            <w:tcW w:w="533"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Administrative</w:t>
            </w:r>
          </w:p>
        </w:tc>
        <w:tc>
          <w:tcPr>
            <w:tcW w:w="941"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 xml:space="preserve">Energji e identifikuar si BER -ngrohje dhe ftohje. Informim statistikor i rëndësishëm </w:t>
            </w:r>
          </w:p>
        </w:tc>
        <w:tc>
          <w:tcPr>
            <w:tcW w:w="81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Ndërtesat publike ose private që ndërtohen të reja ose ato ekzistuese</w:t>
            </w:r>
          </w:p>
        </w:tc>
        <w:tc>
          <w:tcPr>
            <w:tcW w:w="596"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E re</w:t>
            </w:r>
          </w:p>
        </w:tc>
        <w:tc>
          <w:tcPr>
            <w:tcW w:w="885" w:type="pct"/>
            <w:tcBorders>
              <w:top w:val="single" w:sz="4" w:space="0" w:color="auto"/>
              <w:left w:val="single" w:sz="4" w:space="0" w:color="auto"/>
              <w:bottom w:val="single" w:sz="4" w:space="0" w:color="auto"/>
              <w:right w:val="single" w:sz="4" w:space="0" w:color="auto"/>
            </w:tcBorders>
            <w:vAlign w:val="center"/>
            <w:hideMark/>
          </w:tcPr>
          <w:p w:rsidR="00055077" w:rsidRPr="009E22FE" w:rsidRDefault="00055077">
            <w:pPr>
              <w:spacing w:after="0"/>
              <w:ind w:firstLine="0"/>
              <w:jc w:val="left"/>
              <w:rPr>
                <w:rFonts w:ascii="Garamond" w:hAnsi="Garamond"/>
                <w:lang w:val="sq-AL"/>
              </w:rPr>
            </w:pPr>
            <w:r w:rsidRPr="009E22FE">
              <w:rPr>
                <w:rFonts w:ascii="Garamond" w:hAnsi="Garamond"/>
                <w:lang w:val="sq-AL"/>
              </w:rPr>
              <w:t>Janar 2019</w:t>
            </w:r>
          </w:p>
        </w:tc>
      </w:tr>
    </w:tbl>
    <w:p w:rsidR="00055077" w:rsidRPr="009E22FE" w:rsidRDefault="00055077" w:rsidP="00055077">
      <w:pPr>
        <w:pStyle w:val="Paragrafi"/>
        <w:rPr>
          <w:rFonts w:eastAsia="Times New Roman"/>
          <w:spacing w:val="-4"/>
          <w:lang w:val="sq-AL" w:eastAsia="en-GB"/>
        </w:rPr>
      </w:pPr>
    </w:p>
    <w:p w:rsidR="00055077" w:rsidRPr="009E22FE" w:rsidRDefault="00055077" w:rsidP="00055077">
      <w:pPr>
        <w:pStyle w:val="Paragrafi"/>
        <w:rPr>
          <w:rFonts w:eastAsia="Times New Roman"/>
          <w:spacing w:val="-4"/>
          <w:lang w:val="sq-AL" w:eastAsia="en-GB"/>
        </w:rPr>
      </w:pPr>
    </w:p>
    <w:p w:rsidR="00055077" w:rsidRPr="009E22FE" w:rsidRDefault="00055077" w:rsidP="00055077">
      <w:pPr>
        <w:pStyle w:val="Paragrafi"/>
        <w:rPr>
          <w:rFonts w:eastAsia="Times New Roman"/>
          <w:spacing w:val="-4"/>
          <w:lang w:val="sq-AL" w:eastAsia="en-GB"/>
        </w:rPr>
      </w:pPr>
    </w:p>
    <w:p w:rsidR="00055077" w:rsidRPr="009E22FE" w:rsidRDefault="00055077" w:rsidP="00055077">
      <w:pPr>
        <w:spacing w:after="0" w:line="240" w:lineRule="auto"/>
        <w:ind w:firstLine="0"/>
        <w:jc w:val="left"/>
        <w:rPr>
          <w:rFonts w:ascii="Garamond" w:eastAsia="Times New Roman" w:hAnsi="Garamond" w:cs="CG Times"/>
          <w:spacing w:val="-4"/>
          <w:sz w:val="24"/>
          <w:lang w:val="sq-AL" w:eastAsia="en-GB"/>
        </w:rPr>
        <w:sectPr w:rsidR="00055077" w:rsidRPr="009E22FE" w:rsidSect="009E22FE">
          <w:pgSz w:w="16840" w:h="11907" w:orient="landscape"/>
          <w:pgMar w:top="1134" w:right="720" w:bottom="1134" w:left="720" w:header="851" w:footer="851" w:gutter="0"/>
          <w:cols w:space="720"/>
          <w:docGrid w:linePitch="299"/>
        </w:sectPr>
      </w:pPr>
    </w:p>
    <w:p w:rsidR="00055077" w:rsidRPr="009E22FE" w:rsidRDefault="00055077" w:rsidP="0065716C">
      <w:pPr>
        <w:spacing w:after="0" w:line="240" w:lineRule="auto"/>
        <w:ind w:firstLine="0"/>
        <w:jc w:val="left"/>
        <w:rPr>
          <w:rFonts w:ascii="Garamond" w:eastAsia="Times New Roman" w:hAnsi="Garamond" w:cs="CG Times"/>
          <w:spacing w:val="-4"/>
          <w:sz w:val="24"/>
          <w:lang w:val="sq-AL" w:eastAsia="en-GB"/>
        </w:rPr>
        <w:sectPr w:rsidR="00055077" w:rsidRPr="009E22FE" w:rsidSect="009E22FE">
          <w:type w:val="continuous"/>
          <w:pgSz w:w="16840" w:h="11907" w:orient="landscape"/>
          <w:pgMar w:top="1134" w:right="720" w:bottom="1134" w:left="720" w:header="851" w:footer="851" w:gutter="0"/>
          <w:cols w:space="454"/>
        </w:sectPr>
      </w:pPr>
    </w:p>
    <w:p w:rsidR="009E22FE" w:rsidRPr="009E22FE" w:rsidRDefault="009E22FE" w:rsidP="009E22FE">
      <w:pPr>
        <w:pStyle w:val="Heading4"/>
        <w:numPr>
          <w:ilvl w:val="0"/>
          <w:numId w:val="0"/>
        </w:numPr>
        <w:spacing w:before="0"/>
        <w:ind w:left="284"/>
        <w:rPr>
          <w:rFonts w:ascii="Garamond" w:hAnsi="Garamond"/>
          <w:b/>
          <w:i w:val="0"/>
          <w:color w:val="auto"/>
          <w:spacing w:val="-4"/>
          <w:lang w:val="sq-AL"/>
        </w:rPr>
      </w:pPr>
      <w:bookmarkStart w:id="24" w:name="_Toc430249068"/>
      <w:r w:rsidRPr="009E22FE">
        <w:rPr>
          <w:rFonts w:ascii="Garamond" w:hAnsi="Garamond"/>
          <w:i w:val="0"/>
          <w:color w:val="auto"/>
          <w:spacing w:val="-4"/>
          <w:lang w:val="sq-AL"/>
        </w:rPr>
        <w:t>2.3.3 Potenciali i energjisë diellore</w:t>
      </w:r>
      <w:bookmarkEnd w:id="24"/>
    </w:p>
    <w:p w:rsidR="009E22FE" w:rsidRPr="009E22FE" w:rsidRDefault="009E22FE" w:rsidP="009E22FE">
      <w:pPr>
        <w:spacing w:after="0" w:line="240" w:lineRule="auto"/>
        <w:rPr>
          <w:rFonts w:ascii="Garamond" w:hAnsi="Garamond"/>
          <w:spacing w:val="-4"/>
          <w:sz w:val="24"/>
          <w:szCs w:val="24"/>
          <w:lang w:val="sq-AL"/>
        </w:rPr>
      </w:pPr>
      <w:r w:rsidRPr="009E22FE">
        <w:rPr>
          <w:rFonts w:ascii="Garamond" w:hAnsi="Garamond"/>
          <w:spacing w:val="-4"/>
          <w:sz w:val="24"/>
          <w:szCs w:val="24"/>
          <w:lang w:val="sq-AL"/>
        </w:rPr>
        <w:t xml:space="preserve">Studimi “Dielli në veprim” tregoi që ekziston një potencial shumë i madh për sistemet ngrohëse diellore, jo vetëm për rajonin e BE-së, por praktikisht në të gjithë botën, duke përfshirë shtetet brenda UNFCCC-së. Është treguar gjithashtu që duhet të kapërcehen një numër pengesash për të zhvilluar tregun për këtë teknologji të nxjerrë prej kohësh. Në përgjithësi, tregu i energjisë diellore mund të përshkruhet si një treg me rritje të qëndrueshme dhe me teknologji të nxjerra në treg prej kohësh. Megjithatë pjesë të publikut dhe sektorët tregtarë vazhdojnë të mos jenë në dijeni të këtyre fakteve dhe habiten nga objektivat e përfitimit afatshkurtër. Për këtë arsye, industritë, kompanitë e strehimit privat e publik dhe ndërmarrjet e shërbimeve publike, përbëjnë vetëm një pjesë të vogël të përdoruesve të instalimeve të sistemeve për ngrohje me energji diellore. Synimi i kësaj analize është të përshkruajë potencialin e ngrohjes së ujit me energji diellore dhe rritjen e pritur të tregut, si dhe pengesat kryesore, me qëllim theksimin e mundësive për të përhapur përdorimin e ngrohjes diellore për tregun e energjisë dhe të sektorit të banesave. </w:t>
      </w:r>
    </w:p>
    <w:p w:rsidR="009E22FE" w:rsidRPr="009E22FE" w:rsidRDefault="009E22FE" w:rsidP="009E22FE">
      <w:pPr>
        <w:spacing w:after="0" w:line="240" w:lineRule="auto"/>
        <w:rPr>
          <w:rFonts w:ascii="Garamond" w:hAnsi="Garamond"/>
          <w:spacing w:val="-4"/>
          <w:sz w:val="24"/>
          <w:szCs w:val="24"/>
          <w:lang w:val="sq-AL"/>
        </w:rPr>
      </w:pPr>
      <w:r w:rsidRPr="009E22FE">
        <w:rPr>
          <w:rFonts w:ascii="Garamond" w:hAnsi="Garamond"/>
          <w:spacing w:val="-4"/>
          <w:sz w:val="24"/>
          <w:szCs w:val="24"/>
          <w:lang w:val="sq-AL"/>
        </w:rPr>
        <w:t>Kohët e fundit janë kryer disa studime të rëndësishme për zhvillimin e tregut dhe potencialin e sistemeve me energji diellore. Tregu është shumë i madh dhe, i marrë në tërësi, është në rritje të qëndrueshme, ndonëse ecuria e rritjes ndryshon shumë nga shteti në shtet. Në këto studime tregohet që potenciali i kolektorëve diellorë për sektorin e banesave dhe për sektorin e prodhimit të energjisë elektrike janë domethënëse. Vlera minimale përfaqëson klimat më të ngrohta dhe vlera e lartë klimat e Evropës Veriore dhe Qendrore. Studimet tregojnë gjithashtu se numri në fjalë mund të shkojë drejt 1 m</w:t>
      </w:r>
      <w:r w:rsidRPr="009E22FE">
        <w:rPr>
          <w:rFonts w:ascii="Garamond" w:hAnsi="Garamond"/>
          <w:spacing w:val="-4"/>
          <w:sz w:val="24"/>
          <w:szCs w:val="24"/>
          <w:vertAlign w:val="superscript"/>
          <w:lang w:val="sq-AL"/>
        </w:rPr>
        <w:t>2</w:t>
      </w:r>
      <w:r w:rsidRPr="009E22FE">
        <w:rPr>
          <w:rFonts w:ascii="Garamond" w:hAnsi="Garamond"/>
          <w:spacing w:val="-4"/>
          <w:sz w:val="24"/>
          <w:szCs w:val="24"/>
          <w:lang w:val="sq-AL"/>
        </w:rPr>
        <w:t xml:space="preserve"> kolektor diellor për banor në shtetet me klimë më të ngrohtë. Në Shqipëri ka kushte të shkëlqyera për prodhimin e energjisë nga PV-ja nëpërmjet sistemeve me energji diellore. Rrezatimi diellor vjetor është i lartë dhe teorikisht mund të sigurojë në Shqipëri jo vetëm ngrohje të ujit të nevojshme me temperaturë të ulët gjatë një periudhe kohore të paktën (7–8) muaj, por edhe rreth 1500 orë me diell në pik për panelet PV të prodhimit të energjisë elektrike. Regjimi i rrezatimit diellor dhe orët me diell gjatë vitit në Shqipëri tregohen në figurat dhe.</w:t>
      </w:r>
    </w:p>
    <w:p w:rsidR="009E22FE" w:rsidRPr="009E22FE" w:rsidRDefault="009E22FE" w:rsidP="009E22FE">
      <w:pPr>
        <w:spacing w:after="0" w:line="240" w:lineRule="auto"/>
        <w:ind w:firstLine="0"/>
        <w:jc w:val="left"/>
        <w:rPr>
          <w:rFonts w:ascii="Garamond" w:eastAsia="Times New Roman" w:hAnsi="Garamond" w:cs="CG Times"/>
          <w:spacing w:val="-4"/>
          <w:sz w:val="24"/>
          <w:lang w:val="sq-AL" w:eastAsia="en-GB"/>
        </w:rPr>
        <w:sectPr w:rsidR="009E22FE" w:rsidRPr="009E22FE" w:rsidSect="009E22FE">
          <w:pgSz w:w="11907" w:h="16840"/>
          <w:pgMar w:top="720" w:right="1134" w:bottom="720" w:left="1134" w:header="851" w:footer="851" w:gutter="0"/>
          <w:cols w:space="454"/>
        </w:sectPr>
      </w:pPr>
    </w:p>
    <w:p w:rsidR="009E22FE" w:rsidRPr="009E22FE" w:rsidRDefault="009E22FE" w:rsidP="009E22FE">
      <w:pPr>
        <w:pStyle w:val="Paragrafi"/>
        <w:rPr>
          <w:rFonts w:eastAsia="Times New Roman"/>
          <w:spacing w:val="-4"/>
          <w:sz w:val="6"/>
          <w:lang w:val="sq-AL" w:eastAsia="en-GB"/>
        </w:rPr>
      </w:pPr>
    </w:p>
    <w:tbl>
      <w:tblPr>
        <w:tblW w:w="0" w:type="auto"/>
        <w:jc w:val="center"/>
        <w:tblLook w:val="00A0" w:firstRow="1" w:lastRow="0" w:firstColumn="1" w:lastColumn="0" w:noHBand="0" w:noVBand="0"/>
      </w:tblPr>
      <w:tblGrid>
        <w:gridCol w:w="4621"/>
        <w:gridCol w:w="4622"/>
      </w:tblGrid>
      <w:tr w:rsidR="009E22FE" w:rsidRPr="009E22FE" w:rsidTr="009E22FE">
        <w:trPr>
          <w:jc w:val="center"/>
        </w:trPr>
        <w:tc>
          <w:tcPr>
            <w:tcW w:w="4621" w:type="dxa"/>
            <w:vAlign w:val="center"/>
            <w:hideMark/>
          </w:tcPr>
          <w:p w:rsidR="009E22FE" w:rsidRPr="009E22FE" w:rsidRDefault="009E22FE">
            <w:pPr>
              <w:rPr>
                <w:rFonts w:ascii="Garamond" w:hAnsi="Garamond"/>
                <w:sz w:val="24"/>
                <w:szCs w:val="24"/>
                <w:lang w:val="sq-AL"/>
              </w:rPr>
            </w:pPr>
            <w:r w:rsidRPr="009E22FE">
              <w:rPr>
                <w:rFonts w:ascii="Garamond" w:hAnsi="Garamond"/>
                <w:noProof/>
                <w:sz w:val="24"/>
                <w:szCs w:val="24"/>
              </w:rPr>
              <w:drawing>
                <wp:inline distT="0" distB="0" distL="0" distR="0">
                  <wp:extent cx="2524125" cy="3857625"/>
                  <wp:effectExtent l="0" t="0" r="9525" b="9525"/>
                  <wp:docPr id="17" name="Picture 17" descr="RREZATIMI MESATAR VJETOR_low resolu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REZATIMI MESATAR VJETOR_low resolution.jpg"/>
                          <pic:cNvPicPr>
                            <a:picLocks noChangeAspect="1" noChangeArrowheads="1"/>
                          </pic:cNvPicPr>
                        </pic:nvPicPr>
                        <pic:blipFill>
                          <a:blip r:embed="rId11" cstate="print">
                            <a:extLst>
                              <a:ext uri="{28A0092B-C50C-407E-A947-70E740481C1C}">
                                <a14:useLocalDpi xmlns:a14="http://schemas.microsoft.com/office/drawing/2010/main" val="0"/>
                              </a:ext>
                            </a:extLst>
                          </a:blip>
                          <a:srcRect l="7231" r="6937"/>
                          <a:stretch>
                            <a:fillRect/>
                          </a:stretch>
                        </pic:blipFill>
                        <pic:spPr bwMode="auto">
                          <a:xfrm>
                            <a:off x="0" y="0"/>
                            <a:ext cx="2524125" cy="3857625"/>
                          </a:xfrm>
                          <a:prstGeom prst="rect">
                            <a:avLst/>
                          </a:prstGeom>
                          <a:noFill/>
                          <a:ln>
                            <a:noFill/>
                          </a:ln>
                        </pic:spPr>
                      </pic:pic>
                    </a:graphicData>
                  </a:graphic>
                </wp:inline>
              </w:drawing>
            </w:r>
          </w:p>
        </w:tc>
        <w:tc>
          <w:tcPr>
            <w:tcW w:w="4622" w:type="dxa"/>
            <w:vAlign w:val="center"/>
            <w:hideMark/>
          </w:tcPr>
          <w:p w:rsidR="009E22FE" w:rsidRPr="009E22FE" w:rsidRDefault="009E22FE">
            <w:pPr>
              <w:rPr>
                <w:rFonts w:ascii="Garamond" w:hAnsi="Garamond"/>
                <w:sz w:val="24"/>
                <w:szCs w:val="24"/>
                <w:lang w:val="sq-AL"/>
              </w:rPr>
            </w:pPr>
            <w:r w:rsidRPr="009E22FE">
              <w:rPr>
                <w:rFonts w:ascii="Garamond" w:hAnsi="Garamond"/>
                <w:noProof/>
                <w:sz w:val="24"/>
                <w:szCs w:val="24"/>
              </w:rPr>
              <w:drawing>
                <wp:inline distT="0" distB="0" distL="0" distR="0">
                  <wp:extent cx="2438400" cy="3924300"/>
                  <wp:effectExtent l="0" t="0" r="0" b="0"/>
                  <wp:docPr id="16" name="Picture 16" descr="SHPËRNDARJA TERRITORIALE E ORËVE ME DIELL_low resolu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PËRNDARJA TERRITORIALE E ORËVE ME DIELL_low resolution.jpg"/>
                          <pic:cNvPicPr>
                            <a:picLocks noChangeAspect="1" noChangeArrowheads="1"/>
                          </pic:cNvPicPr>
                        </pic:nvPicPr>
                        <pic:blipFill>
                          <a:blip r:embed="rId12" cstate="print">
                            <a:extLst>
                              <a:ext uri="{28A0092B-C50C-407E-A947-70E740481C1C}">
                                <a14:useLocalDpi xmlns:a14="http://schemas.microsoft.com/office/drawing/2010/main" val="0"/>
                              </a:ext>
                            </a:extLst>
                          </a:blip>
                          <a:srcRect l="7188" r="7188"/>
                          <a:stretch>
                            <a:fillRect/>
                          </a:stretch>
                        </pic:blipFill>
                        <pic:spPr bwMode="auto">
                          <a:xfrm>
                            <a:off x="0" y="0"/>
                            <a:ext cx="2438400" cy="3924300"/>
                          </a:xfrm>
                          <a:prstGeom prst="rect">
                            <a:avLst/>
                          </a:prstGeom>
                          <a:noFill/>
                          <a:ln>
                            <a:noFill/>
                          </a:ln>
                        </pic:spPr>
                      </pic:pic>
                    </a:graphicData>
                  </a:graphic>
                </wp:inline>
              </w:drawing>
            </w:r>
          </w:p>
        </w:tc>
      </w:tr>
    </w:tbl>
    <w:p w:rsidR="009E22FE" w:rsidRPr="009E22FE" w:rsidRDefault="009E22FE" w:rsidP="009E22FE">
      <w:pPr>
        <w:spacing w:after="0" w:line="240" w:lineRule="auto"/>
        <w:rPr>
          <w:rFonts w:ascii="Garamond" w:hAnsi="Garamond"/>
          <w:sz w:val="24"/>
          <w:szCs w:val="24"/>
          <w:lang w:val="sq-AL"/>
        </w:rPr>
      </w:pPr>
    </w:p>
    <w:p w:rsidR="009E22FE" w:rsidRPr="009E22FE" w:rsidRDefault="009E22FE" w:rsidP="009E22FE">
      <w:pPr>
        <w:spacing w:after="0" w:line="240" w:lineRule="auto"/>
        <w:ind w:firstLine="0"/>
        <w:jc w:val="left"/>
        <w:rPr>
          <w:rFonts w:ascii="Garamond" w:hAnsi="Garamond"/>
          <w:sz w:val="24"/>
          <w:szCs w:val="24"/>
          <w:lang w:val="sq-AL"/>
        </w:rPr>
        <w:sectPr w:rsidR="009E22FE" w:rsidRPr="009E22FE" w:rsidSect="009E22FE">
          <w:type w:val="continuous"/>
          <w:pgSz w:w="11907" w:h="16840"/>
          <w:pgMar w:top="720" w:right="1134" w:bottom="720" w:left="1134" w:header="851" w:footer="851" w:gutter="0"/>
          <w:cols w:space="720"/>
        </w:sectPr>
      </w:pPr>
    </w:p>
    <w:p w:rsidR="009E22FE" w:rsidRPr="009E22FE" w:rsidRDefault="009E22FE" w:rsidP="009E22FE">
      <w:pPr>
        <w:spacing w:after="0" w:line="240" w:lineRule="auto"/>
        <w:rPr>
          <w:rFonts w:ascii="Garamond" w:hAnsi="Garamond"/>
          <w:sz w:val="24"/>
          <w:szCs w:val="24"/>
          <w:lang w:val="sq-AL"/>
        </w:rPr>
      </w:pPr>
      <w:r w:rsidRPr="009E22FE">
        <w:rPr>
          <w:rFonts w:ascii="Garamond" w:hAnsi="Garamond"/>
          <w:sz w:val="24"/>
          <w:szCs w:val="24"/>
          <w:lang w:val="sq-AL"/>
        </w:rPr>
        <w:t>Figura dhe rrezatimi diellor (kwh/m</w:t>
      </w:r>
      <w:r w:rsidRPr="009E22FE">
        <w:rPr>
          <w:rFonts w:ascii="Garamond" w:hAnsi="Garamond"/>
          <w:sz w:val="24"/>
          <w:szCs w:val="24"/>
          <w:vertAlign w:val="superscript"/>
          <w:lang w:val="sq-AL"/>
        </w:rPr>
        <w:t>2</w:t>
      </w:r>
      <w:r w:rsidRPr="009E22FE">
        <w:rPr>
          <w:rFonts w:ascii="Garamond" w:hAnsi="Garamond"/>
          <w:sz w:val="24"/>
          <w:szCs w:val="24"/>
          <w:lang w:val="sq-AL"/>
        </w:rPr>
        <w:t>vit = kWh/m2 vit) dhe orët me diell (orët/vit) në Shqipëri</w:t>
      </w:r>
    </w:p>
    <w:p w:rsidR="009E22FE" w:rsidRPr="009E22FE" w:rsidRDefault="009E22FE" w:rsidP="009E22FE">
      <w:pPr>
        <w:pStyle w:val="Heading4"/>
        <w:numPr>
          <w:ilvl w:val="0"/>
          <w:numId w:val="0"/>
        </w:numPr>
        <w:spacing w:before="0"/>
        <w:ind w:left="284"/>
        <w:rPr>
          <w:rFonts w:ascii="Garamond" w:hAnsi="Garamond"/>
          <w:b/>
          <w:i w:val="0"/>
          <w:color w:val="auto"/>
          <w:sz w:val="24"/>
          <w:szCs w:val="24"/>
          <w:lang w:val="sq-AL"/>
        </w:rPr>
      </w:pPr>
      <w:r w:rsidRPr="009E22FE">
        <w:rPr>
          <w:rFonts w:ascii="Garamond" w:hAnsi="Garamond"/>
          <w:i w:val="0"/>
          <w:color w:val="auto"/>
          <w:sz w:val="24"/>
          <w:szCs w:val="24"/>
          <w:lang w:val="sq-AL"/>
        </w:rPr>
        <w:t>2.3.4 Potenciali i energjisë së erës</w:t>
      </w:r>
    </w:p>
    <w:p w:rsidR="009E22FE" w:rsidRPr="009E22FE" w:rsidRDefault="009E22FE" w:rsidP="009E22FE">
      <w:pPr>
        <w:spacing w:after="0" w:line="240" w:lineRule="auto"/>
        <w:rPr>
          <w:rFonts w:ascii="Garamond" w:hAnsi="Garamond"/>
          <w:sz w:val="24"/>
          <w:szCs w:val="24"/>
          <w:lang w:val="sq-AL"/>
        </w:rPr>
      </w:pPr>
      <w:r w:rsidRPr="009E22FE">
        <w:rPr>
          <w:rFonts w:ascii="Garamond" w:hAnsi="Garamond"/>
          <w:sz w:val="24"/>
          <w:szCs w:val="24"/>
          <w:lang w:val="sq-AL"/>
        </w:rPr>
        <w:t xml:space="preserve">Energjia e erës përdoret për pompimin e ujit, mullinjtë me erë dhe në dekadat e fundit vëmendja është përqendruar në prodhimin e energjisë elektrike. Makineritë që operojnë me energjinë e erës kanë një kapacitet të instaluar që ndryshon nga disa [kw] deri në 5 [mw] dhe po përdoren me sukses në zona të veçuara. </w:t>
      </w:r>
    </w:p>
    <w:p w:rsidR="009E22FE" w:rsidRPr="009E22FE" w:rsidRDefault="009E22FE" w:rsidP="009E22FE">
      <w:pPr>
        <w:spacing w:after="0" w:line="240" w:lineRule="auto"/>
        <w:rPr>
          <w:rFonts w:ascii="Garamond" w:hAnsi="Garamond"/>
          <w:sz w:val="24"/>
          <w:szCs w:val="24"/>
          <w:lang w:val="sq-AL"/>
        </w:rPr>
      </w:pPr>
      <w:r w:rsidRPr="009E22FE">
        <w:rPr>
          <w:rFonts w:ascii="Garamond" w:hAnsi="Garamond"/>
          <w:sz w:val="24"/>
          <w:szCs w:val="24"/>
          <w:lang w:val="sq-AL"/>
        </w:rPr>
        <w:t xml:space="preserve">Energjia e erës është një potencial i konsiderueshëm si burim energjie dhe është e shpërndarë njëtrajtësisht në çdo cep të botës. Mullinjtë me erë mund të instalohen shpejt dhe përdorin një sipërfaqe të vogël toke. Në shumicën e shteteve, instalimet e mullinjve me erë përballen me një shqetësim të përbashkët, mungesën e matjes së vazhdueshme të shpejtësisë së erës dhe me mungesën e erës së përhershme. </w:t>
      </w:r>
    </w:p>
    <w:p w:rsidR="009E22FE" w:rsidRPr="009E22FE" w:rsidRDefault="009E22FE" w:rsidP="009E22FE">
      <w:pPr>
        <w:spacing w:after="0" w:line="240" w:lineRule="auto"/>
        <w:ind w:firstLine="0"/>
        <w:jc w:val="left"/>
        <w:rPr>
          <w:rFonts w:ascii="Garamond" w:eastAsia="Times New Roman" w:hAnsi="Garamond" w:cs="CG Times"/>
          <w:spacing w:val="-4"/>
          <w:sz w:val="24"/>
          <w:szCs w:val="24"/>
          <w:lang w:val="sq-AL" w:eastAsia="en-GB"/>
        </w:rPr>
        <w:sectPr w:rsidR="009E22FE" w:rsidRPr="009E22FE" w:rsidSect="009E22FE">
          <w:type w:val="continuous"/>
          <w:pgSz w:w="11907" w:h="16840"/>
          <w:pgMar w:top="720" w:right="1134" w:bottom="720" w:left="1134" w:header="851" w:footer="851" w:gutter="0"/>
          <w:cols w:space="454"/>
        </w:sectPr>
      </w:pPr>
    </w:p>
    <w:p w:rsidR="009E22FE" w:rsidRPr="009E22FE" w:rsidRDefault="009E22FE" w:rsidP="009E22FE">
      <w:pPr>
        <w:pStyle w:val="Paragrafi"/>
        <w:rPr>
          <w:rFonts w:eastAsia="Times New Roman"/>
          <w:spacing w:val="-4"/>
          <w:szCs w:val="24"/>
          <w:lang w:val="sq-AL" w:eastAsia="en-GB"/>
        </w:rPr>
      </w:pPr>
    </w:p>
    <w:tbl>
      <w:tblPr>
        <w:tblW w:w="0" w:type="auto"/>
        <w:jc w:val="center"/>
        <w:tblLook w:val="00A0" w:firstRow="1" w:lastRow="0" w:firstColumn="1" w:lastColumn="0" w:noHBand="0" w:noVBand="0"/>
      </w:tblPr>
      <w:tblGrid>
        <w:gridCol w:w="4686"/>
        <w:gridCol w:w="4716"/>
      </w:tblGrid>
      <w:tr w:rsidR="009E22FE" w:rsidRPr="009E22FE" w:rsidTr="009E22FE">
        <w:trPr>
          <w:jc w:val="center"/>
        </w:trPr>
        <w:tc>
          <w:tcPr>
            <w:tcW w:w="4607" w:type="dxa"/>
            <w:hideMark/>
          </w:tcPr>
          <w:p w:rsidR="009E22FE" w:rsidRPr="009E22FE" w:rsidRDefault="009E22FE">
            <w:pPr>
              <w:spacing w:after="0" w:line="240" w:lineRule="auto"/>
              <w:ind w:firstLine="0"/>
              <w:rPr>
                <w:rFonts w:ascii="Garamond" w:hAnsi="Garamond"/>
                <w:sz w:val="24"/>
                <w:szCs w:val="24"/>
                <w:lang w:val="sq-AL"/>
              </w:rPr>
            </w:pPr>
            <w:r w:rsidRPr="009E22FE">
              <w:rPr>
                <w:rFonts w:ascii="Garamond" w:hAnsi="Garamond"/>
                <w:noProof/>
                <w:sz w:val="24"/>
                <w:szCs w:val="24"/>
              </w:rPr>
              <w:drawing>
                <wp:inline distT="0" distB="0" distL="0" distR="0">
                  <wp:extent cx="2828925" cy="39814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28925" cy="3981450"/>
                          </a:xfrm>
                          <a:prstGeom prst="rect">
                            <a:avLst/>
                          </a:prstGeom>
                          <a:noFill/>
                          <a:ln>
                            <a:noFill/>
                          </a:ln>
                        </pic:spPr>
                      </pic:pic>
                    </a:graphicData>
                  </a:graphic>
                </wp:inline>
              </w:drawing>
            </w:r>
          </w:p>
        </w:tc>
        <w:tc>
          <w:tcPr>
            <w:tcW w:w="4636" w:type="dxa"/>
            <w:hideMark/>
          </w:tcPr>
          <w:p w:rsidR="009E22FE" w:rsidRPr="009E22FE" w:rsidRDefault="009E22FE">
            <w:pPr>
              <w:spacing w:after="0" w:line="240" w:lineRule="auto"/>
              <w:ind w:firstLine="0"/>
              <w:rPr>
                <w:rFonts w:ascii="Garamond" w:hAnsi="Garamond"/>
                <w:sz w:val="24"/>
                <w:szCs w:val="24"/>
                <w:lang w:val="sq-AL"/>
              </w:rPr>
            </w:pPr>
            <w:r w:rsidRPr="009E22FE">
              <w:rPr>
                <w:rFonts w:ascii="Garamond" w:hAnsi="Garamond"/>
                <w:noProof/>
                <w:sz w:val="24"/>
                <w:szCs w:val="24"/>
              </w:rPr>
              <w:drawing>
                <wp:inline distT="0" distB="0" distL="0" distR="0">
                  <wp:extent cx="2847975" cy="40100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47975" cy="4010025"/>
                          </a:xfrm>
                          <a:prstGeom prst="rect">
                            <a:avLst/>
                          </a:prstGeom>
                          <a:noFill/>
                          <a:ln>
                            <a:noFill/>
                          </a:ln>
                        </pic:spPr>
                      </pic:pic>
                    </a:graphicData>
                  </a:graphic>
                </wp:inline>
              </w:drawing>
            </w:r>
          </w:p>
        </w:tc>
      </w:tr>
    </w:tbl>
    <w:p w:rsidR="009E22FE" w:rsidRPr="009E22FE" w:rsidRDefault="009E22FE" w:rsidP="009E22FE">
      <w:pPr>
        <w:pStyle w:val="Paragrafi"/>
        <w:rPr>
          <w:lang w:val="sq-AL"/>
        </w:rPr>
      </w:pPr>
    </w:p>
    <w:p w:rsidR="009E22FE" w:rsidRPr="009E22FE" w:rsidRDefault="009E22FE" w:rsidP="009E22FE">
      <w:pPr>
        <w:spacing w:after="0" w:line="240" w:lineRule="auto"/>
        <w:ind w:firstLine="0"/>
        <w:jc w:val="left"/>
        <w:rPr>
          <w:rFonts w:ascii="Garamond" w:hAnsi="Garamond"/>
          <w:iCs/>
          <w:kern w:val="28"/>
          <w:lang w:val="sq-AL"/>
        </w:rPr>
        <w:sectPr w:rsidR="009E22FE" w:rsidRPr="009E22FE" w:rsidSect="009E22FE">
          <w:type w:val="continuous"/>
          <w:pgSz w:w="11907" w:h="16840"/>
          <w:pgMar w:top="720" w:right="1134" w:bottom="720" w:left="1134" w:header="851" w:footer="851" w:gutter="0"/>
          <w:cols w:space="720"/>
        </w:sectPr>
      </w:pPr>
    </w:p>
    <w:p w:rsidR="009E22FE" w:rsidRPr="009E22FE" w:rsidRDefault="009E22FE" w:rsidP="009E22FE">
      <w:pPr>
        <w:pStyle w:val="FiguresandTables"/>
        <w:spacing w:before="0" w:after="0"/>
        <w:ind w:firstLine="284"/>
        <w:rPr>
          <w:rFonts w:cs="Times New Roman"/>
          <w:i w:val="0"/>
          <w:noProof w:val="0"/>
          <w:sz w:val="24"/>
          <w:szCs w:val="24"/>
        </w:rPr>
      </w:pPr>
      <w:r w:rsidRPr="009E22FE">
        <w:rPr>
          <w:rFonts w:cs="Times New Roman"/>
          <w:i w:val="0"/>
          <w:noProof w:val="0"/>
          <w:sz w:val="24"/>
          <w:szCs w:val="24"/>
        </w:rPr>
        <w:t>Figura 21. Ndarja në zona sipas sasisë së orëve vjetore të erës për një vlerë mesatare të shpejtësisë së erës.</w:t>
      </w:r>
    </w:p>
    <w:p w:rsidR="009E22FE" w:rsidRPr="009E22FE" w:rsidRDefault="009E22FE" w:rsidP="009E22FE">
      <w:pPr>
        <w:spacing w:after="0" w:line="240" w:lineRule="auto"/>
        <w:rPr>
          <w:rFonts w:ascii="Garamond" w:hAnsi="Garamond"/>
          <w:sz w:val="24"/>
          <w:szCs w:val="24"/>
          <w:lang w:val="sq-AL"/>
        </w:rPr>
      </w:pPr>
      <w:r w:rsidRPr="009E22FE">
        <w:rPr>
          <w:rFonts w:ascii="Garamond" w:hAnsi="Garamond"/>
          <w:sz w:val="24"/>
          <w:szCs w:val="24"/>
          <w:lang w:val="sq-AL"/>
        </w:rPr>
        <w:t>Për këtë arsye, shoqëritë e ndryshme që duan të investojnë në këtë sektor e kanë të vështirë të marrin një vendim nëse ia vlen të investohet në një rajon të caktuar pa këto të dhëna të domosdoshme. Të dhënat e marra nga stacione të ndryshme Meteorologjike në Shqipëri janë të përafërta dhe jo shumë të besueshme, sepse nuk janë mbledhur me qëllimin specifik të matjes së energjisë së erës (tabela 14 dhe figura 21).</w:t>
      </w:r>
    </w:p>
    <w:p w:rsidR="009E22FE" w:rsidRPr="009E22FE" w:rsidRDefault="009E22FE" w:rsidP="009E22FE">
      <w:pPr>
        <w:spacing w:after="0" w:line="240" w:lineRule="auto"/>
        <w:rPr>
          <w:rFonts w:ascii="Garamond" w:hAnsi="Garamond"/>
          <w:sz w:val="24"/>
          <w:szCs w:val="24"/>
          <w:lang w:val="sq-AL"/>
        </w:rPr>
      </w:pPr>
      <w:r w:rsidRPr="009E22FE">
        <w:rPr>
          <w:rFonts w:ascii="Garamond" w:hAnsi="Garamond"/>
          <w:sz w:val="24"/>
          <w:szCs w:val="24"/>
          <w:lang w:val="sq-AL"/>
        </w:rPr>
        <w:t xml:space="preserve">Ekzistojnë plane të mëdha për zhvillimin e energjisë së erës në Shqipëri në vitet e ardhshme me investime të konsiderueshme, me një total të centraleve të erës të licencuar, me fuqi 1300 mw (licenca të lëshuara deri në vitin 2010). Duke pasur si qëllim vlerësimin e potencialit të këtij burimi, është vlerësuar niveli i prodhimit të parqeve eolike të planifikuara për ndërtim në Shqipëri është rreth 2400 mw. Disponueshmëria e parkut eolik ose faktori i ngarkesës - përqindja e kohës gjatë së cilës turbinat e erës janë në gjendje pune me ngarkesë të plotë – konsiderohet universalisht si problemi më i madh për energjinë e erës. Pasiguria mbi sasinë që do të prodhojë një park eolik është një sfidë më vete. Metodologjia e parashikimit dhe vlerësimet e burimeve të erës janë detyra të specialistëve. Matjet mesatare vjetore të erës ndërmjet 5,8 m/s deri në 7 m/s në zonat e kërkuara janë premtuese. Nga studimet mund të shihet që faktorët e ngarkesës në mënyrë tipike nga 22% deri në 25%. </w:t>
      </w:r>
    </w:p>
    <w:p w:rsidR="009E22FE" w:rsidRPr="009E22FE" w:rsidRDefault="009E22FE" w:rsidP="009E22FE">
      <w:pPr>
        <w:spacing w:after="0" w:line="240" w:lineRule="auto"/>
        <w:rPr>
          <w:rFonts w:ascii="Garamond" w:hAnsi="Garamond"/>
          <w:sz w:val="24"/>
          <w:szCs w:val="24"/>
          <w:lang w:val="sq-AL"/>
        </w:rPr>
      </w:pPr>
      <w:r w:rsidRPr="009E22FE">
        <w:rPr>
          <w:rFonts w:ascii="Garamond" w:hAnsi="Garamond"/>
          <w:sz w:val="24"/>
          <w:szCs w:val="24"/>
          <w:lang w:val="sq-AL"/>
        </w:rPr>
        <w:t>Gjatë periudhës 2010–2014, ka vazhduar dhënia e licencave dhe deri në fund të dhjetorit 2014, në Shqipëri, totali i tyre shkon përafërsisht në 2548 mw, në bazë të informacionit të dhënë nga ish-Ministria e Energjisë dhe Industrisë, me potencial prodhimi energjie prej rreth 5 twh/vit. Kapaciteti i sistemit elektrik shqiptar për të dërguar dhe për të përthithur energjinë e erës është vlerësuar përafërsisht deri në 180–200 mw.</w:t>
      </w:r>
    </w:p>
    <w:p w:rsidR="009E22FE" w:rsidRPr="009E22FE" w:rsidRDefault="009E22FE" w:rsidP="009E22FE">
      <w:pPr>
        <w:pStyle w:val="Heading4"/>
        <w:numPr>
          <w:ilvl w:val="0"/>
          <w:numId w:val="0"/>
        </w:numPr>
        <w:spacing w:before="0"/>
        <w:ind w:left="284"/>
        <w:rPr>
          <w:rFonts w:ascii="Garamond" w:hAnsi="Garamond"/>
          <w:b/>
          <w:i w:val="0"/>
          <w:color w:val="auto"/>
          <w:sz w:val="24"/>
          <w:szCs w:val="24"/>
          <w:lang w:val="sq-AL"/>
        </w:rPr>
      </w:pPr>
      <w:r w:rsidRPr="009E22FE">
        <w:rPr>
          <w:rFonts w:ascii="Garamond" w:hAnsi="Garamond"/>
          <w:i w:val="0"/>
          <w:color w:val="auto"/>
          <w:sz w:val="24"/>
          <w:szCs w:val="24"/>
          <w:lang w:val="sq-AL"/>
        </w:rPr>
        <w:t>2.3.5 Kontributi i BRE-ve në prodhimin e energjisë elektrike</w:t>
      </w:r>
    </w:p>
    <w:p w:rsidR="009E22FE" w:rsidRPr="009E22FE" w:rsidRDefault="009E22FE" w:rsidP="009E22FE">
      <w:pPr>
        <w:spacing w:after="0" w:line="240" w:lineRule="auto"/>
        <w:rPr>
          <w:rFonts w:ascii="Garamond" w:hAnsi="Garamond"/>
          <w:sz w:val="24"/>
          <w:szCs w:val="24"/>
          <w:lang w:val="sq-AL"/>
        </w:rPr>
      </w:pPr>
      <w:r w:rsidRPr="009E22FE">
        <w:rPr>
          <w:rFonts w:ascii="Garamond" w:hAnsi="Garamond"/>
          <w:sz w:val="24"/>
          <w:szCs w:val="24"/>
          <w:lang w:val="sq-AL"/>
        </w:rPr>
        <w:t xml:space="preserve">Për të përgatitur më mirë zbatimin e direktivës 2009/28/EC, Shqipëria si të gjithë anëtarët e BE-së dhe palët kontraktore të tjera të traktatit të KE-së, ka bëre një vlerësim të potencialit të disponueshëm për zhvillimin e burimeve të energjive të rinovueshme për prodhimin e energjisë elektrike. Tabela 10 së bashku me tabelat 1 dhe 3 të Planit Kombëtar të Veprimit për Energjitë e Rinovueshme janë përdorur si strukturë për të përmbledhur gjetjet kryesore. </w:t>
      </w:r>
    </w:p>
    <w:p w:rsidR="009E22FE" w:rsidRPr="009E22FE" w:rsidRDefault="009E22FE" w:rsidP="009E22FE">
      <w:pPr>
        <w:spacing w:after="0" w:line="240" w:lineRule="auto"/>
        <w:rPr>
          <w:rFonts w:ascii="Garamond" w:hAnsi="Garamond"/>
          <w:sz w:val="24"/>
          <w:szCs w:val="24"/>
          <w:lang w:val="sq-AL"/>
        </w:rPr>
      </w:pPr>
      <w:r w:rsidRPr="009E22FE">
        <w:rPr>
          <w:rFonts w:ascii="Garamond" w:hAnsi="Garamond"/>
          <w:sz w:val="24"/>
          <w:szCs w:val="24"/>
          <w:lang w:val="sq-AL"/>
        </w:rPr>
        <w:t>Për sektorin e energjisë, kapaciteti i instaluar i parashikuar (i akumuluar) (në mw) dhe prodhimi vjetor (gwh) tregohen sipas secilës teknologji. Për sektorin hidrik, bëhet një dallim ndërmjet centraleve me kapacitet të instaluar nën 1 mw, midis 1 dhe 10 mw dhe mbi 10 mw. Për energjinë diellore, detajet janë dhënë veçmas për kontributet nga centralet elektrike me panele diellore fotovoltaike dhe ato me sisteme për ngrohje me energji diellore. Të dhënat për energjinë e erës në det (</w:t>
      </w:r>
      <w:r w:rsidRPr="009E22FE">
        <w:rPr>
          <w:rFonts w:ascii="Garamond" w:hAnsi="Garamond"/>
          <w:i/>
          <w:sz w:val="24"/>
          <w:szCs w:val="24"/>
          <w:lang w:val="sq-AL"/>
        </w:rPr>
        <w:t>onshore</w:t>
      </w:r>
      <w:r w:rsidRPr="009E22FE">
        <w:rPr>
          <w:rFonts w:ascii="Garamond" w:hAnsi="Garamond"/>
          <w:sz w:val="24"/>
          <w:szCs w:val="24"/>
          <w:lang w:val="sq-AL"/>
        </w:rPr>
        <w:t>) dhe në tokë (</w:t>
      </w:r>
      <w:r w:rsidRPr="009E22FE">
        <w:rPr>
          <w:rFonts w:ascii="Garamond" w:hAnsi="Garamond"/>
          <w:i/>
          <w:sz w:val="24"/>
          <w:szCs w:val="24"/>
          <w:lang w:val="sq-AL"/>
        </w:rPr>
        <w:t>offshore</w:t>
      </w:r>
      <w:r w:rsidRPr="009E22FE">
        <w:rPr>
          <w:rFonts w:ascii="Garamond" w:hAnsi="Garamond"/>
          <w:sz w:val="24"/>
          <w:szCs w:val="24"/>
          <w:lang w:val="sq-AL"/>
        </w:rPr>
        <w:t>) tregohen të ndara. Për biomasën e përdorur për energjinë elektrike, është i nevojshëm një dallim midis biomasës së ngurtë, të gaztë dhe të lëngshme. Gjithashtu, mbulimi përkatës për çdo bimë (përfshirë bimët BRE), jepet në figurat 22–26.</w:t>
      </w:r>
    </w:p>
    <w:p w:rsidR="009E22FE" w:rsidRPr="009E22FE" w:rsidRDefault="009E22FE" w:rsidP="009E22FE">
      <w:pPr>
        <w:spacing w:after="0" w:line="240" w:lineRule="auto"/>
        <w:ind w:firstLine="0"/>
        <w:jc w:val="left"/>
        <w:rPr>
          <w:rFonts w:ascii="Garamond" w:eastAsia="Times New Roman" w:hAnsi="Garamond" w:cs="CG Times"/>
          <w:spacing w:val="-4"/>
          <w:sz w:val="24"/>
          <w:szCs w:val="24"/>
          <w:lang w:val="sq-AL" w:eastAsia="en-GB"/>
        </w:rPr>
        <w:sectPr w:rsidR="009E22FE" w:rsidRPr="009E22FE" w:rsidSect="009E22FE">
          <w:type w:val="continuous"/>
          <w:pgSz w:w="11907" w:h="16840"/>
          <w:pgMar w:top="720" w:right="1134" w:bottom="720" w:left="1134" w:header="851" w:footer="851" w:gutter="0"/>
          <w:cols w:space="454"/>
        </w:sectPr>
      </w:pPr>
    </w:p>
    <w:p w:rsidR="009E22FE" w:rsidRPr="009E22FE" w:rsidRDefault="009E22FE" w:rsidP="009E22FE">
      <w:pPr>
        <w:pStyle w:val="Paragrafi"/>
        <w:rPr>
          <w:rFonts w:eastAsia="Times New Roman"/>
          <w:spacing w:val="-4"/>
          <w:sz w:val="16"/>
          <w:lang w:val="sq-AL" w:eastAsia="en-GB"/>
        </w:rPr>
      </w:pPr>
    </w:p>
    <w:p w:rsidR="009E22FE" w:rsidRPr="009E22FE" w:rsidRDefault="009E22FE" w:rsidP="009E22FE">
      <w:pPr>
        <w:pStyle w:val="Tabela"/>
        <w:spacing w:before="0"/>
        <w:ind w:firstLine="284"/>
        <w:rPr>
          <w:rFonts w:ascii="Garamond" w:hAnsi="Garamond"/>
          <w:i w:val="0"/>
          <w:noProof w:val="0"/>
          <w:sz w:val="24"/>
        </w:rPr>
      </w:pPr>
      <w:r w:rsidRPr="009E22FE">
        <w:rPr>
          <w:rFonts w:ascii="Garamond" w:hAnsi="Garamond"/>
          <w:i w:val="0"/>
          <w:noProof w:val="0"/>
          <w:sz w:val="24"/>
        </w:rPr>
        <w:t>Tabela 22. Sasitë e p</w:t>
      </w:r>
      <w:r w:rsidRPr="009E22FE">
        <w:rPr>
          <w:rStyle w:val="TabelaChar"/>
          <w:rFonts w:ascii="Garamond" w:hAnsi="Garamond"/>
          <w:noProof w:val="0"/>
          <w:sz w:val="24"/>
        </w:rPr>
        <w:t>a</w:t>
      </w:r>
      <w:r w:rsidRPr="009E22FE">
        <w:rPr>
          <w:rFonts w:ascii="Garamond" w:hAnsi="Garamond"/>
          <w:i w:val="0"/>
          <w:noProof w:val="0"/>
          <w:sz w:val="24"/>
        </w:rPr>
        <w:t>rashikuara të teknologjive të BRE 2009</w:t>
      </w:r>
      <w:r w:rsidRPr="009E22FE">
        <w:rPr>
          <w:rFonts w:ascii="Garamond" w:hAnsi="Garamond"/>
          <w:sz w:val="24"/>
        </w:rPr>
        <w:t>–</w:t>
      </w:r>
      <w:r w:rsidRPr="009E22FE">
        <w:rPr>
          <w:rFonts w:ascii="Garamond" w:hAnsi="Garamond"/>
          <w:i w:val="0"/>
          <w:noProof w:val="0"/>
          <w:sz w:val="24"/>
        </w:rPr>
        <w:t>2015 dhe 2015</w:t>
      </w:r>
      <w:r w:rsidRPr="009E22FE">
        <w:rPr>
          <w:rFonts w:ascii="Garamond" w:hAnsi="Garamond"/>
          <w:sz w:val="24"/>
        </w:rPr>
        <w:t>–</w:t>
      </w:r>
      <w:r w:rsidRPr="009E22FE">
        <w:rPr>
          <w:rFonts w:ascii="Garamond" w:hAnsi="Garamond"/>
          <w:i w:val="0"/>
          <w:noProof w:val="0"/>
          <w:sz w:val="24"/>
        </w:rPr>
        <w:t>2020</w:t>
      </w:r>
    </w:p>
    <w:tbl>
      <w:tblPr>
        <w:tblStyle w:val="TableGrid"/>
        <w:tblW w:w="9468" w:type="dxa"/>
        <w:jc w:val="center"/>
        <w:tblInd w:w="0" w:type="dxa"/>
        <w:tblLook w:val="04A0" w:firstRow="1" w:lastRow="0" w:firstColumn="1" w:lastColumn="0" w:noHBand="0" w:noVBand="1"/>
      </w:tblPr>
      <w:tblGrid>
        <w:gridCol w:w="1662"/>
        <w:gridCol w:w="631"/>
        <w:gridCol w:w="631"/>
        <w:gridCol w:w="631"/>
        <w:gridCol w:w="632"/>
        <w:gridCol w:w="632"/>
        <w:gridCol w:w="632"/>
        <w:gridCol w:w="632"/>
        <w:gridCol w:w="632"/>
        <w:gridCol w:w="632"/>
        <w:gridCol w:w="632"/>
        <w:gridCol w:w="632"/>
        <w:gridCol w:w="857"/>
      </w:tblGrid>
      <w:tr w:rsidR="009E22FE" w:rsidRPr="009E22FE" w:rsidTr="009E22FE">
        <w:trPr>
          <w:trHeight w:val="144"/>
          <w:jc w:val="center"/>
        </w:trPr>
        <w:tc>
          <w:tcPr>
            <w:tcW w:w="1662" w:type="dxa"/>
            <w:vMerge w:val="restart"/>
            <w:tcBorders>
              <w:top w:val="single" w:sz="4" w:space="0" w:color="auto"/>
              <w:left w:val="single" w:sz="4" w:space="0" w:color="auto"/>
              <w:bottom w:val="single" w:sz="4" w:space="0" w:color="auto"/>
              <w:right w:val="single" w:sz="4" w:space="0" w:color="auto"/>
            </w:tcBorders>
            <w:shd w:val="clear" w:color="auto" w:fill="92D050"/>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bookmarkStart w:id="25" w:name="_Toc313630673"/>
            <w:bookmarkStart w:id="26" w:name="_Toc314481357"/>
            <w:r w:rsidRPr="009E22FE">
              <w:rPr>
                <w:rFonts w:ascii="Garamond" w:hAnsi="Garamond"/>
                <w:b/>
                <w:i/>
                <w:iCs/>
                <w:kern w:val="32"/>
                <w:sz w:val="18"/>
                <w:szCs w:val="18"/>
                <w:lang w:val="sq-AL"/>
              </w:rPr>
              <w:t>Teknologjitë</w:t>
            </w:r>
          </w:p>
        </w:tc>
        <w:tc>
          <w:tcPr>
            <w:tcW w:w="1262" w:type="dxa"/>
            <w:gridSpan w:val="2"/>
            <w:tcBorders>
              <w:top w:val="single" w:sz="4" w:space="0" w:color="auto"/>
              <w:left w:val="single" w:sz="4" w:space="0" w:color="auto"/>
              <w:bottom w:val="single" w:sz="4" w:space="0" w:color="auto"/>
              <w:right w:val="single" w:sz="4" w:space="0" w:color="auto"/>
            </w:tcBorders>
            <w:shd w:val="clear" w:color="auto" w:fill="92D050"/>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2009</w:t>
            </w:r>
          </w:p>
        </w:tc>
        <w:tc>
          <w:tcPr>
            <w:tcW w:w="1263" w:type="dxa"/>
            <w:gridSpan w:val="2"/>
            <w:tcBorders>
              <w:top w:val="single" w:sz="4" w:space="0" w:color="auto"/>
              <w:left w:val="single" w:sz="4" w:space="0" w:color="auto"/>
              <w:bottom w:val="single" w:sz="4" w:space="0" w:color="auto"/>
              <w:right w:val="single" w:sz="4" w:space="0" w:color="auto"/>
            </w:tcBorders>
            <w:shd w:val="clear" w:color="auto" w:fill="92D050"/>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2010</w:t>
            </w:r>
          </w:p>
        </w:tc>
        <w:tc>
          <w:tcPr>
            <w:tcW w:w="1264" w:type="dxa"/>
            <w:gridSpan w:val="2"/>
            <w:tcBorders>
              <w:top w:val="single" w:sz="4" w:space="0" w:color="auto"/>
              <w:left w:val="single" w:sz="4" w:space="0" w:color="auto"/>
              <w:bottom w:val="single" w:sz="4" w:space="0" w:color="auto"/>
              <w:right w:val="single" w:sz="4" w:space="0" w:color="auto"/>
            </w:tcBorders>
            <w:shd w:val="clear" w:color="auto" w:fill="92D050"/>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2011</w:t>
            </w:r>
          </w:p>
        </w:tc>
        <w:tc>
          <w:tcPr>
            <w:tcW w:w="1264" w:type="dxa"/>
            <w:gridSpan w:val="2"/>
            <w:tcBorders>
              <w:top w:val="single" w:sz="4" w:space="0" w:color="auto"/>
              <w:left w:val="single" w:sz="4" w:space="0" w:color="auto"/>
              <w:bottom w:val="single" w:sz="4" w:space="0" w:color="auto"/>
              <w:right w:val="single" w:sz="4" w:space="0" w:color="auto"/>
            </w:tcBorders>
            <w:shd w:val="clear" w:color="auto" w:fill="92D050"/>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2012</w:t>
            </w:r>
          </w:p>
        </w:tc>
        <w:tc>
          <w:tcPr>
            <w:tcW w:w="1264" w:type="dxa"/>
            <w:gridSpan w:val="2"/>
            <w:tcBorders>
              <w:top w:val="single" w:sz="4" w:space="0" w:color="auto"/>
              <w:left w:val="single" w:sz="4" w:space="0" w:color="auto"/>
              <w:bottom w:val="single" w:sz="4" w:space="0" w:color="auto"/>
              <w:right w:val="single" w:sz="4" w:space="0" w:color="auto"/>
            </w:tcBorders>
            <w:shd w:val="clear" w:color="auto" w:fill="92D050"/>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2013</w:t>
            </w:r>
          </w:p>
        </w:tc>
        <w:tc>
          <w:tcPr>
            <w:tcW w:w="1489" w:type="dxa"/>
            <w:gridSpan w:val="2"/>
            <w:tcBorders>
              <w:top w:val="single" w:sz="4" w:space="0" w:color="auto"/>
              <w:left w:val="single" w:sz="4" w:space="0" w:color="auto"/>
              <w:bottom w:val="single" w:sz="4" w:space="0" w:color="auto"/>
              <w:right w:val="single" w:sz="4" w:space="0" w:color="auto"/>
            </w:tcBorders>
            <w:shd w:val="clear" w:color="auto" w:fill="92D050"/>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2014</w:t>
            </w:r>
          </w:p>
        </w:tc>
      </w:tr>
      <w:tr w:rsidR="009E22FE" w:rsidRPr="009E22FE" w:rsidTr="009E22FE">
        <w:trPr>
          <w:trHeight w:val="14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E22FE" w:rsidRPr="009E22FE" w:rsidRDefault="009E22FE">
            <w:pPr>
              <w:spacing w:after="0" w:line="240" w:lineRule="auto"/>
              <w:ind w:firstLine="0"/>
              <w:jc w:val="left"/>
              <w:rPr>
                <w:rFonts w:ascii="Garamond" w:hAnsi="Garamond"/>
                <w:b/>
                <w:i/>
                <w:iCs/>
                <w:kern w:val="32"/>
                <w:sz w:val="18"/>
                <w:szCs w:val="18"/>
                <w:lang w:val="sq-AL"/>
              </w:rPr>
            </w:pPr>
          </w:p>
        </w:tc>
        <w:tc>
          <w:tcPr>
            <w:tcW w:w="631" w:type="dxa"/>
            <w:tcBorders>
              <w:top w:val="single" w:sz="4" w:space="0" w:color="auto"/>
              <w:left w:val="single" w:sz="4" w:space="0" w:color="auto"/>
              <w:bottom w:val="single" w:sz="4" w:space="0" w:color="auto"/>
              <w:right w:val="single" w:sz="4" w:space="0" w:color="auto"/>
            </w:tcBorders>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MW</w:t>
            </w:r>
          </w:p>
        </w:tc>
        <w:tc>
          <w:tcPr>
            <w:tcW w:w="631" w:type="dxa"/>
            <w:tcBorders>
              <w:top w:val="single" w:sz="4" w:space="0" w:color="auto"/>
              <w:left w:val="single" w:sz="4" w:space="0" w:color="auto"/>
              <w:bottom w:val="single" w:sz="4" w:space="0" w:color="auto"/>
              <w:right w:val="single" w:sz="4" w:space="0" w:color="auto"/>
            </w:tcBorders>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GWh</w:t>
            </w:r>
          </w:p>
        </w:tc>
        <w:tc>
          <w:tcPr>
            <w:tcW w:w="631" w:type="dxa"/>
            <w:tcBorders>
              <w:top w:val="single" w:sz="4" w:space="0" w:color="auto"/>
              <w:left w:val="single" w:sz="4" w:space="0" w:color="auto"/>
              <w:bottom w:val="single" w:sz="4" w:space="0" w:color="auto"/>
              <w:right w:val="single" w:sz="4" w:space="0" w:color="auto"/>
            </w:tcBorders>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MW</w:t>
            </w:r>
          </w:p>
        </w:tc>
        <w:tc>
          <w:tcPr>
            <w:tcW w:w="632" w:type="dxa"/>
            <w:tcBorders>
              <w:top w:val="single" w:sz="4" w:space="0" w:color="auto"/>
              <w:left w:val="single" w:sz="4" w:space="0" w:color="auto"/>
              <w:bottom w:val="single" w:sz="4" w:space="0" w:color="auto"/>
              <w:right w:val="single" w:sz="4" w:space="0" w:color="auto"/>
            </w:tcBorders>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GWh</w:t>
            </w:r>
          </w:p>
        </w:tc>
        <w:tc>
          <w:tcPr>
            <w:tcW w:w="632" w:type="dxa"/>
            <w:tcBorders>
              <w:top w:val="single" w:sz="4" w:space="0" w:color="auto"/>
              <w:left w:val="single" w:sz="4" w:space="0" w:color="auto"/>
              <w:bottom w:val="single" w:sz="4" w:space="0" w:color="auto"/>
              <w:right w:val="single" w:sz="4" w:space="0" w:color="auto"/>
            </w:tcBorders>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MW</w:t>
            </w:r>
          </w:p>
        </w:tc>
        <w:tc>
          <w:tcPr>
            <w:tcW w:w="632" w:type="dxa"/>
            <w:tcBorders>
              <w:top w:val="single" w:sz="4" w:space="0" w:color="auto"/>
              <w:left w:val="single" w:sz="4" w:space="0" w:color="auto"/>
              <w:bottom w:val="single" w:sz="4" w:space="0" w:color="auto"/>
              <w:right w:val="single" w:sz="4" w:space="0" w:color="auto"/>
            </w:tcBorders>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GWh</w:t>
            </w:r>
          </w:p>
        </w:tc>
        <w:tc>
          <w:tcPr>
            <w:tcW w:w="632" w:type="dxa"/>
            <w:tcBorders>
              <w:top w:val="single" w:sz="4" w:space="0" w:color="auto"/>
              <w:left w:val="single" w:sz="4" w:space="0" w:color="auto"/>
              <w:bottom w:val="single" w:sz="4" w:space="0" w:color="auto"/>
              <w:right w:val="single" w:sz="4" w:space="0" w:color="auto"/>
            </w:tcBorders>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MW</w:t>
            </w:r>
          </w:p>
        </w:tc>
        <w:tc>
          <w:tcPr>
            <w:tcW w:w="632" w:type="dxa"/>
            <w:tcBorders>
              <w:top w:val="single" w:sz="4" w:space="0" w:color="auto"/>
              <w:left w:val="single" w:sz="4" w:space="0" w:color="auto"/>
              <w:bottom w:val="single" w:sz="4" w:space="0" w:color="auto"/>
              <w:right w:val="single" w:sz="4" w:space="0" w:color="auto"/>
            </w:tcBorders>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GWh</w:t>
            </w:r>
          </w:p>
        </w:tc>
        <w:tc>
          <w:tcPr>
            <w:tcW w:w="632" w:type="dxa"/>
            <w:tcBorders>
              <w:top w:val="single" w:sz="4" w:space="0" w:color="auto"/>
              <w:left w:val="single" w:sz="4" w:space="0" w:color="auto"/>
              <w:bottom w:val="single" w:sz="4" w:space="0" w:color="auto"/>
              <w:right w:val="single" w:sz="4" w:space="0" w:color="auto"/>
            </w:tcBorders>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MW</w:t>
            </w:r>
          </w:p>
        </w:tc>
        <w:tc>
          <w:tcPr>
            <w:tcW w:w="632" w:type="dxa"/>
            <w:tcBorders>
              <w:top w:val="single" w:sz="4" w:space="0" w:color="auto"/>
              <w:left w:val="single" w:sz="4" w:space="0" w:color="auto"/>
              <w:bottom w:val="single" w:sz="4" w:space="0" w:color="auto"/>
              <w:right w:val="single" w:sz="4" w:space="0" w:color="auto"/>
            </w:tcBorders>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GWh</w:t>
            </w:r>
          </w:p>
        </w:tc>
        <w:tc>
          <w:tcPr>
            <w:tcW w:w="632" w:type="dxa"/>
            <w:tcBorders>
              <w:top w:val="single" w:sz="4" w:space="0" w:color="auto"/>
              <w:left w:val="single" w:sz="4" w:space="0" w:color="auto"/>
              <w:bottom w:val="single" w:sz="4" w:space="0" w:color="auto"/>
              <w:right w:val="single" w:sz="4" w:space="0" w:color="auto"/>
            </w:tcBorders>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MW</w:t>
            </w:r>
          </w:p>
        </w:tc>
        <w:tc>
          <w:tcPr>
            <w:tcW w:w="857" w:type="dxa"/>
            <w:tcBorders>
              <w:top w:val="single" w:sz="4" w:space="0" w:color="auto"/>
              <w:left w:val="single" w:sz="4" w:space="0" w:color="auto"/>
              <w:bottom w:val="single" w:sz="4" w:space="0" w:color="auto"/>
              <w:right w:val="single" w:sz="4" w:space="0" w:color="auto"/>
            </w:tcBorders>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GWh</w:t>
            </w:r>
          </w:p>
        </w:tc>
      </w:tr>
      <w:tr w:rsidR="009E22FE" w:rsidRPr="009E22FE" w:rsidTr="009E22FE">
        <w:trPr>
          <w:trHeight w:val="144"/>
          <w:jc w:val="center"/>
        </w:trPr>
        <w:tc>
          <w:tcPr>
            <w:tcW w:w="9468" w:type="dxa"/>
            <w:gridSpan w:val="13"/>
            <w:tcBorders>
              <w:top w:val="single" w:sz="4" w:space="0" w:color="auto"/>
              <w:left w:val="single" w:sz="4" w:space="0" w:color="auto"/>
              <w:bottom w:val="single" w:sz="4" w:space="0" w:color="auto"/>
              <w:right w:val="single" w:sz="4" w:space="0" w:color="auto"/>
            </w:tcBorders>
            <w:shd w:val="clear" w:color="auto" w:fill="D5DCE4" w:themeFill="text2" w:themeFillTint="33"/>
            <w:noWrap/>
            <w:hideMark/>
          </w:tcPr>
          <w:p w:rsidR="009E22FE" w:rsidRPr="009E22FE" w:rsidRDefault="009E22FE">
            <w:pPr>
              <w:spacing w:after="0" w:line="240" w:lineRule="auto"/>
              <w:ind w:firstLine="0"/>
              <w:rPr>
                <w:rFonts w:ascii="Garamond" w:hAnsi="Garamond"/>
                <w:b/>
                <w:bCs/>
                <w:i/>
                <w:iCs/>
                <w:kern w:val="32"/>
                <w:sz w:val="18"/>
                <w:szCs w:val="18"/>
                <w:lang w:val="sq-AL"/>
              </w:rPr>
            </w:pPr>
            <w:r w:rsidRPr="009E22FE">
              <w:rPr>
                <w:rFonts w:ascii="Garamond" w:hAnsi="Garamond"/>
                <w:b/>
                <w:bCs/>
                <w:i/>
                <w:iCs/>
                <w:kern w:val="32"/>
                <w:sz w:val="18"/>
                <w:szCs w:val="18"/>
                <w:lang w:val="sq-AL"/>
              </w:rPr>
              <w:t xml:space="preserve"> Hidro: </w:t>
            </w:r>
          </w:p>
        </w:tc>
      </w:tr>
      <w:tr w:rsidR="009E22FE" w:rsidRPr="009E22FE" w:rsidTr="009E22FE">
        <w:trPr>
          <w:trHeight w:val="144"/>
          <w:jc w:val="center"/>
        </w:trPr>
        <w:tc>
          <w:tcPr>
            <w:tcW w:w="166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kern w:val="32"/>
                <w:sz w:val="18"/>
                <w:szCs w:val="18"/>
                <w:lang w:val="sq-AL"/>
              </w:rPr>
            </w:pPr>
            <w:r w:rsidRPr="009E22FE">
              <w:rPr>
                <w:rFonts w:ascii="Garamond" w:hAnsi="Garamond"/>
                <w:kern w:val="32"/>
                <w:sz w:val="18"/>
                <w:szCs w:val="18"/>
                <w:lang w:val="sq-AL"/>
              </w:rPr>
              <w:t xml:space="preserve">&lt;1mw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19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53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21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69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23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91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25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101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33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122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45 </w:t>
            </w:r>
          </w:p>
        </w:tc>
        <w:tc>
          <w:tcPr>
            <w:tcW w:w="857"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164 </w:t>
            </w:r>
          </w:p>
        </w:tc>
      </w:tr>
      <w:tr w:rsidR="009E22FE" w:rsidRPr="009E22FE" w:rsidTr="009E22FE">
        <w:trPr>
          <w:trHeight w:val="144"/>
          <w:jc w:val="center"/>
        </w:trPr>
        <w:tc>
          <w:tcPr>
            <w:tcW w:w="166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kern w:val="32"/>
                <w:sz w:val="18"/>
                <w:szCs w:val="18"/>
                <w:lang w:val="sq-AL"/>
              </w:rPr>
            </w:pPr>
            <w:r w:rsidRPr="009E22FE">
              <w:rPr>
                <w:rFonts w:ascii="Garamond" w:hAnsi="Garamond"/>
                <w:kern w:val="32"/>
                <w:sz w:val="18"/>
                <w:szCs w:val="18"/>
                <w:lang w:val="sq-AL"/>
              </w:rPr>
              <w:t xml:space="preserve"> 1mw–10 mw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9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24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18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32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26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100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44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188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117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375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225 </w:t>
            </w:r>
          </w:p>
        </w:tc>
        <w:tc>
          <w:tcPr>
            <w:tcW w:w="857"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755 </w:t>
            </w:r>
          </w:p>
        </w:tc>
      </w:tr>
      <w:tr w:rsidR="009E22FE" w:rsidRPr="009E22FE" w:rsidTr="009E22FE">
        <w:trPr>
          <w:trHeight w:val="144"/>
          <w:jc w:val="center"/>
        </w:trPr>
        <w:tc>
          <w:tcPr>
            <w:tcW w:w="166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kern w:val="32"/>
                <w:sz w:val="18"/>
                <w:szCs w:val="18"/>
                <w:lang w:val="sq-AL"/>
              </w:rPr>
            </w:pPr>
            <w:r w:rsidRPr="009E22FE">
              <w:rPr>
                <w:rFonts w:ascii="Garamond" w:hAnsi="Garamond"/>
                <w:kern w:val="32"/>
                <w:sz w:val="18"/>
                <w:szCs w:val="18"/>
                <w:lang w:val="sq-AL"/>
              </w:rPr>
              <w:t xml:space="preserve">&gt;10mw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1,460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5,900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1,460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7,743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1,460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4,158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1,460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4,725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1,483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6,586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1,506 </w:t>
            </w:r>
          </w:p>
        </w:tc>
        <w:tc>
          <w:tcPr>
            <w:tcW w:w="857"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4,058 </w:t>
            </w:r>
          </w:p>
        </w:tc>
      </w:tr>
      <w:tr w:rsidR="009E22FE" w:rsidRPr="009E22FE" w:rsidTr="009E22FE">
        <w:trPr>
          <w:trHeight w:val="144"/>
          <w:jc w:val="center"/>
        </w:trPr>
        <w:tc>
          <w:tcPr>
            <w:tcW w:w="9468" w:type="dxa"/>
            <w:gridSpan w:val="13"/>
            <w:tcBorders>
              <w:top w:val="single" w:sz="4" w:space="0" w:color="auto"/>
              <w:left w:val="single" w:sz="4" w:space="0" w:color="auto"/>
              <w:bottom w:val="single" w:sz="4" w:space="0" w:color="auto"/>
              <w:right w:val="single" w:sz="4" w:space="0" w:color="auto"/>
            </w:tcBorders>
            <w:shd w:val="clear" w:color="auto" w:fill="E2EFD9" w:themeFill="accent6" w:themeFillTint="33"/>
            <w:noWrap/>
            <w:hideMark/>
          </w:tcPr>
          <w:p w:rsidR="009E22FE" w:rsidRPr="009E22FE" w:rsidRDefault="009E22FE">
            <w:pPr>
              <w:spacing w:after="0" w:line="240" w:lineRule="auto"/>
              <w:ind w:firstLine="0"/>
              <w:jc w:val="left"/>
              <w:rPr>
                <w:rFonts w:ascii="Garamond" w:hAnsi="Garamond"/>
                <w:b/>
                <w:bCs/>
                <w:i/>
                <w:iCs/>
                <w:kern w:val="32"/>
                <w:sz w:val="18"/>
                <w:szCs w:val="18"/>
                <w:lang w:val="sq-AL"/>
              </w:rPr>
            </w:pPr>
            <w:r w:rsidRPr="009E22FE">
              <w:rPr>
                <w:rFonts w:ascii="Garamond" w:hAnsi="Garamond"/>
                <w:b/>
                <w:bCs/>
                <w:i/>
                <w:iCs/>
                <w:kern w:val="32"/>
                <w:sz w:val="18"/>
                <w:szCs w:val="18"/>
                <w:lang w:val="sq-AL"/>
              </w:rPr>
              <w:t xml:space="preserve"> Diellore: </w:t>
            </w:r>
          </w:p>
        </w:tc>
      </w:tr>
      <w:tr w:rsidR="009E22FE" w:rsidRPr="009E22FE" w:rsidTr="009E22FE">
        <w:trPr>
          <w:trHeight w:val="144"/>
          <w:jc w:val="center"/>
        </w:trPr>
        <w:tc>
          <w:tcPr>
            <w:tcW w:w="166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kern w:val="32"/>
                <w:sz w:val="18"/>
                <w:szCs w:val="18"/>
                <w:lang w:val="sq-AL"/>
              </w:rPr>
            </w:pPr>
            <w:r w:rsidRPr="009E22FE">
              <w:rPr>
                <w:rFonts w:ascii="Garamond" w:hAnsi="Garamond"/>
                <w:kern w:val="32"/>
                <w:sz w:val="18"/>
                <w:szCs w:val="18"/>
                <w:lang w:val="sq-AL"/>
              </w:rPr>
              <w:t xml:space="preserve"> Fotovoltaike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857"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r>
      <w:tr w:rsidR="009E22FE" w:rsidRPr="009E22FE" w:rsidTr="009E22FE">
        <w:trPr>
          <w:trHeight w:val="144"/>
          <w:jc w:val="center"/>
        </w:trPr>
        <w:tc>
          <w:tcPr>
            <w:tcW w:w="166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kern w:val="32"/>
                <w:sz w:val="18"/>
                <w:szCs w:val="18"/>
                <w:lang w:val="sq-AL"/>
              </w:rPr>
            </w:pPr>
            <w:r w:rsidRPr="009E22FE">
              <w:rPr>
                <w:rFonts w:ascii="Garamond" w:hAnsi="Garamond"/>
                <w:kern w:val="32"/>
                <w:sz w:val="18"/>
                <w:szCs w:val="18"/>
                <w:lang w:val="sq-AL"/>
              </w:rPr>
              <w:t xml:space="preserve"> Diellore - NEUD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857"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r>
      <w:tr w:rsidR="009E22FE" w:rsidRPr="009E22FE" w:rsidTr="009E22FE">
        <w:trPr>
          <w:trHeight w:val="144"/>
          <w:jc w:val="center"/>
        </w:trPr>
        <w:tc>
          <w:tcPr>
            <w:tcW w:w="9468" w:type="dxa"/>
            <w:gridSpan w:val="13"/>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b/>
                <w:bCs/>
                <w:i/>
                <w:iCs/>
                <w:kern w:val="32"/>
                <w:sz w:val="18"/>
                <w:szCs w:val="18"/>
                <w:lang w:val="sq-AL"/>
              </w:rPr>
            </w:pPr>
            <w:r w:rsidRPr="009E22FE">
              <w:rPr>
                <w:rFonts w:ascii="Garamond" w:hAnsi="Garamond"/>
                <w:b/>
                <w:bCs/>
                <w:i/>
                <w:iCs/>
                <w:kern w:val="32"/>
                <w:sz w:val="18"/>
                <w:szCs w:val="18"/>
                <w:lang w:val="sq-AL"/>
              </w:rPr>
              <w:t xml:space="preserve"> Era: </w:t>
            </w:r>
          </w:p>
        </w:tc>
      </w:tr>
      <w:tr w:rsidR="009E22FE" w:rsidRPr="009E22FE" w:rsidTr="009E22FE">
        <w:trPr>
          <w:trHeight w:val="144"/>
          <w:jc w:val="center"/>
        </w:trPr>
        <w:tc>
          <w:tcPr>
            <w:tcW w:w="166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kern w:val="32"/>
                <w:sz w:val="18"/>
                <w:szCs w:val="18"/>
                <w:lang w:val="sq-AL"/>
              </w:rPr>
            </w:pPr>
            <w:r w:rsidRPr="009E22FE">
              <w:rPr>
                <w:rFonts w:ascii="Garamond" w:hAnsi="Garamond"/>
                <w:kern w:val="32"/>
                <w:sz w:val="18"/>
                <w:szCs w:val="18"/>
                <w:lang w:val="sq-AL"/>
              </w:rPr>
              <w:t xml:space="preserve"> Në det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857"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r>
      <w:tr w:rsidR="009E22FE" w:rsidRPr="009E22FE" w:rsidTr="009E22FE">
        <w:trPr>
          <w:trHeight w:val="144"/>
          <w:jc w:val="center"/>
        </w:trPr>
        <w:tc>
          <w:tcPr>
            <w:tcW w:w="166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kern w:val="32"/>
                <w:sz w:val="18"/>
                <w:szCs w:val="18"/>
                <w:lang w:val="sq-AL"/>
              </w:rPr>
            </w:pPr>
            <w:r w:rsidRPr="009E22FE">
              <w:rPr>
                <w:rFonts w:ascii="Garamond" w:hAnsi="Garamond"/>
                <w:kern w:val="32"/>
                <w:sz w:val="18"/>
                <w:szCs w:val="18"/>
                <w:lang w:val="sq-AL"/>
              </w:rPr>
              <w:t xml:space="preserve"> Në tokë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857"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r>
      <w:tr w:rsidR="009E22FE" w:rsidRPr="009E22FE" w:rsidTr="009E22FE">
        <w:trPr>
          <w:trHeight w:val="144"/>
          <w:jc w:val="center"/>
        </w:trPr>
        <w:tc>
          <w:tcPr>
            <w:tcW w:w="9468" w:type="dxa"/>
            <w:gridSpan w:val="13"/>
            <w:tcBorders>
              <w:top w:val="single" w:sz="4" w:space="0" w:color="auto"/>
              <w:left w:val="single" w:sz="4" w:space="0" w:color="auto"/>
              <w:bottom w:val="single" w:sz="4" w:space="0" w:color="auto"/>
              <w:right w:val="single" w:sz="4" w:space="0" w:color="auto"/>
            </w:tcBorders>
            <w:shd w:val="clear" w:color="auto" w:fill="FBE4D5" w:themeFill="accent2" w:themeFillTint="33"/>
            <w:noWrap/>
            <w:hideMark/>
          </w:tcPr>
          <w:p w:rsidR="009E22FE" w:rsidRPr="009E22FE" w:rsidRDefault="009E22FE">
            <w:pPr>
              <w:spacing w:after="0" w:line="240" w:lineRule="auto"/>
              <w:ind w:firstLine="0"/>
              <w:jc w:val="left"/>
              <w:rPr>
                <w:rFonts w:ascii="Garamond" w:hAnsi="Garamond"/>
                <w:b/>
                <w:bCs/>
                <w:i/>
                <w:iCs/>
                <w:kern w:val="32"/>
                <w:sz w:val="18"/>
                <w:szCs w:val="18"/>
                <w:lang w:val="sq-AL"/>
              </w:rPr>
            </w:pPr>
            <w:r w:rsidRPr="009E22FE">
              <w:rPr>
                <w:rFonts w:ascii="Garamond" w:hAnsi="Garamond"/>
                <w:b/>
                <w:bCs/>
                <w:i/>
                <w:iCs/>
                <w:kern w:val="32"/>
                <w:sz w:val="18"/>
                <w:szCs w:val="18"/>
                <w:lang w:val="sq-AL"/>
              </w:rPr>
              <w:t xml:space="preserve"> Biomasa: </w:t>
            </w:r>
          </w:p>
        </w:tc>
      </w:tr>
      <w:tr w:rsidR="009E22FE" w:rsidRPr="009E22FE" w:rsidTr="009E22FE">
        <w:trPr>
          <w:trHeight w:val="144"/>
          <w:jc w:val="center"/>
        </w:trPr>
        <w:tc>
          <w:tcPr>
            <w:tcW w:w="166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kern w:val="32"/>
                <w:sz w:val="18"/>
                <w:szCs w:val="18"/>
                <w:lang w:val="sq-AL"/>
              </w:rPr>
            </w:pPr>
            <w:r w:rsidRPr="009E22FE">
              <w:rPr>
                <w:rFonts w:ascii="Garamond" w:hAnsi="Garamond"/>
                <w:kern w:val="32"/>
                <w:sz w:val="18"/>
                <w:szCs w:val="18"/>
                <w:lang w:val="sq-AL"/>
              </w:rPr>
              <w:t xml:space="preserve"> E ngurtë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4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2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8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3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12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4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16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5 </w:t>
            </w:r>
          </w:p>
        </w:tc>
        <w:tc>
          <w:tcPr>
            <w:tcW w:w="857"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20 </w:t>
            </w:r>
          </w:p>
        </w:tc>
      </w:tr>
      <w:tr w:rsidR="009E22FE" w:rsidRPr="009E22FE" w:rsidTr="009E22FE">
        <w:trPr>
          <w:trHeight w:val="144"/>
          <w:jc w:val="center"/>
        </w:trPr>
        <w:tc>
          <w:tcPr>
            <w:tcW w:w="166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kern w:val="32"/>
                <w:sz w:val="18"/>
                <w:szCs w:val="18"/>
                <w:lang w:val="sq-AL"/>
              </w:rPr>
            </w:pPr>
            <w:r w:rsidRPr="009E22FE">
              <w:rPr>
                <w:rFonts w:ascii="Garamond" w:hAnsi="Garamond"/>
                <w:kern w:val="32"/>
                <w:sz w:val="18"/>
                <w:szCs w:val="18"/>
                <w:lang w:val="sq-AL"/>
              </w:rPr>
              <w:t xml:space="preserve"> Biogaz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857"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r>
      <w:tr w:rsidR="009E22FE" w:rsidRPr="009E22FE" w:rsidTr="009E22FE">
        <w:trPr>
          <w:trHeight w:val="144"/>
          <w:jc w:val="center"/>
        </w:trPr>
        <w:tc>
          <w:tcPr>
            <w:tcW w:w="166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kern w:val="32"/>
                <w:sz w:val="18"/>
                <w:szCs w:val="18"/>
                <w:lang w:val="sq-AL"/>
              </w:rPr>
            </w:pPr>
            <w:r w:rsidRPr="009E22FE">
              <w:rPr>
                <w:rFonts w:ascii="Garamond" w:hAnsi="Garamond"/>
                <w:kern w:val="32"/>
                <w:sz w:val="18"/>
                <w:szCs w:val="18"/>
                <w:lang w:val="sq-AL"/>
              </w:rPr>
              <w:t xml:space="preserve"> Biolëngje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857"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r>
      <w:tr w:rsidR="009E22FE" w:rsidRPr="009E22FE" w:rsidTr="009E22FE">
        <w:trPr>
          <w:trHeight w:val="144"/>
          <w:jc w:val="center"/>
        </w:trPr>
        <w:tc>
          <w:tcPr>
            <w:tcW w:w="166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b/>
                <w:bCs/>
                <w:kern w:val="32"/>
                <w:sz w:val="18"/>
                <w:szCs w:val="18"/>
                <w:lang w:val="sq-AL"/>
              </w:rPr>
            </w:pPr>
            <w:r w:rsidRPr="009E22FE">
              <w:rPr>
                <w:rFonts w:ascii="Garamond" w:hAnsi="Garamond"/>
                <w:b/>
                <w:bCs/>
                <w:kern w:val="32"/>
                <w:sz w:val="18"/>
                <w:szCs w:val="18"/>
                <w:lang w:val="sq-AL"/>
              </w:rPr>
              <w:t xml:space="preserve"> TOTALI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b/>
                <w:bCs/>
                <w:kern w:val="32"/>
                <w:sz w:val="18"/>
                <w:szCs w:val="18"/>
                <w:lang w:val="sq-AL"/>
              </w:rPr>
            </w:pPr>
            <w:r w:rsidRPr="009E22FE">
              <w:rPr>
                <w:rFonts w:ascii="Garamond" w:hAnsi="Garamond"/>
                <w:b/>
                <w:bCs/>
                <w:kern w:val="32"/>
                <w:sz w:val="18"/>
                <w:szCs w:val="18"/>
                <w:lang w:val="sq-AL"/>
              </w:rPr>
              <w:t xml:space="preserve">1,488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b/>
                <w:bCs/>
                <w:kern w:val="32"/>
                <w:sz w:val="18"/>
                <w:szCs w:val="18"/>
                <w:lang w:val="sq-AL"/>
              </w:rPr>
            </w:pPr>
            <w:r w:rsidRPr="009E22FE">
              <w:rPr>
                <w:rFonts w:ascii="Garamond" w:hAnsi="Garamond"/>
                <w:b/>
                <w:bCs/>
                <w:kern w:val="32"/>
                <w:sz w:val="18"/>
                <w:szCs w:val="18"/>
                <w:lang w:val="sq-AL"/>
              </w:rPr>
              <w:t xml:space="preserve">7,200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b/>
                <w:bCs/>
                <w:kern w:val="32"/>
                <w:sz w:val="18"/>
                <w:szCs w:val="18"/>
                <w:lang w:val="sq-AL"/>
              </w:rPr>
            </w:pPr>
            <w:r w:rsidRPr="009E22FE">
              <w:rPr>
                <w:rFonts w:ascii="Garamond" w:hAnsi="Garamond"/>
                <w:b/>
                <w:bCs/>
                <w:kern w:val="32"/>
                <w:sz w:val="18"/>
                <w:szCs w:val="18"/>
                <w:lang w:val="sq-AL"/>
              </w:rPr>
              <w:t xml:space="preserve">1,499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b/>
                <w:bCs/>
                <w:kern w:val="32"/>
                <w:sz w:val="18"/>
                <w:szCs w:val="18"/>
                <w:lang w:val="sq-AL"/>
              </w:rPr>
            </w:pPr>
            <w:r w:rsidRPr="009E22FE">
              <w:rPr>
                <w:rFonts w:ascii="Garamond" w:hAnsi="Garamond"/>
                <w:b/>
                <w:bCs/>
                <w:kern w:val="32"/>
                <w:sz w:val="18"/>
                <w:szCs w:val="18"/>
                <w:lang w:val="sq-AL"/>
              </w:rPr>
              <w:t xml:space="preserve">7,360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b/>
                <w:bCs/>
                <w:kern w:val="32"/>
                <w:sz w:val="18"/>
                <w:szCs w:val="18"/>
                <w:lang w:val="sq-AL"/>
              </w:rPr>
            </w:pPr>
            <w:r w:rsidRPr="009E22FE">
              <w:rPr>
                <w:rFonts w:ascii="Garamond" w:hAnsi="Garamond"/>
                <w:b/>
                <w:bCs/>
                <w:kern w:val="32"/>
                <w:sz w:val="18"/>
                <w:szCs w:val="18"/>
                <w:lang w:val="sq-AL"/>
              </w:rPr>
              <w:t xml:space="preserve">1,509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b/>
                <w:bCs/>
                <w:kern w:val="32"/>
                <w:sz w:val="18"/>
                <w:szCs w:val="18"/>
                <w:lang w:val="sq-AL"/>
              </w:rPr>
            </w:pPr>
            <w:r w:rsidRPr="009E22FE">
              <w:rPr>
                <w:rFonts w:ascii="Garamond" w:hAnsi="Garamond"/>
                <w:b/>
                <w:bCs/>
                <w:kern w:val="32"/>
                <w:sz w:val="18"/>
                <w:szCs w:val="18"/>
                <w:lang w:val="sq-AL"/>
              </w:rPr>
              <w:t xml:space="preserve">7,379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b/>
                <w:bCs/>
                <w:kern w:val="32"/>
                <w:sz w:val="18"/>
                <w:szCs w:val="18"/>
                <w:lang w:val="sq-AL"/>
              </w:rPr>
            </w:pPr>
            <w:r w:rsidRPr="009E22FE">
              <w:rPr>
                <w:rFonts w:ascii="Garamond" w:hAnsi="Garamond"/>
                <w:b/>
                <w:bCs/>
                <w:kern w:val="32"/>
                <w:sz w:val="18"/>
                <w:szCs w:val="18"/>
                <w:lang w:val="sq-AL"/>
              </w:rPr>
              <w:t xml:space="preserve">1,529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b/>
                <w:bCs/>
                <w:kern w:val="32"/>
                <w:sz w:val="18"/>
                <w:szCs w:val="18"/>
                <w:lang w:val="sq-AL"/>
              </w:rPr>
            </w:pPr>
            <w:r w:rsidRPr="009E22FE">
              <w:rPr>
                <w:rFonts w:ascii="Garamond" w:hAnsi="Garamond"/>
                <w:b/>
                <w:bCs/>
                <w:kern w:val="32"/>
                <w:sz w:val="18"/>
                <w:szCs w:val="18"/>
                <w:lang w:val="sq-AL"/>
              </w:rPr>
              <w:t xml:space="preserve">7,552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b/>
                <w:bCs/>
                <w:kern w:val="32"/>
                <w:sz w:val="18"/>
                <w:szCs w:val="18"/>
                <w:lang w:val="sq-AL"/>
              </w:rPr>
            </w:pPr>
            <w:r w:rsidRPr="009E22FE">
              <w:rPr>
                <w:rFonts w:ascii="Garamond" w:hAnsi="Garamond"/>
                <w:b/>
                <w:bCs/>
                <w:kern w:val="32"/>
                <w:sz w:val="18"/>
                <w:szCs w:val="18"/>
                <w:lang w:val="sq-AL"/>
              </w:rPr>
              <w:t xml:space="preserve">1,633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b/>
                <w:bCs/>
                <w:kern w:val="32"/>
                <w:sz w:val="18"/>
                <w:szCs w:val="18"/>
                <w:lang w:val="sq-AL"/>
              </w:rPr>
            </w:pPr>
            <w:r w:rsidRPr="009E22FE">
              <w:rPr>
                <w:rFonts w:ascii="Garamond" w:hAnsi="Garamond"/>
                <w:b/>
                <w:bCs/>
                <w:kern w:val="32"/>
                <w:sz w:val="18"/>
                <w:szCs w:val="18"/>
                <w:lang w:val="sq-AL"/>
              </w:rPr>
              <w:t xml:space="preserve">7,701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b/>
                <w:bCs/>
                <w:kern w:val="32"/>
                <w:sz w:val="18"/>
                <w:szCs w:val="18"/>
                <w:lang w:val="sq-AL"/>
              </w:rPr>
            </w:pPr>
            <w:r w:rsidRPr="009E22FE">
              <w:rPr>
                <w:rFonts w:ascii="Garamond" w:hAnsi="Garamond"/>
                <w:b/>
                <w:bCs/>
                <w:kern w:val="32"/>
                <w:sz w:val="18"/>
                <w:szCs w:val="18"/>
                <w:lang w:val="sq-AL"/>
              </w:rPr>
              <w:t xml:space="preserve">1,777 </w:t>
            </w:r>
          </w:p>
        </w:tc>
        <w:tc>
          <w:tcPr>
            <w:tcW w:w="857"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b/>
                <w:bCs/>
                <w:kern w:val="32"/>
                <w:sz w:val="18"/>
                <w:szCs w:val="18"/>
                <w:lang w:val="sq-AL"/>
              </w:rPr>
            </w:pPr>
            <w:r w:rsidRPr="009E22FE">
              <w:rPr>
                <w:rFonts w:ascii="Garamond" w:hAnsi="Garamond"/>
                <w:b/>
                <w:bCs/>
                <w:kern w:val="32"/>
                <w:sz w:val="18"/>
                <w:szCs w:val="18"/>
                <w:lang w:val="sq-AL"/>
              </w:rPr>
              <w:t xml:space="preserve">7,793 </w:t>
            </w:r>
          </w:p>
        </w:tc>
      </w:tr>
      <w:tr w:rsidR="009E22FE" w:rsidRPr="009E22FE" w:rsidTr="009E22FE">
        <w:trPr>
          <w:trHeight w:val="144"/>
          <w:jc w:val="center"/>
        </w:trPr>
        <w:tc>
          <w:tcPr>
            <w:tcW w:w="166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kern w:val="32"/>
                <w:sz w:val="18"/>
                <w:szCs w:val="18"/>
                <w:lang w:val="sq-AL"/>
              </w:rPr>
            </w:pPr>
            <w:r w:rsidRPr="009E22FE">
              <w:rPr>
                <w:rFonts w:ascii="Garamond" w:hAnsi="Garamond"/>
                <w:kern w:val="32"/>
                <w:sz w:val="18"/>
                <w:szCs w:val="18"/>
                <w:lang w:val="sq-AL"/>
              </w:rPr>
              <w:t xml:space="preserve"> Nga të cilat në CHP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4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2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8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3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12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4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16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5 </w:t>
            </w:r>
          </w:p>
        </w:tc>
        <w:tc>
          <w:tcPr>
            <w:tcW w:w="857"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20 </w:t>
            </w:r>
          </w:p>
        </w:tc>
      </w:tr>
      <w:tr w:rsidR="009E22FE" w:rsidRPr="009E22FE" w:rsidTr="009E22FE">
        <w:trPr>
          <w:trHeight w:val="53"/>
          <w:jc w:val="center"/>
        </w:trPr>
        <w:tc>
          <w:tcPr>
            <w:tcW w:w="9468" w:type="dxa"/>
            <w:gridSpan w:val="13"/>
            <w:tcBorders>
              <w:top w:val="single" w:sz="4" w:space="0" w:color="auto"/>
              <w:left w:val="single" w:sz="4" w:space="0" w:color="auto"/>
              <w:bottom w:val="single" w:sz="4" w:space="0" w:color="auto"/>
              <w:right w:val="single" w:sz="4" w:space="0" w:color="auto"/>
            </w:tcBorders>
            <w:shd w:val="clear" w:color="auto" w:fill="A6A6A6" w:themeFill="background1" w:themeFillShade="A6"/>
            <w:noWrap/>
            <w:hideMark/>
          </w:tcPr>
          <w:p w:rsidR="009E22FE" w:rsidRPr="009E22FE" w:rsidRDefault="009E22FE">
            <w:pPr>
              <w:rPr>
                <w:rFonts w:ascii="Garamond" w:hAnsi="Garamond"/>
                <w:kern w:val="32"/>
                <w:sz w:val="18"/>
                <w:szCs w:val="18"/>
                <w:lang w:val="sq-AL"/>
              </w:rPr>
            </w:pPr>
          </w:p>
        </w:tc>
      </w:tr>
      <w:tr w:rsidR="009E22FE" w:rsidRPr="009E22FE" w:rsidTr="009E22FE">
        <w:trPr>
          <w:trHeight w:val="144"/>
          <w:jc w:val="center"/>
        </w:trPr>
        <w:tc>
          <w:tcPr>
            <w:tcW w:w="1662" w:type="dxa"/>
            <w:vMerge w:val="restart"/>
            <w:tcBorders>
              <w:top w:val="single" w:sz="4" w:space="0" w:color="auto"/>
              <w:left w:val="single" w:sz="4" w:space="0" w:color="auto"/>
              <w:bottom w:val="single" w:sz="4" w:space="0" w:color="auto"/>
              <w:right w:val="single" w:sz="4" w:space="0" w:color="auto"/>
            </w:tcBorders>
            <w:shd w:val="clear" w:color="auto" w:fill="92D050"/>
            <w:noWrap/>
            <w:vAlign w:val="center"/>
            <w:hideMark/>
          </w:tcPr>
          <w:p w:rsidR="009E22FE" w:rsidRPr="009E22FE" w:rsidRDefault="009E22FE">
            <w:pPr>
              <w:spacing w:after="0" w:line="240" w:lineRule="auto"/>
              <w:ind w:firstLine="0"/>
              <w:jc w:val="left"/>
              <w:rPr>
                <w:rFonts w:ascii="Garamond" w:hAnsi="Garamond"/>
                <w:b/>
                <w:i/>
                <w:iCs/>
                <w:kern w:val="32"/>
                <w:sz w:val="18"/>
                <w:szCs w:val="18"/>
                <w:lang w:val="sq-AL"/>
              </w:rPr>
            </w:pPr>
            <w:r w:rsidRPr="009E22FE">
              <w:rPr>
                <w:rFonts w:ascii="Garamond" w:hAnsi="Garamond"/>
                <w:b/>
                <w:i/>
                <w:iCs/>
                <w:kern w:val="32"/>
                <w:sz w:val="18"/>
                <w:szCs w:val="18"/>
                <w:lang w:val="sq-AL"/>
              </w:rPr>
              <w:t>Teknologjitë</w:t>
            </w:r>
          </w:p>
        </w:tc>
        <w:tc>
          <w:tcPr>
            <w:tcW w:w="1262" w:type="dxa"/>
            <w:gridSpan w:val="2"/>
            <w:tcBorders>
              <w:top w:val="single" w:sz="4" w:space="0" w:color="auto"/>
              <w:left w:val="single" w:sz="4" w:space="0" w:color="auto"/>
              <w:bottom w:val="single" w:sz="4" w:space="0" w:color="auto"/>
              <w:right w:val="single" w:sz="4" w:space="0" w:color="auto"/>
            </w:tcBorders>
            <w:shd w:val="clear" w:color="auto" w:fill="92D050"/>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2015</w:t>
            </w:r>
          </w:p>
        </w:tc>
        <w:tc>
          <w:tcPr>
            <w:tcW w:w="1263" w:type="dxa"/>
            <w:gridSpan w:val="2"/>
            <w:tcBorders>
              <w:top w:val="single" w:sz="4" w:space="0" w:color="auto"/>
              <w:left w:val="single" w:sz="4" w:space="0" w:color="auto"/>
              <w:bottom w:val="single" w:sz="4" w:space="0" w:color="auto"/>
              <w:right w:val="single" w:sz="4" w:space="0" w:color="auto"/>
            </w:tcBorders>
            <w:shd w:val="clear" w:color="auto" w:fill="92D050"/>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2016</w:t>
            </w:r>
          </w:p>
        </w:tc>
        <w:tc>
          <w:tcPr>
            <w:tcW w:w="1264" w:type="dxa"/>
            <w:gridSpan w:val="2"/>
            <w:tcBorders>
              <w:top w:val="single" w:sz="4" w:space="0" w:color="auto"/>
              <w:left w:val="single" w:sz="4" w:space="0" w:color="auto"/>
              <w:bottom w:val="single" w:sz="4" w:space="0" w:color="auto"/>
              <w:right w:val="single" w:sz="4" w:space="0" w:color="auto"/>
            </w:tcBorders>
            <w:shd w:val="clear" w:color="auto" w:fill="92D050"/>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2017</w:t>
            </w:r>
          </w:p>
        </w:tc>
        <w:tc>
          <w:tcPr>
            <w:tcW w:w="1264" w:type="dxa"/>
            <w:gridSpan w:val="2"/>
            <w:tcBorders>
              <w:top w:val="single" w:sz="4" w:space="0" w:color="auto"/>
              <w:left w:val="single" w:sz="4" w:space="0" w:color="auto"/>
              <w:bottom w:val="single" w:sz="4" w:space="0" w:color="auto"/>
              <w:right w:val="single" w:sz="4" w:space="0" w:color="auto"/>
            </w:tcBorders>
            <w:shd w:val="clear" w:color="auto" w:fill="92D050"/>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2018</w:t>
            </w:r>
          </w:p>
        </w:tc>
        <w:tc>
          <w:tcPr>
            <w:tcW w:w="1264" w:type="dxa"/>
            <w:gridSpan w:val="2"/>
            <w:tcBorders>
              <w:top w:val="single" w:sz="4" w:space="0" w:color="auto"/>
              <w:left w:val="single" w:sz="4" w:space="0" w:color="auto"/>
              <w:bottom w:val="single" w:sz="4" w:space="0" w:color="auto"/>
              <w:right w:val="single" w:sz="4" w:space="0" w:color="auto"/>
            </w:tcBorders>
            <w:shd w:val="clear" w:color="auto" w:fill="92D050"/>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2019</w:t>
            </w:r>
          </w:p>
        </w:tc>
        <w:tc>
          <w:tcPr>
            <w:tcW w:w="1489" w:type="dxa"/>
            <w:gridSpan w:val="2"/>
            <w:tcBorders>
              <w:top w:val="single" w:sz="4" w:space="0" w:color="auto"/>
              <w:left w:val="single" w:sz="4" w:space="0" w:color="auto"/>
              <w:bottom w:val="single" w:sz="4" w:space="0" w:color="auto"/>
              <w:right w:val="single" w:sz="4" w:space="0" w:color="auto"/>
            </w:tcBorders>
            <w:shd w:val="clear" w:color="auto" w:fill="92D050"/>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2020</w:t>
            </w:r>
          </w:p>
        </w:tc>
      </w:tr>
      <w:tr w:rsidR="009E22FE" w:rsidRPr="009E22FE" w:rsidTr="009E22FE">
        <w:trPr>
          <w:trHeight w:val="14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E22FE" w:rsidRPr="009E22FE" w:rsidRDefault="009E22FE">
            <w:pPr>
              <w:spacing w:after="0" w:line="240" w:lineRule="auto"/>
              <w:ind w:firstLine="0"/>
              <w:jc w:val="left"/>
              <w:rPr>
                <w:rFonts w:ascii="Garamond" w:hAnsi="Garamond"/>
                <w:b/>
                <w:i/>
                <w:iCs/>
                <w:kern w:val="32"/>
                <w:sz w:val="18"/>
                <w:szCs w:val="18"/>
                <w:lang w:val="sq-AL"/>
              </w:rPr>
            </w:pPr>
          </w:p>
        </w:tc>
        <w:tc>
          <w:tcPr>
            <w:tcW w:w="631" w:type="dxa"/>
            <w:tcBorders>
              <w:top w:val="single" w:sz="4" w:space="0" w:color="auto"/>
              <w:left w:val="single" w:sz="4" w:space="0" w:color="auto"/>
              <w:bottom w:val="single" w:sz="4" w:space="0" w:color="auto"/>
              <w:right w:val="single" w:sz="4" w:space="0" w:color="auto"/>
            </w:tcBorders>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MW</w:t>
            </w:r>
          </w:p>
        </w:tc>
        <w:tc>
          <w:tcPr>
            <w:tcW w:w="631" w:type="dxa"/>
            <w:tcBorders>
              <w:top w:val="single" w:sz="4" w:space="0" w:color="auto"/>
              <w:left w:val="single" w:sz="4" w:space="0" w:color="auto"/>
              <w:bottom w:val="single" w:sz="4" w:space="0" w:color="auto"/>
              <w:right w:val="single" w:sz="4" w:space="0" w:color="auto"/>
            </w:tcBorders>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GWh</w:t>
            </w:r>
          </w:p>
        </w:tc>
        <w:tc>
          <w:tcPr>
            <w:tcW w:w="631" w:type="dxa"/>
            <w:tcBorders>
              <w:top w:val="single" w:sz="4" w:space="0" w:color="auto"/>
              <w:left w:val="single" w:sz="4" w:space="0" w:color="auto"/>
              <w:bottom w:val="single" w:sz="4" w:space="0" w:color="auto"/>
              <w:right w:val="single" w:sz="4" w:space="0" w:color="auto"/>
            </w:tcBorders>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MW</w:t>
            </w:r>
          </w:p>
        </w:tc>
        <w:tc>
          <w:tcPr>
            <w:tcW w:w="632" w:type="dxa"/>
            <w:tcBorders>
              <w:top w:val="single" w:sz="4" w:space="0" w:color="auto"/>
              <w:left w:val="single" w:sz="4" w:space="0" w:color="auto"/>
              <w:bottom w:val="single" w:sz="4" w:space="0" w:color="auto"/>
              <w:right w:val="single" w:sz="4" w:space="0" w:color="auto"/>
            </w:tcBorders>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GWh</w:t>
            </w:r>
          </w:p>
        </w:tc>
        <w:tc>
          <w:tcPr>
            <w:tcW w:w="632" w:type="dxa"/>
            <w:tcBorders>
              <w:top w:val="single" w:sz="4" w:space="0" w:color="auto"/>
              <w:left w:val="single" w:sz="4" w:space="0" w:color="auto"/>
              <w:bottom w:val="single" w:sz="4" w:space="0" w:color="auto"/>
              <w:right w:val="single" w:sz="4" w:space="0" w:color="auto"/>
            </w:tcBorders>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MW</w:t>
            </w:r>
          </w:p>
        </w:tc>
        <w:tc>
          <w:tcPr>
            <w:tcW w:w="632" w:type="dxa"/>
            <w:tcBorders>
              <w:top w:val="single" w:sz="4" w:space="0" w:color="auto"/>
              <w:left w:val="single" w:sz="4" w:space="0" w:color="auto"/>
              <w:bottom w:val="single" w:sz="4" w:space="0" w:color="auto"/>
              <w:right w:val="single" w:sz="4" w:space="0" w:color="auto"/>
            </w:tcBorders>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GWh</w:t>
            </w:r>
          </w:p>
        </w:tc>
        <w:tc>
          <w:tcPr>
            <w:tcW w:w="632" w:type="dxa"/>
            <w:tcBorders>
              <w:top w:val="single" w:sz="4" w:space="0" w:color="auto"/>
              <w:left w:val="single" w:sz="4" w:space="0" w:color="auto"/>
              <w:bottom w:val="single" w:sz="4" w:space="0" w:color="auto"/>
              <w:right w:val="single" w:sz="4" w:space="0" w:color="auto"/>
            </w:tcBorders>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MW</w:t>
            </w:r>
          </w:p>
        </w:tc>
        <w:tc>
          <w:tcPr>
            <w:tcW w:w="632" w:type="dxa"/>
            <w:tcBorders>
              <w:top w:val="single" w:sz="4" w:space="0" w:color="auto"/>
              <w:left w:val="single" w:sz="4" w:space="0" w:color="auto"/>
              <w:bottom w:val="single" w:sz="4" w:space="0" w:color="auto"/>
              <w:right w:val="single" w:sz="4" w:space="0" w:color="auto"/>
            </w:tcBorders>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GWh</w:t>
            </w:r>
          </w:p>
        </w:tc>
        <w:tc>
          <w:tcPr>
            <w:tcW w:w="632" w:type="dxa"/>
            <w:tcBorders>
              <w:top w:val="single" w:sz="4" w:space="0" w:color="auto"/>
              <w:left w:val="single" w:sz="4" w:space="0" w:color="auto"/>
              <w:bottom w:val="single" w:sz="4" w:space="0" w:color="auto"/>
              <w:right w:val="single" w:sz="4" w:space="0" w:color="auto"/>
            </w:tcBorders>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MW</w:t>
            </w:r>
          </w:p>
        </w:tc>
        <w:tc>
          <w:tcPr>
            <w:tcW w:w="632" w:type="dxa"/>
            <w:tcBorders>
              <w:top w:val="single" w:sz="4" w:space="0" w:color="auto"/>
              <w:left w:val="single" w:sz="4" w:space="0" w:color="auto"/>
              <w:bottom w:val="single" w:sz="4" w:space="0" w:color="auto"/>
              <w:right w:val="single" w:sz="4" w:space="0" w:color="auto"/>
            </w:tcBorders>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GWh</w:t>
            </w:r>
          </w:p>
        </w:tc>
        <w:tc>
          <w:tcPr>
            <w:tcW w:w="632" w:type="dxa"/>
            <w:tcBorders>
              <w:top w:val="single" w:sz="4" w:space="0" w:color="auto"/>
              <w:left w:val="single" w:sz="4" w:space="0" w:color="auto"/>
              <w:bottom w:val="single" w:sz="4" w:space="0" w:color="auto"/>
              <w:right w:val="single" w:sz="4" w:space="0" w:color="auto"/>
            </w:tcBorders>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MW</w:t>
            </w:r>
          </w:p>
        </w:tc>
        <w:tc>
          <w:tcPr>
            <w:tcW w:w="857" w:type="dxa"/>
            <w:tcBorders>
              <w:top w:val="single" w:sz="4" w:space="0" w:color="auto"/>
              <w:left w:val="single" w:sz="4" w:space="0" w:color="auto"/>
              <w:bottom w:val="single" w:sz="4" w:space="0" w:color="auto"/>
              <w:right w:val="single" w:sz="4" w:space="0" w:color="auto"/>
            </w:tcBorders>
            <w:noWrap/>
            <w:vAlign w:val="center"/>
            <w:hideMark/>
          </w:tcPr>
          <w:p w:rsidR="009E22FE" w:rsidRPr="009E22FE" w:rsidRDefault="009E22FE">
            <w:pPr>
              <w:spacing w:after="0" w:line="240" w:lineRule="auto"/>
              <w:ind w:firstLine="0"/>
              <w:jc w:val="center"/>
              <w:rPr>
                <w:rFonts w:ascii="Garamond" w:hAnsi="Garamond"/>
                <w:b/>
                <w:i/>
                <w:iCs/>
                <w:kern w:val="32"/>
                <w:sz w:val="18"/>
                <w:szCs w:val="18"/>
                <w:lang w:val="sq-AL"/>
              </w:rPr>
            </w:pPr>
            <w:r w:rsidRPr="009E22FE">
              <w:rPr>
                <w:rFonts w:ascii="Garamond" w:hAnsi="Garamond"/>
                <w:b/>
                <w:i/>
                <w:iCs/>
                <w:kern w:val="32"/>
                <w:sz w:val="18"/>
                <w:szCs w:val="18"/>
                <w:lang w:val="sq-AL"/>
              </w:rPr>
              <w:t>GWh</w:t>
            </w:r>
          </w:p>
        </w:tc>
      </w:tr>
      <w:tr w:rsidR="009E22FE" w:rsidRPr="009E22FE" w:rsidTr="009E22FE">
        <w:trPr>
          <w:trHeight w:val="144"/>
          <w:jc w:val="center"/>
        </w:trPr>
        <w:tc>
          <w:tcPr>
            <w:tcW w:w="9468" w:type="dxa"/>
            <w:gridSpan w:val="13"/>
            <w:tcBorders>
              <w:top w:val="single" w:sz="4" w:space="0" w:color="auto"/>
              <w:left w:val="single" w:sz="4" w:space="0" w:color="auto"/>
              <w:bottom w:val="single" w:sz="4" w:space="0" w:color="auto"/>
              <w:right w:val="single" w:sz="4" w:space="0" w:color="auto"/>
            </w:tcBorders>
            <w:shd w:val="clear" w:color="auto" w:fill="D5DCE4" w:themeFill="text2" w:themeFillTint="33"/>
            <w:noWrap/>
            <w:hideMark/>
          </w:tcPr>
          <w:p w:rsidR="009E22FE" w:rsidRPr="009E22FE" w:rsidRDefault="009E22FE">
            <w:pPr>
              <w:spacing w:after="0" w:line="240" w:lineRule="auto"/>
              <w:ind w:firstLine="0"/>
              <w:jc w:val="left"/>
              <w:rPr>
                <w:rFonts w:ascii="Garamond" w:hAnsi="Garamond"/>
                <w:b/>
                <w:bCs/>
                <w:i/>
                <w:iCs/>
                <w:kern w:val="32"/>
                <w:sz w:val="18"/>
                <w:szCs w:val="18"/>
                <w:lang w:val="sq-AL"/>
              </w:rPr>
            </w:pPr>
            <w:r w:rsidRPr="009E22FE">
              <w:rPr>
                <w:rFonts w:ascii="Garamond" w:hAnsi="Garamond"/>
                <w:b/>
                <w:bCs/>
                <w:i/>
                <w:iCs/>
                <w:kern w:val="32"/>
                <w:sz w:val="18"/>
                <w:szCs w:val="18"/>
                <w:lang w:val="sq-AL"/>
              </w:rPr>
              <w:t xml:space="preserve"> Hidro: </w:t>
            </w:r>
          </w:p>
        </w:tc>
      </w:tr>
      <w:tr w:rsidR="009E22FE" w:rsidRPr="009E22FE" w:rsidTr="009E22FE">
        <w:trPr>
          <w:trHeight w:val="144"/>
          <w:jc w:val="center"/>
        </w:trPr>
        <w:tc>
          <w:tcPr>
            <w:tcW w:w="166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kern w:val="32"/>
                <w:sz w:val="18"/>
                <w:szCs w:val="18"/>
                <w:lang w:val="sq-AL"/>
              </w:rPr>
            </w:pPr>
            <w:r w:rsidRPr="009E22FE">
              <w:rPr>
                <w:rFonts w:ascii="Garamond" w:hAnsi="Garamond"/>
                <w:kern w:val="32"/>
                <w:sz w:val="18"/>
                <w:szCs w:val="18"/>
                <w:lang w:val="sq-AL"/>
              </w:rPr>
              <w:t xml:space="preserve">&lt;1mw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48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185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50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195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55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213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60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232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61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236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67 </w:t>
            </w:r>
          </w:p>
        </w:tc>
        <w:tc>
          <w:tcPr>
            <w:tcW w:w="857"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259 </w:t>
            </w:r>
          </w:p>
        </w:tc>
      </w:tr>
      <w:tr w:rsidR="009E22FE" w:rsidRPr="009E22FE" w:rsidTr="009E22FE">
        <w:trPr>
          <w:trHeight w:val="144"/>
          <w:jc w:val="center"/>
        </w:trPr>
        <w:tc>
          <w:tcPr>
            <w:tcW w:w="166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kern w:val="32"/>
                <w:sz w:val="18"/>
                <w:szCs w:val="18"/>
                <w:lang w:val="sq-AL"/>
              </w:rPr>
            </w:pPr>
            <w:r w:rsidRPr="009E22FE">
              <w:rPr>
                <w:rFonts w:ascii="Garamond" w:hAnsi="Garamond"/>
                <w:kern w:val="32"/>
                <w:sz w:val="18"/>
                <w:szCs w:val="18"/>
                <w:lang w:val="sq-AL"/>
              </w:rPr>
              <w:t xml:space="preserve"> 1mw–10 mw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248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941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272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1,035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315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1,197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360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1,368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369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1,402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423 </w:t>
            </w:r>
          </w:p>
        </w:tc>
        <w:tc>
          <w:tcPr>
            <w:tcW w:w="857"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1,607 </w:t>
            </w:r>
          </w:p>
        </w:tc>
      </w:tr>
      <w:tr w:rsidR="009E22FE" w:rsidRPr="009E22FE" w:rsidTr="009E22FE">
        <w:trPr>
          <w:trHeight w:val="144"/>
          <w:jc w:val="center"/>
        </w:trPr>
        <w:tc>
          <w:tcPr>
            <w:tcW w:w="166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kern w:val="32"/>
                <w:sz w:val="18"/>
                <w:szCs w:val="18"/>
                <w:lang w:val="sq-AL"/>
              </w:rPr>
            </w:pPr>
            <w:r w:rsidRPr="009E22FE">
              <w:rPr>
                <w:rFonts w:ascii="Garamond" w:hAnsi="Garamond"/>
                <w:kern w:val="32"/>
                <w:sz w:val="18"/>
                <w:szCs w:val="18"/>
                <w:lang w:val="sq-AL"/>
              </w:rPr>
              <w:t xml:space="preserve">&gt;10mw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1,506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4,453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1,571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4,713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1,571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4,713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1,571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4,713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1,834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5,680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1,834 </w:t>
            </w:r>
          </w:p>
        </w:tc>
        <w:tc>
          <w:tcPr>
            <w:tcW w:w="857"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5,680 </w:t>
            </w:r>
          </w:p>
        </w:tc>
      </w:tr>
      <w:tr w:rsidR="009E22FE" w:rsidRPr="009E22FE" w:rsidTr="009E22FE">
        <w:trPr>
          <w:trHeight w:val="144"/>
          <w:jc w:val="center"/>
        </w:trPr>
        <w:tc>
          <w:tcPr>
            <w:tcW w:w="9468" w:type="dxa"/>
            <w:gridSpan w:val="13"/>
            <w:tcBorders>
              <w:top w:val="single" w:sz="4" w:space="0" w:color="auto"/>
              <w:left w:val="single" w:sz="4" w:space="0" w:color="auto"/>
              <w:bottom w:val="single" w:sz="4" w:space="0" w:color="auto"/>
              <w:right w:val="single" w:sz="4" w:space="0" w:color="auto"/>
            </w:tcBorders>
            <w:shd w:val="clear" w:color="auto" w:fill="E2EFD9" w:themeFill="accent6" w:themeFillTint="33"/>
            <w:noWrap/>
            <w:hideMark/>
          </w:tcPr>
          <w:p w:rsidR="009E22FE" w:rsidRPr="009E22FE" w:rsidRDefault="009E22FE">
            <w:pPr>
              <w:spacing w:after="0" w:line="240" w:lineRule="auto"/>
              <w:ind w:firstLine="0"/>
              <w:jc w:val="left"/>
              <w:rPr>
                <w:rFonts w:ascii="Garamond" w:hAnsi="Garamond"/>
                <w:b/>
                <w:bCs/>
                <w:i/>
                <w:iCs/>
                <w:kern w:val="32"/>
                <w:sz w:val="18"/>
                <w:szCs w:val="18"/>
                <w:lang w:val="sq-AL"/>
              </w:rPr>
            </w:pPr>
            <w:r w:rsidRPr="009E22FE">
              <w:rPr>
                <w:rFonts w:ascii="Garamond" w:hAnsi="Garamond"/>
                <w:b/>
                <w:bCs/>
                <w:i/>
                <w:iCs/>
                <w:kern w:val="32"/>
                <w:sz w:val="18"/>
                <w:szCs w:val="18"/>
                <w:lang w:val="sq-AL"/>
              </w:rPr>
              <w:t xml:space="preserve"> Diellore: </w:t>
            </w:r>
          </w:p>
        </w:tc>
      </w:tr>
      <w:tr w:rsidR="009E22FE" w:rsidRPr="009E22FE" w:rsidTr="009E22FE">
        <w:trPr>
          <w:trHeight w:val="144"/>
          <w:jc w:val="center"/>
        </w:trPr>
        <w:tc>
          <w:tcPr>
            <w:tcW w:w="166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kern w:val="32"/>
                <w:sz w:val="18"/>
                <w:szCs w:val="18"/>
                <w:lang w:val="sq-AL"/>
              </w:rPr>
            </w:pPr>
            <w:r w:rsidRPr="009E22FE">
              <w:rPr>
                <w:rFonts w:ascii="Garamond" w:hAnsi="Garamond"/>
                <w:kern w:val="32"/>
                <w:sz w:val="18"/>
                <w:szCs w:val="18"/>
                <w:lang w:val="sq-AL"/>
              </w:rPr>
              <w:t xml:space="preserve"> Fotovoltaike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857"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r>
      <w:tr w:rsidR="009E22FE" w:rsidRPr="009E22FE" w:rsidTr="009E22FE">
        <w:trPr>
          <w:trHeight w:val="144"/>
          <w:jc w:val="center"/>
        </w:trPr>
        <w:tc>
          <w:tcPr>
            <w:tcW w:w="166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kern w:val="32"/>
                <w:sz w:val="18"/>
                <w:szCs w:val="18"/>
                <w:lang w:val="sq-AL"/>
              </w:rPr>
            </w:pPr>
            <w:r w:rsidRPr="009E22FE">
              <w:rPr>
                <w:rFonts w:ascii="Garamond" w:hAnsi="Garamond"/>
                <w:kern w:val="32"/>
                <w:sz w:val="18"/>
                <w:szCs w:val="18"/>
                <w:lang w:val="sq-AL"/>
              </w:rPr>
              <w:t xml:space="preserve">Diellore NEUD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857"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r>
      <w:tr w:rsidR="009E22FE" w:rsidRPr="009E22FE" w:rsidTr="009E22FE">
        <w:trPr>
          <w:trHeight w:val="144"/>
          <w:jc w:val="center"/>
        </w:trPr>
        <w:tc>
          <w:tcPr>
            <w:tcW w:w="9468" w:type="dxa"/>
            <w:gridSpan w:val="13"/>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b/>
                <w:bCs/>
                <w:i/>
                <w:iCs/>
                <w:kern w:val="32"/>
                <w:sz w:val="18"/>
                <w:szCs w:val="18"/>
                <w:lang w:val="sq-AL"/>
              </w:rPr>
            </w:pPr>
            <w:r w:rsidRPr="009E22FE">
              <w:rPr>
                <w:rFonts w:ascii="Garamond" w:hAnsi="Garamond"/>
                <w:b/>
                <w:bCs/>
                <w:i/>
                <w:iCs/>
                <w:kern w:val="32"/>
                <w:sz w:val="18"/>
                <w:szCs w:val="18"/>
                <w:lang w:val="sq-AL"/>
              </w:rPr>
              <w:t xml:space="preserve"> Era: </w:t>
            </w:r>
          </w:p>
        </w:tc>
      </w:tr>
      <w:tr w:rsidR="009E22FE" w:rsidRPr="009E22FE" w:rsidTr="009E22FE">
        <w:trPr>
          <w:trHeight w:val="144"/>
          <w:jc w:val="center"/>
        </w:trPr>
        <w:tc>
          <w:tcPr>
            <w:tcW w:w="166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kern w:val="32"/>
                <w:sz w:val="18"/>
                <w:szCs w:val="18"/>
                <w:lang w:val="sq-AL"/>
              </w:rPr>
            </w:pPr>
            <w:r w:rsidRPr="009E22FE">
              <w:rPr>
                <w:rFonts w:ascii="Garamond" w:hAnsi="Garamond"/>
                <w:kern w:val="32"/>
                <w:sz w:val="18"/>
                <w:szCs w:val="18"/>
                <w:lang w:val="sq-AL"/>
              </w:rPr>
              <w:t xml:space="preserve"> Në det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857"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r>
      <w:tr w:rsidR="009E22FE" w:rsidRPr="009E22FE" w:rsidTr="009E22FE">
        <w:trPr>
          <w:trHeight w:val="144"/>
          <w:jc w:val="center"/>
        </w:trPr>
        <w:tc>
          <w:tcPr>
            <w:tcW w:w="166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kern w:val="32"/>
                <w:sz w:val="18"/>
                <w:szCs w:val="18"/>
                <w:lang w:val="sq-AL"/>
              </w:rPr>
            </w:pPr>
            <w:r w:rsidRPr="009E22FE">
              <w:rPr>
                <w:rFonts w:ascii="Garamond" w:hAnsi="Garamond"/>
                <w:kern w:val="32"/>
                <w:sz w:val="18"/>
                <w:szCs w:val="18"/>
                <w:lang w:val="sq-AL"/>
              </w:rPr>
              <w:t xml:space="preserve"> Në tokë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4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8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10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20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20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40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30 </w:t>
            </w:r>
          </w:p>
        </w:tc>
        <w:tc>
          <w:tcPr>
            <w:tcW w:w="857"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60 </w:t>
            </w:r>
          </w:p>
        </w:tc>
      </w:tr>
      <w:tr w:rsidR="009E22FE" w:rsidRPr="009E22FE" w:rsidTr="009E22FE">
        <w:trPr>
          <w:trHeight w:val="144"/>
          <w:jc w:val="center"/>
        </w:trPr>
        <w:tc>
          <w:tcPr>
            <w:tcW w:w="9468" w:type="dxa"/>
            <w:gridSpan w:val="13"/>
            <w:tcBorders>
              <w:top w:val="single" w:sz="4" w:space="0" w:color="auto"/>
              <w:left w:val="single" w:sz="4" w:space="0" w:color="auto"/>
              <w:bottom w:val="single" w:sz="4" w:space="0" w:color="auto"/>
              <w:right w:val="single" w:sz="4" w:space="0" w:color="auto"/>
            </w:tcBorders>
            <w:shd w:val="clear" w:color="auto" w:fill="FBE4D5" w:themeFill="accent2" w:themeFillTint="33"/>
            <w:noWrap/>
            <w:hideMark/>
          </w:tcPr>
          <w:p w:rsidR="009E22FE" w:rsidRPr="009E22FE" w:rsidRDefault="009E22FE">
            <w:pPr>
              <w:spacing w:after="0" w:line="240" w:lineRule="auto"/>
              <w:ind w:firstLine="0"/>
              <w:jc w:val="left"/>
              <w:rPr>
                <w:rFonts w:ascii="Garamond" w:hAnsi="Garamond"/>
                <w:b/>
                <w:bCs/>
                <w:i/>
                <w:iCs/>
                <w:kern w:val="32"/>
                <w:sz w:val="18"/>
                <w:szCs w:val="18"/>
                <w:lang w:val="sq-AL"/>
              </w:rPr>
            </w:pPr>
            <w:r w:rsidRPr="009E22FE">
              <w:rPr>
                <w:rFonts w:ascii="Garamond" w:hAnsi="Garamond"/>
                <w:b/>
                <w:bCs/>
                <w:i/>
                <w:iCs/>
                <w:kern w:val="32"/>
                <w:sz w:val="18"/>
                <w:szCs w:val="18"/>
                <w:lang w:val="sq-AL"/>
              </w:rPr>
              <w:t xml:space="preserve"> Biomasa: </w:t>
            </w:r>
          </w:p>
        </w:tc>
      </w:tr>
      <w:tr w:rsidR="009E22FE" w:rsidRPr="009E22FE" w:rsidTr="009E22FE">
        <w:trPr>
          <w:trHeight w:val="144"/>
          <w:jc w:val="center"/>
        </w:trPr>
        <w:tc>
          <w:tcPr>
            <w:tcW w:w="166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kern w:val="32"/>
                <w:sz w:val="18"/>
                <w:szCs w:val="18"/>
                <w:lang w:val="sq-AL"/>
              </w:rPr>
            </w:pPr>
            <w:r w:rsidRPr="009E22FE">
              <w:rPr>
                <w:rFonts w:ascii="Garamond" w:hAnsi="Garamond"/>
                <w:kern w:val="32"/>
                <w:sz w:val="18"/>
                <w:szCs w:val="18"/>
                <w:lang w:val="sq-AL"/>
              </w:rPr>
              <w:t xml:space="preserve"> E ngurtë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857"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r>
      <w:tr w:rsidR="009E22FE" w:rsidRPr="009E22FE" w:rsidTr="009E22FE">
        <w:trPr>
          <w:trHeight w:val="144"/>
          <w:jc w:val="center"/>
        </w:trPr>
        <w:tc>
          <w:tcPr>
            <w:tcW w:w="166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kern w:val="32"/>
                <w:sz w:val="18"/>
                <w:szCs w:val="18"/>
                <w:lang w:val="sq-AL"/>
              </w:rPr>
            </w:pPr>
            <w:r w:rsidRPr="009E22FE">
              <w:rPr>
                <w:rFonts w:ascii="Garamond" w:hAnsi="Garamond"/>
                <w:kern w:val="32"/>
                <w:sz w:val="18"/>
                <w:szCs w:val="18"/>
                <w:lang w:val="sq-AL"/>
              </w:rPr>
              <w:t xml:space="preserve"> Biogaz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857"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r>
      <w:tr w:rsidR="009E22FE" w:rsidRPr="009E22FE" w:rsidTr="009E22FE">
        <w:trPr>
          <w:trHeight w:val="144"/>
          <w:jc w:val="center"/>
        </w:trPr>
        <w:tc>
          <w:tcPr>
            <w:tcW w:w="166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kern w:val="32"/>
                <w:sz w:val="18"/>
                <w:szCs w:val="18"/>
                <w:lang w:val="sq-AL"/>
              </w:rPr>
            </w:pPr>
            <w:r w:rsidRPr="009E22FE">
              <w:rPr>
                <w:rFonts w:ascii="Garamond" w:hAnsi="Garamond"/>
                <w:kern w:val="32"/>
                <w:sz w:val="18"/>
                <w:szCs w:val="18"/>
                <w:lang w:val="sq-AL"/>
              </w:rPr>
              <w:t xml:space="preserve"> Biolëngje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857"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r>
      <w:tr w:rsidR="009E22FE" w:rsidRPr="009E22FE" w:rsidTr="009E22FE">
        <w:trPr>
          <w:trHeight w:val="144"/>
          <w:jc w:val="center"/>
        </w:trPr>
        <w:tc>
          <w:tcPr>
            <w:tcW w:w="166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b/>
                <w:bCs/>
                <w:kern w:val="32"/>
                <w:sz w:val="18"/>
                <w:szCs w:val="18"/>
                <w:lang w:val="sq-AL"/>
              </w:rPr>
            </w:pPr>
            <w:r w:rsidRPr="009E22FE">
              <w:rPr>
                <w:rFonts w:ascii="Garamond" w:hAnsi="Garamond"/>
                <w:b/>
                <w:bCs/>
                <w:kern w:val="32"/>
                <w:sz w:val="18"/>
                <w:szCs w:val="18"/>
                <w:lang w:val="sq-AL"/>
              </w:rPr>
              <w:t xml:space="preserve"> TOTALI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b/>
                <w:bCs/>
                <w:kern w:val="32"/>
                <w:sz w:val="18"/>
                <w:szCs w:val="18"/>
                <w:lang w:val="sq-AL"/>
              </w:rPr>
            </w:pPr>
            <w:r w:rsidRPr="009E22FE">
              <w:rPr>
                <w:rFonts w:ascii="Garamond" w:hAnsi="Garamond"/>
                <w:b/>
                <w:bCs/>
                <w:kern w:val="32"/>
                <w:sz w:val="18"/>
                <w:szCs w:val="18"/>
                <w:lang w:val="sq-AL"/>
              </w:rPr>
              <w:t xml:space="preserve">1,803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b/>
                <w:bCs/>
                <w:kern w:val="32"/>
                <w:sz w:val="18"/>
                <w:szCs w:val="18"/>
                <w:lang w:val="sq-AL"/>
              </w:rPr>
            </w:pPr>
            <w:r w:rsidRPr="009E22FE">
              <w:rPr>
                <w:rFonts w:ascii="Garamond" w:hAnsi="Garamond"/>
                <w:b/>
                <w:bCs/>
                <w:kern w:val="32"/>
                <w:sz w:val="18"/>
                <w:szCs w:val="18"/>
                <w:lang w:val="sq-AL"/>
              </w:rPr>
              <w:t xml:space="preserve">8,095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b/>
                <w:bCs/>
                <w:kern w:val="32"/>
                <w:sz w:val="18"/>
                <w:szCs w:val="18"/>
                <w:lang w:val="sq-AL"/>
              </w:rPr>
            </w:pPr>
            <w:r w:rsidRPr="009E22FE">
              <w:rPr>
                <w:rFonts w:ascii="Garamond" w:hAnsi="Garamond"/>
                <w:b/>
                <w:bCs/>
                <w:kern w:val="32"/>
                <w:sz w:val="18"/>
                <w:szCs w:val="18"/>
                <w:lang w:val="sq-AL"/>
              </w:rPr>
              <w:t xml:space="preserve">1,995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b/>
                <w:bCs/>
                <w:kern w:val="32"/>
                <w:sz w:val="18"/>
                <w:szCs w:val="18"/>
                <w:lang w:val="sq-AL"/>
              </w:rPr>
            </w:pPr>
            <w:r w:rsidRPr="009E22FE">
              <w:rPr>
                <w:rFonts w:ascii="Garamond" w:hAnsi="Garamond"/>
                <w:b/>
                <w:bCs/>
                <w:kern w:val="32"/>
                <w:sz w:val="18"/>
                <w:szCs w:val="18"/>
                <w:lang w:val="sq-AL"/>
              </w:rPr>
              <w:t xml:space="preserve">8,396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b/>
                <w:bCs/>
                <w:kern w:val="32"/>
                <w:sz w:val="18"/>
                <w:szCs w:val="18"/>
                <w:lang w:val="sq-AL"/>
              </w:rPr>
            </w:pPr>
            <w:r w:rsidRPr="009E22FE">
              <w:rPr>
                <w:rFonts w:ascii="Garamond" w:hAnsi="Garamond"/>
                <w:b/>
                <w:bCs/>
                <w:kern w:val="32"/>
                <w:sz w:val="18"/>
                <w:szCs w:val="18"/>
                <w:lang w:val="sq-AL"/>
              </w:rPr>
              <w:t xml:space="preserve">2,052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b/>
                <w:bCs/>
                <w:kern w:val="32"/>
                <w:sz w:val="18"/>
                <w:szCs w:val="18"/>
                <w:lang w:val="sq-AL"/>
              </w:rPr>
            </w:pPr>
            <w:r w:rsidRPr="009E22FE">
              <w:rPr>
                <w:rFonts w:ascii="Garamond" w:hAnsi="Garamond"/>
                <w:b/>
                <w:bCs/>
                <w:kern w:val="32"/>
                <w:sz w:val="18"/>
                <w:szCs w:val="18"/>
                <w:lang w:val="sq-AL"/>
              </w:rPr>
              <w:t xml:space="preserve">8,697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b/>
                <w:bCs/>
                <w:kern w:val="32"/>
                <w:sz w:val="18"/>
                <w:szCs w:val="18"/>
                <w:lang w:val="sq-AL"/>
              </w:rPr>
            </w:pPr>
            <w:r w:rsidRPr="009E22FE">
              <w:rPr>
                <w:rFonts w:ascii="Garamond" w:hAnsi="Garamond"/>
                <w:b/>
                <w:bCs/>
                <w:kern w:val="32"/>
                <w:sz w:val="18"/>
                <w:szCs w:val="18"/>
                <w:lang w:val="sq-AL"/>
              </w:rPr>
              <w:t xml:space="preserve">2,114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b/>
                <w:bCs/>
                <w:kern w:val="32"/>
                <w:sz w:val="18"/>
                <w:szCs w:val="18"/>
                <w:lang w:val="sq-AL"/>
              </w:rPr>
            </w:pPr>
            <w:r w:rsidRPr="009E22FE">
              <w:rPr>
                <w:rFonts w:ascii="Garamond" w:hAnsi="Garamond"/>
                <w:b/>
                <w:bCs/>
                <w:kern w:val="32"/>
                <w:sz w:val="18"/>
                <w:szCs w:val="18"/>
                <w:lang w:val="sq-AL"/>
              </w:rPr>
              <w:t xml:space="preserve">8,998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b/>
                <w:bCs/>
                <w:kern w:val="32"/>
                <w:sz w:val="18"/>
                <w:szCs w:val="18"/>
                <w:lang w:val="sq-AL"/>
              </w:rPr>
            </w:pPr>
            <w:r w:rsidRPr="009E22FE">
              <w:rPr>
                <w:rFonts w:ascii="Garamond" w:hAnsi="Garamond"/>
                <w:b/>
                <w:bCs/>
                <w:kern w:val="32"/>
                <w:sz w:val="18"/>
                <w:szCs w:val="18"/>
                <w:lang w:val="sq-AL"/>
              </w:rPr>
              <w:t xml:space="preserve">2,405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b/>
                <w:bCs/>
                <w:kern w:val="32"/>
                <w:sz w:val="18"/>
                <w:szCs w:val="18"/>
                <w:lang w:val="sq-AL"/>
              </w:rPr>
            </w:pPr>
            <w:r w:rsidRPr="009E22FE">
              <w:rPr>
                <w:rFonts w:ascii="Garamond" w:hAnsi="Garamond"/>
                <w:b/>
                <w:bCs/>
                <w:kern w:val="32"/>
                <w:sz w:val="18"/>
                <w:szCs w:val="18"/>
                <w:lang w:val="sq-AL"/>
              </w:rPr>
              <w:t xml:space="preserve">9,299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b/>
                <w:bCs/>
                <w:kern w:val="32"/>
                <w:sz w:val="18"/>
                <w:szCs w:val="18"/>
                <w:lang w:val="sq-AL"/>
              </w:rPr>
            </w:pPr>
            <w:r w:rsidRPr="009E22FE">
              <w:rPr>
                <w:rFonts w:ascii="Garamond" w:hAnsi="Garamond"/>
                <w:b/>
                <w:bCs/>
                <w:kern w:val="32"/>
                <w:sz w:val="18"/>
                <w:szCs w:val="18"/>
                <w:lang w:val="sq-AL"/>
              </w:rPr>
              <w:t xml:space="preserve">2,483 </w:t>
            </w:r>
          </w:p>
        </w:tc>
        <w:tc>
          <w:tcPr>
            <w:tcW w:w="857"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b/>
                <w:bCs/>
                <w:kern w:val="32"/>
                <w:sz w:val="18"/>
                <w:szCs w:val="18"/>
                <w:lang w:val="sq-AL"/>
              </w:rPr>
            </w:pPr>
            <w:r w:rsidRPr="009E22FE">
              <w:rPr>
                <w:rFonts w:ascii="Garamond" w:hAnsi="Garamond"/>
                <w:b/>
                <w:bCs/>
                <w:kern w:val="32"/>
                <w:sz w:val="18"/>
                <w:szCs w:val="18"/>
                <w:lang w:val="sq-AL"/>
              </w:rPr>
              <w:t xml:space="preserve">9,600 </w:t>
            </w:r>
          </w:p>
        </w:tc>
      </w:tr>
      <w:tr w:rsidR="009E22FE" w:rsidRPr="009E22FE" w:rsidTr="009E22FE">
        <w:trPr>
          <w:trHeight w:val="144"/>
          <w:jc w:val="center"/>
        </w:trPr>
        <w:tc>
          <w:tcPr>
            <w:tcW w:w="166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left"/>
              <w:rPr>
                <w:rFonts w:ascii="Garamond" w:hAnsi="Garamond"/>
                <w:kern w:val="32"/>
                <w:sz w:val="18"/>
                <w:szCs w:val="18"/>
                <w:lang w:val="sq-AL"/>
              </w:rPr>
            </w:pPr>
            <w:r w:rsidRPr="009E22FE">
              <w:rPr>
                <w:rFonts w:ascii="Garamond" w:hAnsi="Garamond"/>
                <w:kern w:val="32"/>
                <w:sz w:val="18"/>
                <w:szCs w:val="18"/>
                <w:lang w:val="sq-AL"/>
              </w:rPr>
              <w:t xml:space="preserve"> Nga të cilat në CHP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rPr>
                <w:rFonts w:ascii="Garamond" w:hAnsi="Garamond"/>
                <w:kern w:val="32"/>
                <w:sz w:val="18"/>
                <w:szCs w:val="18"/>
                <w:lang w:val="sq-AL"/>
              </w:rPr>
            </w:pPr>
            <w:r w:rsidRPr="009E22FE">
              <w:rPr>
                <w:rFonts w:ascii="Garamond" w:hAnsi="Garamond"/>
                <w:kern w:val="32"/>
                <w:sz w:val="18"/>
                <w:szCs w:val="18"/>
                <w:lang w:val="sq-AL"/>
              </w:rPr>
              <w:t xml:space="preserve"> - </w:t>
            </w:r>
          </w:p>
        </w:tc>
        <w:tc>
          <w:tcPr>
            <w:tcW w:w="631"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4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2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8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3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12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4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16 </w:t>
            </w:r>
          </w:p>
        </w:tc>
        <w:tc>
          <w:tcPr>
            <w:tcW w:w="632"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5 </w:t>
            </w:r>
          </w:p>
        </w:tc>
        <w:tc>
          <w:tcPr>
            <w:tcW w:w="857" w:type="dxa"/>
            <w:tcBorders>
              <w:top w:val="single" w:sz="4" w:space="0" w:color="auto"/>
              <w:left w:val="single" w:sz="4" w:space="0" w:color="auto"/>
              <w:bottom w:val="single" w:sz="4" w:space="0" w:color="auto"/>
              <w:right w:val="single" w:sz="4" w:space="0" w:color="auto"/>
            </w:tcBorders>
            <w:noWrap/>
            <w:hideMark/>
          </w:tcPr>
          <w:p w:rsidR="009E22FE" w:rsidRPr="009E22FE" w:rsidRDefault="009E22FE">
            <w:pPr>
              <w:spacing w:after="0" w:line="240" w:lineRule="auto"/>
              <w:ind w:firstLine="0"/>
              <w:jc w:val="right"/>
              <w:rPr>
                <w:rFonts w:ascii="Garamond" w:hAnsi="Garamond"/>
                <w:kern w:val="32"/>
                <w:sz w:val="18"/>
                <w:szCs w:val="18"/>
                <w:lang w:val="sq-AL"/>
              </w:rPr>
            </w:pPr>
            <w:r w:rsidRPr="009E22FE">
              <w:rPr>
                <w:rFonts w:ascii="Garamond" w:hAnsi="Garamond"/>
                <w:kern w:val="32"/>
                <w:sz w:val="18"/>
                <w:szCs w:val="18"/>
                <w:lang w:val="sq-AL"/>
              </w:rPr>
              <w:t xml:space="preserve">20 </w:t>
            </w:r>
          </w:p>
        </w:tc>
      </w:tr>
    </w:tbl>
    <w:p w:rsidR="009E22FE" w:rsidRPr="009E22FE" w:rsidRDefault="009E22FE" w:rsidP="009E22FE">
      <w:pPr>
        <w:spacing w:after="0"/>
        <w:ind w:firstLine="0"/>
        <w:jc w:val="left"/>
        <w:rPr>
          <w:rFonts w:ascii="Garamond" w:eastAsiaTheme="majorEastAsia" w:hAnsi="Garamond" w:cstheme="majorBidi"/>
          <w:b/>
          <w:sz w:val="24"/>
          <w:szCs w:val="24"/>
          <w:lang w:val="sq-AL"/>
        </w:rPr>
        <w:sectPr w:rsidR="009E22FE" w:rsidRPr="009E22FE" w:rsidSect="009E22FE">
          <w:type w:val="continuous"/>
          <w:pgSz w:w="11907" w:h="16840"/>
          <w:pgMar w:top="720" w:right="1134" w:bottom="720" w:left="1134" w:header="851" w:footer="851" w:gutter="0"/>
          <w:cols w:space="720"/>
        </w:sectPr>
      </w:pPr>
    </w:p>
    <w:p w:rsidR="009E22FE" w:rsidRPr="009E22FE" w:rsidRDefault="009E22FE" w:rsidP="009E22FE">
      <w:pPr>
        <w:pStyle w:val="Heading1"/>
        <w:tabs>
          <w:tab w:val="clear" w:pos="1134"/>
        </w:tabs>
        <w:spacing w:before="0"/>
        <w:ind w:left="284"/>
        <w:jc w:val="left"/>
        <w:rPr>
          <w:rFonts w:ascii="Garamond" w:hAnsi="Garamond"/>
          <w:b/>
          <w:color w:val="auto"/>
          <w:sz w:val="24"/>
          <w:szCs w:val="24"/>
          <w:lang w:val="sq-AL"/>
        </w:rPr>
      </w:pPr>
      <w:bookmarkStart w:id="27" w:name="_Toc505599674"/>
      <w:r w:rsidRPr="009E22FE">
        <w:rPr>
          <w:rFonts w:ascii="Garamond" w:hAnsi="Garamond"/>
          <w:color w:val="auto"/>
          <w:sz w:val="24"/>
          <w:szCs w:val="24"/>
          <w:lang w:val="sq-AL"/>
        </w:rPr>
        <w:t>Konkluzione dhe rekomandime</w:t>
      </w:r>
      <w:bookmarkEnd w:id="27"/>
    </w:p>
    <w:p w:rsidR="009E22FE" w:rsidRPr="009E22FE" w:rsidRDefault="009E22FE" w:rsidP="009E22FE">
      <w:pPr>
        <w:pStyle w:val="Heading2"/>
        <w:numPr>
          <w:ilvl w:val="0"/>
          <w:numId w:val="0"/>
        </w:numPr>
        <w:spacing w:before="0"/>
        <w:ind w:left="284"/>
        <w:rPr>
          <w:rFonts w:ascii="Garamond" w:hAnsi="Garamond"/>
          <w:b/>
          <w:color w:val="auto"/>
          <w:sz w:val="24"/>
          <w:szCs w:val="24"/>
          <w:lang w:val="sq-AL"/>
        </w:rPr>
      </w:pPr>
      <w:bookmarkStart w:id="28" w:name="_Toc505599675"/>
      <w:r w:rsidRPr="009E22FE">
        <w:rPr>
          <w:rFonts w:ascii="Garamond" w:hAnsi="Garamond"/>
          <w:color w:val="auto"/>
          <w:sz w:val="24"/>
          <w:szCs w:val="24"/>
          <w:lang w:val="sq-AL"/>
        </w:rPr>
        <w:t>3.1 Politikat e energjisë se burimeve të rino-vueshme</w:t>
      </w:r>
      <w:bookmarkEnd w:id="28"/>
    </w:p>
    <w:p w:rsidR="009E22FE" w:rsidRPr="009E22FE" w:rsidRDefault="009E22FE" w:rsidP="009E22FE">
      <w:pPr>
        <w:spacing w:after="0" w:line="240" w:lineRule="auto"/>
        <w:rPr>
          <w:rFonts w:ascii="Garamond" w:hAnsi="Garamond"/>
          <w:sz w:val="24"/>
          <w:szCs w:val="24"/>
          <w:lang w:val="sq-AL"/>
        </w:rPr>
      </w:pPr>
      <w:r w:rsidRPr="009E22FE">
        <w:rPr>
          <w:rFonts w:ascii="Garamond" w:hAnsi="Garamond"/>
          <w:sz w:val="24"/>
          <w:szCs w:val="24"/>
          <w:lang w:val="sq-AL"/>
        </w:rPr>
        <w:t>Në 10 vitet e fundit promovimi i BRE-ve në Shqipëri ka qenë i përqendruar në skemat e mbështetjes financiare dhe mundësisë për aksesin në rrjet të energjisë elektrike të prodhuar nga burimet hidrike. Politika shtetërore, me qëllim nxitjen e investimeve në energji, përgjithësisht krijoi klimën e favorshme të dhënies se koncesioneve për ndërtimin e veprave të prodhimit të energjisë elektrike dhe garantimin për parablerjen e energjisë për një periudhë 15-vjeçare. Duhet thënë, se dhënia e koncesioneve në këto vite ka qenë në varësi të politikave afatshkurtra dhe jo të një politike të qëndrueshme energjetike dhe mjedisore. Kështu, nga HEC-et me koncesion, vetëm 25% e tyre janë instaluar deri më 2014-ën, dhe përfaqësojnë 16% të gjenerimit të parashikuar, që tek e fundit, është vetëm 14.5% e konsumit të parashikuar më 2020-ën. Pritshmëria e HECV-ve në fazë ndërtimi mund të rrisë me rreth 18% prodhimin hidro deri më 2020-ën.</w:t>
      </w:r>
    </w:p>
    <w:p w:rsidR="009E22FE" w:rsidRPr="009E22FE" w:rsidRDefault="009E22FE" w:rsidP="009E22FE">
      <w:pPr>
        <w:pStyle w:val="Heading3"/>
        <w:numPr>
          <w:ilvl w:val="0"/>
          <w:numId w:val="0"/>
        </w:numPr>
        <w:spacing w:before="0" w:line="240" w:lineRule="auto"/>
        <w:ind w:left="284"/>
        <w:rPr>
          <w:rFonts w:ascii="Garamond" w:hAnsi="Garamond"/>
          <w:b/>
          <w:color w:val="auto"/>
          <w:lang w:val="sq-AL"/>
        </w:rPr>
      </w:pPr>
      <w:bookmarkStart w:id="29" w:name="_Toc505599676"/>
      <w:r w:rsidRPr="009E22FE">
        <w:rPr>
          <w:rFonts w:ascii="Garamond" w:hAnsi="Garamond"/>
          <w:color w:val="auto"/>
          <w:lang w:val="sq-AL"/>
        </w:rPr>
        <w:t xml:space="preserve">3.1.1 Legjislacioni dhe </w:t>
      </w:r>
      <w:r w:rsidRPr="009E22FE">
        <w:rPr>
          <w:rFonts w:ascii="Garamond" w:hAnsi="Garamond"/>
          <w:i/>
          <w:color w:val="auto"/>
          <w:lang w:val="sq-AL"/>
        </w:rPr>
        <w:t>Acquis</w:t>
      </w:r>
      <w:bookmarkEnd w:id="29"/>
    </w:p>
    <w:p w:rsidR="009E22FE" w:rsidRPr="009E22FE" w:rsidRDefault="009E22FE" w:rsidP="009E22FE">
      <w:pPr>
        <w:spacing w:after="0" w:line="240" w:lineRule="auto"/>
        <w:rPr>
          <w:rFonts w:ascii="Garamond" w:hAnsi="Garamond"/>
          <w:sz w:val="24"/>
          <w:szCs w:val="24"/>
          <w:lang w:val="sq-AL"/>
        </w:rPr>
      </w:pPr>
      <w:r w:rsidRPr="009E22FE">
        <w:rPr>
          <w:rFonts w:ascii="Garamond" w:hAnsi="Garamond"/>
          <w:sz w:val="24"/>
          <w:szCs w:val="24"/>
          <w:lang w:val="sq-AL"/>
        </w:rPr>
        <w:t xml:space="preserve">Ligji nr. 7/2017 krijoi përputhjen me detyrimet ndërkombëtare që rrjedhin nga Traktati i Komunitetit të Energjisë, me qëllim miratimin e një kuadri ligjor më të konsoliduar dhe gjithëpërfshirës në përputhje me direktivën 2009/28/EC për të përmbushur objektivin kombëtar për të konsumuar 38% burime të rinovueshme deri në vitin 2020. </w:t>
      </w:r>
    </w:p>
    <w:p w:rsidR="009E22FE" w:rsidRPr="009E22FE" w:rsidRDefault="009E22FE" w:rsidP="009E22FE">
      <w:pPr>
        <w:spacing w:after="0" w:line="240" w:lineRule="auto"/>
        <w:ind w:firstLine="288"/>
        <w:rPr>
          <w:rFonts w:ascii="Garamond" w:hAnsi="Garamond"/>
          <w:sz w:val="24"/>
          <w:szCs w:val="24"/>
          <w:lang w:val="sq-AL"/>
        </w:rPr>
      </w:pPr>
      <w:r w:rsidRPr="009E22FE">
        <w:rPr>
          <w:rFonts w:ascii="Garamond" w:hAnsi="Garamond"/>
          <w:sz w:val="24"/>
          <w:szCs w:val="24"/>
          <w:lang w:val="sq-AL"/>
        </w:rPr>
        <w:t>Në këtë kuadër në PKVBRE rekomandohen: i) masa efektive për miratimin e një kuadri ligjor më të konsoliduar dhe gjithëpërfshirës në përputhje me direktivën 2009/28/EC; ii) analizë më të gjerë lidhur me interesat e të gjithë operatorëve të tregut të burimeve të rinovueshme në aplikimin e “skemave mbështetëse” për promovimin e BRE-ve pa dallim; dhe iii) përforcimin e legjislacionit për biokarburantet në sektorin e transportit në drejtim të kritereve të qëndrueshmërisë, informimin/raportimin, si dhe vendosja e masave për nxitjen e tregtimit të tyre te konsumatori fundor.</w:t>
      </w:r>
    </w:p>
    <w:p w:rsidR="009E22FE" w:rsidRPr="009E22FE" w:rsidRDefault="009E22FE" w:rsidP="009E22FE">
      <w:pPr>
        <w:spacing w:after="0" w:line="240" w:lineRule="auto"/>
        <w:rPr>
          <w:rFonts w:ascii="Garamond" w:hAnsi="Garamond"/>
          <w:sz w:val="24"/>
          <w:szCs w:val="24"/>
          <w:lang w:val="sq-AL"/>
        </w:rPr>
      </w:pPr>
      <w:r w:rsidRPr="009E22FE">
        <w:rPr>
          <w:rFonts w:ascii="Garamond" w:hAnsi="Garamond"/>
          <w:sz w:val="24"/>
          <w:szCs w:val="24"/>
          <w:lang w:val="sq-AL"/>
        </w:rPr>
        <w:t xml:space="preserve">Ky angazhim vjen në kuadër të strategjisë evropiane për energjinë e gjelbër dhe Planit Kombëtar për Integrimin Evropian, që përfshin masa afatmesme dhe afatgjata deri në vitin 2020, me synimin që Shqipëria të ketë përafruar plotësisht legjislacionin në përputhje me </w:t>
      </w:r>
      <w:r w:rsidRPr="009E22FE">
        <w:rPr>
          <w:rFonts w:ascii="Garamond" w:hAnsi="Garamond"/>
          <w:i/>
          <w:sz w:val="24"/>
          <w:szCs w:val="24"/>
          <w:lang w:val="sq-AL"/>
        </w:rPr>
        <w:t>Acquis</w:t>
      </w:r>
      <w:r w:rsidRPr="009E22FE">
        <w:rPr>
          <w:rFonts w:ascii="Garamond" w:hAnsi="Garamond"/>
          <w:sz w:val="24"/>
          <w:szCs w:val="24"/>
          <w:lang w:val="sq-AL"/>
        </w:rPr>
        <w:t>-in</w:t>
      </w:r>
      <w:r w:rsidRPr="009E22FE">
        <w:rPr>
          <w:rFonts w:ascii="Garamond" w:hAnsi="Garamond"/>
          <w:i/>
          <w:sz w:val="24"/>
          <w:szCs w:val="24"/>
          <w:lang w:val="sq-AL"/>
        </w:rPr>
        <w:t xml:space="preserve"> </w:t>
      </w:r>
      <w:r w:rsidRPr="009E22FE">
        <w:rPr>
          <w:rFonts w:ascii="Garamond" w:hAnsi="Garamond"/>
          <w:sz w:val="24"/>
          <w:szCs w:val="24"/>
          <w:lang w:val="sq-AL"/>
        </w:rPr>
        <w:t>për energjinë të BE-së.</w:t>
      </w:r>
    </w:p>
    <w:p w:rsidR="009E22FE" w:rsidRPr="009E22FE" w:rsidRDefault="009E22FE" w:rsidP="009E22FE">
      <w:pPr>
        <w:pStyle w:val="Heading3"/>
        <w:numPr>
          <w:ilvl w:val="0"/>
          <w:numId w:val="0"/>
        </w:numPr>
        <w:spacing w:before="0" w:line="240" w:lineRule="auto"/>
        <w:ind w:left="284"/>
        <w:rPr>
          <w:rFonts w:ascii="Garamond" w:hAnsi="Garamond"/>
          <w:b/>
          <w:color w:val="auto"/>
          <w:lang w:val="sq-AL"/>
        </w:rPr>
      </w:pPr>
      <w:bookmarkStart w:id="30" w:name="_Toc505599677"/>
      <w:r w:rsidRPr="009E22FE">
        <w:rPr>
          <w:rFonts w:ascii="Garamond" w:hAnsi="Garamond"/>
          <w:color w:val="auto"/>
          <w:lang w:val="sq-AL"/>
        </w:rPr>
        <w:t>3.1.2 Barrierat administrative</w:t>
      </w:r>
      <w:bookmarkEnd w:id="30"/>
    </w:p>
    <w:p w:rsidR="009E22FE" w:rsidRPr="009E22FE" w:rsidRDefault="009E22FE" w:rsidP="009E22FE">
      <w:pPr>
        <w:spacing w:after="0" w:line="240" w:lineRule="auto"/>
        <w:rPr>
          <w:rFonts w:ascii="Garamond" w:hAnsi="Garamond"/>
          <w:sz w:val="24"/>
          <w:szCs w:val="24"/>
          <w:lang w:val="sq-AL"/>
        </w:rPr>
      </w:pPr>
      <w:r w:rsidRPr="009E22FE">
        <w:rPr>
          <w:rFonts w:ascii="Garamond" w:hAnsi="Garamond"/>
          <w:sz w:val="24"/>
          <w:szCs w:val="24"/>
          <w:lang w:val="sq-AL"/>
        </w:rPr>
        <w:t>PKVBRE-ja, në koherencë me direktivën, bën vlerësimin dhe më pas analizën e lehtësisë dhe barrierave të</w:t>
      </w:r>
      <w:r w:rsidRPr="009E22FE">
        <w:rPr>
          <w:rFonts w:ascii="Garamond" w:hAnsi="Garamond"/>
          <w:bCs/>
          <w:sz w:val="24"/>
          <w:szCs w:val="24"/>
          <w:lang w:val="sq-AL"/>
        </w:rPr>
        <w:t xml:space="preserve"> procedurave administrative kombëtare për promovimin e burimeve të rinovueshme. </w:t>
      </w:r>
      <w:r w:rsidRPr="009E22FE">
        <w:rPr>
          <w:rFonts w:ascii="Garamond" w:hAnsi="Garamond"/>
          <w:sz w:val="24"/>
          <w:szCs w:val="24"/>
          <w:lang w:val="sq-AL"/>
        </w:rPr>
        <w:t xml:space="preserve">Bazuar në parimin e “kush të vijë më parë - i pari shërbehet”, procedurat janë lehtësuar ndjeshëm, por gjithsesi, koncesionet e HECV-ve janë dhënë në bazë të një procesi të konkurrimit të ofertave dhe autorizimet për gjenerime të energjisë elektrike me burime të rinovueshme, janë dhënë mbi baza transparente. </w:t>
      </w:r>
    </w:p>
    <w:p w:rsidR="009E22FE" w:rsidRPr="009E22FE" w:rsidRDefault="009E22FE" w:rsidP="009E22FE">
      <w:pPr>
        <w:spacing w:after="0" w:line="240" w:lineRule="auto"/>
        <w:rPr>
          <w:rFonts w:ascii="Garamond" w:hAnsi="Garamond"/>
          <w:sz w:val="24"/>
          <w:szCs w:val="24"/>
          <w:lang w:val="sq-AL"/>
        </w:rPr>
      </w:pPr>
      <w:r w:rsidRPr="009E22FE">
        <w:rPr>
          <w:rFonts w:ascii="Garamond" w:hAnsi="Garamond"/>
          <w:sz w:val="24"/>
          <w:szCs w:val="24"/>
          <w:lang w:val="sq-AL"/>
        </w:rPr>
        <w:t xml:space="preserve">Plani Kombëtar i Veprimit për Energjitë e Rinovueshme përcakton udhërrëfyesin e arritjes së objektivit kombëtar për përqindjen e energjisë nga burimet e rinovueshme që konsumohet në sektorin e energjisë elektrike, të transportit dhe në sektorin e ngrohjes dhe ftohjes në vitin 2020. PKVBRE-ja vendos objektiva tregues specifikë për teknologjinë për energjinë elektrike të prodhuar nga BER. </w:t>
      </w:r>
    </w:p>
    <w:p w:rsidR="009E22FE" w:rsidRPr="009E22FE" w:rsidRDefault="009E22FE" w:rsidP="009E22FE">
      <w:pPr>
        <w:pStyle w:val="Heading3"/>
        <w:numPr>
          <w:ilvl w:val="0"/>
          <w:numId w:val="0"/>
        </w:numPr>
        <w:spacing w:before="0" w:line="240" w:lineRule="auto"/>
        <w:ind w:left="284"/>
        <w:rPr>
          <w:rFonts w:ascii="Garamond" w:hAnsi="Garamond"/>
          <w:b/>
          <w:color w:val="auto"/>
          <w:lang w:val="sq-AL"/>
        </w:rPr>
      </w:pPr>
      <w:bookmarkStart w:id="31" w:name="_Toc505599678"/>
      <w:r w:rsidRPr="009E22FE">
        <w:rPr>
          <w:rFonts w:ascii="Garamond" w:hAnsi="Garamond"/>
          <w:color w:val="auto"/>
          <w:lang w:val="sq-AL"/>
        </w:rPr>
        <w:t>3.1.3 Skema të mbështetjes financiare</w:t>
      </w:r>
      <w:bookmarkEnd w:id="31"/>
    </w:p>
    <w:p w:rsidR="009E22FE" w:rsidRPr="009E22FE" w:rsidRDefault="009E22FE" w:rsidP="009E22FE">
      <w:pPr>
        <w:spacing w:after="0" w:line="240" w:lineRule="auto"/>
        <w:rPr>
          <w:rFonts w:ascii="Garamond" w:hAnsi="Garamond"/>
          <w:iCs/>
          <w:sz w:val="24"/>
          <w:szCs w:val="24"/>
          <w:lang w:val="sq-AL"/>
        </w:rPr>
      </w:pPr>
      <w:r w:rsidRPr="009E22FE">
        <w:rPr>
          <w:rFonts w:ascii="Garamond" w:hAnsi="Garamond"/>
          <w:sz w:val="24"/>
          <w:szCs w:val="24"/>
          <w:lang w:val="sq-AL"/>
        </w:rPr>
        <w:t xml:space="preserve">Plani Kombëtari i Veprimit për Energjitë e Rinovueshme, përveç masave të mësipërme, përcakton edhe “Skema të mbështetjes financiare”, si angazhim i drejtpërdrejtë i qeverisë shqiptare, me qëllim arritjen e objektivit. Opsionet e skemave mbështetëse janë përshkruar me detaje, por në ngjashmëri edhe me vende të rajonit, mbështetja financiare nënkupton: i) </w:t>
      </w:r>
      <w:r w:rsidRPr="009E22FE">
        <w:rPr>
          <w:rFonts w:ascii="Garamond" w:hAnsi="Garamond"/>
          <w:iCs/>
          <w:sz w:val="24"/>
          <w:szCs w:val="24"/>
          <w:lang w:val="sq-AL"/>
        </w:rPr>
        <w:t xml:space="preserve">mbështetje direkte për investimin, grantet kapitale, huat me interes të ulët, përjashtimi nga taksat ose reduktimi i tyre, rimbursimi i taksave, skemat e tenderimit, detyrimet për energjitë e rinovueshme me ose pa certifikata të gjelbra (certifikata të gjelbra të tregtueshme); dhe ii) skema e tarifës promovuese </w:t>
      </w:r>
      <w:r w:rsidRPr="009E22FE">
        <w:rPr>
          <w:rFonts w:ascii="Garamond" w:hAnsi="Garamond"/>
          <w:i/>
          <w:iCs/>
          <w:sz w:val="24"/>
          <w:szCs w:val="24"/>
          <w:lang w:val="sq-AL"/>
        </w:rPr>
        <w:t>Feed-in Tariff</w:t>
      </w:r>
      <w:r w:rsidRPr="009E22FE">
        <w:rPr>
          <w:rFonts w:ascii="Garamond" w:hAnsi="Garamond"/>
          <w:iCs/>
          <w:sz w:val="24"/>
          <w:szCs w:val="24"/>
          <w:lang w:val="sq-AL"/>
        </w:rPr>
        <w:t>, që do të thotë një marrëveshje paraprake (PPA) për blerjen e energjisë nga një furnizues publik</w:t>
      </w:r>
      <w:r w:rsidRPr="009E22FE">
        <w:rPr>
          <w:rFonts w:ascii="Garamond" w:hAnsi="Garamond"/>
          <w:sz w:val="24"/>
          <w:szCs w:val="24"/>
          <w:lang w:val="sq-AL"/>
        </w:rPr>
        <w:t xml:space="preserve"> për prodhuesit e vegjël të energjisë elektrike.</w:t>
      </w:r>
    </w:p>
    <w:p w:rsidR="009E22FE" w:rsidRPr="009E22FE" w:rsidRDefault="009E22FE" w:rsidP="009E22FE">
      <w:pPr>
        <w:spacing w:after="0" w:line="240" w:lineRule="auto"/>
        <w:rPr>
          <w:rFonts w:ascii="Garamond" w:hAnsi="Garamond"/>
          <w:sz w:val="24"/>
          <w:szCs w:val="24"/>
          <w:lang w:val="sq-AL"/>
        </w:rPr>
      </w:pPr>
      <w:r w:rsidRPr="009E22FE">
        <w:rPr>
          <w:rFonts w:ascii="Garamond" w:hAnsi="Garamond"/>
          <w:sz w:val="24"/>
          <w:szCs w:val="24"/>
          <w:lang w:val="sq-AL"/>
        </w:rPr>
        <w:t>Sikurse duket nga interesi shumë i madh i investitorëve, situata e burimeve energjetike të rinovueshme në Shqipëri është komplekse dhe vazhdimisht në zhvillim. Në këtë kuptim, përmbushja e objektivave dhe pajtueshmëria me direktivën, ka nevojë për rillogaritje, të cilat në kuadër të angazhimeve të reja të politikave për BRE-të</w:t>
      </w:r>
      <w:r w:rsidRPr="009E22FE">
        <w:rPr>
          <w:rFonts w:ascii="Garamond" w:hAnsi="Garamond"/>
          <w:sz w:val="24"/>
          <w:szCs w:val="24"/>
          <w:lang w:val="sq-AL"/>
        </w:rPr>
        <w:tab/>
        <w:t xml:space="preserve">, dhe shqyrtimit më të gjerë të legjislacionit ekzistues, nisur nga koha kur është projektuar objektivi 38%, do të kenë një projeksion të ndryshëm për vitin 2020. Lidhur me legjislacionin për BER, masat që do të vazhdojnë të merren, me siguri, do të krijojnë kushtet për vendosjen e skemave likuide të mbështetjes financiare, kushteve rregullatore dhe strategjive nga institucione politikëbërëse. </w:t>
      </w:r>
    </w:p>
    <w:p w:rsidR="009E22FE" w:rsidRPr="009E22FE" w:rsidRDefault="009E22FE" w:rsidP="009E22FE">
      <w:pPr>
        <w:pStyle w:val="Heading2"/>
        <w:numPr>
          <w:ilvl w:val="0"/>
          <w:numId w:val="0"/>
        </w:numPr>
        <w:spacing w:before="0"/>
        <w:ind w:left="284"/>
        <w:rPr>
          <w:rFonts w:ascii="Garamond" w:hAnsi="Garamond"/>
          <w:b/>
          <w:color w:val="auto"/>
          <w:sz w:val="24"/>
          <w:szCs w:val="24"/>
          <w:lang w:val="sq-AL"/>
        </w:rPr>
      </w:pPr>
      <w:bookmarkStart w:id="32" w:name="_Toc505599679"/>
      <w:bookmarkEnd w:id="25"/>
      <w:bookmarkEnd w:id="26"/>
      <w:r w:rsidRPr="009E22FE">
        <w:rPr>
          <w:rFonts w:ascii="Garamond" w:hAnsi="Garamond"/>
          <w:color w:val="auto"/>
          <w:sz w:val="24"/>
          <w:szCs w:val="24"/>
          <w:lang w:val="sq-AL"/>
        </w:rPr>
        <w:t>3.2 Sasitë e BRE-v për të realizuar Objektivin Kombëtar 38%</w:t>
      </w:r>
      <w:bookmarkEnd w:id="32"/>
    </w:p>
    <w:p w:rsidR="009E22FE" w:rsidRPr="009E22FE" w:rsidRDefault="009E22FE" w:rsidP="009E22FE">
      <w:pPr>
        <w:spacing w:after="0" w:line="240" w:lineRule="auto"/>
        <w:rPr>
          <w:rFonts w:ascii="Garamond" w:hAnsi="Garamond"/>
          <w:sz w:val="24"/>
          <w:szCs w:val="24"/>
          <w:lang w:val="sq-AL"/>
        </w:rPr>
      </w:pPr>
      <w:r w:rsidRPr="009E22FE">
        <w:rPr>
          <w:rFonts w:ascii="Garamond" w:hAnsi="Garamond"/>
          <w:sz w:val="24"/>
          <w:szCs w:val="24"/>
          <w:lang w:val="sq-AL"/>
        </w:rPr>
        <w:t>Si pikënisje në Objektivin Kombëtar për BRE-të do të jetë viti 2009, në të cilin KFBE-ja ka qenë 2,104 ktoe dhe përqindja e BRE-ve në terma konsumi ka qenë 29.5%. Duke përdorur metodën e përcaktuar në direktivë, sipas teknologjive jepen të dhënat bazë për promovimin e BRE-ve:</w:t>
      </w:r>
    </w:p>
    <w:p w:rsidR="009E22FE" w:rsidRPr="009E22FE" w:rsidRDefault="009E22FE" w:rsidP="009E22FE">
      <w:pPr>
        <w:spacing w:after="0" w:line="240" w:lineRule="auto"/>
        <w:ind w:firstLine="0"/>
        <w:jc w:val="left"/>
        <w:rPr>
          <w:rFonts w:ascii="Garamond" w:hAnsi="Garamond"/>
          <w:iCs/>
          <w:snapToGrid w:val="0"/>
          <w:kern w:val="28"/>
          <w:sz w:val="24"/>
          <w:szCs w:val="24"/>
          <w:lang w:val="sq-AL"/>
        </w:rPr>
        <w:sectPr w:rsidR="009E22FE" w:rsidRPr="009E22FE" w:rsidSect="009E22FE">
          <w:type w:val="continuous"/>
          <w:pgSz w:w="11907" w:h="16840"/>
          <w:pgMar w:top="720" w:right="1134" w:bottom="720" w:left="1134" w:header="851" w:footer="851" w:gutter="0"/>
          <w:cols w:space="454"/>
        </w:sectPr>
      </w:pPr>
    </w:p>
    <w:p w:rsidR="009E22FE" w:rsidRPr="009E22FE" w:rsidRDefault="009E22FE" w:rsidP="009E22FE">
      <w:pPr>
        <w:pStyle w:val="FiguresandTables"/>
        <w:spacing w:before="0" w:after="0"/>
        <w:ind w:firstLine="284"/>
        <w:rPr>
          <w:rFonts w:cs="Times New Roman"/>
          <w:i w:val="0"/>
          <w:noProof w:val="0"/>
          <w:snapToGrid w:val="0"/>
          <w:sz w:val="14"/>
          <w:szCs w:val="24"/>
        </w:rPr>
      </w:pPr>
    </w:p>
    <w:p w:rsidR="009E22FE" w:rsidRPr="009E22FE" w:rsidRDefault="009E22FE" w:rsidP="009E22FE">
      <w:pPr>
        <w:pStyle w:val="FiguresandTables"/>
        <w:spacing w:before="0" w:after="0"/>
        <w:ind w:firstLine="284"/>
        <w:rPr>
          <w:rFonts w:cs="Times New Roman"/>
          <w:i w:val="0"/>
          <w:noProof w:val="0"/>
          <w:snapToGrid w:val="0"/>
          <w:sz w:val="24"/>
          <w:szCs w:val="24"/>
        </w:rPr>
      </w:pPr>
      <w:r w:rsidRPr="009E22FE">
        <w:rPr>
          <w:rFonts w:cs="Times New Roman"/>
          <w:i w:val="0"/>
          <w:noProof w:val="0"/>
          <w:snapToGrid w:val="0"/>
          <w:sz w:val="24"/>
          <w:szCs w:val="24"/>
        </w:rPr>
        <w:t>Tabela 1. Tabela përmbledhëse e BRE-ve për ngrohje/ftohjen, transportin dhe energjinë elektrike që do të shtohen pas vitit 2015 në konsumin final bruto të energjisë në Shqipëri deri në vitin 2020</w:t>
      </w:r>
    </w:p>
    <w:p w:rsidR="009E22FE" w:rsidRPr="009E22FE" w:rsidRDefault="009E22FE" w:rsidP="009E22FE">
      <w:pPr>
        <w:pStyle w:val="FiguresandTables"/>
        <w:spacing w:before="0" w:after="0"/>
        <w:ind w:firstLine="284"/>
        <w:rPr>
          <w:rFonts w:cs="Times New Roman"/>
          <w:i w:val="0"/>
          <w:noProof w:val="0"/>
          <w:snapToGrid w:val="0"/>
          <w:sz w:val="24"/>
          <w:szCs w:val="24"/>
        </w:rPr>
      </w:pPr>
    </w:p>
    <w:tbl>
      <w:tblPr>
        <w:tblW w:w="9663" w:type="dxa"/>
        <w:jc w:val="center"/>
        <w:tblLook w:val="04A0" w:firstRow="1" w:lastRow="0" w:firstColumn="1" w:lastColumn="0" w:noHBand="0" w:noVBand="1"/>
      </w:tblPr>
      <w:tblGrid>
        <w:gridCol w:w="884"/>
        <w:gridCol w:w="2250"/>
        <w:gridCol w:w="1129"/>
        <w:gridCol w:w="1080"/>
        <w:gridCol w:w="1080"/>
        <w:gridCol w:w="1080"/>
        <w:gridCol w:w="1080"/>
        <w:gridCol w:w="1080"/>
      </w:tblGrid>
      <w:tr w:rsidR="009E22FE" w:rsidRPr="009E22FE" w:rsidTr="009E22FE">
        <w:trPr>
          <w:trHeight w:val="313"/>
          <w:jc w:val="center"/>
        </w:trPr>
        <w:tc>
          <w:tcPr>
            <w:tcW w:w="884" w:type="dxa"/>
            <w:noWrap/>
            <w:vAlign w:val="center"/>
            <w:hideMark/>
          </w:tcPr>
          <w:p w:rsidR="009E22FE" w:rsidRPr="009E22FE" w:rsidRDefault="009E22FE">
            <w:pPr>
              <w:rPr>
                <w:i/>
                <w:snapToGrid w:val="0"/>
                <w:sz w:val="24"/>
                <w:szCs w:val="24"/>
              </w:rPr>
            </w:pPr>
          </w:p>
        </w:tc>
        <w:tc>
          <w:tcPr>
            <w:tcW w:w="2250" w:type="dxa"/>
            <w:noWrap/>
            <w:vAlign w:val="center"/>
            <w:hideMark/>
          </w:tcPr>
          <w:p w:rsidR="009E22FE" w:rsidRPr="009E22FE" w:rsidRDefault="009E22FE">
            <w:pPr>
              <w:ind w:firstLine="0"/>
              <w:jc w:val="left"/>
              <w:rPr>
                <w:rFonts w:asciiTheme="minorHAnsi" w:eastAsiaTheme="minorHAnsi" w:hAnsiTheme="minorHAnsi" w:cstheme="minorBidi"/>
                <w:sz w:val="20"/>
                <w:szCs w:val="20"/>
              </w:rPr>
            </w:pPr>
          </w:p>
        </w:tc>
        <w:tc>
          <w:tcPr>
            <w:tcW w:w="6529" w:type="dxa"/>
            <w:gridSpan w:val="6"/>
            <w:tcBorders>
              <w:top w:val="single" w:sz="8" w:space="0" w:color="auto"/>
              <w:left w:val="single" w:sz="8" w:space="0" w:color="auto"/>
              <w:bottom w:val="single" w:sz="8" w:space="0" w:color="auto"/>
              <w:right w:val="single" w:sz="8" w:space="0" w:color="000000"/>
            </w:tcBorders>
            <w:noWrap/>
            <w:vAlign w:val="center"/>
            <w:hideMark/>
          </w:tcPr>
          <w:p w:rsidR="009E22FE" w:rsidRPr="009E22FE" w:rsidRDefault="009E22FE">
            <w:pPr>
              <w:spacing w:after="0" w:line="360" w:lineRule="auto"/>
              <w:ind w:firstLine="0"/>
              <w:jc w:val="center"/>
              <w:rPr>
                <w:rFonts w:ascii="Garamond" w:eastAsia="Times New Roman" w:hAnsi="Garamond"/>
                <w:b/>
                <w:bCs/>
                <w:sz w:val="18"/>
                <w:szCs w:val="18"/>
                <w:lang w:val="sq-AL"/>
              </w:rPr>
            </w:pPr>
            <w:r w:rsidRPr="009E22FE">
              <w:rPr>
                <w:rFonts w:ascii="Garamond" w:eastAsia="Times New Roman" w:hAnsi="Garamond"/>
                <w:b/>
                <w:bCs/>
                <w:sz w:val="18"/>
                <w:szCs w:val="18"/>
                <w:lang w:val="sq-AL"/>
              </w:rPr>
              <w:t xml:space="preserve">PKVBRE </w:t>
            </w:r>
          </w:p>
        </w:tc>
      </w:tr>
      <w:tr w:rsidR="009E22FE" w:rsidRPr="009E22FE" w:rsidTr="009E22FE">
        <w:trPr>
          <w:trHeight w:val="476"/>
          <w:jc w:val="center"/>
        </w:trPr>
        <w:tc>
          <w:tcPr>
            <w:tcW w:w="884" w:type="dxa"/>
            <w:noWrap/>
            <w:vAlign w:val="center"/>
            <w:hideMark/>
          </w:tcPr>
          <w:p w:rsidR="009E22FE" w:rsidRPr="009E22FE" w:rsidRDefault="009E22FE">
            <w:pPr>
              <w:rPr>
                <w:rFonts w:ascii="Garamond" w:eastAsia="Times New Roman" w:hAnsi="Garamond"/>
                <w:b/>
                <w:bCs/>
                <w:sz w:val="18"/>
                <w:szCs w:val="18"/>
                <w:lang w:val="sq-AL"/>
              </w:rPr>
            </w:pPr>
          </w:p>
        </w:tc>
        <w:tc>
          <w:tcPr>
            <w:tcW w:w="2250" w:type="dxa"/>
            <w:noWrap/>
            <w:vAlign w:val="center"/>
            <w:hideMark/>
          </w:tcPr>
          <w:p w:rsidR="009E22FE" w:rsidRPr="009E22FE" w:rsidRDefault="009E22FE">
            <w:pPr>
              <w:spacing w:after="0"/>
              <w:ind w:firstLine="0"/>
              <w:jc w:val="left"/>
              <w:rPr>
                <w:rFonts w:asciiTheme="minorHAnsi" w:eastAsiaTheme="minorHAnsi" w:hAnsiTheme="minorHAnsi" w:cstheme="minorBidi"/>
                <w:sz w:val="20"/>
                <w:szCs w:val="20"/>
              </w:rPr>
            </w:pPr>
          </w:p>
        </w:tc>
        <w:tc>
          <w:tcPr>
            <w:tcW w:w="1129" w:type="dxa"/>
            <w:tcBorders>
              <w:top w:val="nil"/>
              <w:left w:val="single" w:sz="8" w:space="0" w:color="auto"/>
              <w:bottom w:val="single" w:sz="8" w:space="0" w:color="auto"/>
              <w:right w:val="single" w:sz="4" w:space="0" w:color="auto"/>
            </w:tcBorders>
            <w:vAlign w:val="center"/>
            <w:hideMark/>
          </w:tcPr>
          <w:p w:rsidR="009E22FE" w:rsidRPr="009E22FE" w:rsidRDefault="009E22FE">
            <w:pPr>
              <w:spacing w:after="0" w:line="360" w:lineRule="auto"/>
              <w:ind w:firstLine="0"/>
              <w:jc w:val="center"/>
              <w:rPr>
                <w:rFonts w:ascii="Garamond" w:eastAsia="Times New Roman" w:hAnsi="Garamond"/>
                <w:b/>
                <w:iCs/>
                <w:sz w:val="18"/>
                <w:szCs w:val="18"/>
                <w:lang w:val="sq-AL"/>
              </w:rPr>
            </w:pPr>
            <w:r w:rsidRPr="009E22FE">
              <w:rPr>
                <w:rFonts w:ascii="Garamond" w:eastAsia="Times New Roman" w:hAnsi="Garamond"/>
                <w:b/>
                <w:iCs/>
                <w:sz w:val="18"/>
                <w:szCs w:val="18"/>
                <w:lang w:val="sq-AL"/>
              </w:rPr>
              <w:t>2015</w:t>
            </w:r>
            <w:r w:rsidRPr="009E22FE">
              <w:rPr>
                <w:rFonts w:ascii="Garamond" w:eastAsia="Times New Roman" w:hAnsi="Garamond"/>
                <w:b/>
                <w:bCs/>
                <w:i/>
                <w:iCs/>
                <w:sz w:val="18"/>
                <w:szCs w:val="18"/>
                <w:lang w:val="sq-AL"/>
              </w:rPr>
              <w:t>–</w:t>
            </w:r>
            <w:r w:rsidRPr="009E22FE">
              <w:rPr>
                <w:rFonts w:ascii="Garamond" w:eastAsia="Times New Roman" w:hAnsi="Garamond"/>
                <w:b/>
                <w:iCs/>
                <w:sz w:val="18"/>
                <w:szCs w:val="18"/>
                <w:lang w:val="sq-AL"/>
              </w:rPr>
              <w:t>2020</w:t>
            </w:r>
          </w:p>
        </w:tc>
        <w:tc>
          <w:tcPr>
            <w:tcW w:w="1080" w:type="dxa"/>
            <w:tcBorders>
              <w:top w:val="nil"/>
              <w:left w:val="nil"/>
              <w:bottom w:val="single" w:sz="8" w:space="0" w:color="auto"/>
              <w:right w:val="single" w:sz="8" w:space="0" w:color="auto"/>
            </w:tcBorders>
            <w:vAlign w:val="center"/>
            <w:hideMark/>
          </w:tcPr>
          <w:p w:rsidR="009E22FE" w:rsidRPr="009E22FE" w:rsidRDefault="009E22FE">
            <w:pPr>
              <w:spacing w:after="0" w:line="360" w:lineRule="auto"/>
              <w:ind w:firstLine="0"/>
              <w:jc w:val="center"/>
              <w:rPr>
                <w:rFonts w:ascii="Garamond" w:eastAsia="Times New Roman" w:hAnsi="Garamond"/>
                <w:b/>
                <w:iCs/>
                <w:sz w:val="18"/>
                <w:szCs w:val="18"/>
                <w:lang w:val="sq-AL"/>
              </w:rPr>
            </w:pPr>
            <w:r w:rsidRPr="009E22FE">
              <w:rPr>
                <w:rFonts w:ascii="Garamond" w:eastAsia="Times New Roman" w:hAnsi="Garamond"/>
                <w:b/>
                <w:iCs/>
                <w:sz w:val="18"/>
                <w:szCs w:val="18"/>
                <w:lang w:val="sq-AL"/>
              </w:rPr>
              <w:t>2018</w:t>
            </w:r>
            <w:r w:rsidRPr="009E22FE">
              <w:rPr>
                <w:rFonts w:ascii="Garamond" w:eastAsia="Times New Roman" w:hAnsi="Garamond"/>
                <w:b/>
                <w:bCs/>
                <w:i/>
                <w:iCs/>
                <w:sz w:val="18"/>
                <w:szCs w:val="18"/>
                <w:lang w:val="sq-AL"/>
              </w:rPr>
              <w:t>–</w:t>
            </w:r>
            <w:r w:rsidRPr="009E22FE">
              <w:rPr>
                <w:rFonts w:ascii="Garamond" w:eastAsia="Times New Roman" w:hAnsi="Garamond"/>
                <w:b/>
                <w:iCs/>
                <w:sz w:val="18"/>
                <w:szCs w:val="18"/>
                <w:lang w:val="sq-AL"/>
              </w:rPr>
              <w:t>2020</w:t>
            </w:r>
          </w:p>
        </w:tc>
        <w:tc>
          <w:tcPr>
            <w:tcW w:w="1080" w:type="dxa"/>
            <w:tcBorders>
              <w:top w:val="nil"/>
              <w:left w:val="nil"/>
              <w:bottom w:val="single" w:sz="8" w:space="0" w:color="auto"/>
              <w:right w:val="single" w:sz="4" w:space="0" w:color="auto"/>
            </w:tcBorders>
            <w:vAlign w:val="center"/>
            <w:hideMark/>
          </w:tcPr>
          <w:p w:rsidR="009E22FE" w:rsidRPr="009E22FE" w:rsidRDefault="009E22FE">
            <w:pPr>
              <w:spacing w:after="0" w:line="360" w:lineRule="auto"/>
              <w:ind w:firstLine="0"/>
              <w:jc w:val="center"/>
              <w:rPr>
                <w:rFonts w:ascii="Garamond" w:eastAsia="Times New Roman" w:hAnsi="Garamond"/>
                <w:b/>
                <w:iCs/>
                <w:sz w:val="18"/>
                <w:szCs w:val="18"/>
                <w:lang w:val="sq-AL"/>
              </w:rPr>
            </w:pPr>
            <w:r w:rsidRPr="009E22FE">
              <w:rPr>
                <w:rFonts w:ascii="Garamond" w:eastAsia="Times New Roman" w:hAnsi="Garamond"/>
                <w:b/>
                <w:iCs/>
                <w:sz w:val="18"/>
                <w:szCs w:val="18"/>
                <w:lang w:val="sq-AL"/>
              </w:rPr>
              <w:t>2015</w:t>
            </w:r>
            <w:r w:rsidRPr="009E22FE">
              <w:rPr>
                <w:rFonts w:ascii="Garamond" w:eastAsia="Times New Roman" w:hAnsi="Garamond"/>
                <w:b/>
                <w:bCs/>
                <w:i/>
                <w:iCs/>
                <w:sz w:val="18"/>
                <w:szCs w:val="18"/>
                <w:lang w:val="sq-AL"/>
              </w:rPr>
              <w:t>–</w:t>
            </w:r>
            <w:r w:rsidRPr="009E22FE">
              <w:rPr>
                <w:rFonts w:ascii="Garamond" w:eastAsia="Times New Roman" w:hAnsi="Garamond"/>
                <w:b/>
                <w:iCs/>
                <w:sz w:val="18"/>
                <w:szCs w:val="18"/>
                <w:lang w:val="sq-AL"/>
              </w:rPr>
              <w:t>2020</w:t>
            </w:r>
          </w:p>
        </w:tc>
        <w:tc>
          <w:tcPr>
            <w:tcW w:w="1080" w:type="dxa"/>
            <w:tcBorders>
              <w:top w:val="nil"/>
              <w:left w:val="nil"/>
              <w:bottom w:val="single" w:sz="8" w:space="0" w:color="auto"/>
              <w:right w:val="single" w:sz="8" w:space="0" w:color="auto"/>
            </w:tcBorders>
            <w:vAlign w:val="center"/>
            <w:hideMark/>
          </w:tcPr>
          <w:p w:rsidR="009E22FE" w:rsidRPr="009E22FE" w:rsidRDefault="009E22FE">
            <w:pPr>
              <w:spacing w:after="0" w:line="360" w:lineRule="auto"/>
              <w:ind w:firstLine="0"/>
              <w:jc w:val="center"/>
              <w:rPr>
                <w:rFonts w:ascii="Garamond" w:eastAsia="Times New Roman" w:hAnsi="Garamond"/>
                <w:b/>
                <w:iCs/>
                <w:sz w:val="18"/>
                <w:szCs w:val="18"/>
                <w:lang w:val="sq-AL"/>
              </w:rPr>
            </w:pPr>
            <w:r w:rsidRPr="009E22FE">
              <w:rPr>
                <w:rFonts w:ascii="Garamond" w:eastAsia="Times New Roman" w:hAnsi="Garamond"/>
                <w:b/>
                <w:iCs/>
                <w:sz w:val="18"/>
                <w:szCs w:val="18"/>
                <w:lang w:val="sq-AL"/>
              </w:rPr>
              <w:t>2018</w:t>
            </w:r>
            <w:r w:rsidRPr="009E22FE">
              <w:rPr>
                <w:rFonts w:ascii="Garamond" w:eastAsia="Times New Roman" w:hAnsi="Garamond"/>
                <w:b/>
                <w:bCs/>
                <w:i/>
                <w:iCs/>
                <w:sz w:val="18"/>
                <w:szCs w:val="18"/>
                <w:lang w:val="sq-AL"/>
              </w:rPr>
              <w:t>–</w:t>
            </w:r>
            <w:r w:rsidRPr="009E22FE">
              <w:rPr>
                <w:rFonts w:ascii="Garamond" w:eastAsia="Times New Roman" w:hAnsi="Garamond"/>
                <w:b/>
                <w:iCs/>
                <w:sz w:val="18"/>
                <w:szCs w:val="18"/>
                <w:lang w:val="sq-AL"/>
              </w:rPr>
              <w:t>2020</w:t>
            </w:r>
          </w:p>
        </w:tc>
        <w:tc>
          <w:tcPr>
            <w:tcW w:w="1080" w:type="dxa"/>
            <w:tcBorders>
              <w:top w:val="nil"/>
              <w:left w:val="nil"/>
              <w:bottom w:val="single" w:sz="8" w:space="0" w:color="auto"/>
              <w:right w:val="single" w:sz="4" w:space="0" w:color="auto"/>
            </w:tcBorders>
            <w:vAlign w:val="center"/>
            <w:hideMark/>
          </w:tcPr>
          <w:p w:rsidR="009E22FE" w:rsidRPr="009E22FE" w:rsidRDefault="009E22FE">
            <w:pPr>
              <w:spacing w:after="0" w:line="360" w:lineRule="auto"/>
              <w:ind w:firstLine="0"/>
              <w:jc w:val="center"/>
              <w:rPr>
                <w:rFonts w:ascii="Garamond" w:eastAsia="Times New Roman" w:hAnsi="Garamond"/>
                <w:b/>
                <w:iCs/>
                <w:sz w:val="18"/>
                <w:szCs w:val="18"/>
                <w:lang w:val="sq-AL"/>
              </w:rPr>
            </w:pPr>
            <w:r w:rsidRPr="009E22FE">
              <w:rPr>
                <w:rFonts w:ascii="Garamond" w:eastAsia="Times New Roman" w:hAnsi="Garamond"/>
                <w:b/>
                <w:iCs/>
                <w:sz w:val="18"/>
                <w:szCs w:val="18"/>
                <w:lang w:val="sq-AL"/>
              </w:rPr>
              <w:t>2015</w:t>
            </w:r>
            <w:r w:rsidRPr="009E22FE">
              <w:rPr>
                <w:rFonts w:ascii="Garamond" w:eastAsia="Times New Roman" w:hAnsi="Garamond"/>
                <w:b/>
                <w:bCs/>
                <w:i/>
                <w:iCs/>
                <w:sz w:val="18"/>
                <w:szCs w:val="18"/>
                <w:lang w:val="sq-AL"/>
              </w:rPr>
              <w:t>–</w:t>
            </w:r>
            <w:r w:rsidRPr="009E22FE">
              <w:rPr>
                <w:rFonts w:ascii="Garamond" w:eastAsia="Times New Roman" w:hAnsi="Garamond"/>
                <w:b/>
                <w:iCs/>
                <w:sz w:val="18"/>
                <w:szCs w:val="18"/>
                <w:lang w:val="sq-AL"/>
              </w:rPr>
              <w:t>2020</w:t>
            </w:r>
          </w:p>
        </w:tc>
        <w:tc>
          <w:tcPr>
            <w:tcW w:w="1080" w:type="dxa"/>
            <w:tcBorders>
              <w:top w:val="nil"/>
              <w:left w:val="nil"/>
              <w:bottom w:val="single" w:sz="8" w:space="0" w:color="auto"/>
              <w:right w:val="single" w:sz="8" w:space="0" w:color="auto"/>
            </w:tcBorders>
            <w:vAlign w:val="center"/>
            <w:hideMark/>
          </w:tcPr>
          <w:p w:rsidR="009E22FE" w:rsidRPr="009E22FE" w:rsidRDefault="009E22FE">
            <w:pPr>
              <w:spacing w:after="0" w:line="360" w:lineRule="auto"/>
              <w:ind w:firstLine="0"/>
              <w:jc w:val="center"/>
              <w:rPr>
                <w:rFonts w:ascii="Garamond" w:eastAsia="Times New Roman" w:hAnsi="Garamond"/>
                <w:b/>
                <w:iCs/>
                <w:sz w:val="18"/>
                <w:szCs w:val="18"/>
                <w:lang w:val="sq-AL"/>
              </w:rPr>
            </w:pPr>
            <w:r w:rsidRPr="009E22FE">
              <w:rPr>
                <w:rFonts w:ascii="Garamond" w:eastAsia="Times New Roman" w:hAnsi="Garamond"/>
                <w:b/>
                <w:iCs/>
                <w:sz w:val="18"/>
                <w:szCs w:val="18"/>
                <w:lang w:val="sq-AL"/>
              </w:rPr>
              <w:t>2018</w:t>
            </w:r>
            <w:r w:rsidRPr="009E22FE">
              <w:rPr>
                <w:rFonts w:ascii="Garamond" w:eastAsia="Times New Roman" w:hAnsi="Garamond"/>
                <w:b/>
                <w:bCs/>
                <w:i/>
                <w:iCs/>
                <w:sz w:val="18"/>
                <w:szCs w:val="18"/>
                <w:lang w:val="sq-AL"/>
              </w:rPr>
              <w:t>–</w:t>
            </w:r>
            <w:r w:rsidRPr="009E22FE">
              <w:rPr>
                <w:rFonts w:ascii="Garamond" w:eastAsia="Times New Roman" w:hAnsi="Garamond"/>
                <w:b/>
                <w:iCs/>
                <w:sz w:val="18"/>
                <w:szCs w:val="18"/>
                <w:lang w:val="sq-AL"/>
              </w:rPr>
              <w:t>2020</w:t>
            </w:r>
          </w:p>
        </w:tc>
      </w:tr>
      <w:tr w:rsidR="009E22FE" w:rsidRPr="009E22FE" w:rsidTr="009E22FE">
        <w:trPr>
          <w:trHeight w:val="357"/>
          <w:jc w:val="center"/>
        </w:trPr>
        <w:tc>
          <w:tcPr>
            <w:tcW w:w="884" w:type="dxa"/>
            <w:noWrap/>
            <w:vAlign w:val="bottom"/>
            <w:hideMark/>
          </w:tcPr>
          <w:p w:rsidR="009E22FE" w:rsidRPr="009E22FE" w:rsidRDefault="009E22FE">
            <w:pPr>
              <w:rPr>
                <w:rFonts w:ascii="Garamond" w:eastAsia="Times New Roman" w:hAnsi="Garamond"/>
                <w:b/>
                <w:iCs/>
                <w:sz w:val="18"/>
                <w:szCs w:val="18"/>
                <w:lang w:val="sq-AL"/>
              </w:rPr>
            </w:pPr>
          </w:p>
        </w:tc>
        <w:tc>
          <w:tcPr>
            <w:tcW w:w="2250" w:type="dxa"/>
            <w:vMerge w:val="restart"/>
            <w:tcBorders>
              <w:top w:val="single" w:sz="8" w:space="0" w:color="auto"/>
              <w:left w:val="single" w:sz="8" w:space="0" w:color="auto"/>
              <w:bottom w:val="single" w:sz="8" w:space="0" w:color="000000"/>
              <w:right w:val="single" w:sz="8" w:space="0" w:color="auto"/>
            </w:tcBorders>
            <w:vAlign w:val="center"/>
            <w:hideMark/>
          </w:tcPr>
          <w:p w:rsidR="009E22FE" w:rsidRPr="009E22FE" w:rsidRDefault="009E22FE">
            <w:pPr>
              <w:spacing w:after="0" w:line="360" w:lineRule="auto"/>
              <w:ind w:firstLine="0"/>
              <w:jc w:val="center"/>
              <w:rPr>
                <w:rFonts w:ascii="Garamond" w:eastAsia="Times New Roman" w:hAnsi="Garamond"/>
                <w:b/>
                <w:bCs/>
                <w:iCs/>
                <w:sz w:val="18"/>
                <w:szCs w:val="18"/>
                <w:lang w:val="sq-AL"/>
              </w:rPr>
            </w:pPr>
            <w:r w:rsidRPr="009E22FE">
              <w:rPr>
                <w:rFonts w:ascii="Garamond" w:eastAsia="Times New Roman" w:hAnsi="Garamond"/>
                <w:b/>
                <w:bCs/>
                <w:iCs/>
                <w:sz w:val="18"/>
                <w:szCs w:val="18"/>
                <w:lang w:val="sq-AL"/>
              </w:rPr>
              <w:t>Teknologjitë shtesë të BRE 2015–2020</w:t>
            </w:r>
          </w:p>
        </w:tc>
        <w:tc>
          <w:tcPr>
            <w:tcW w:w="2209" w:type="dxa"/>
            <w:gridSpan w:val="2"/>
            <w:tcBorders>
              <w:top w:val="single" w:sz="8" w:space="0" w:color="auto"/>
              <w:left w:val="nil"/>
              <w:bottom w:val="single" w:sz="4" w:space="0" w:color="auto"/>
              <w:right w:val="single" w:sz="8" w:space="0" w:color="000000"/>
            </w:tcBorders>
            <w:noWrap/>
            <w:vAlign w:val="center"/>
            <w:hideMark/>
          </w:tcPr>
          <w:p w:rsidR="009E22FE" w:rsidRPr="009E22FE" w:rsidRDefault="009E22FE">
            <w:pPr>
              <w:spacing w:after="0" w:line="360" w:lineRule="auto"/>
              <w:ind w:firstLine="0"/>
              <w:jc w:val="center"/>
              <w:rPr>
                <w:rFonts w:ascii="Garamond" w:eastAsia="Times New Roman" w:hAnsi="Garamond"/>
                <w:b/>
                <w:bCs/>
                <w:iCs/>
                <w:sz w:val="18"/>
                <w:szCs w:val="18"/>
                <w:lang w:val="sq-AL"/>
              </w:rPr>
            </w:pPr>
            <w:r w:rsidRPr="009E22FE">
              <w:rPr>
                <w:rFonts w:ascii="Garamond" w:eastAsia="Times New Roman" w:hAnsi="Garamond"/>
                <w:b/>
                <w:bCs/>
                <w:iCs/>
                <w:sz w:val="18"/>
                <w:szCs w:val="18"/>
                <w:lang w:val="sq-AL"/>
              </w:rPr>
              <w:t xml:space="preserve">Sasia </w:t>
            </w:r>
          </w:p>
        </w:tc>
        <w:tc>
          <w:tcPr>
            <w:tcW w:w="2160" w:type="dxa"/>
            <w:gridSpan w:val="2"/>
            <w:tcBorders>
              <w:top w:val="single" w:sz="8" w:space="0" w:color="auto"/>
              <w:left w:val="nil"/>
              <w:bottom w:val="single" w:sz="4" w:space="0" w:color="auto"/>
              <w:right w:val="single" w:sz="8" w:space="0" w:color="000000"/>
            </w:tcBorders>
            <w:noWrap/>
            <w:vAlign w:val="center"/>
            <w:hideMark/>
          </w:tcPr>
          <w:p w:rsidR="009E22FE" w:rsidRPr="009E22FE" w:rsidRDefault="009E22FE">
            <w:pPr>
              <w:spacing w:after="0" w:line="360" w:lineRule="auto"/>
              <w:ind w:firstLine="0"/>
              <w:jc w:val="center"/>
              <w:rPr>
                <w:rFonts w:ascii="Garamond" w:eastAsia="Times New Roman" w:hAnsi="Garamond"/>
                <w:b/>
                <w:bCs/>
                <w:iCs/>
                <w:sz w:val="18"/>
                <w:szCs w:val="18"/>
                <w:lang w:val="sq-AL"/>
              </w:rPr>
            </w:pPr>
            <w:r w:rsidRPr="009E22FE">
              <w:rPr>
                <w:rFonts w:ascii="Garamond" w:eastAsia="Times New Roman" w:hAnsi="Garamond"/>
                <w:b/>
                <w:bCs/>
                <w:iCs/>
                <w:sz w:val="18"/>
                <w:szCs w:val="18"/>
                <w:lang w:val="sq-AL"/>
              </w:rPr>
              <w:t xml:space="preserve">Gjenerimi </w:t>
            </w:r>
          </w:p>
        </w:tc>
        <w:tc>
          <w:tcPr>
            <w:tcW w:w="2160" w:type="dxa"/>
            <w:gridSpan w:val="2"/>
            <w:tcBorders>
              <w:top w:val="single" w:sz="8" w:space="0" w:color="auto"/>
              <w:left w:val="nil"/>
              <w:bottom w:val="single" w:sz="4" w:space="0" w:color="auto"/>
              <w:right w:val="single" w:sz="8" w:space="0" w:color="000000"/>
            </w:tcBorders>
            <w:noWrap/>
            <w:vAlign w:val="center"/>
            <w:hideMark/>
          </w:tcPr>
          <w:p w:rsidR="009E22FE" w:rsidRPr="009E22FE" w:rsidRDefault="009E22FE">
            <w:pPr>
              <w:spacing w:after="0" w:line="360" w:lineRule="auto"/>
              <w:ind w:firstLine="0"/>
              <w:jc w:val="center"/>
              <w:rPr>
                <w:rFonts w:ascii="Garamond" w:eastAsia="Times New Roman" w:hAnsi="Garamond"/>
                <w:b/>
                <w:bCs/>
                <w:iCs/>
                <w:sz w:val="18"/>
                <w:szCs w:val="18"/>
                <w:lang w:val="sq-AL"/>
              </w:rPr>
            </w:pPr>
            <w:r w:rsidRPr="009E22FE">
              <w:rPr>
                <w:rFonts w:ascii="Garamond" w:eastAsia="Times New Roman" w:hAnsi="Garamond"/>
                <w:b/>
                <w:bCs/>
                <w:iCs/>
                <w:sz w:val="18"/>
                <w:szCs w:val="18"/>
                <w:lang w:val="sq-AL"/>
              </w:rPr>
              <w:t xml:space="preserve">Instalimi </w:t>
            </w:r>
          </w:p>
        </w:tc>
      </w:tr>
      <w:tr w:rsidR="009E22FE" w:rsidRPr="009E22FE" w:rsidTr="009E22FE">
        <w:trPr>
          <w:trHeight w:val="328"/>
          <w:jc w:val="center"/>
        </w:trPr>
        <w:tc>
          <w:tcPr>
            <w:tcW w:w="884" w:type="dxa"/>
            <w:vAlign w:val="center"/>
            <w:hideMark/>
          </w:tcPr>
          <w:p w:rsidR="009E22FE" w:rsidRPr="009E22FE" w:rsidRDefault="009E22FE">
            <w:pPr>
              <w:rPr>
                <w:rFonts w:ascii="Garamond" w:eastAsia="Times New Roman" w:hAnsi="Garamond"/>
                <w:b/>
                <w:bCs/>
                <w:iCs/>
                <w:sz w:val="18"/>
                <w:szCs w:val="18"/>
                <w:lang w:val="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9E22FE" w:rsidRPr="009E22FE" w:rsidRDefault="009E22FE">
            <w:pPr>
              <w:spacing w:after="0"/>
              <w:ind w:firstLine="0"/>
              <w:jc w:val="left"/>
              <w:rPr>
                <w:rFonts w:ascii="Garamond" w:eastAsia="Times New Roman" w:hAnsi="Garamond"/>
                <w:b/>
                <w:bCs/>
                <w:iCs/>
                <w:sz w:val="18"/>
                <w:szCs w:val="18"/>
                <w:lang w:val="sq-AL"/>
              </w:rPr>
            </w:pPr>
          </w:p>
        </w:tc>
        <w:tc>
          <w:tcPr>
            <w:tcW w:w="2209" w:type="dxa"/>
            <w:gridSpan w:val="2"/>
            <w:tcBorders>
              <w:top w:val="single" w:sz="4" w:space="0" w:color="auto"/>
              <w:left w:val="nil"/>
              <w:bottom w:val="single" w:sz="8" w:space="0" w:color="auto"/>
              <w:right w:val="single" w:sz="8" w:space="0" w:color="000000"/>
            </w:tcBorders>
            <w:vAlign w:val="center"/>
            <w:hideMark/>
          </w:tcPr>
          <w:p w:rsidR="009E22FE" w:rsidRPr="009E22FE" w:rsidRDefault="009E22FE">
            <w:pPr>
              <w:spacing w:after="0" w:line="360" w:lineRule="auto"/>
              <w:ind w:firstLine="0"/>
              <w:jc w:val="center"/>
              <w:rPr>
                <w:rFonts w:ascii="Garamond" w:eastAsia="Times New Roman" w:hAnsi="Garamond"/>
                <w:iCs/>
                <w:sz w:val="18"/>
                <w:szCs w:val="18"/>
                <w:lang w:val="sq-AL"/>
              </w:rPr>
            </w:pPr>
            <w:r w:rsidRPr="009E22FE">
              <w:rPr>
                <w:rFonts w:ascii="Garamond" w:eastAsia="Times New Roman" w:hAnsi="Garamond"/>
                <w:b/>
                <w:iCs/>
                <w:sz w:val="18"/>
                <w:szCs w:val="18"/>
                <w:lang w:val="sq-AL"/>
              </w:rPr>
              <w:t>ktoe</w:t>
            </w:r>
          </w:p>
        </w:tc>
        <w:tc>
          <w:tcPr>
            <w:tcW w:w="2160" w:type="dxa"/>
            <w:gridSpan w:val="2"/>
            <w:tcBorders>
              <w:top w:val="single" w:sz="4" w:space="0" w:color="auto"/>
              <w:left w:val="nil"/>
              <w:bottom w:val="single" w:sz="8" w:space="0" w:color="auto"/>
              <w:right w:val="single" w:sz="8" w:space="0" w:color="000000"/>
            </w:tcBorders>
            <w:vAlign w:val="center"/>
            <w:hideMark/>
          </w:tcPr>
          <w:p w:rsidR="009E22FE" w:rsidRPr="009E22FE" w:rsidRDefault="009E22FE">
            <w:pPr>
              <w:spacing w:after="0" w:line="360" w:lineRule="auto"/>
              <w:ind w:firstLine="0"/>
              <w:jc w:val="center"/>
              <w:rPr>
                <w:rFonts w:ascii="Garamond" w:eastAsia="Times New Roman" w:hAnsi="Garamond"/>
                <w:b/>
                <w:bCs/>
                <w:iCs/>
                <w:sz w:val="18"/>
                <w:szCs w:val="18"/>
                <w:lang w:val="sq-AL"/>
              </w:rPr>
            </w:pPr>
            <w:r w:rsidRPr="009E22FE">
              <w:rPr>
                <w:rFonts w:ascii="Garamond" w:eastAsia="Times New Roman" w:hAnsi="Garamond"/>
                <w:b/>
                <w:bCs/>
                <w:iCs/>
                <w:sz w:val="18"/>
                <w:szCs w:val="18"/>
                <w:lang w:val="sq-AL"/>
              </w:rPr>
              <w:t>gwh/vit</w:t>
            </w:r>
          </w:p>
        </w:tc>
        <w:tc>
          <w:tcPr>
            <w:tcW w:w="2160" w:type="dxa"/>
            <w:gridSpan w:val="2"/>
            <w:tcBorders>
              <w:top w:val="single" w:sz="4" w:space="0" w:color="auto"/>
              <w:left w:val="nil"/>
              <w:bottom w:val="single" w:sz="8" w:space="0" w:color="auto"/>
              <w:right w:val="single" w:sz="8" w:space="0" w:color="000000"/>
            </w:tcBorders>
            <w:vAlign w:val="center"/>
            <w:hideMark/>
          </w:tcPr>
          <w:p w:rsidR="009E22FE" w:rsidRPr="009E22FE" w:rsidRDefault="009E22FE">
            <w:pPr>
              <w:spacing w:after="0" w:line="360" w:lineRule="auto"/>
              <w:ind w:firstLine="0"/>
              <w:jc w:val="center"/>
              <w:rPr>
                <w:rFonts w:ascii="Garamond" w:eastAsia="Times New Roman" w:hAnsi="Garamond"/>
                <w:b/>
                <w:bCs/>
                <w:iCs/>
                <w:sz w:val="18"/>
                <w:szCs w:val="18"/>
                <w:lang w:val="sq-AL"/>
              </w:rPr>
            </w:pPr>
            <w:r w:rsidRPr="009E22FE">
              <w:rPr>
                <w:rFonts w:ascii="Garamond" w:eastAsia="Times New Roman" w:hAnsi="Garamond"/>
                <w:b/>
                <w:bCs/>
                <w:iCs/>
                <w:sz w:val="18"/>
                <w:szCs w:val="18"/>
                <w:lang w:val="sq-AL"/>
              </w:rPr>
              <w:t>mw</w:t>
            </w:r>
          </w:p>
        </w:tc>
      </w:tr>
      <w:tr w:rsidR="009E22FE" w:rsidRPr="009E22FE" w:rsidTr="009E22FE">
        <w:trPr>
          <w:trHeight w:val="357"/>
          <w:jc w:val="center"/>
        </w:trPr>
        <w:tc>
          <w:tcPr>
            <w:tcW w:w="884" w:type="dxa"/>
            <w:vMerge w:val="restart"/>
            <w:tcBorders>
              <w:top w:val="single" w:sz="8" w:space="0" w:color="auto"/>
              <w:left w:val="single" w:sz="8" w:space="0" w:color="auto"/>
              <w:bottom w:val="single" w:sz="4" w:space="0" w:color="auto"/>
              <w:right w:val="single" w:sz="8" w:space="0" w:color="auto"/>
            </w:tcBorders>
            <w:vAlign w:val="center"/>
            <w:hideMark/>
          </w:tcPr>
          <w:p w:rsidR="009E22FE" w:rsidRPr="009E22FE" w:rsidRDefault="009E22FE">
            <w:pPr>
              <w:spacing w:after="0" w:line="360" w:lineRule="auto"/>
              <w:ind w:firstLine="0"/>
              <w:jc w:val="center"/>
              <w:rPr>
                <w:rFonts w:ascii="Garamond" w:eastAsia="Times New Roman" w:hAnsi="Garamond"/>
                <w:b/>
                <w:sz w:val="18"/>
                <w:szCs w:val="18"/>
                <w:lang w:val="sq-AL"/>
              </w:rPr>
            </w:pPr>
            <w:r w:rsidRPr="009E22FE">
              <w:rPr>
                <w:rFonts w:ascii="Garamond" w:eastAsia="Times New Roman" w:hAnsi="Garamond"/>
                <w:b/>
                <w:sz w:val="18"/>
                <w:szCs w:val="18"/>
                <w:lang w:val="sq-AL"/>
              </w:rPr>
              <w:t>1.</w:t>
            </w:r>
          </w:p>
          <w:p w:rsidR="009E22FE" w:rsidRPr="009E22FE" w:rsidRDefault="009E22FE">
            <w:pPr>
              <w:spacing w:after="0" w:line="360" w:lineRule="auto"/>
              <w:ind w:firstLine="0"/>
              <w:jc w:val="center"/>
              <w:rPr>
                <w:rFonts w:ascii="Garamond" w:eastAsia="Times New Roman" w:hAnsi="Garamond"/>
                <w:sz w:val="18"/>
                <w:szCs w:val="18"/>
                <w:lang w:val="sq-AL"/>
              </w:rPr>
            </w:pPr>
            <w:r w:rsidRPr="009E22FE">
              <w:rPr>
                <w:rFonts w:ascii="Garamond" w:eastAsia="Times New Roman" w:hAnsi="Garamond"/>
                <w:b/>
                <w:sz w:val="18"/>
                <w:szCs w:val="18"/>
                <w:lang w:val="sq-AL"/>
              </w:rPr>
              <w:t>BRE-E</w:t>
            </w:r>
          </w:p>
        </w:tc>
        <w:tc>
          <w:tcPr>
            <w:tcW w:w="2250" w:type="dxa"/>
            <w:tcBorders>
              <w:top w:val="nil"/>
              <w:left w:val="nil"/>
              <w:bottom w:val="single" w:sz="4" w:space="0" w:color="auto"/>
              <w:right w:val="single" w:sz="4" w:space="0" w:color="auto"/>
            </w:tcBorders>
            <w:noWrap/>
            <w:vAlign w:val="center"/>
            <w:hideMark/>
          </w:tcPr>
          <w:p w:rsidR="009E22FE" w:rsidRPr="009E22FE" w:rsidRDefault="009E22FE">
            <w:pPr>
              <w:spacing w:after="0" w:line="360" w:lineRule="auto"/>
              <w:ind w:firstLine="0"/>
              <w:jc w:val="left"/>
              <w:rPr>
                <w:rFonts w:ascii="Garamond" w:eastAsia="Times New Roman" w:hAnsi="Garamond"/>
                <w:b/>
                <w:bCs/>
                <w:sz w:val="18"/>
                <w:szCs w:val="18"/>
                <w:lang w:val="sq-AL"/>
              </w:rPr>
            </w:pPr>
            <w:r w:rsidRPr="009E22FE">
              <w:rPr>
                <w:rFonts w:ascii="Garamond" w:eastAsia="Times New Roman" w:hAnsi="Garamond"/>
                <w:b/>
                <w:bCs/>
                <w:sz w:val="18"/>
                <w:szCs w:val="18"/>
                <w:lang w:val="sq-AL"/>
              </w:rPr>
              <w:t xml:space="preserve">HECV </w:t>
            </w:r>
            <w:r w:rsidRPr="009E22FE">
              <w:rPr>
                <w:rFonts w:ascii="Garamond" w:eastAsia="Times New Roman" w:hAnsi="Garamond"/>
                <w:sz w:val="18"/>
                <w:szCs w:val="18"/>
                <w:lang w:val="sq-AL"/>
              </w:rPr>
              <w:t>deri në 15 mw</w:t>
            </w:r>
            <w:r w:rsidRPr="009E22FE">
              <w:rPr>
                <w:rFonts w:ascii="Garamond" w:eastAsia="Times New Roman" w:hAnsi="Garamond"/>
                <w:b/>
                <w:bCs/>
                <w:sz w:val="18"/>
                <w:szCs w:val="18"/>
                <w:lang w:val="sq-AL"/>
              </w:rPr>
              <w:t xml:space="preserve"> (SHPP)</w:t>
            </w:r>
          </w:p>
        </w:tc>
        <w:tc>
          <w:tcPr>
            <w:tcW w:w="1129" w:type="dxa"/>
            <w:tcBorders>
              <w:top w:val="nil"/>
              <w:left w:val="nil"/>
              <w:bottom w:val="single" w:sz="4" w:space="0" w:color="auto"/>
              <w:right w:val="single" w:sz="4" w:space="0" w:color="auto"/>
            </w:tcBorders>
            <w:noWrap/>
            <w:vAlign w:val="center"/>
            <w:hideMark/>
          </w:tcPr>
          <w:p w:rsidR="009E22FE" w:rsidRPr="009E22FE" w:rsidRDefault="009E22FE">
            <w:pPr>
              <w:spacing w:after="0" w:line="36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200</w:t>
            </w:r>
          </w:p>
        </w:tc>
        <w:tc>
          <w:tcPr>
            <w:tcW w:w="1080" w:type="dxa"/>
            <w:tcBorders>
              <w:top w:val="nil"/>
              <w:left w:val="nil"/>
              <w:bottom w:val="single" w:sz="4" w:space="0" w:color="auto"/>
              <w:right w:val="single" w:sz="4" w:space="0" w:color="auto"/>
            </w:tcBorders>
            <w:shd w:val="clear" w:color="auto" w:fill="E4DFEC"/>
            <w:noWrap/>
            <w:vAlign w:val="center"/>
            <w:hideMark/>
          </w:tcPr>
          <w:p w:rsidR="009E22FE" w:rsidRPr="009E22FE" w:rsidRDefault="009E22FE">
            <w:pPr>
              <w:spacing w:after="0" w:line="36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135.0</w:t>
            </w:r>
          </w:p>
        </w:tc>
        <w:tc>
          <w:tcPr>
            <w:tcW w:w="1080" w:type="dxa"/>
            <w:tcBorders>
              <w:top w:val="nil"/>
              <w:left w:val="nil"/>
              <w:bottom w:val="single" w:sz="4" w:space="0" w:color="auto"/>
              <w:right w:val="single" w:sz="4" w:space="0" w:color="auto"/>
            </w:tcBorders>
            <w:noWrap/>
            <w:vAlign w:val="center"/>
            <w:hideMark/>
          </w:tcPr>
          <w:p w:rsidR="009E22FE" w:rsidRPr="009E22FE" w:rsidRDefault="009E22FE">
            <w:pPr>
              <w:spacing w:after="0" w:line="36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2,326</w:t>
            </w:r>
          </w:p>
        </w:tc>
        <w:tc>
          <w:tcPr>
            <w:tcW w:w="1080" w:type="dxa"/>
            <w:tcBorders>
              <w:top w:val="nil"/>
              <w:left w:val="nil"/>
              <w:bottom w:val="single" w:sz="4" w:space="0" w:color="auto"/>
              <w:right w:val="single" w:sz="4" w:space="0" w:color="auto"/>
            </w:tcBorders>
            <w:shd w:val="clear" w:color="auto" w:fill="E4DFEC"/>
            <w:noWrap/>
            <w:vAlign w:val="center"/>
            <w:hideMark/>
          </w:tcPr>
          <w:p w:rsidR="009E22FE" w:rsidRPr="009E22FE" w:rsidRDefault="009E22FE">
            <w:pPr>
              <w:spacing w:after="0" w:line="36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1,600</w:t>
            </w:r>
          </w:p>
        </w:tc>
        <w:tc>
          <w:tcPr>
            <w:tcW w:w="1080" w:type="dxa"/>
            <w:tcBorders>
              <w:top w:val="nil"/>
              <w:left w:val="nil"/>
              <w:bottom w:val="single" w:sz="4" w:space="0" w:color="auto"/>
              <w:right w:val="single" w:sz="4" w:space="0" w:color="auto"/>
            </w:tcBorders>
            <w:noWrap/>
            <w:vAlign w:val="center"/>
            <w:hideMark/>
          </w:tcPr>
          <w:p w:rsidR="009E22FE" w:rsidRPr="009E22FE" w:rsidRDefault="009E22FE">
            <w:pPr>
              <w:spacing w:after="0" w:line="36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750</w:t>
            </w:r>
          </w:p>
        </w:tc>
        <w:tc>
          <w:tcPr>
            <w:tcW w:w="1080" w:type="dxa"/>
            <w:tcBorders>
              <w:top w:val="nil"/>
              <w:left w:val="nil"/>
              <w:bottom w:val="single" w:sz="4" w:space="0" w:color="auto"/>
              <w:right w:val="single" w:sz="8" w:space="0" w:color="auto"/>
            </w:tcBorders>
            <w:shd w:val="clear" w:color="auto" w:fill="E4DFEC"/>
            <w:noWrap/>
            <w:vAlign w:val="center"/>
            <w:hideMark/>
          </w:tcPr>
          <w:p w:rsidR="009E22FE" w:rsidRPr="009E22FE" w:rsidRDefault="009E22FE">
            <w:pPr>
              <w:spacing w:after="0" w:line="36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600</w:t>
            </w:r>
          </w:p>
        </w:tc>
      </w:tr>
      <w:tr w:rsidR="009E22FE" w:rsidRPr="009E22FE" w:rsidTr="009E22FE">
        <w:trPr>
          <w:trHeight w:val="313"/>
          <w:jc w:val="center"/>
        </w:trPr>
        <w:tc>
          <w:tcPr>
            <w:tcW w:w="0" w:type="auto"/>
            <w:vMerge/>
            <w:tcBorders>
              <w:top w:val="single" w:sz="8" w:space="0" w:color="auto"/>
              <w:left w:val="single" w:sz="8" w:space="0" w:color="auto"/>
              <w:bottom w:val="single" w:sz="4" w:space="0" w:color="auto"/>
              <w:right w:val="single" w:sz="8" w:space="0" w:color="auto"/>
            </w:tcBorders>
            <w:vAlign w:val="center"/>
            <w:hideMark/>
          </w:tcPr>
          <w:p w:rsidR="009E22FE" w:rsidRPr="009E22FE" w:rsidRDefault="009E22FE">
            <w:pPr>
              <w:spacing w:after="0"/>
              <w:ind w:firstLine="0"/>
              <w:jc w:val="left"/>
              <w:rPr>
                <w:rFonts w:ascii="Garamond" w:eastAsia="Times New Roman" w:hAnsi="Garamond"/>
                <w:sz w:val="18"/>
                <w:szCs w:val="18"/>
                <w:lang w:val="sq-AL"/>
              </w:rPr>
            </w:pPr>
          </w:p>
        </w:tc>
        <w:tc>
          <w:tcPr>
            <w:tcW w:w="2250" w:type="dxa"/>
            <w:tcBorders>
              <w:top w:val="nil"/>
              <w:left w:val="nil"/>
              <w:bottom w:val="single" w:sz="4" w:space="0" w:color="auto"/>
              <w:right w:val="single" w:sz="4" w:space="0" w:color="auto"/>
            </w:tcBorders>
            <w:noWrap/>
            <w:vAlign w:val="center"/>
            <w:hideMark/>
          </w:tcPr>
          <w:p w:rsidR="009E22FE" w:rsidRPr="009E22FE" w:rsidRDefault="009E22FE">
            <w:pPr>
              <w:spacing w:after="0" w:line="360" w:lineRule="auto"/>
              <w:ind w:firstLine="0"/>
              <w:jc w:val="left"/>
              <w:rPr>
                <w:rFonts w:ascii="Garamond" w:eastAsia="Times New Roman" w:hAnsi="Garamond"/>
                <w:b/>
                <w:bCs/>
                <w:sz w:val="18"/>
                <w:szCs w:val="18"/>
                <w:lang w:val="sq-AL"/>
              </w:rPr>
            </w:pPr>
            <w:r w:rsidRPr="009E22FE">
              <w:rPr>
                <w:rFonts w:ascii="Garamond" w:eastAsia="Times New Roman" w:hAnsi="Garamond"/>
                <w:b/>
                <w:bCs/>
                <w:sz w:val="18"/>
                <w:szCs w:val="18"/>
                <w:lang w:val="sq-AL"/>
              </w:rPr>
              <w:t>Eolike (</w:t>
            </w:r>
            <w:r w:rsidRPr="009E22FE">
              <w:rPr>
                <w:rFonts w:ascii="Garamond" w:eastAsia="Times New Roman" w:hAnsi="Garamond"/>
                <w:b/>
                <w:bCs/>
                <w:i/>
                <w:sz w:val="18"/>
                <w:szCs w:val="18"/>
                <w:lang w:val="sq-AL"/>
              </w:rPr>
              <w:t>Wind</w:t>
            </w:r>
            <w:r w:rsidRPr="009E22FE">
              <w:rPr>
                <w:rFonts w:ascii="Garamond" w:eastAsia="Times New Roman" w:hAnsi="Garamond"/>
                <w:b/>
                <w:bCs/>
                <w:sz w:val="18"/>
                <w:szCs w:val="18"/>
                <w:lang w:val="sq-AL"/>
              </w:rPr>
              <w:t>)</w:t>
            </w:r>
          </w:p>
        </w:tc>
        <w:tc>
          <w:tcPr>
            <w:tcW w:w="1129" w:type="dxa"/>
            <w:tcBorders>
              <w:top w:val="nil"/>
              <w:left w:val="nil"/>
              <w:bottom w:val="single" w:sz="4" w:space="0" w:color="auto"/>
              <w:right w:val="single" w:sz="4" w:space="0" w:color="auto"/>
            </w:tcBorders>
            <w:noWrap/>
            <w:vAlign w:val="center"/>
            <w:hideMark/>
          </w:tcPr>
          <w:p w:rsidR="009E22FE" w:rsidRPr="009E22FE" w:rsidRDefault="009E22FE">
            <w:pPr>
              <w:spacing w:after="0" w:line="36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30</w:t>
            </w:r>
          </w:p>
        </w:tc>
        <w:tc>
          <w:tcPr>
            <w:tcW w:w="1080" w:type="dxa"/>
            <w:tcBorders>
              <w:top w:val="nil"/>
              <w:left w:val="nil"/>
              <w:bottom w:val="single" w:sz="4" w:space="0" w:color="auto"/>
              <w:right w:val="single" w:sz="4" w:space="0" w:color="auto"/>
            </w:tcBorders>
            <w:shd w:val="clear" w:color="auto" w:fill="E4DFEC"/>
            <w:noWrap/>
            <w:vAlign w:val="center"/>
            <w:hideMark/>
          </w:tcPr>
          <w:p w:rsidR="009E22FE" w:rsidRPr="009E22FE" w:rsidRDefault="009E22FE">
            <w:pPr>
              <w:spacing w:after="0" w:line="36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18.1</w:t>
            </w:r>
          </w:p>
        </w:tc>
        <w:tc>
          <w:tcPr>
            <w:tcW w:w="1080" w:type="dxa"/>
            <w:tcBorders>
              <w:top w:val="nil"/>
              <w:left w:val="nil"/>
              <w:bottom w:val="single" w:sz="4" w:space="0" w:color="auto"/>
              <w:right w:val="single" w:sz="4" w:space="0" w:color="auto"/>
            </w:tcBorders>
            <w:noWrap/>
            <w:vAlign w:val="center"/>
            <w:hideMark/>
          </w:tcPr>
          <w:p w:rsidR="009E22FE" w:rsidRPr="009E22FE" w:rsidRDefault="009E22FE">
            <w:pPr>
              <w:spacing w:after="0" w:line="36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233</w:t>
            </w:r>
          </w:p>
        </w:tc>
        <w:tc>
          <w:tcPr>
            <w:tcW w:w="1080" w:type="dxa"/>
            <w:tcBorders>
              <w:top w:val="nil"/>
              <w:left w:val="nil"/>
              <w:bottom w:val="single" w:sz="4" w:space="0" w:color="auto"/>
              <w:right w:val="single" w:sz="4" w:space="0" w:color="auto"/>
            </w:tcBorders>
            <w:shd w:val="clear" w:color="auto" w:fill="E4DFEC"/>
            <w:noWrap/>
            <w:vAlign w:val="center"/>
            <w:hideMark/>
          </w:tcPr>
          <w:p w:rsidR="009E22FE" w:rsidRPr="009E22FE" w:rsidRDefault="009E22FE">
            <w:pPr>
              <w:spacing w:after="0" w:line="36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210</w:t>
            </w:r>
          </w:p>
        </w:tc>
        <w:tc>
          <w:tcPr>
            <w:tcW w:w="1080" w:type="dxa"/>
            <w:tcBorders>
              <w:top w:val="nil"/>
              <w:left w:val="nil"/>
              <w:bottom w:val="single" w:sz="4" w:space="0" w:color="auto"/>
              <w:right w:val="single" w:sz="4" w:space="0" w:color="auto"/>
            </w:tcBorders>
            <w:noWrap/>
            <w:vAlign w:val="center"/>
            <w:hideMark/>
          </w:tcPr>
          <w:p w:rsidR="009E22FE" w:rsidRPr="009E22FE" w:rsidRDefault="009E22FE">
            <w:pPr>
              <w:spacing w:after="0" w:line="36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30</w:t>
            </w:r>
          </w:p>
        </w:tc>
        <w:tc>
          <w:tcPr>
            <w:tcW w:w="1080" w:type="dxa"/>
            <w:tcBorders>
              <w:top w:val="nil"/>
              <w:left w:val="nil"/>
              <w:bottom w:val="single" w:sz="4" w:space="0" w:color="auto"/>
              <w:right w:val="single" w:sz="8" w:space="0" w:color="auto"/>
            </w:tcBorders>
            <w:shd w:val="clear" w:color="auto" w:fill="E4DFEC"/>
            <w:noWrap/>
            <w:vAlign w:val="center"/>
            <w:hideMark/>
          </w:tcPr>
          <w:p w:rsidR="009E22FE" w:rsidRPr="009E22FE" w:rsidRDefault="009E22FE">
            <w:pPr>
              <w:spacing w:after="0" w:line="36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70</w:t>
            </w:r>
          </w:p>
        </w:tc>
      </w:tr>
      <w:tr w:rsidR="009E22FE" w:rsidRPr="009E22FE" w:rsidTr="009E22FE">
        <w:trPr>
          <w:trHeight w:val="313"/>
          <w:jc w:val="center"/>
        </w:trPr>
        <w:tc>
          <w:tcPr>
            <w:tcW w:w="0" w:type="auto"/>
            <w:vMerge/>
            <w:tcBorders>
              <w:top w:val="single" w:sz="8" w:space="0" w:color="auto"/>
              <w:left w:val="single" w:sz="8" w:space="0" w:color="auto"/>
              <w:bottom w:val="single" w:sz="4" w:space="0" w:color="auto"/>
              <w:right w:val="single" w:sz="8" w:space="0" w:color="auto"/>
            </w:tcBorders>
            <w:vAlign w:val="center"/>
            <w:hideMark/>
          </w:tcPr>
          <w:p w:rsidR="009E22FE" w:rsidRPr="009E22FE" w:rsidRDefault="009E22FE">
            <w:pPr>
              <w:spacing w:after="0"/>
              <w:ind w:firstLine="0"/>
              <w:jc w:val="left"/>
              <w:rPr>
                <w:rFonts w:ascii="Garamond" w:eastAsia="Times New Roman" w:hAnsi="Garamond"/>
                <w:sz w:val="18"/>
                <w:szCs w:val="18"/>
                <w:lang w:val="sq-AL"/>
              </w:rPr>
            </w:pPr>
          </w:p>
        </w:tc>
        <w:tc>
          <w:tcPr>
            <w:tcW w:w="2250" w:type="dxa"/>
            <w:tcBorders>
              <w:top w:val="nil"/>
              <w:left w:val="nil"/>
              <w:bottom w:val="single" w:sz="4" w:space="0" w:color="auto"/>
              <w:right w:val="single" w:sz="4" w:space="0" w:color="auto"/>
            </w:tcBorders>
            <w:vAlign w:val="center"/>
            <w:hideMark/>
          </w:tcPr>
          <w:p w:rsidR="009E22FE" w:rsidRPr="009E22FE" w:rsidRDefault="009E22FE">
            <w:pPr>
              <w:spacing w:after="0" w:line="360" w:lineRule="auto"/>
              <w:ind w:firstLine="0"/>
              <w:jc w:val="left"/>
              <w:rPr>
                <w:rFonts w:ascii="Garamond" w:eastAsia="Times New Roman" w:hAnsi="Garamond"/>
                <w:b/>
                <w:bCs/>
                <w:sz w:val="18"/>
                <w:szCs w:val="18"/>
                <w:lang w:val="sq-AL"/>
              </w:rPr>
            </w:pPr>
            <w:r w:rsidRPr="009E22FE">
              <w:rPr>
                <w:rFonts w:ascii="Garamond" w:eastAsia="Times New Roman" w:hAnsi="Garamond"/>
                <w:b/>
                <w:bCs/>
                <w:sz w:val="18"/>
                <w:szCs w:val="18"/>
                <w:lang w:val="sq-AL"/>
              </w:rPr>
              <w:t>Fotovoltaike (PV)</w:t>
            </w:r>
          </w:p>
        </w:tc>
        <w:tc>
          <w:tcPr>
            <w:tcW w:w="1129" w:type="dxa"/>
            <w:tcBorders>
              <w:top w:val="nil"/>
              <w:left w:val="nil"/>
              <w:bottom w:val="single" w:sz="4" w:space="0" w:color="auto"/>
              <w:right w:val="single" w:sz="4" w:space="0" w:color="auto"/>
            </w:tcBorders>
            <w:vAlign w:val="center"/>
            <w:hideMark/>
          </w:tcPr>
          <w:p w:rsidR="009E22FE" w:rsidRPr="009E22FE" w:rsidRDefault="009E22FE">
            <w:pPr>
              <w:spacing w:after="0" w:line="36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40</w:t>
            </w:r>
          </w:p>
        </w:tc>
        <w:tc>
          <w:tcPr>
            <w:tcW w:w="1080" w:type="dxa"/>
            <w:tcBorders>
              <w:top w:val="nil"/>
              <w:left w:val="nil"/>
              <w:bottom w:val="single" w:sz="4" w:space="0" w:color="auto"/>
              <w:right w:val="single" w:sz="4" w:space="0" w:color="auto"/>
            </w:tcBorders>
            <w:shd w:val="clear" w:color="auto" w:fill="E4DFEC"/>
            <w:noWrap/>
            <w:vAlign w:val="center"/>
            <w:hideMark/>
          </w:tcPr>
          <w:p w:rsidR="009E22FE" w:rsidRPr="009E22FE" w:rsidRDefault="009E22FE">
            <w:pPr>
              <w:spacing w:after="0" w:line="36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15.0</w:t>
            </w:r>
          </w:p>
        </w:tc>
        <w:tc>
          <w:tcPr>
            <w:tcW w:w="1080" w:type="dxa"/>
            <w:tcBorders>
              <w:top w:val="nil"/>
              <w:left w:val="nil"/>
              <w:bottom w:val="single" w:sz="4" w:space="0" w:color="auto"/>
              <w:right w:val="single" w:sz="4" w:space="0" w:color="auto"/>
            </w:tcBorders>
            <w:vAlign w:val="center"/>
            <w:hideMark/>
          </w:tcPr>
          <w:p w:rsidR="009E22FE" w:rsidRPr="009E22FE" w:rsidRDefault="009E22FE">
            <w:pPr>
              <w:spacing w:after="0" w:line="36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582</w:t>
            </w:r>
          </w:p>
        </w:tc>
        <w:tc>
          <w:tcPr>
            <w:tcW w:w="1080" w:type="dxa"/>
            <w:tcBorders>
              <w:top w:val="nil"/>
              <w:left w:val="nil"/>
              <w:bottom w:val="single" w:sz="4" w:space="0" w:color="auto"/>
              <w:right w:val="single" w:sz="4" w:space="0" w:color="auto"/>
            </w:tcBorders>
            <w:shd w:val="clear" w:color="auto" w:fill="E4DFEC"/>
            <w:noWrap/>
            <w:vAlign w:val="center"/>
            <w:hideMark/>
          </w:tcPr>
          <w:p w:rsidR="009E22FE" w:rsidRPr="009E22FE" w:rsidRDefault="009E22FE">
            <w:pPr>
              <w:spacing w:after="0" w:line="36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174</w:t>
            </w:r>
          </w:p>
        </w:tc>
        <w:tc>
          <w:tcPr>
            <w:tcW w:w="1080" w:type="dxa"/>
            <w:tcBorders>
              <w:top w:val="nil"/>
              <w:left w:val="nil"/>
              <w:bottom w:val="single" w:sz="4" w:space="0" w:color="auto"/>
              <w:right w:val="single" w:sz="4" w:space="0" w:color="auto"/>
            </w:tcBorders>
            <w:vAlign w:val="center"/>
            <w:hideMark/>
          </w:tcPr>
          <w:p w:rsidR="009E22FE" w:rsidRPr="009E22FE" w:rsidRDefault="009E22FE">
            <w:pPr>
              <w:spacing w:after="0" w:line="36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50</w:t>
            </w:r>
          </w:p>
        </w:tc>
        <w:tc>
          <w:tcPr>
            <w:tcW w:w="1080" w:type="dxa"/>
            <w:tcBorders>
              <w:top w:val="nil"/>
              <w:left w:val="nil"/>
              <w:bottom w:val="single" w:sz="4" w:space="0" w:color="auto"/>
              <w:right w:val="single" w:sz="8" w:space="0" w:color="auto"/>
            </w:tcBorders>
            <w:shd w:val="clear" w:color="auto" w:fill="E4DFEC"/>
            <w:vAlign w:val="center"/>
            <w:hideMark/>
          </w:tcPr>
          <w:p w:rsidR="009E22FE" w:rsidRPr="009E22FE" w:rsidRDefault="009E22FE">
            <w:pPr>
              <w:spacing w:after="0" w:line="36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120</w:t>
            </w:r>
          </w:p>
        </w:tc>
      </w:tr>
      <w:tr w:rsidR="009E22FE" w:rsidRPr="009E22FE" w:rsidTr="009E22FE">
        <w:trPr>
          <w:trHeight w:val="313"/>
          <w:jc w:val="center"/>
        </w:trPr>
        <w:tc>
          <w:tcPr>
            <w:tcW w:w="0" w:type="auto"/>
            <w:vMerge/>
            <w:tcBorders>
              <w:top w:val="single" w:sz="8" w:space="0" w:color="auto"/>
              <w:left w:val="single" w:sz="8" w:space="0" w:color="auto"/>
              <w:bottom w:val="single" w:sz="4" w:space="0" w:color="auto"/>
              <w:right w:val="single" w:sz="8" w:space="0" w:color="auto"/>
            </w:tcBorders>
            <w:vAlign w:val="center"/>
            <w:hideMark/>
          </w:tcPr>
          <w:p w:rsidR="009E22FE" w:rsidRPr="009E22FE" w:rsidRDefault="009E22FE">
            <w:pPr>
              <w:spacing w:after="0"/>
              <w:ind w:firstLine="0"/>
              <w:jc w:val="left"/>
              <w:rPr>
                <w:rFonts w:ascii="Garamond" w:eastAsia="Times New Roman" w:hAnsi="Garamond"/>
                <w:sz w:val="18"/>
                <w:szCs w:val="18"/>
                <w:lang w:val="sq-AL"/>
              </w:rPr>
            </w:pPr>
          </w:p>
        </w:tc>
        <w:tc>
          <w:tcPr>
            <w:tcW w:w="2250" w:type="dxa"/>
            <w:tcBorders>
              <w:top w:val="nil"/>
              <w:left w:val="nil"/>
              <w:bottom w:val="single" w:sz="4" w:space="0" w:color="auto"/>
              <w:right w:val="single" w:sz="4" w:space="0" w:color="auto"/>
            </w:tcBorders>
            <w:vAlign w:val="center"/>
            <w:hideMark/>
          </w:tcPr>
          <w:p w:rsidR="009E22FE" w:rsidRPr="009E22FE" w:rsidRDefault="009E22FE">
            <w:pPr>
              <w:spacing w:after="0" w:line="360" w:lineRule="auto"/>
              <w:ind w:firstLine="0"/>
              <w:jc w:val="left"/>
              <w:rPr>
                <w:rFonts w:ascii="Garamond" w:eastAsia="Times New Roman" w:hAnsi="Garamond"/>
                <w:b/>
                <w:bCs/>
                <w:sz w:val="18"/>
                <w:szCs w:val="18"/>
                <w:lang w:val="sq-AL"/>
              </w:rPr>
            </w:pPr>
            <w:r w:rsidRPr="009E22FE">
              <w:rPr>
                <w:rFonts w:ascii="Garamond" w:eastAsia="Times New Roman" w:hAnsi="Garamond"/>
                <w:b/>
                <w:bCs/>
                <w:sz w:val="18"/>
                <w:szCs w:val="18"/>
                <w:lang w:val="sq-AL"/>
              </w:rPr>
              <w:t xml:space="preserve">Nga MNU </w:t>
            </w:r>
            <w:r w:rsidRPr="009E22FE">
              <w:rPr>
                <w:rFonts w:ascii="Garamond" w:eastAsia="Times New Roman" w:hAnsi="Garamond"/>
                <w:bCs/>
                <w:sz w:val="18"/>
                <w:szCs w:val="18"/>
                <w:lang w:val="sq-AL"/>
              </w:rPr>
              <w:t>(</w:t>
            </w:r>
            <w:r w:rsidRPr="009E22FE">
              <w:rPr>
                <w:rFonts w:ascii="Garamond" w:eastAsia="Times New Roman" w:hAnsi="Garamond"/>
                <w:bCs/>
                <w:i/>
                <w:sz w:val="18"/>
                <w:szCs w:val="18"/>
                <w:lang w:val="sq-AL"/>
              </w:rPr>
              <w:t>waste to energy</w:t>
            </w:r>
            <w:r w:rsidRPr="009E22FE">
              <w:rPr>
                <w:rFonts w:ascii="Garamond" w:eastAsia="Times New Roman" w:hAnsi="Garamond"/>
                <w:bCs/>
                <w:sz w:val="18"/>
                <w:szCs w:val="18"/>
                <w:lang w:val="sq-AL"/>
              </w:rPr>
              <w:t>)</w:t>
            </w:r>
          </w:p>
        </w:tc>
        <w:tc>
          <w:tcPr>
            <w:tcW w:w="1129" w:type="dxa"/>
            <w:tcBorders>
              <w:top w:val="nil"/>
              <w:left w:val="nil"/>
              <w:bottom w:val="single" w:sz="4" w:space="0" w:color="auto"/>
              <w:right w:val="single" w:sz="4" w:space="0" w:color="auto"/>
            </w:tcBorders>
            <w:vAlign w:val="center"/>
            <w:hideMark/>
          </w:tcPr>
          <w:p w:rsidR="009E22FE" w:rsidRPr="009E22FE" w:rsidRDefault="009E22FE">
            <w:pPr>
              <w:spacing w:after="0" w:line="36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0</w:t>
            </w:r>
          </w:p>
        </w:tc>
        <w:tc>
          <w:tcPr>
            <w:tcW w:w="1080" w:type="dxa"/>
            <w:tcBorders>
              <w:top w:val="nil"/>
              <w:left w:val="nil"/>
              <w:bottom w:val="single" w:sz="4" w:space="0" w:color="auto"/>
              <w:right w:val="single" w:sz="4" w:space="0" w:color="auto"/>
            </w:tcBorders>
            <w:shd w:val="clear" w:color="auto" w:fill="E4DFEC"/>
            <w:vAlign w:val="center"/>
            <w:hideMark/>
          </w:tcPr>
          <w:p w:rsidR="009E22FE" w:rsidRPr="009E22FE" w:rsidRDefault="009E22FE">
            <w:pPr>
              <w:spacing w:after="0" w:line="36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5.0</w:t>
            </w:r>
          </w:p>
        </w:tc>
        <w:tc>
          <w:tcPr>
            <w:tcW w:w="1080" w:type="dxa"/>
            <w:tcBorders>
              <w:top w:val="nil"/>
              <w:left w:val="nil"/>
              <w:bottom w:val="single" w:sz="4" w:space="0" w:color="auto"/>
              <w:right w:val="single" w:sz="4" w:space="0" w:color="auto"/>
            </w:tcBorders>
            <w:noWrap/>
            <w:vAlign w:val="center"/>
            <w:hideMark/>
          </w:tcPr>
          <w:p w:rsidR="009E22FE" w:rsidRPr="009E22FE" w:rsidRDefault="009E22FE">
            <w:pPr>
              <w:spacing w:after="0" w:line="36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0</w:t>
            </w:r>
          </w:p>
        </w:tc>
        <w:tc>
          <w:tcPr>
            <w:tcW w:w="1080" w:type="dxa"/>
            <w:tcBorders>
              <w:top w:val="nil"/>
              <w:left w:val="nil"/>
              <w:bottom w:val="single" w:sz="4" w:space="0" w:color="auto"/>
              <w:right w:val="single" w:sz="4" w:space="0" w:color="auto"/>
            </w:tcBorders>
            <w:shd w:val="clear" w:color="auto" w:fill="E4DFEC"/>
            <w:noWrap/>
            <w:vAlign w:val="center"/>
            <w:hideMark/>
          </w:tcPr>
          <w:p w:rsidR="009E22FE" w:rsidRPr="009E22FE" w:rsidRDefault="009E22FE">
            <w:pPr>
              <w:spacing w:after="0" w:line="36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60</w:t>
            </w:r>
          </w:p>
        </w:tc>
        <w:tc>
          <w:tcPr>
            <w:tcW w:w="1080" w:type="dxa"/>
            <w:tcBorders>
              <w:top w:val="nil"/>
              <w:left w:val="nil"/>
              <w:bottom w:val="single" w:sz="4" w:space="0" w:color="auto"/>
              <w:right w:val="single" w:sz="4" w:space="0" w:color="auto"/>
            </w:tcBorders>
            <w:noWrap/>
            <w:vAlign w:val="center"/>
            <w:hideMark/>
          </w:tcPr>
          <w:p w:rsidR="009E22FE" w:rsidRPr="009E22FE" w:rsidRDefault="009E22FE">
            <w:pPr>
              <w:spacing w:after="0" w:line="36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0</w:t>
            </w:r>
          </w:p>
        </w:tc>
        <w:tc>
          <w:tcPr>
            <w:tcW w:w="1080" w:type="dxa"/>
            <w:tcBorders>
              <w:top w:val="nil"/>
              <w:left w:val="nil"/>
              <w:bottom w:val="single" w:sz="4" w:space="0" w:color="auto"/>
              <w:right w:val="single" w:sz="8" w:space="0" w:color="auto"/>
            </w:tcBorders>
            <w:shd w:val="clear" w:color="auto" w:fill="E4DFEC"/>
            <w:noWrap/>
            <w:vAlign w:val="center"/>
            <w:hideMark/>
          </w:tcPr>
          <w:p w:rsidR="009E22FE" w:rsidRPr="009E22FE" w:rsidRDefault="009E22FE">
            <w:pPr>
              <w:spacing w:after="0" w:line="360" w:lineRule="auto"/>
              <w:ind w:firstLine="0"/>
              <w:jc w:val="right"/>
              <w:rPr>
                <w:rFonts w:ascii="Garamond" w:eastAsia="Times New Roman" w:hAnsi="Garamond"/>
                <w:b/>
                <w:sz w:val="18"/>
                <w:szCs w:val="18"/>
                <w:lang w:val="sq-AL"/>
              </w:rPr>
            </w:pPr>
            <w:r w:rsidRPr="009E22FE">
              <w:rPr>
                <w:rFonts w:ascii="Garamond" w:eastAsia="Times New Roman" w:hAnsi="Garamond"/>
                <w:b/>
                <w:sz w:val="18"/>
                <w:szCs w:val="18"/>
                <w:lang w:val="sq-AL"/>
              </w:rPr>
              <w:t>8</w:t>
            </w:r>
          </w:p>
        </w:tc>
      </w:tr>
      <w:tr w:rsidR="009E22FE" w:rsidRPr="009E22FE" w:rsidTr="009E22FE">
        <w:trPr>
          <w:trHeight w:val="313"/>
          <w:jc w:val="center"/>
        </w:trPr>
        <w:tc>
          <w:tcPr>
            <w:tcW w:w="0" w:type="auto"/>
            <w:vMerge/>
            <w:tcBorders>
              <w:top w:val="single" w:sz="8" w:space="0" w:color="auto"/>
              <w:left w:val="single" w:sz="8" w:space="0" w:color="auto"/>
              <w:bottom w:val="single" w:sz="4" w:space="0" w:color="auto"/>
              <w:right w:val="single" w:sz="8" w:space="0" w:color="auto"/>
            </w:tcBorders>
            <w:vAlign w:val="center"/>
            <w:hideMark/>
          </w:tcPr>
          <w:p w:rsidR="009E22FE" w:rsidRPr="009E22FE" w:rsidRDefault="009E22FE">
            <w:pPr>
              <w:spacing w:after="0"/>
              <w:ind w:firstLine="0"/>
              <w:jc w:val="left"/>
              <w:rPr>
                <w:rFonts w:ascii="Garamond" w:eastAsia="Times New Roman" w:hAnsi="Garamond"/>
                <w:sz w:val="18"/>
                <w:szCs w:val="18"/>
                <w:lang w:val="sq-AL"/>
              </w:rPr>
            </w:pPr>
          </w:p>
        </w:tc>
        <w:tc>
          <w:tcPr>
            <w:tcW w:w="2250" w:type="dxa"/>
            <w:tcBorders>
              <w:top w:val="nil"/>
              <w:left w:val="nil"/>
              <w:bottom w:val="single" w:sz="4" w:space="0" w:color="auto"/>
              <w:right w:val="single" w:sz="4" w:space="0" w:color="auto"/>
            </w:tcBorders>
            <w:vAlign w:val="center"/>
            <w:hideMark/>
          </w:tcPr>
          <w:p w:rsidR="009E22FE" w:rsidRPr="009E22FE" w:rsidRDefault="009E22FE">
            <w:pPr>
              <w:spacing w:after="0" w:line="360" w:lineRule="auto"/>
              <w:ind w:firstLine="0"/>
              <w:jc w:val="right"/>
              <w:rPr>
                <w:rFonts w:ascii="Garamond" w:eastAsia="Times New Roman" w:hAnsi="Garamond"/>
                <w:sz w:val="18"/>
                <w:szCs w:val="18"/>
                <w:u w:val="single"/>
                <w:lang w:val="sq-AL"/>
              </w:rPr>
            </w:pPr>
            <w:r w:rsidRPr="009E22FE">
              <w:rPr>
                <w:rFonts w:ascii="Garamond" w:eastAsia="Times New Roman" w:hAnsi="Garamond"/>
                <w:sz w:val="18"/>
                <w:szCs w:val="18"/>
                <w:u w:val="single"/>
                <w:lang w:val="sq-AL"/>
              </w:rPr>
              <w:t xml:space="preserve">Total 1 (ktoe) </w:t>
            </w:r>
          </w:p>
        </w:tc>
        <w:tc>
          <w:tcPr>
            <w:tcW w:w="1129" w:type="dxa"/>
            <w:tcBorders>
              <w:top w:val="nil"/>
              <w:left w:val="nil"/>
              <w:bottom w:val="single" w:sz="4" w:space="0" w:color="auto"/>
              <w:right w:val="single" w:sz="4" w:space="0" w:color="auto"/>
            </w:tcBorders>
            <w:vAlign w:val="center"/>
            <w:hideMark/>
          </w:tcPr>
          <w:p w:rsidR="009E22FE" w:rsidRPr="009E22FE" w:rsidRDefault="009E22FE">
            <w:pPr>
              <w:spacing w:after="0" w:line="36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270</w:t>
            </w:r>
          </w:p>
        </w:tc>
        <w:tc>
          <w:tcPr>
            <w:tcW w:w="1080" w:type="dxa"/>
            <w:tcBorders>
              <w:top w:val="nil"/>
              <w:left w:val="nil"/>
              <w:bottom w:val="single" w:sz="4" w:space="0" w:color="auto"/>
              <w:right w:val="single" w:sz="4" w:space="0" w:color="auto"/>
            </w:tcBorders>
            <w:shd w:val="clear" w:color="auto" w:fill="E4DFEC"/>
            <w:vAlign w:val="center"/>
            <w:hideMark/>
          </w:tcPr>
          <w:p w:rsidR="009E22FE" w:rsidRPr="009E22FE" w:rsidRDefault="009E22FE">
            <w:pPr>
              <w:spacing w:after="0" w:line="36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172</w:t>
            </w:r>
          </w:p>
        </w:tc>
        <w:tc>
          <w:tcPr>
            <w:tcW w:w="1080" w:type="dxa"/>
            <w:tcBorders>
              <w:top w:val="nil"/>
              <w:left w:val="nil"/>
              <w:bottom w:val="single" w:sz="4" w:space="0" w:color="auto"/>
              <w:right w:val="single" w:sz="4" w:space="0" w:color="auto"/>
            </w:tcBorders>
            <w:noWrap/>
            <w:vAlign w:val="center"/>
            <w:hideMark/>
          </w:tcPr>
          <w:p w:rsidR="009E22FE" w:rsidRPr="009E22FE" w:rsidRDefault="009E22FE">
            <w:pPr>
              <w:spacing w:after="0" w:line="360" w:lineRule="auto"/>
              <w:ind w:firstLine="0"/>
              <w:jc w:val="right"/>
              <w:rPr>
                <w:rFonts w:ascii="Garamond" w:eastAsia="Times New Roman" w:hAnsi="Garamond"/>
                <w:bCs/>
                <w:i/>
                <w:iCs/>
                <w:sz w:val="18"/>
                <w:szCs w:val="18"/>
                <w:u w:val="single"/>
                <w:lang w:val="sq-AL"/>
              </w:rPr>
            </w:pPr>
            <w:r w:rsidRPr="009E22FE">
              <w:rPr>
                <w:rFonts w:ascii="Garamond" w:eastAsia="Times New Roman" w:hAnsi="Garamond"/>
                <w:bCs/>
                <w:i/>
                <w:iCs/>
                <w:sz w:val="18"/>
                <w:szCs w:val="18"/>
                <w:u w:val="single"/>
                <w:lang w:val="sq-AL"/>
              </w:rPr>
              <w:t>3,140</w:t>
            </w:r>
          </w:p>
        </w:tc>
        <w:tc>
          <w:tcPr>
            <w:tcW w:w="1080" w:type="dxa"/>
            <w:tcBorders>
              <w:top w:val="nil"/>
              <w:left w:val="nil"/>
              <w:bottom w:val="single" w:sz="4" w:space="0" w:color="auto"/>
              <w:right w:val="single" w:sz="4" w:space="0" w:color="auto"/>
            </w:tcBorders>
            <w:shd w:val="clear" w:color="auto" w:fill="E4DFEC"/>
            <w:noWrap/>
            <w:vAlign w:val="center"/>
            <w:hideMark/>
          </w:tcPr>
          <w:p w:rsidR="009E22FE" w:rsidRPr="009E22FE" w:rsidRDefault="009E22FE">
            <w:pPr>
              <w:spacing w:after="0" w:line="36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2,044</w:t>
            </w:r>
          </w:p>
        </w:tc>
        <w:tc>
          <w:tcPr>
            <w:tcW w:w="1080" w:type="dxa"/>
            <w:tcBorders>
              <w:top w:val="nil"/>
              <w:left w:val="nil"/>
              <w:bottom w:val="single" w:sz="4" w:space="0" w:color="auto"/>
              <w:right w:val="single" w:sz="4" w:space="0" w:color="auto"/>
            </w:tcBorders>
            <w:noWrap/>
            <w:vAlign w:val="center"/>
            <w:hideMark/>
          </w:tcPr>
          <w:p w:rsidR="009E22FE" w:rsidRPr="009E22FE" w:rsidRDefault="009E22FE">
            <w:pPr>
              <w:spacing w:after="0" w:line="360" w:lineRule="auto"/>
              <w:ind w:firstLine="0"/>
              <w:jc w:val="right"/>
              <w:rPr>
                <w:rFonts w:ascii="Garamond" w:eastAsia="Times New Roman" w:hAnsi="Garamond"/>
                <w:bCs/>
                <w:i/>
                <w:iCs/>
                <w:sz w:val="18"/>
                <w:szCs w:val="18"/>
                <w:u w:val="single"/>
                <w:lang w:val="sq-AL"/>
              </w:rPr>
            </w:pPr>
            <w:r w:rsidRPr="009E22FE">
              <w:rPr>
                <w:rFonts w:ascii="Garamond" w:eastAsia="Times New Roman" w:hAnsi="Garamond"/>
                <w:bCs/>
                <w:i/>
                <w:iCs/>
                <w:sz w:val="18"/>
                <w:szCs w:val="18"/>
                <w:u w:val="single"/>
                <w:lang w:val="sq-AL"/>
              </w:rPr>
              <w:t>830</w:t>
            </w:r>
          </w:p>
        </w:tc>
        <w:tc>
          <w:tcPr>
            <w:tcW w:w="1080" w:type="dxa"/>
            <w:tcBorders>
              <w:top w:val="nil"/>
              <w:left w:val="nil"/>
              <w:bottom w:val="single" w:sz="4" w:space="0" w:color="auto"/>
              <w:right w:val="single" w:sz="8" w:space="0" w:color="auto"/>
            </w:tcBorders>
            <w:shd w:val="clear" w:color="auto" w:fill="E4DFEC"/>
            <w:noWrap/>
            <w:vAlign w:val="center"/>
            <w:hideMark/>
          </w:tcPr>
          <w:p w:rsidR="009E22FE" w:rsidRPr="009E22FE" w:rsidRDefault="009E22FE">
            <w:pPr>
              <w:spacing w:after="0" w:line="36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798 </w:t>
            </w:r>
          </w:p>
        </w:tc>
      </w:tr>
      <w:tr w:rsidR="009E22FE" w:rsidRPr="009E22FE" w:rsidTr="009E22FE">
        <w:trPr>
          <w:trHeight w:val="313"/>
          <w:jc w:val="center"/>
        </w:trPr>
        <w:tc>
          <w:tcPr>
            <w:tcW w:w="0" w:type="auto"/>
            <w:vMerge/>
            <w:tcBorders>
              <w:top w:val="single" w:sz="8" w:space="0" w:color="auto"/>
              <w:left w:val="single" w:sz="8" w:space="0" w:color="auto"/>
              <w:bottom w:val="single" w:sz="4" w:space="0" w:color="auto"/>
              <w:right w:val="single" w:sz="8" w:space="0" w:color="auto"/>
            </w:tcBorders>
            <w:vAlign w:val="center"/>
            <w:hideMark/>
          </w:tcPr>
          <w:p w:rsidR="009E22FE" w:rsidRPr="009E22FE" w:rsidRDefault="009E22FE">
            <w:pPr>
              <w:spacing w:after="0"/>
              <w:ind w:firstLine="0"/>
              <w:jc w:val="left"/>
              <w:rPr>
                <w:rFonts w:ascii="Garamond" w:eastAsia="Times New Roman" w:hAnsi="Garamond"/>
                <w:sz w:val="18"/>
                <w:szCs w:val="18"/>
                <w:lang w:val="sq-AL"/>
              </w:rPr>
            </w:pPr>
          </w:p>
        </w:tc>
        <w:tc>
          <w:tcPr>
            <w:tcW w:w="2250" w:type="dxa"/>
            <w:tcBorders>
              <w:top w:val="nil"/>
              <w:left w:val="nil"/>
              <w:bottom w:val="single" w:sz="8" w:space="0" w:color="auto"/>
              <w:right w:val="single" w:sz="4" w:space="0" w:color="auto"/>
            </w:tcBorders>
            <w:shd w:val="clear" w:color="auto" w:fill="DDD9C3"/>
            <w:vAlign w:val="center"/>
            <w:hideMark/>
          </w:tcPr>
          <w:p w:rsidR="009E22FE" w:rsidRPr="009E22FE" w:rsidRDefault="009E22FE">
            <w:pPr>
              <w:spacing w:after="0" w:line="360" w:lineRule="auto"/>
              <w:ind w:firstLine="0"/>
              <w:jc w:val="right"/>
              <w:rPr>
                <w:rFonts w:ascii="Garamond" w:eastAsia="Times New Roman" w:hAnsi="Garamond"/>
                <w:sz w:val="18"/>
                <w:szCs w:val="18"/>
                <w:u w:val="single"/>
                <w:lang w:val="sq-AL"/>
              </w:rPr>
            </w:pPr>
            <w:r w:rsidRPr="009E22FE">
              <w:rPr>
                <w:rFonts w:ascii="Garamond" w:eastAsia="Times New Roman" w:hAnsi="Garamond"/>
                <w:sz w:val="18"/>
                <w:szCs w:val="18"/>
                <w:u w:val="single"/>
                <w:lang w:val="sq-AL"/>
              </w:rPr>
              <w:t>% në KFBE</w:t>
            </w:r>
          </w:p>
        </w:tc>
        <w:tc>
          <w:tcPr>
            <w:tcW w:w="1129" w:type="dxa"/>
            <w:tcBorders>
              <w:top w:val="nil"/>
              <w:left w:val="nil"/>
              <w:bottom w:val="single" w:sz="8" w:space="0" w:color="auto"/>
              <w:right w:val="single" w:sz="4" w:space="0" w:color="auto"/>
            </w:tcBorders>
            <w:shd w:val="clear" w:color="auto" w:fill="DDD9C3"/>
            <w:vAlign w:val="center"/>
            <w:hideMark/>
          </w:tcPr>
          <w:p w:rsidR="009E22FE" w:rsidRPr="009E22FE" w:rsidRDefault="009E22FE">
            <w:pPr>
              <w:spacing w:after="0" w:line="360" w:lineRule="auto"/>
              <w:ind w:firstLine="0"/>
              <w:jc w:val="right"/>
              <w:rPr>
                <w:rFonts w:ascii="Garamond" w:eastAsia="Times New Roman" w:hAnsi="Garamond"/>
                <w:b/>
                <w:bCs/>
                <w:sz w:val="18"/>
                <w:szCs w:val="18"/>
                <w:lang w:val="sq-AL"/>
              </w:rPr>
            </w:pPr>
            <w:r w:rsidRPr="009E22FE">
              <w:rPr>
                <w:rFonts w:ascii="Garamond" w:eastAsia="Times New Roman" w:hAnsi="Garamond"/>
                <w:b/>
                <w:bCs/>
                <w:sz w:val="18"/>
                <w:szCs w:val="18"/>
                <w:lang w:val="sq-AL"/>
              </w:rPr>
              <w:t>25%</w:t>
            </w:r>
          </w:p>
        </w:tc>
        <w:tc>
          <w:tcPr>
            <w:tcW w:w="1080" w:type="dxa"/>
            <w:tcBorders>
              <w:top w:val="nil"/>
              <w:left w:val="nil"/>
              <w:bottom w:val="single" w:sz="8" w:space="0" w:color="auto"/>
              <w:right w:val="single" w:sz="4" w:space="0" w:color="auto"/>
            </w:tcBorders>
            <w:shd w:val="clear" w:color="auto" w:fill="E4DFEC"/>
            <w:vAlign w:val="center"/>
            <w:hideMark/>
          </w:tcPr>
          <w:p w:rsidR="009E22FE" w:rsidRPr="009E22FE" w:rsidRDefault="009E22FE">
            <w:pPr>
              <w:spacing w:after="0" w:line="360" w:lineRule="auto"/>
              <w:ind w:firstLine="0"/>
              <w:jc w:val="right"/>
              <w:rPr>
                <w:rFonts w:ascii="Garamond" w:eastAsia="Times New Roman" w:hAnsi="Garamond"/>
                <w:b/>
                <w:bCs/>
                <w:sz w:val="18"/>
                <w:szCs w:val="18"/>
                <w:lang w:val="sq-AL"/>
              </w:rPr>
            </w:pPr>
            <w:r w:rsidRPr="009E22FE">
              <w:rPr>
                <w:rFonts w:ascii="Garamond" w:eastAsia="Times New Roman" w:hAnsi="Garamond"/>
                <w:b/>
                <w:bCs/>
                <w:sz w:val="18"/>
                <w:szCs w:val="18"/>
                <w:lang w:val="sq-AL"/>
              </w:rPr>
              <w:t>35%</w:t>
            </w:r>
          </w:p>
        </w:tc>
        <w:tc>
          <w:tcPr>
            <w:tcW w:w="1080" w:type="dxa"/>
            <w:tcBorders>
              <w:top w:val="nil"/>
              <w:left w:val="nil"/>
              <w:bottom w:val="single" w:sz="8" w:space="0" w:color="auto"/>
              <w:right w:val="single" w:sz="4" w:space="0" w:color="auto"/>
            </w:tcBorders>
            <w:shd w:val="clear" w:color="auto" w:fill="DDD9C3"/>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1080" w:type="dxa"/>
            <w:tcBorders>
              <w:top w:val="nil"/>
              <w:left w:val="nil"/>
              <w:bottom w:val="single" w:sz="8" w:space="0" w:color="auto"/>
              <w:right w:val="single" w:sz="4" w:space="0" w:color="auto"/>
            </w:tcBorders>
            <w:shd w:val="clear" w:color="auto" w:fill="E4DFEC"/>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1080" w:type="dxa"/>
            <w:tcBorders>
              <w:top w:val="nil"/>
              <w:left w:val="nil"/>
              <w:bottom w:val="single" w:sz="8" w:space="0" w:color="auto"/>
              <w:right w:val="single" w:sz="4" w:space="0" w:color="auto"/>
            </w:tcBorders>
            <w:shd w:val="clear" w:color="auto" w:fill="DDD9C3"/>
            <w:vAlign w:val="center"/>
            <w:hideMark/>
          </w:tcPr>
          <w:p w:rsidR="009E22FE" w:rsidRPr="009E22FE" w:rsidRDefault="009E22FE">
            <w:pPr>
              <w:spacing w:after="0" w:line="36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 </w:t>
            </w:r>
          </w:p>
        </w:tc>
        <w:tc>
          <w:tcPr>
            <w:tcW w:w="1080" w:type="dxa"/>
            <w:tcBorders>
              <w:top w:val="nil"/>
              <w:left w:val="nil"/>
              <w:bottom w:val="single" w:sz="8" w:space="0" w:color="auto"/>
              <w:right w:val="single" w:sz="8" w:space="0" w:color="auto"/>
            </w:tcBorders>
            <w:shd w:val="clear" w:color="auto" w:fill="E4DFEC"/>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r>
      <w:tr w:rsidR="009E22FE" w:rsidRPr="009E22FE" w:rsidTr="009E22FE">
        <w:trPr>
          <w:trHeight w:val="298"/>
          <w:jc w:val="center"/>
        </w:trPr>
        <w:tc>
          <w:tcPr>
            <w:tcW w:w="884" w:type="dxa"/>
            <w:vMerge w:val="restart"/>
            <w:tcBorders>
              <w:top w:val="nil"/>
              <w:left w:val="single" w:sz="8" w:space="0" w:color="auto"/>
              <w:bottom w:val="single" w:sz="4" w:space="0" w:color="auto"/>
              <w:right w:val="single" w:sz="8" w:space="0" w:color="auto"/>
            </w:tcBorders>
            <w:vAlign w:val="center"/>
            <w:hideMark/>
          </w:tcPr>
          <w:p w:rsidR="009E22FE" w:rsidRPr="009E22FE" w:rsidRDefault="009E22FE">
            <w:pPr>
              <w:spacing w:after="0" w:line="360" w:lineRule="auto"/>
              <w:ind w:firstLine="0"/>
              <w:jc w:val="center"/>
              <w:rPr>
                <w:rFonts w:ascii="Garamond" w:eastAsia="Times New Roman" w:hAnsi="Garamond"/>
                <w:sz w:val="18"/>
                <w:szCs w:val="18"/>
                <w:lang w:val="sq-AL"/>
              </w:rPr>
            </w:pPr>
            <w:r w:rsidRPr="009E22FE">
              <w:rPr>
                <w:rFonts w:ascii="Garamond" w:eastAsia="Times New Roman" w:hAnsi="Garamond"/>
                <w:sz w:val="18"/>
                <w:szCs w:val="18"/>
                <w:lang w:val="sq-AL"/>
              </w:rPr>
              <w:t xml:space="preserve">2. </w:t>
            </w:r>
          </w:p>
          <w:p w:rsidR="009E22FE" w:rsidRPr="009E22FE" w:rsidRDefault="009E22FE">
            <w:pPr>
              <w:spacing w:after="0" w:line="360" w:lineRule="auto"/>
              <w:ind w:firstLine="0"/>
              <w:jc w:val="center"/>
              <w:rPr>
                <w:rFonts w:ascii="Garamond" w:eastAsia="Times New Roman" w:hAnsi="Garamond"/>
                <w:sz w:val="18"/>
                <w:szCs w:val="18"/>
                <w:lang w:val="sq-AL"/>
              </w:rPr>
            </w:pPr>
            <w:r w:rsidRPr="009E22FE">
              <w:rPr>
                <w:rFonts w:ascii="Garamond" w:eastAsia="Times New Roman" w:hAnsi="Garamond"/>
                <w:sz w:val="18"/>
                <w:szCs w:val="18"/>
                <w:lang w:val="sq-AL"/>
              </w:rPr>
              <w:t>BRE-N&amp;F</w:t>
            </w:r>
          </w:p>
        </w:tc>
        <w:tc>
          <w:tcPr>
            <w:tcW w:w="2250" w:type="dxa"/>
            <w:tcBorders>
              <w:top w:val="nil"/>
              <w:left w:val="nil"/>
              <w:bottom w:val="single" w:sz="4" w:space="0" w:color="auto"/>
              <w:right w:val="single" w:sz="4" w:space="0" w:color="auto"/>
            </w:tcBorders>
            <w:vAlign w:val="center"/>
            <w:hideMark/>
          </w:tcPr>
          <w:p w:rsidR="009E22FE" w:rsidRPr="009E22FE" w:rsidRDefault="009E22FE">
            <w:pPr>
              <w:spacing w:after="0" w:line="360" w:lineRule="auto"/>
              <w:ind w:firstLine="0"/>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Biomasë</w:t>
            </w:r>
          </w:p>
        </w:tc>
        <w:tc>
          <w:tcPr>
            <w:tcW w:w="1129" w:type="dxa"/>
            <w:tcBorders>
              <w:top w:val="nil"/>
              <w:left w:val="nil"/>
              <w:bottom w:val="single" w:sz="4" w:space="0" w:color="auto"/>
              <w:right w:val="single" w:sz="4" w:space="0" w:color="auto"/>
            </w:tcBorders>
            <w:vAlign w:val="center"/>
            <w:hideMark/>
          </w:tcPr>
          <w:p w:rsidR="009E22FE" w:rsidRPr="009E22FE" w:rsidRDefault="009E22FE">
            <w:pPr>
              <w:spacing w:after="0" w:line="36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52</w:t>
            </w:r>
          </w:p>
        </w:tc>
        <w:tc>
          <w:tcPr>
            <w:tcW w:w="1080" w:type="dxa"/>
            <w:tcBorders>
              <w:top w:val="nil"/>
              <w:left w:val="nil"/>
              <w:bottom w:val="single" w:sz="4" w:space="0" w:color="auto"/>
              <w:right w:val="single" w:sz="4" w:space="0" w:color="auto"/>
            </w:tcBorders>
            <w:shd w:val="clear" w:color="auto" w:fill="E4DFEC"/>
            <w:vAlign w:val="center"/>
            <w:hideMark/>
          </w:tcPr>
          <w:p w:rsidR="009E22FE" w:rsidRPr="009E22FE" w:rsidRDefault="009E22FE">
            <w:pPr>
              <w:spacing w:after="0" w:line="36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 </w:t>
            </w:r>
          </w:p>
        </w:tc>
        <w:tc>
          <w:tcPr>
            <w:tcW w:w="1080" w:type="dxa"/>
            <w:tcBorders>
              <w:top w:val="nil"/>
              <w:left w:val="nil"/>
              <w:bottom w:val="single" w:sz="4" w:space="0" w:color="auto"/>
              <w:right w:val="single" w:sz="4" w:space="0" w:color="auto"/>
            </w:tcBorders>
            <w:vAlign w:val="center"/>
            <w:hideMark/>
          </w:tcPr>
          <w:p w:rsidR="009E22FE" w:rsidRPr="009E22FE" w:rsidRDefault="009E22FE">
            <w:pPr>
              <w:spacing w:after="0" w:line="36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 </w:t>
            </w:r>
          </w:p>
        </w:tc>
        <w:tc>
          <w:tcPr>
            <w:tcW w:w="1080" w:type="dxa"/>
            <w:tcBorders>
              <w:top w:val="nil"/>
              <w:left w:val="nil"/>
              <w:bottom w:val="single" w:sz="4" w:space="0" w:color="auto"/>
              <w:right w:val="single" w:sz="4" w:space="0" w:color="auto"/>
            </w:tcBorders>
            <w:shd w:val="clear" w:color="auto" w:fill="E4DFEC"/>
            <w:vAlign w:val="center"/>
            <w:hideMark/>
          </w:tcPr>
          <w:p w:rsidR="009E22FE" w:rsidRPr="009E22FE" w:rsidRDefault="009E22FE">
            <w:pPr>
              <w:spacing w:after="0" w:line="36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 </w:t>
            </w:r>
          </w:p>
        </w:tc>
        <w:tc>
          <w:tcPr>
            <w:tcW w:w="1080" w:type="dxa"/>
            <w:tcBorders>
              <w:top w:val="nil"/>
              <w:left w:val="nil"/>
              <w:bottom w:val="single" w:sz="4" w:space="0" w:color="auto"/>
              <w:right w:val="single" w:sz="4" w:space="0" w:color="auto"/>
            </w:tcBorders>
            <w:vAlign w:val="center"/>
            <w:hideMark/>
          </w:tcPr>
          <w:p w:rsidR="009E22FE" w:rsidRPr="009E22FE" w:rsidRDefault="009E22FE">
            <w:pPr>
              <w:spacing w:after="0" w:line="36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w:t>
            </w:r>
          </w:p>
        </w:tc>
        <w:tc>
          <w:tcPr>
            <w:tcW w:w="1080" w:type="dxa"/>
            <w:tcBorders>
              <w:top w:val="nil"/>
              <w:left w:val="nil"/>
              <w:bottom w:val="single" w:sz="4" w:space="0" w:color="auto"/>
              <w:right w:val="single" w:sz="8" w:space="0" w:color="auto"/>
            </w:tcBorders>
            <w:shd w:val="clear" w:color="auto" w:fill="E4DFEC"/>
            <w:vAlign w:val="center"/>
            <w:hideMark/>
          </w:tcPr>
          <w:p w:rsidR="009E22FE" w:rsidRPr="009E22FE" w:rsidRDefault="009E22FE">
            <w:pPr>
              <w:spacing w:after="0" w:line="36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 </w:t>
            </w:r>
          </w:p>
        </w:tc>
      </w:tr>
      <w:tr w:rsidR="009E22FE" w:rsidRPr="009E22FE" w:rsidTr="009E22FE">
        <w:trPr>
          <w:trHeight w:val="298"/>
          <w:jc w:val="center"/>
        </w:trPr>
        <w:tc>
          <w:tcPr>
            <w:tcW w:w="0" w:type="auto"/>
            <w:vMerge/>
            <w:tcBorders>
              <w:top w:val="nil"/>
              <w:left w:val="single" w:sz="8" w:space="0" w:color="auto"/>
              <w:bottom w:val="single" w:sz="4" w:space="0" w:color="auto"/>
              <w:right w:val="single" w:sz="8" w:space="0" w:color="auto"/>
            </w:tcBorders>
            <w:vAlign w:val="center"/>
            <w:hideMark/>
          </w:tcPr>
          <w:p w:rsidR="009E22FE" w:rsidRPr="009E22FE" w:rsidRDefault="009E22FE">
            <w:pPr>
              <w:spacing w:after="0"/>
              <w:ind w:firstLine="0"/>
              <w:jc w:val="left"/>
              <w:rPr>
                <w:rFonts w:ascii="Garamond" w:eastAsia="Times New Roman" w:hAnsi="Garamond"/>
                <w:sz w:val="18"/>
                <w:szCs w:val="18"/>
                <w:lang w:val="sq-AL"/>
              </w:rPr>
            </w:pPr>
          </w:p>
        </w:tc>
        <w:tc>
          <w:tcPr>
            <w:tcW w:w="2250" w:type="dxa"/>
            <w:tcBorders>
              <w:top w:val="nil"/>
              <w:left w:val="nil"/>
              <w:bottom w:val="single" w:sz="4" w:space="0" w:color="auto"/>
              <w:right w:val="single" w:sz="4" w:space="0" w:color="auto"/>
            </w:tcBorders>
            <w:vAlign w:val="center"/>
            <w:hideMark/>
          </w:tcPr>
          <w:p w:rsidR="009E22FE" w:rsidRPr="009E22FE" w:rsidRDefault="009E22FE">
            <w:pPr>
              <w:spacing w:after="0" w:line="360" w:lineRule="auto"/>
              <w:ind w:firstLine="0"/>
              <w:jc w:val="right"/>
              <w:rPr>
                <w:rFonts w:ascii="Garamond" w:eastAsia="Times New Roman" w:hAnsi="Garamond"/>
                <w:sz w:val="18"/>
                <w:szCs w:val="18"/>
                <w:u w:val="single"/>
                <w:lang w:val="sq-AL"/>
              </w:rPr>
            </w:pPr>
            <w:r w:rsidRPr="009E22FE">
              <w:rPr>
                <w:rFonts w:ascii="Garamond" w:eastAsia="Times New Roman" w:hAnsi="Garamond"/>
                <w:sz w:val="18"/>
                <w:szCs w:val="18"/>
                <w:u w:val="single"/>
                <w:lang w:val="sq-AL"/>
              </w:rPr>
              <w:t xml:space="preserve">Total 2 (ktoe) </w:t>
            </w:r>
          </w:p>
        </w:tc>
        <w:tc>
          <w:tcPr>
            <w:tcW w:w="1129" w:type="dxa"/>
            <w:tcBorders>
              <w:top w:val="nil"/>
              <w:left w:val="nil"/>
              <w:bottom w:val="single" w:sz="4" w:space="0" w:color="auto"/>
              <w:right w:val="single" w:sz="4" w:space="0" w:color="auto"/>
            </w:tcBorders>
            <w:vAlign w:val="center"/>
            <w:hideMark/>
          </w:tcPr>
          <w:p w:rsidR="009E22FE" w:rsidRPr="009E22FE" w:rsidRDefault="009E22FE">
            <w:pPr>
              <w:spacing w:after="0" w:line="36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52</w:t>
            </w:r>
          </w:p>
        </w:tc>
        <w:tc>
          <w:tcPr>
            <w:tcW w:w="1080" w:type="dxa"/>
            <w:tcBorders>
              <w:top w:val="nil"/>
              <w:left w:val="nil"/>
              <w:bottom w:val="single" w:sz="4" w:space="0" w:color="auto"/>
              <w:right w:val="single" w:sz="4" w:space="0" w:color="auto"/>
            </w:tcBorders>
            <w:shd w:val="clear" w:color="auto" w:fill="E4DFEC"/>
            <w:vAlign w:val="center"/>
            <w:hideMark/>
          </w:tcPr>
          <w:p w:rsidR="009E22FE" w:rsidRPr="009E22FE" w:rsidRDefault="009E22FE">
            <w:pPr>
              <w:spacing w:after="0" w:line="36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0</w:t>
            </w:r>
          </w:p>
        </w:tc>
        <w:tc>
          <w:tcPr>
            <w:tcW w:w="1080" w:type="dxa"/>
            <w:tcBorders>
              <w:top w:val="nil"/>
              <w:left w:val="nil"/>
              <w:bottom w:val="single" w:sz="4" w:space="0" w:color="auto"/>
              <w:right w:val="single" w:sz="4" w:space="0" w:color="auto"/>
            </w:tcBorders>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1080" w:type="dxa"/>
            <w:tcBorders>
              <w:top w:val="nil"/>
              <w:left w:val="nil"/>
              <w:bottom w:val="single" w:sz="4" w:space="0" w:color="auto"/>
              <w:right w:val="single" w:sz="4" w:space="0" w:color="auto"/>
            </w:tcBorders>
            <w:shd w:val="clear" w:color="auto" w:fill="E4DFEC"/>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1080" w:type="dxa"/>
            <w:tcBorders>
              <w:top w:val="nil"/>
              <w:left w:val="nil"/>
              <w:bottom w:val="single" w:sz="4" w:space="0" w:color="auto"/>
              <w:right w:val="single" w:sz="4" w:space="0" w:color="auto"/>
            </w:tcBorders>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1080" w:type="dxa"/>
            <w:tcBorders>
              <w:top w:val="nil"/>
              <w:left w:val="nil"/>
              <w:bottom w:val="single" w:sz="4" w:space="0" w:color="auto"/>
              <w:right w:val="single" w:sz="8" w:space="0" w:color="auto"/>
            </w:tcBorders>
            <w:shd w:val="clear" w:color="auto" w:fill="E4DFEC"/>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r>
      <w:tr w:rsidR="009E22FE" w:rsidRPr="009E22FE" w:rsidTr="009E22FE">
        <w:trPr>
          <w:trHeight w:val="313"/>
          <w:jc w:val="center"/>
        </w:trPr>
        <w:tc>
          <w:tcPr>
            <w:tcW w:w="0" w:type="auto"/>
            <w:vMerge/>
            <w:tcBorders>
              <w:top w:val="nil"/>
              <w:left w:val="single" w:sz="8" w:space="0" w:color="auto"/>
              <w:bottom w:val="single" w:sz="4" w:space="0" w:color="auto"/>
              <w:right w:val="single" w:sz="8" w:space="0" w:color="auto"/>
            </w:tcBorders>
            <w:vAlign w:val="center"/>
            <w:hideMark/>
          </w:tcPr>
          <w:p w:rsidR="009E22FE" w:rsidRPr="009E22FE" w:rsidRDefault="009E22FE">
            <w:pPr>
              <w:spacing w:after="0"/>
              <w:ind w:firstLine="0"/>
              <w:jc w:val="left"/>
              <w:rPr>
                <w:rFonts w:ascii="Garamond" w:eastAsia="Times New Roman" w:hAnsi="Garamond"/>
                <w:sz w:val="18"/>
                <w:szCs w:val="18"/>
                <w:lang w:val="sq-AL"/>
              </w:rPr>
            </w:pPr>
          </w:p>
        </w:tc>
        <w:tc>
          <w:tcPr>
            <w:tcW w:w="2250" w:type="dxa"/>
            <w:tcBorders>
              <w:top w:val="nil"/>
              <w:left w:val="nil"/>
              <w:bottom w:val="single" w:sz="8" w:space="0" w:color="auto"/>
              <w:right w:val="single" w:sz="4" w:space="0" w:color="auto"/>
            </w:tcBorders>
            <w:shd w:val="clear" w:color="auto" w:fill="DDD9C3"/>
            <w:vAlign w:val="center"/>
            <w:hideMark/>
          </w:tcPr>
          <w:p w:rsidR="009E22FE" w:rsidRPr="009E22FE" w:rsidRDefault="009E22FE">
            <w:pPr>
              <w:spacing w:after="0" w:line="360" w:lineRule="auto"/>
              <w:ind w:firstLine="0"/>
              <w:jc w:val="right"/>
              <w:rPr>
                <w:rFonts w:ascii="Garamond" w:eastAsia="Times New Roman" w:hAnsi="Garamond"/>
                <w:sz w:val="18"/>
                <w:szCs w:val="18"/>
                <w:u w:val="single"/>
                <w:lang w:val="sq-AL"/>
              </w:rPr>
            </w:pPr>
            <w:r w:rsidRPr="009E22FE">
              <w:rPr>
                <w:rFonts w:ascii="Garamond" w:eastAsia="Times New Roman" w:hAnsi="Garamond"/>
                <w:sz w:val="18"/>
                <w:szCs w:val="18"/>
                <w:u w:val="single"/>
                <w:lang w:val="sq-AL"/>
              </w:rPr>
              <w:t>% në KFBE</w:t>
            </w:r>
          </w:p>
        </w:tc>
        <w:tc>
          <w:tcPr>
            <w:tcW w:w="1129" w:type="dxa"/>
            <w:tcBorders>
              <w:top w:val="nil"/>
              <w:left w:val="nil"/>
              <w:bottom w:val="single" w:sz="8" w:space="0" w:color="auto"/>
              <w:right w:val="single" w:sz="4" w:space="0" w:color="auto"/>
            </w:tcBorders>
            <w:shd w:val="clear" w:color="auto" w:fill="DDD9C3"/>
            <w:vAlign w:val="center"/>
            <w:hideMark/>
          </w:tcPr>
          <w:p w:rsidR="009E22FE" w:rsidRPr="009E22FE" w:rsidRDefault="009E22FE">
            <w:pPr>
              <w:spacing w:after="0" w:line="360" w:lineRule="auto"/>
              <w:ind w:firstLine="0"/>
              <w:jc w:val="right"/>
              <w:rPr>
                <w:rFonts w:ascii="Garamond" w:eastAsia="Times New Roman" w:hAnsi="Garamond"/>
                <w:b/>
                <w:bCs/>
                <w:sz w:val="18"/>
                <w:szCs w:val="18"/>
                <w:lang w:val="sq-AL"/>
              </w:rPr>
            </w:pPr>
            <w:r w:rsidRPr="009E22FE">
              <w:rPr>
                <w:rFonts w:ascii="Garamond" w:eastAsia="Times New Roman" w:hAnsi="Garamond"/>
                <w:b/>
                <w:bCs/>
                <w:sz w:val="18"/>
                <w:szCs w:val="18"/>
                <w:lang w:val="sq-AL"/>
              </w:rPr>
              <w:t>10%</w:t>
            </w:r>
          </w:p>
        </w:tc>
        <w:tc>
          <w:tcPr>
            <w:tcW w:w="1080" w:type="dxa"/>
            <w:tcBorders>
              <w:top w:val="nil"/>
              <w:left w:val="nil"/>
              <w:bottom w:val="single" w:sz="8" w:space="0" w:color="auto"/>
              <w:right w:val="single" w:sz="4" w:space="0" w:color="auto"/>
            </w:tcBorders>
            <w:shd w:val="clear" w:color="auto" w:fill="E4DFEC"/>
            <w:vAlign w:val="center"/>
            <w:hideMark/>
          </w:tcPr>
          <w:p w:rsidR="009E22FE" w:rsidRPr="009E22FE" w:rsidRDefault="009E22FE">
            <w:pPr>
              <w:spacing w:after="0" w:line="360" w:lineRule="auto"/>
              <w:ind w:firstLine="0"/>
              <w:jc w:val="right"/>
              <w:rPr>
                <w:rFonts w:ascii="Garamond" w:eastAsia="Times New Roman" w:hAnsi="Garamond"/>
                <w:b/>
                <w:bCs/>
                <w:sz w:val="18"/>
                <w:szCs w:val="18"/>
                <w:lang w:val="sq-AL"/>
              </w:rPr>
            </w:pPr>
            <w:r w:rsidRPr="009E22FE">
              <w:rPr>
                <w:rFonts w:ascii="Garamond" w:eastAsia="Times New Roman" w:hAnsi="Garamond"/>
                <w:b/>
                <w:bCs/>
                <w:sz w:val="18"/>
                <w:szCs w:val="18"/>
                <w:lang w:val="sq-AL"/>
              </w:rPr>
              <w:t>0%</w:t>
            </w:r>
          </w:p>
        </w:tc>
        <w:tc>
          <w:tcPr>
            <w:tcW w:w="1080" w:type="dxa"/>
            <w:tcBorders>
              <w:top w:val="nil"/>
              <w:left w:val="nil"/>
              <w:bottom w:val="single" w:sz="8" w:space="0" w:color="auto"/>
              <w:right w:val="single" w:sz="4" w:space="0" w:color="auto"/>
            </w:tcBorders>
            <w:shd w:val="clear" w:color="auto" w:fill="DDD9C3"/>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1080" w:type="dxa"/>
            <w:tcBorders>
              <w:top w:val="nil"/>
              <w:left w:val="nil"/>
              <w:bottom w:val="single" w:sz="8" w:space="0" w:color="auto"/>
              <w:right w:val="single" w:sz="4" w:space="0" w:color="auto"/>
            </w:tcBorders>
            <w:shd w:val="clear" w:color="auto" w:fill="E4DFEC"/>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1080" w:type="dxa"/>
            <w:tcBorders>
              <w:top w:val="nil"/>
              <w:left w:val="nil"/>
              <w:bottom w:val="single" w:sz="8" w:space="0" w:color="auto"/>
              <w:right w:val="single" w:sz="4" w:space="0" w:color="auto"/>
            </w:tcBorders>
            <w:shd w:val="clear" w:color="auto" w:fill="DDD9C3"/>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1080" w:type="dxa"/>
            <w:tcBorders>
              <w:top w:val="nil"/>
              <w:left w:val="nil"/>
              <w:bottom w:val="single" w:sz="8" w:space="0" w:color="auto"/>
              <w:right w:val="single" w:sz="8" w:space="0" w:color="auto"/>
            </w:tcBorders>
            <w:shd w:val="clear" w:color="auto" w:fill="E4DFEC"/>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r>
      <w:tr w:rsidR="009E22FE" w:rsidRPr="009E22FE" w:rsidTr="009E22FE">
        <w:trPr>
          <w:trHeight w:val="298"/>
          <w:jc w:val="center"/>
        </w:trPr>
        <w:tc>
          <w:tcPr>
            <w:tcW w:w="884" w:type="dxa"/>
            <w:vMerge w:val="restart"/>
            <w:tcBorders>
              <w:top w:val="nil"/>
              <w:left w:val="single" w:sz="8" w:space="0" w:color="auto"/>
              <w:bottom w:val="single" w:sz="4" w:space="0" w:color="auto"/>
              <w:right w:val="single" w:sz="8" w:space="0" w:color="auto"/>
            </w:tcBorders>
            <w:vAlign w:val="center"/>
            <w:hideMark/>
          </w:tcPr>
          <w:p w:rsidR="009E22FE" w:rsidRPr="009E22FE" w:rsidRDefault="009E22FE">
            <w:pPr>
              <w:spacing w:after="0" w:line="360" w:lineRule="auto"/>
              <w:ind w:firstLine="0"/>
              <w:jc w:val="center"/>
              <w:rPr>
                <w:rFonts w:ascii="Garamond" w:eastAsia="Times New Roman" w:hAnsi="Garamond"/>
                <w:sz w:val="18"/>
                <w:szCs w:val="18"/>
                <w:lang w:val="sq-AL"/>
              </w:rPr>
            </w:pPr>
            <w:r w:rsidRPr="009E22FE">
              <w:rPr>
                <w:rFonts w:ascii="Garamond" w:eastAsia="Times New Roman" w:hAnsi="Garamond"/>
                <w:sz w:val="18"/>
                <w:szCs w:val="18"/>
                <w:lang w:val="sq-AL"/>
              </w:rPr>
              <w:t xml:space="preserve">3. </w:t>
            </w:r>
          </w:p>
          <w:p w:rsidR="009E22FE" w:rsidRPr="009E22FE" w:rsidRDefault="009E22FE">
            <w:pPr>
              <w:spacing w:after="0" w:line="360" w:lineRule="auto"/>
              <w:ind w:firstLine="0"/>
              <w:jc w:val="center"/>
              <w:rPr>
                <w:rFonts w:ascii="Garamond" w:eastAsia="Times New Roman" w:hAnsi="Garamond"/>
                <w:sz w:val="18"/>
                <w:szCs w:val="18"/>
                <w:lang w:val="sq-AL"/>
              </w:rPr>
            </w:pPr>
            <w:r w:rsidRPr="009E22FE">
              <w:rPr>
                <w:rFonts w:ascii="Garamond" w:eastAsia="Times New Roman" w:hAnsi="Garamond"/>
                <w:sz w:val="18"/>
                <w:szCs w:val="18"/>
                <w:lang w:val="sq-AL"/>
              </w:rPr>
              <w:t>BRE-T</w:t>
            </w:r>
          </w:p>
        </w:tc>
        <w:tc>
          <w:tcPr>
            <w:tcW w:w="2250" w:type="dxa"/>
            <w:tcBorders>
              <w:top w:val="nil"/>
              <w:left w:val="nil"/>
              <w:bottom w:val="single" w:sz="4" w:space="0" w:color="auto"/>
              <w:right w:val="single" w:sz="4" w:space="0" w:color="auto"/>
            </w:tcBorders>
            <w:vAlign w:val="center"/>
            <w:hideMark/>
          </w:tcPr>
          <w:p w:rsidR="009E22FE" w:rsidRPr="009E22FE" w:rsidRDefault="009E22FE">
            <w:pPr>
              <w:spacing w:after="0" w:line="360" w:lineRule="auto"/>
              <w:ind w:firstLine="0"/>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Biokarburante FAME</w:t>
            </w:r>
          </w:p>
        </w:tc>
        <w:tc>
          <w:tcPr>
            <w:tcW w:w="1129" w:type="dxa"/>
            <w:tcBorders>
              <w:top w:val="nil"/>
              <w:left w:val="nil"/>
              <w:bottom w:val="single" w:sz="4" w:space="0" w:color="auto"/>
              <w:right w:val="single" w:sz="4" w:space="0" w:color="auto"/>
            </w:tcBorders>
            <w:vAlign w:val="center"/>
            <w:hideMark/>
          </w:tcPr>
          <w:p w:rsidR="009E22FE" w:rsidRPr="009E22FE" w:rsidRDefault="009E22FE">
            <w:pPr>
              <w:spacing w:after="0" w:line="36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75</w:t>
            </w:r>
          </w:p>
        </w:tc>
        <w:tc>
          <w:tcPr>
            <w:tcW w:w="1080" w:type="dxa"/>
            <w:tcBorders>
              <w:top w:val="nil"/>
              <w:left w:val="nil"/>
              <w:bottom w:val="single" w:sz="4" w:space="0" w:color="auto"/>
              <w:right w:val="single" w:sz="4" w:space="0" w:color="auto"/>
            </w:tcBorders>
            <w:shd w:val="clear" w:color="auto" w:fill="E4DFEC"/>
            <w:vAlign w:val="center"/>
            <w:hideMark/>
          </w:tcPr>
          <w:p w:rsidR="009E22FE" w:rsidRPr="009E22FE" w:rsidRDefault="009E22FE">
            <w:pPr>
              <w:spacing w:after="0" w:line="36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 </w:t>
            </w:r>
          </w:p>
        </w:tc>
        <w:tc>
          <w:tcPr>
            <w:tcW w:w="1080" w:type="dxa"/>
            <w:tcBorders>
              <w:top w:val="nil"/>
              <w:left w:val="nil"/>
              <w:bottom w:val="single" w:sz="4" w:space="0" w:color="auto"/>
              <w:right w:val="single" w:sz="4" w:space="0" w:color="auto"/>
            </w:tcBorders>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1080" w:type="dxa"/>
            <w:tcBorders>
              <w:top w:val="nil"/>
              <w:left w:val="nil"/>
              <w:bottom w:val="single" w:sz="4" w:space="0" w:color="auto"/>
              <w:right w:val="single" w:sz="4" w:space="0" w:color="auto"/>
            </w:tcBorders>
            <w:shd w:val="clear" w:color="auto" w:fill="E4DFEC"/>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1080" w:type="dxa"/>
            <w:tcBorders>
              <w:top w:val="nil"/>
              <w:left w:val="nil"/>
              <w:bottom w:val="single" w:sz="4" w:space="0" w:color="auto"/>
              <w:right w:val="single" w:sz="4" w:space="0" w:color="auto"/>
            </w:tcBorders>
            <w:vAlign w:val="center"/>
            <w:hideMark/>
          </w:tcPr>
          <w:p w:rsidR="009E22FE" w:rsidRPr="009E22FE" w:rsidRDefault="009E22FE">
            <w:pPr>
              <w:spacing w:after="0" w:line="360" w:lineRule="auto"/>
              <w:ind w:firstLine="0"/>
              <w:jc w:val="right"/>
              <w:rPr>
                <w:rFonts w:ascii="Garamond" w:eastAsia="Times New Roman" w:hAnsi="Garamond"/>
                <w:sz w:val="18"/>
                <w:szCs w:val="18"/>
                <w:lang w:val="sq-AL"/>
              </w:rPr>
            </w:pPr>
            <w:r w:rsidRPr="009E22FE">
              <w:rPr>
                <w:rFonts w:ascii="Garamond" w:eastAsia="Times New Roman" w:hAnsi="Garamond"/>
                <w:sz w:val="18"/>
                <w:szCs w:val="18"/>
                <w:lang w:val="sq-AL"/>
              </w:rPr>
              <w:t>-</w:t>
            </w:r>
          </w:p>
        </w:tc>
        <w:tc>
          <w:tcPr>
            <w:tcW w:w="1080" w:type="dxa"/>
            <w:tcBorders>
              <w:top w:val="nil"/>
              <w:left w:val="nil"/>
              <w:bottom w:val="single" w:sz="4" w:space="0" w:color="auto"/>
              <w:right w:val="single" w:sz="8" w:space="0" w:color="auto"/>
            </w:tcBorders>
            <w:shd w:val="clear" w:color="auto" w:fill="E4DFEC"/>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r>
      <w:tr w:rsidR="009E22FE" w:rsidRPr="009E22FE" w:rsidTr="009E22FE">
        <w:trPr>
          <w:trHeight w:val="298"/>
          <w:jc w:val="center"/>
        </w:trPr>
        <w:tc>
          <w:tcPr>
            <w:tcW w:w="0" w:type="auto"/>
            <w:vMerge/>
            <w:tcBorders>
              <w:top w:val="nil"/>
              <w:left w:val="single" w:sz="8" w:space="0" w:color="auto"/>
              <w:bottom w:val="single" w:sz="4" w:space="0" w:color="auto"/>
              <w:right w:val="single" w:sz="8" w:space="0" w:color="auto"/>
            </w:tcBorders>
            <w:vAlign w:val="center"/>
            <w:hideMark/>
          </w:tcPr>
          <w:p w:rsidR="009E22FE" w:rsidRPr="009E22FE" w:rsidRDefault="009E22FE">
            <w:pPr>
              <w:spacing w:after="0"/>
              <w:ind w:firstLine="0"/>
              <w:jc w:val="left"/>
              <w:rPr>
                <w:rFonts w:ascii="Garamond" w:eastAsia="Times New Roman" w:hAnsi="Garamond"/>
                <w:sz w:val="18"/>
                <w:szCs w:val="18"/>
                <w:lang w:val="sq-AL"/>
              </w:rPr>
            </w:pPr>
          </w:p>
        </w:tc>
        <w:tc>
          <w:tcPr>
            <w:tcW w:w="2250" w:type="dxa"/>
            <w:tcBorders>
              <w:top w:val="nil"/>
              <w:left w:val="nil"/>
              <w:bottom w:val="single" w:sz="4" w:space="0" w:color="auto"/>
              <w:right w:val="single" w:sz="4" w:space="0" w:color="auto"/>
            </w:tcBorders>
            <w:vAlign w:val="center"/>
            <w:hideMark/>
          </w:tcPr>
          <w:p w:rsidR="009E22FE" w:rsidRPr="009E22FE" w:rsidRDefault="009E22FE">
            <w:pPr>
              <w:spacing w:after="0" w:line="360" w:lineRule="auto"/>
              <w:ind w:firstLine="0"/>
              <w:jc w:val="right"/>
              <w:rPr>
                <w:rFonts w:ascii="Garamond" w:eastAsia="Times New Roman" w:hAnsi="Garamond"/>
                <w:sz w:val="18"/>
                <w:szCs w:val="18"/>
                <w:u w:val="single"/>
                <w:lang w:val="sq-AL"/>
              </w:rPr>
            </w:pPr>
            <w:r w:rsidRPr="009E22FE">
              <w:rPr>
                <w:rFonts w:ascii="Garamond" w:eastAsia="Times New Roman" w:hAnsi="Garamond"/>
                <w:sz w:val="18"/>
                <w:szCs w:val="18"/>
                <w:u w:val="single"/>
                <w:lang w:val="sq-AL"/>
              </w:rPr>
              <w:t xml:space="preserve">Total 3 (ktoe) </w:t>
            </w:r>
          </w:p>
        </w:tc>
        <w:tc>
          <w:tcPr>
            <w:tcW w:w="1129" w:type="dxa"/>
            <w:tcBorders>
              <w:top w:val="nil"/>
              <w:left w:val="nil"/>
              <w:bottom w:val="single" w:sz="4" w:space="0" w:color="auto"/>
              <w:right w:val="single" w:sz="4" w:space="0" w:color="auto"/>
            </w:tcBorders>
            <w:vAlign w:val="center"/>
            <w:hideMark/>
          </w:tcPr>
          <w:p w:rsidR="009E22FE" w:rsidRPr="009E22FE" w:rsidRDefault="009E22FE">
            <w:pPr>
              <w:spacing w:after="0" w:line="36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75</w:t>
            </w:r>
          </w:p>
        </w:tc>
        <w:tc>
          <w:tcPr>
            <w:tcW w:w="1080" w:type="dxa"/>
            <w:tcBorders>
              <w:top w:val="nil"/>
              <w:left w:val="nil"/>
              <w:bottom w:val="single" w:sz="4" w:space="0" w:color="auto"/>
              <w:right w:val="single" w:sz="4" w:space="0" w:color="auto"/>
            </w:tcBorders>
            <w:shd w:val="clear" w:color="auto" w:fill="E4DFEC"/>
            <w:vAlign w:val="center"/>
            <w:hideMark/>
          </w:tcPr>
          <w:p w:rsidR="009E22FE" w:rsidRPr="009E22FE" w:rsidRDefault="009E22FE">
            <w:pPr>
              <w:spacing w:after="0" w:line="36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65.0</w:t>
            </w:r>
          </w:p>
        </w:tc>
        <w:tc>
          <w:tcPr>
            <w:tcW w:w="1080" w:type="dxa"/>
            <w:tcBorders>
              <w:top w:val="nil"/>
              <w:left w:val="nil"/>
              <w:bottom w:val="single" w:sz="4" w:space="0" w:color="auto"/>
              <w:right w:val="single" w:sz="4" w:space="0" w:color="auto"/>
            </w:tcBorders>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1080" w:type="dxa"/>
            <w:tcBorders>
              <w:top w:val="nil"/>
              <w:left w:val="nil"/>
              <w:bottom w:val="single" w:sz="4" w:space="0" w:color="auto"/>
              <w:right w:val="single" w:sz="4" w:space="0" w:color="auto"/>
            </w:tcBorders>
            <w:shd w:val="clear" w:color="auto" w:fill="E4DFEC"/>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1080" w:type="dxa"/>
            <w:tcBorders>
              <w:top w:val="nil"/>
              <w:left w:val="nil"/>
              <w:bottom w:val="single" w:sz="4" w:space="0" w:color="auto"/>
              <w:right w:val="single" w:sz="4" w:space="0" w:color="auto"/>
            </w:tcBorders>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1080" w:type="dxa"/>
            <w:tcBorders>
              <w:top w:val="nil"/>
              <w:left w:val="nil"/>
              <w:bottom w:val="single" w:sz="4" w:space="0" w:color="auto"/>
              <w:right w:val="single" w:sz="8" w:space="0" w:color="auto"/>
            </w:tcBorders>
            <w:shd w:val="clear" w:color="auto" w:fill="E4DFEC"/>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r>
      <w:tr w:rsidR="009E22FE" w:rsidRPr="009E22FE" w:rsidTr="009E22FE">
        <w:trPr>
          <w:trHeight w:val="313"/>
          <w:jc w:val="center"/>
        </w:trPr>
        <w:tc>
          <w:tcPr>
            <w:tcW w:w="0" w:type="auto"/>
            <w:vMerge/>
            <w:tcBorders>
              <w:top w:val="nil"/>
              <w:left w:val="single" w:sz="8" w:space="0" w:color="auto"/>
              <w:bottom w:val="single" w:sz="4" w:space="0" w:color="auto"/>
              <w:right w:val="single" w:sz="8" w:space="0" w:color="auto"/>
            </w:tcBorders>
            <w:vAlign w:val="center"/>
            <w:hideMark/>
          </w:tcPr>
          <w:p w:rsidR="009E22FE" w:rsidRPr="009E22FE" w:rsidRDefault="009E22FE">
            <w:pPr>
              <w:spacing w:after="0"/>
              <w:ind w:firstLine="0"/>
              <w:jc w:val="left"/>
              <w:rPr>
                <w:rFonts w:ascii="Garamond" w:eastAsia="Times New Roman" w:hAnsi="Garamond"/>
                <w:sz w:val="18"/>
                <w:szCs w:val="18"/>
                <w:lang w:val="sq-AL"/>
              </w:rPr>
            </w:pPr>
          </w:p>
        </w:tc>
        <w:tc>
          <w:tcPr>
            <w:tcW w:w="2250" w:type="dxa"/>
            <w:tcBorders>
              <w:top w:val="nil"/>
              <w:left w:val="nil"/>
              <w:bottom w:val="single" w:sz="8" w:space="0" w:color="auto"/>
              <w:right w:val="single" w:sz="4" w:space="0" w:color="auto"/>
            </w:tcBorders>
            <w:shd w:val="clear" w:color="auto" w:fill="DDD9C3"/>
            <w:vAlign w:val="center"/>
            <w:hideMark/>
          </w:tcPr>
          <w:p w:rsidR="009E22FE" w:rsidRPr="009E22FE" w:rsidRDefault="009E22FE">
            <w:pPr>
              <w:spacing w:after="0" w:line="360" w:lineRule="auto"/>
              <w:ind w:firstLine="0"/>
              <w:jc w:val="right"/>
              <w:rPr>
                <w:rFonts w:ascii="Garamond" w:eastAsia="Times New Roman" w:hAnsi="Garamond"/>
                <w:sz w:val="18"/>
                <w:szCs w:val="18"/>
                <w:u w:val="single"/>
                <w:lang w:val="sq-AL"/>
              </w:rPr>
            </w:pPr>
            <w:r w:rsidRPr="009E22FE">
              <w:rPr>
                <w:rFonts w:ascii="Garamond" w:eastAsia="Times New Roman" w:hAnsi="Garamond"/>
                <w:sz w:val="18"/>
                <w:szCs w:val="18"/>
                <w:u w:val="single"/>
                <w:lang w:val="sq-AL"/>
              </w:rPr>
              <w:t>% në KFBE</w:t>
            </w:r>
          </w:p>
        </w:tc>
        <w:tc>
          <w:tcPr>
            <w:tcW w:w="1129" w:type="dxa"/>
            <w:tcBorders>
              <w:top w:val="nil"/>
              <w:left w:val="nil"/>
              <w:bottom w:val="single" w:sz="8" w:space="0" w:color="auto"/>
              <w:right w:val="single" w:sz="4" w:space="0" w:color="auto"/>
            </w:tcBorders>
            <w:shd w:val="clear" w:color="auto" w:fill="DDD9C3"/>
            <w:vAlign w:val="center"/>
            <w:hideMark/>
          </w:tcPr>
          <w:p w:rsidR="009E22FE" w:rsidRPr="009E22FE" w:rsidRDefault="009E22FE">
            <w:pPr>
              <w:spacing w:after="0" w:line="360" w:lineRule="auto"/>
              <w:ind w:firstLine="0"/>
              <w:jc w:val="right"/>
              <w:rPr>
                <w:rFonts w:ascii="Garamond" w:eastAsia="Times New Roman" w:hAnsi="Garamond"/>
                <w:b/>
                <w:bCs/>
                <w:sz w:val="18"/>
                <w:szCs w:val="18"/>
                <w:lang w:val="sq-AL"/>
              </w:rPr>
            </w:pPr>
            <w:r w:rsidRPr="009E22FE">
              <w:rPr>
                <w:rFonts w:ascii="Garamond" w:eastAsia="Times New Roman" w:hAnsi="Garamond"/>
                <w:b/>
                <w:bCs/>
                <w:sz w:val="18"/>
                <w:szCs w:val="18"/>
                <w:lang w:val="sq-AL"/>
              </w:rPr>
              <w:t>3%</w:t>
            </w:r>
          </w:p>
        </w:tc>
        <w:tc>
          <w:tcPr>
            <w:tcW w:w="1080" w:type="dxa"/>
            <w:tcBorders>
              <w:top w:val="nil"/>
              <w:left w:val="nil"/>
              <w:bottom w:val="single" w:sz="8" w:space="0" w:color="auto"/>
              <w:right w:val="single" w:sz="4" w:space="0" w:color="auto"/>
            </w:tcBorders>
            <w:shd w:val="clear" w:color="auto" w:fill="E4DFEC"/>
            <w:vAlign w:val="center"/>
            <w:hideMark/>
          </w:tcPr>
          <w:p w:rsidR="009E22FE" w:rsidRPr="009E22FE" w:rsidRDefault="009E22FE">
            <w:pPr>
              <w:spacing w:after="0" w:line="360" w:lineRule="auto"/>
              <w:ind w:firstLine="0"/>
              <w:jc w:val="right"/>
              <w:rPr>
                <w:rFonts w:ascii="Garamond" w:eastAsia="Times New Roman" w:hAnsi="Garamond"/>
                <w:b/>
                <w:bCs/>
                <w:sz w:val="18"/>
                <w:szCs w:val="18"/>
                <w:lang w:val="sq-AL"/>
              </w:rPr>
            </w:pPr>
            <w:r w:rsidRPr="009E22FE">
              <w:rPr>
                <w:rFonts w:ascii="Garamond" w:eastAsia="Times New Roman" w:hAnsi="Garamond"/>
                <w:b/>
                <w:bCs/>
                <w:sz w:val="18"/>
                <w:szCs w:val="18"/>
                <w:lang w:val="sq-AL"/>
              </w:rPr>
              <w:t>3%</w:t>
            </w:r>
          </w:p>
        </w:tc>
        <w:tc>
          <w:tcPr>
            <w:tcW w:w="1080" w:type="dxa"/>
            <w:tcBorders>
              <w:top w:val="nil"/>
              <w:left w:val="nil"/>
              <w:bottom w:val="single" w:sz="8" w:space="0" w:color="auto"/>
              <w:right w:val="single" w:sz="4" w:space="0" w:color="auto"/>
            </w:tcBorders>
            <w:shd w:val="clear" w:color="auto" w:fill="DDD9C3"/>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1080" w:type="dxa"/>
            <w:tcBorders>
              <w:top w:val="nil"/>
              <w:left w:val="nil"/>
              <w:bottom w:val="single" w:sz="8" w:space="0" w:color="auto"/>
              <w:right w:val="single" w:sz="4" w:space="0" w:color="auto"/>
            </w:tcBorders>
            <w:shd w:val="clear" w:color="auto" w:fill="E4DFEC"/>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1080" w:type="dxa"/>
            <w:tcBorders>
              <w:top w:val="nil"/>
              <w:left w:val="nil"/>
              <w:bottom w:val="single" w:sz="8" w:space="0" w:color="auto"/>
              <w:right w:val="single" w:sz="4" w:space="0" w:color="auto"/>
            </w:tcBorders>
            <w:shd w:val="clear" w:color="auto" w:fill="DDD9C3"/>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1080" w:type="dxa"/>
            <w:tcBorders>
              <w:top w:val="nil"/>
              <w:left w:val="nil"/>
              <w:bottom w:val="single" w:sz="8" w:space="0" w:color="auto"/>
              <w:right w:val="single" w:sz="8" w:space="0" w:color="auto"/>
            </w:tcBorders>
            <w:shd w:val="clear" w:color="auto" w:fill="E4DFEC"/>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r>
      <w:tr w:rsidR="009E22FE" w:rsidRPr="009E22FE" w:rsidTr="009E22FE">
        <w:trPr>
          <w:trHeight w:val="298"/>
          <w:jc w:val="center"/>
        </w:trPr>
        <w:tc>
          <w:tcPr>
            <w:tcW w:w="884" w:type="dxa"/>
            <w:vMerge w:val="restart"/>
            <w:tcBorders>
              <w:top w:val="nil"/>
              <w:left w:val="single" w:sz="8" w:space="0" w:color="auto"/>
              <w:bottom w:val="single" w:sz="8" w:space="0" w:color="000000"/>
              <w:right w:val="single" w:sz="8" w:space="0" w:color="auto"/>
            </w:tcBorders>
            <w:vAlign w:val="center"/>
            <w:hideMark/>
          </w:tcPr>
          <w:p w:rsidR="009E22FE" w:rsidRPr="009E22FE" w:rsidRDefault="009E22FE">
            <w:pPr>
              <w:spacing w:after="0" w:line="360" w:lineRule="auto"/>
              <w:ind w:firstLine="0"/>
              <w:jc w:val="center"/>
              <w:rPr>
                <w:rFonts w:ascii="Garamond" w:eastAsia="Times New Roman" w:hAnsi="Garamond"/>
                <w:sz w:val="18"/>
                <w:szCs w:val="18"/>
                <w:lang w:val="sq-AL"/>
              </w:rPr>
            </w:pPr>
            <w:r w:rsidRPr="009E22FE">
              <w:rPr>
                <w:rFonts w:ascii="Garamond" w:eastAsia="Times New Roman" w:hAnsi="Garamond"/>
                <w:sz w:val="18"/>
                <w:szCs w:val="18"/>
                <w:lang w:val="sq-AL"/>
              </w:rPr>
              <w:t>BER</w:t>
            </w:r>
          </w:p>
        </w:tc>
        <w:tc>
          <w:tcPr>
            <w:tcW w:w="2250" w:type="dxa"/>
            <w:tcBorders>
              <w:top w:val="nil"/>
              <w:left w:val="nil"/>
              <w:bottom w:val="single" w:sz="4" w:space="0" w:color="auto"/>
              <w:right w:val="single" w:sz="4" w:space="0" w:color="auto"/>
            </w:tcBorders>
            <w:noWrap/>
            <w:vAlign w:val="center"/>
            <w:hideMark/>
          </w:tcPr>
          <w:p w:rsidR="009E22FE" w:rsidRPr="009E22FE" w:rsidRDefault="009E22FE">
            <w:pPr>
              <w:spacing w:after="0" w:line="360" w:lineRule="auto"/>
              <w:ind w:firstLine="0"/>
              <w:jc w:val="left"/>
              <w:rPr>
                <w:rFonts w:ascii="Garamond" w:eastAsia="Times New Roman" w:hAnsi="Garamond"/>
                <w:b/>
                <w:bCs/>
                <w:sz w:val="18"/>
                <w:szCs w:val="18"/>
                <w:u w:val="single"/>
                <w:lang w:val="sq-AL"/>
              </w:rPr>
            </w:pPr>
            <w:r w:rsidRPr="009E22FE">
              <w:rPr>
                <w:rFonts w:ascii="Garamond" w:eastAsia="Times New Roman" w:hAnsi="Garamond"/>
                <w:b/>
                <w:bCs/>
                <w:sz w:val="18"/>
                <w:szCs w:val="18"/>
                <w:u w:val="single"/>
                <w:lang w:val="sq-AL"/>
              </w:rPr>
              <w:t xml:space="preserve">Total 1+2+3 </w:t>
            </w:r>
          </w:p>
        </w:tc>
        <w:tc>
          <w:tcPr>
            <w:tcW w:w="1129" w:type="dxa"/>
            <w:tcBorders>
              <w:top w:val="nil"/>
              <w:left w:val="nil"/>
              <w:bottom w:val="single" w:sz="4" w:space="0" w:color="auto"/>
              <w:right w:val="single" w:sz="4" w:space="0" w:color="auto"/>
            </w:tcBorders>
            <w:noWrap/>
            <w:vAlign w:val="center"/>
            <w:hideMark/>
          </w:tcPr>
          <w:p w:rsidR="009E22FE" w:rsidRPr="009E22FE" w:rsidRDefault="009E22FE">
            <w:pPr>
              <w:spacing w:after="0" w:line="36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397</w:t>
            </w:r>
          </w:p>
        </w:tc>
        <w:tc>
          <w:tcPr>
            <w:tcW w:w="1080" w:type="dxa"/>
            <w:tcBorders>
              <w:top w:val="nil"/>
              <w:left w:val="nil"/>
              <w:bottom w:val="single" w:sz="4" w:space="0" w:color="auto"/>
              <w:right w:val="single" w:sz="4" w:space="0" w:color="auto"/>
            </w:tcBorders>
            <w:shd w:val="clear" w:color="auto" w:fill="E4DFEC"/>
            <w:noWrap/>
            <w:vAlign w:val="center"/>
            <w:hideMark/>
          </w:tcPr>
          <w:p w:rsidR="009E22FE" w:rsidRPr="009E22FE" w:rsidRDefault="009E22FE">
            <w:pPr>
              <w:spacing w:after="0" w:line="36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i/>
                <w:iCs/>
                <w:sz w:val="18"/>
                <w:szCs w:val="18"/>
                <w:u w:val="single"/>
                <w:lang w:val="sq-AL"/>
              </w:rPr>
              <w:t>233.8</w:t>
            </w:r>
          </w:p>
        </w:tc>
        <w:tc>
          <w:tcPr>
            <w:tcW w:w="1080" w:type="dxa"/>
            <w:tcBorders>
              <w:top w:val="nil"/>
              <w:left w:val="nil"/>
              <w:bottom w:val="single" w:sz="4" w:space="0" w:color="auto"/>
              <w:right w:val="single" w:sz="4" w:space="0" w:color="auto"/>
            </w:tcBorders>
            <w:noWrap/>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1080" w:type="dxa"/>
            <w:tcBorders>
              <w:top w:val="nil"/>
              <w:left w:val="nil"/>
              <w:bottom w:val="single" w:sz="4" w:space="0" w:color="auto"/>
              <w:right w:val="single" w:sz="4" w:space="0" w:color="auto"/>
            </w:tcBorders>
            <w:shd w:val="clear" w:color="auto" w:fill="E4DFEC"/>
            <w:noWrap/>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1080" w:type="dxa"/>
            <w:tcBorders>
              <w:top w:val="nil"/>
              <w:left w:val="nil"/>
              <w:bottom w:val="single" w:sz="4" w:space="0" w:color="auto"/>
              <w:right w:val="single" w:sz="4" w:space="0" w:color="auto"/>
            </w:tcBorders>
            <w:noWrap/>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1080" w:type="dxa"/>
            <w:tcBorders>
              <w:top w:val="nil"/>
              <w:left w:val="nil"/>
              <w:bottom w:val="single" w:sz="4" w:space="0" w:color="auto"/>
              <w:right w:val="single" w:sz="8" w:space="0" w:color="auto"/>
            </w:tcBorders>
            <w:shd w:val="clear" w:color="auto" w:fill="E4DFEC"/>
            <w:noWrap/>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r>
      <w:tr w:rsidR="009E22FE" w:rsidRPr="009E22FE" w:rsidTr="009E22FE">
        <w:trPr>
          <w:trHeight w:val="298"/>
          <w:jc w:val="center"/>
        </w:trPr>
        <w:tc>
          <w:tcPr>
            <w:tcW w:w="0" w:type="auto"/>
            <w:vMerge/>
            <w:tcBorders>
              <w:top w:val="nil"/>
              <w:left w:val="single" w:sz="8" w:space="0" w:color="auto"/>
              <w:bottom w:val="single" w:sz="8" w:space="0" w:color="000000"/>
              <w:right w:val="single" w:sz="8" w:space="0" w:color="auto"/>
            </w:tcBorders>
            <w:vAlign w:val="center"/>
            <w:hideMark/>
          </w:tcPr>
          <w:p w:rsidR="009E22FE" w:rsidRPr="009E22FE" w:rsidRDefault="009E22FE">
            <w:pPr>
              <w:spacing w:after="0"/>
              <w:ind w:firstLine="0"/>
              <w:jc w:val="left"/>
              <w:rPr>
                <w:rFonts w:ascii="Garamond" w:eastAsia="Times New Roman" w:hAnsi="Garamond"/>
                <w:sz w:val="18"/>
                <w:szCs w:val="18"/>
                <w:lang w:val="sq-AL"/>
              </w:rPr>
            </w:pPr>
          </w:p>
        </w:tc>
        <w:tc>
          <w:tcPr>
            <w:tcW w:w="2250" w:type="dxa"/>
            <w:tcBorders>
              <w:top w:val="nil"/>
              <w:left w:val="nil"/>
              <w:bottom w:val="single" w:sz="8" w:space="0" w:color="auto"/>
              <w:right w:val="single" w:sz="4" w:space="0" w:color="auto"/>
            </w:tcBorders>
            <w:noWrap/>
            <w:vAlign w:val="center"/>
            <w:hideMark/>
          </w:tcPr>
          <w:p w:rsidR="009E22FE" w:rsidRPr="009E22FE" w:rsidRDefault="009E22FE">
            <w:pPr>
              <w:spacing w:after="0" w:line="360" w:lineRule="auto"/>
              <w:ind w:firstLine="0"/>
              <w:jc w:val="left"/>
              <w:rPr>
                <w:rFonts w:ascii="Garamond" w:eastAsia="Times New Roman" w:hAnsi="Garamond"/>
                <w:b/>
                <w:bCs/>
                <w:sz w:val="18"/>
                <w:szCs w:val="18"/>
                <w:u w:val="single"/>
                <w:lang w:val="sq-AL"/>
              </w:rPr>
            </w:pPr>
            <w:r w:rsidRPr="009E22FE">
              <w:rPr>
                <w:rFonts w:ascii="Garamond" w:eastAsia="Times New Roman" w:hAnsi="Garamond"/>
                <w:b/>
                <w:bCs/>
                <w:sz w:val="18"/>
                <w:szCs w:val="18"/>
                <w:u w:val="single"/>
                <w:lang w:val="sq-AL"/>
              </w:rPr>
              <w:t>% në KFBE</w:t>
            </w:r>
          </w:p>
        </w:tc>
        <w:tc>
          <w:tcPr>
            <w:tcW w:w="1129" w:type="dxa"/>
            <w:tcBorders>
              <w:top w:val="nil"/>
              <w:left w:val="nil"/>
              <w:bottom w:val="single" w:sz="8" w:space="0" w:color="auto"/>
              <w:right w:val="single" w:sz="4" w:space="0" w:color="auto"/>
            </w:tcBorders>
            <w:noWrap/>
            <w:vAlign w:val="center"/>
            <w:hideMark/>
          </w:tcPr>
          <w:p w:rsidR="009E22FE" w:rsidRPr="009E22FE" w:rsidRDefault="009E22FE">
            <w:pPr>
              <w:spacing w:after="0" w:line="36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sz w:val="18"/>
                <w:szCs w:val="18"/>
                <w:lang w:val="sq-AL"/>
              </w:rPr>
              <w:t>38%</w:t>
            </w:r>
          </w:p>
        </w:tc>
        <w:tc>
          <w:tcPr>
            <w:tcW w:w="1080" w:type="dxa"/>
            <w:tcBorders>
              <w:top w:val="nil"/>
              <w:left w:val="nil"/>
              <w:bottom w:val="single" w:sz="8" w:space="0" w:color="auto"/>
              <w:right w:val="single" w:sz="4" w:space="0" w:color="auto"/>
            </w:tcBorders>
            <w:shd w:val="clear" w:color="auto" w:fill="E4DFEC"/>
            <w:noWrap/>
            <w:vAlign w:val="center"/>
            <w:hideMark/>
          </w:tcPr>
          <w:p w:rsidR="009E22FE" w:rsidRPr="009E22FE" w:rsidRDefault="009E22FE">
            <w:pPr>
              <w:spacing w:after="0" w:line="360" w:lineRule="auto"/>
              <w:ind w:firstLine="0"/>
              <w:jc w:val="right"/>
              <w:rPr>
                <w:rFonts w:ascii="Garamond" w:eastAsia="Times New Roman" w:hAnsi="Garamond"/>
                <w:b/>
                <w:bCs/>
                <w:i/>
                <w:iCs/>
                <w:sz w:val="18"/>
                <w:szCs w:val="18"/>
                <w:u w:val="single"/>
                <w:lang w:val="sq-AL"/>
              </w:rPr>
            </w:pPr>
            <w:r w:rsidRPr="009E22FE">
              <w:rPr>
                <w:rFonts w:ascii="Garamond" w:eastAsia="Times New Roman" w:hAnsi="Garamond"/>
                <w:b/>
                <w:bCs/>
                <w:sz w:val="18"/>
                <w:szCs w:val="18"/>
                <w:lang w:val="sq-AL"/>
              </w:rPr>
              <w:t> 38%</w:t>
            </w:r>
          </w:p>
        </w:tc>
        <w:tc>
          <w:tcPr>
            <w:tcW w:w="1080" w:type="dxa"/>
            <w:tcBorders>
              <w:top w:val="nil"/>
              <w:left w:val="nil"/>
              <w:bottom w:val="single" w:sz="8" w:space="0" w:color="auto"/>
              <w:right w:val="single" w:sz="4" w:space="0" w:color="auto"/>
            </w:tcBorders>
            <w:noWrap/>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1080" w:type="dxa"/>
            <w:tcBorders>
              <w:top w:val="nil"/>
              <w:left w:val="nil"/>
              <w:bottom w:val="single" w:sz="8" w:space="0" w:color="auto"/>
              <w:right w:val="single" w:sz="4" w:space="0" w:color="auto"/>
            </w:tcBorders>
            <w:shd w:val="clear" w:color="auto" w:fill="E4DFEC"/>
            <w:noWrap/>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1080" w:type="dxa"/>
            <w:tcBorders>
              <w:top w:val="nil"/>
              <w:left w:val="nil"/>
              <w:bottom w:val="single" w:sz="8" w:space="0" w:color="auto"/>
              <w:right w:val="single" w:sz="4" w:space="0" w:color="auto"/>
            </w:tcBorders>
            <w:noWrap/>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c>
          <w:tcPr>
            <w:tcW w:w="1080" w:type="dxa"/>
            <w:tcBorders>
              <w:top w:val="nil"/>
              <w:left w:val="nil"/>
              <w:bottom w:val="single" w:sz="8" w:space="0" w:color="auto"/>
              <w:right w:val="single" w:sz="8" w:space="0" w:color="auto"/>
            </w:tcBorders>
            <w:shd w:val="clear" w:color="auto" w:fill="E4DFEC"/>
            <w:noWrap/>
            <w:vAlign w:val="center"/>
            <w:hideMark/>
          </w:tcPr>
          <w:p w:rsidR="009E22FE" w:rsidRPr="009E22FE" w:rsidRDefault="009E22FE">
            <w:pPr>
              <w:spacing w:after="0" w:line="360" w:lineRule="auto"/>
              <w:ind w:firstLine="0"/>
              <w:jc w:val="right"/>
              <w:rPr>
                <w:rFonts w:ascii="Garamond" w:eastAsia="Times New Roman" w:hAnsi="Garamond"/>
                <w:b/>
                <w:bCs/>
                <w:i/>
                <w:iCs/>
                <w:sz w:val="18"/>
                <w:szCs w:val="18"/>
                <w:lang w:val="sq-AL"/>
              </w:rPr>
            </w:pPr>
            <w:r w:rsidRPr="009E22FE">
              <w:rPr>
                <w:rFonts w:ascii="Garamond" w:eastAsia="Times New Roman" w:hAnsi="Garamond"/>
                <w:b/>
                <w:bCs/>
                <w:i/>
                <w:iCs/>
                <w:sz w:val="18"/>
                <w:szCs w:val="18"/>
                <w:lang w:val="sq-AL"/>
              </w:rPr>
              <w:t> </w:t>
            </w:r>
          </w:p>
        </w:tc>
      </w:tr>
    </w:tbl>
    <w:p w:rsidR="009E22FE" w:rsidRPr="009E22FE" w:rsidRDefault="009E22FE" w:rsidP="009E22FE">
      <w:pPr>
        <w:pStyle w:val="Heading4"/>
        <w:numPr>
          <w:ilvl w:val="0"/>
          <w:numId w:val="0"/>
        </w:numPr>
        <w:spacing w:before="0"/>
        <w:ind w:left="284"/>
        <w:rPr>
          <w:rFonts w:ascii="Garamond" w:hAnsi="Garamond"/>
          <w:b/>
          <w:bCs/>
          <w:i w:val="0"/>
          <w:snapToGrid w:val="0"/>
          <w:color w:val="auto"/>
          <w:lang w:val="sq-AL"/>
        </w:rPr>
      </w:pPr>
    </w:p>
    <w:p w:rsidR="009E22FE" w:rsidRPr="009E22FE" w:rsidRDefault="009E22FE" w:rsidP="009E22FE">
      <w:pPr>
        <w:pStyle w:val="Heading4"/>
        <w:numPr>
          <w:ilvl w:val="0"/>
          <w:numId w:val="0"/>
        </w:numPr>
        <w:spacing w:before="0"/>
        <w:ind w:left="284"/>
        <w:rPr>
          <w:rFonts w:ascii="Garamond" w:hAnsi="Garamond"/>
          <w:b/>
          <w:bCs/>
          <w:i w:val="0"/>
          <w:snapToGrid w:val="0"/>
          <w:color w:val="auto"/>
          <w:spacing w:val="-4"/>
          <w:sz w:val="24"/>
          <w:szCs w:val="24"/>
          <w:lang w:val="sq-AL"/>
        </w:rPr>
      </w:pPr>
      <w:r w:rsidRPr="009E22FE">
        <w:rPr>
          <w:rFonts w:ascii="Garamond" w:hAnsi="Garamond"/>
          <w:i w:val="0"/>
          <w:snapToGrid w:val="0"/>
          <w:color w:val="auto"/>
          <w:spacing w:val="-4"/>
          <w:sz w:val="24"/>
          <w:szCs w:val="24"/>
          <w:lang w:val="sq-AL"/>
        </w:rPr>
        <w:t xml:space="preserve">3.2.1 </w:t>
      </w:r>
      <w:r w:rsidRPr="009E22FE">
        <w:rPr>
          <w:rFonts w:ascii="Garamond" w:hAnsi="Garamond"/>
          <w:i w:val="0"/>
          <w:color w:val="auto"/>
          <w:spacing w:val="-4"/>
          <w:sz w:val="24"/>
          <w:szCs w:val="24"/>
          <w:lang w:val="sq-AL"/>
        </w:rPr>
        <w:t>Energjia</w:t>
      </w:r>
      <w:r w:rsidRPr="009E22FE">
        <w:rPr>
          <w:rFonts w:ascii="Garamond" w:hAnsi="Garamond"/>
          <w:i w:val="0"/>
          <w:snapToGrid w:val="0"/>
          <w:color w:val="auto"/>
          <w:spacing w:val="-4"/>
          <w:sz w:val="24"/>
          <w:szCs w:val="24"/>
          <w:lang w:val="sq-AL"/>
        </w:rPr>
        <w:t xml:space="preserve"> e </w:t>
      </w:r>
      <w:r w:rsidRPr="009E22FE">
        <w:rPr>
          <w:rFonts w:ascii="Garamond" w:hAnsi="Garamond"/>
          <w:i w:val="0"/>
          <w:color w:val="auto"/>
          <w:spacing w:val="-4"/>
          <w:sz w:val="24"/>
          <w:szCs w:val="24"/>
          <w:lang w:val="sq-AL"/>
        </w:rPr>
        <w:t>rinovueshme</w:t>
      </w:r>
      <w:r w:rsidRPr="009E22FE">
        <w:rPr>
          <w:rFonts w:ascii="Garamond" w:hAnsi="Garamond"/>
          <w:i w:val="0"/>
          <w:snapToGrid w:val="0"/>
          <w:color w:val="auto"/>
          <w:spacing w:val="-4"/>
          <w:sz w:val="24"/>
          <w:szCs w:val="24"/>
          <w:lang w:val="sq-AL"/>
        </w:rPr>
        <w:t xml:space="preserve"> për sektorin e transportit (BRE-T)</w:t>
      </w:r>
    </w:p>
    <w:p w:rsidR="009E22FE" w:rsidRPr="009E22FE" w:rsidRDefault="009E22FE" w:rsidP="009E22FE">
      <w:pPr>
        <w:spacing w:after="0" w:line="240" w:lineRule="auto"/>
        <w:rPr>
          <w:rFonts w:ascii="Garamond" w:hAnsi="Garamond"/>
          <w:snapToGrid w:val="0"/>
          <w:spacing w:val="-4"/>
          <w:sz w:val="24"/>
          <w:szCs w:val="24"/>
          <w:lang w:val="sq-AL"/>
        </w:rPr>
      </w:pPr>
      <w:r w:rsidRPr="009E22FE">
        <w:rPr>
          <w:rFonts w:ascii="Garamond" w:hAnsi="Garamond"/>
          <w:snapToGrid w:val="0"/>
          <w:spacing w:val="-4"/>
          <w:sz w:val="24"/>
          <w:szCs w:val="24"/>
          <w:lang w:val="sq-AL"/>
        </w:rPr>
        <w:t>Me qëllim arritjen e objektivit kombëtar të konsumit të BRE-ve prej 38% në vitin 2020 është e domosdoshme prodhimi në territorin e Shqipërisë të sasisë prej 3% të KFBE-së ose përzierjen në masën deri 7% në volumin e karburanteve të lëndëve djegëse të rinovueshme (FAME), që konsumohen në sektorin e transporteve. Kjo sasi është e barabartë me të paktën 65 ktoe (65,000 tonë/vit FAME) për sektorin e transportit në vitin 2020. Kjo sasi e pjesës së rinovueshme në biokarburante merr në konsideratë rritjen me të paktën në 10,000 tonë në vitin 2020 krahasuar me vitin 2015.</w:t>
      </w:r>
    </w:p>
    <w:p w:rsidR="009E22FE" w:rsidRPr="009E22FE" w:rsidRDefault="009E22FE" w:rsidP="009E22FE">
      <w:pPr>
        <w:pStyle w:val="Heading4"/>
        <w:numPr>
          <w:ilvl w:val="0"/>
          <w:numId w:val="0"/>
        </w:numPr>
        <w:spacing w:before="0"/>
        <w:ind w:left="284"/>
        <w:rPr>
          <w:rFonts w:ascii="Garamond" w:hAnsi="Garamond"/>
          <w:b/>
          <w:i w:val="0"/>
          <w:snapToGrid w:val="0"/>
          <w:color w:val="auto"/>
          <w:spacing w:val="-4"/>
          <w:sz w:val="24"/>
          <w:szCs w:val="24"/>
          <w:lang w:val="sq-AL"/>
        </w:rPr>
      </w:pPr>
      <w:r w:rsidRPr="009E22FE">
        <w:rPr>
          <w:rFonts w:ascii="Garamond" w:hAnsi="Garamond"/>
          <w:i w:val="0"/>
          <w:snapToGrid w:val="0"/>
          <w:color w:val="auto"/>
          <w:spacing w:val="-4"/>
          <w:sz w:val="24"/>
          <w:szCs w:val="24"/>
          <w:lang w:val="sq-AL"/>
        </w:rPr>
        <w:t>3.2.2 Energjia e rinovueshme për ngrohjen dhe ftohjen (BRE-N&amp;F)</w:t>
      </w:r>
    </w:p>
    <w:p w:rsidR="009E22FE" w:rsidRPr="009E22FE" w:rsidRDefault="009E22FE" w:rsidP="009E22FE">
      <w:pPr>
        <w:pStyle w:val="Heading4"/>
        <w:numPr>
          <w:ilvl w:val="0"/>
          <w:numId w:val="0"/>
        </w:numPr>
        <w:spacing w:before="0"/>
        <w:ind w:left="284"/>
        <w:rPr>
          <w:rFonts w:ascii="Garamond" w:hAnsi="Garamond"/>
          <w:b/>
          <w:i w:val="0"/>
          <w:snapToGrid w:val="0"/>
          <w:color w:val="auto"/>
          <w:spacing w:val="-4"/>
          <w:sz w:val="24"/>
          <w:szCs w:val="24"/>
          <w:lang w:val="sq-AL"/>
        </w:rPr>
      </w:pPr>
      <w:r w:rsidRPr="009E22FE">
        <w:rPr>
          <w:rFonts w:ascii="Garamond" w:hAnsi="Garamond"/>
          <w:i w:val="0"/>
          <w:snapToGrid w:val="0"/>
          <w:color w:val="auto"/>
          <w:spacing w:val="-4"/>
          <w:sz w:val="24"/>
          <w:szCs w:val="24"/>
          <w:lang w:val="sq-AL"/>
        </w:rPr>
        <w:t xml:space="preserve">Me qëllim arritjen e objektivit kombëtar të konsumit të BRE-ve prej 38% në vitin 2020 nuk është më e domosdoshme rritja e konsumit nga biomasa, kështu që pjesa në KFBE reflektohet 0% rritje në sektorin e ngrohjes dhe të ftohjes, BER-N&amp;F. Kjo do të thotë që nuk do të ketë rritje shtesë të sasisë së nxehtësisë pra 0 gwh/vit në vitin 2020 ose rritje në konsumin vjetor të BER-N&amp;F prej 0 ktoe nxehtësi nga biomasa drusore/ industriale/mbetjet. </w:t>
      </w:r>
    </w:p>
    <w:p w:rsidR="009E22FE" w:rsidRPr="009E22FE" w:rsidRDefault="009E22FE" w:rsidP="009E22FE">
      <w:pPr>
        <w:pStyle w:val="Heading4"/>
        <w:numPr>
          <w:ilvl w:val="0"/>
          <w:numId w:val="0"/>
        </w:numPr>
        <w:spacing w:before="0"/>
        <w:ind w:left="284"/>
        <w:rPr>
          <w:rFonts w:ascii="Garamond" w:hAnsi="Garamond"/>
          <w:b/>
          <w:i w:val="0"/>
          <w:snapToGrid w:val="0"/>
          <w:color w:val="auto"/>
          <w:spacing w:val="-4"/>
          <w:sz w:val="24"/>
          <w:szCs w:val="24"/>
          <w:lang w:val="sq-AL"/>
        </w:rPr>
      </w:pPr>
      <w:r w:rsidRPr="009E22FE">
        <w:rPr>
          <w:rFonts w:ascii="Garamond" w:hAnsi="Garamond"/>
          <w:i w:val="0"/>
          <w:snapToGrid w:val="0"/>
          <w:color w:val="auto"/>
          <w:spacing w:val="-4"/>
          <w:sz w:val="24"/>
          <w:szCs w:val="24"/>
          <w:lang w:val="sq-AL"/>
        </w:rPr>
        <w:t>3.2.3 Energjia e rinovueshme për prodhimin e energjisë elektrike (BRE-E)</w:t>
      </w:r>
    </w:p>
    <w:p w:rsidR="009E22FE" w:rsidRPr="009E22FE" w:rsidRDefault="009E22FE" w:rsidP="009E22FE">
      <w:pPr>
        <w:spacing w:after="0" w:line="240" w:lineRule="auto"/>
        <w:rPr>
          <w:rFonts w:ascii="Garamond" w:hAnsi="Garamond"/>
          <w:snapToGrid w:val="0"/>
          <w:spacing w:val="-4"/>
          <w:sz w:val="24"/>
          <w:szCs w:val="24"/>
          <w:lang w:val="sq-AL"/>
        </w:rPr>
        <w:sectPr w:rsidR="009E22FE" w:rsidRPr="009E22FE" w:rsidSect="009E22FE">
          <w:type w:val="continuous"/>
          <w:pgSz w:w="11907" w:h="16840"/>
          <w:pgMar w:top="720" w:right="1134" w:bottom="720" w:left="1134" w:header="851" w:footer="851" w:gutter="0"/>
          <w:cols w:space="720"/>
        </w:sectPr>
      </w:pPr>
      <w:r w:rsidRPr="009E22FE">
        <w:rPr>
          <w:rFonts w:ascii="Garamond" w:hAnsi="Garamond"/>
          <w:snapToGrid w:val="0"/>
          <w:spacing w:val="-4"/>
          <w:sz w:val="24"/>
          <w:szCs w:val="24"/>
          <w:lang w:val="sq-AL"/>
        </w:rPr>
        <w:t>Me qëllim arritjen e objektivit kombëtar të konsumit të BRE prej 38% në vitin 2020 është e domosdoshme një rritje e sasisë shtesë të konsumuar të energjisë elektrike nga burime të rinovueshme, me të paktën 172 ktoe (2,044 gwh) deri në vitin 2020. Kjo do të thotë gjithashtu, një rritje mesatare të gjeneruesve të energjisë elektrike nga burime të rinovueshme në masën 798 mw (20</w:t>
      </w:r>
      <w:r w:rsidRPr="009E22FE">
        <w:rPr>
          <w:rFonts w:ascii="Garamond" w:hAnsi="Garamond"/>
          <w:spacing w:val="-4"/>
          <w:sz w:val="24"/>
          <w:szCs w:val="24"/>
          <w:lang w:val="sq-AL"/>
        </w:rPr>
        <w:t>–</w:t>
      </w:r>
      <w:r w:rsidRPr="009E22FE">
        <w:rPr>
          <w:rFonts w:ascii="Garamond" w:hAnsi="Garamond"/>
          <w:snapToGrid w:val="0"/>
          <w:spacing w:val="-4"/>
          <w:sz w:val="24"/>
          <w:szCs w:val="24"/>
          <w:lang w:val="sq-AL"/>
        </w:rPr>
        <w:t>35% faktor kapaciteti), të cilat propozohet të ndah</w:t>
      </w:r>
      <w:r>
        <w:rPr>
          <w:rFonts w:ascii="Garamond" w:hAnsi="Garamond"/>
          <w:snapToGrid w:val="0"/>
          <w:spacing w:val="-4"/>
          <w:sz w:val="24"/>
          <w:szCs w:val="24"/>
          <w:lang w:val="sq-AL"/>
        </w:rPr>
        <w:t>en sipas tabelës përmbledhëse  1.</w:t>
      </w:r>
    </w:p>
    <w:p w:rsidR="009E22FE" w:rsidRPr="009E22FE" w:rsidRDefault="009E22FE" w:rsidP="009E22FE">
      <w:pPr>
        <w:pStyle w:val="Heading4"/>
        <w:numPr>
          <w:ilvl w:val="0"/>
          <w:numId w:val="0"/>
        </w:numPr>
        <w:spacing w:before="0"/>
        <w:rPr>
          <w:rFonts w:ascii="Garamond" w:hAnsi="Garamond"/>
          <w:b/>
          <w:bCs/>
          <w:i w:val="0"/>
          <w:snapToGrid w:val="0"/>
          <w:color w:val="auto"/>
          <w:spacing w:val="-4"/>
          <w:sz w:val="24"/>
          <w:szCs w:val="24"/>
          <w:lang w:val="sq-AL"/>
        </w:rPr>
      </w:pPr>
    </w:p>
    <w:sectPr w:rsidR="009E22FE" w:rsidRPr="009E22FE" w:rsidSect="009E22FE">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22FE" w:rsidRDefault="009E22FE" w:rsidP="009150F7">
      <w:pPr>
        <w:spacing w:after="0" w:line="240" w:lineRule="auto"/>
      </w:pPr>
      <w:r>
        <w:separator/>
      </w:r>
    </w:p>
  </w:endnote>
  <w:endnote w:type="continuationSeparator" w:id="0">
    <w:p w:rsidR="009E22FE" w:rsidRDefault="009E22FE" w:rsidP="00915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imes New Roman Gras">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Gill Sans">
    <w:altName w:val="Times New Roman"/>
    <w:panose1 w:val="00000000000000000000"/>
    <w:charset w:val="00"/>
    <w:family w:val="roman"/>
    <w:notTrueType/>
    <w:pitch w:val="default"/>
  </w:font>
  <w:font w:name="Times New Roman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22FE" w:rsidRDefault="009E22FE" w:rsidP="009150F7">
      <w:pPr>
        <w:spacing w:after="0" w:line="240" w:lineRule="auto"/>
      </w:pPr>
      <w:r>
        <w:separator/>
      </w:r>
    </w:p>
  </w:footnote>
  <w:footnote w:type="continuationSeparator" w:id="0">
    <w:p w:rsidR="009E22FE" w:rsidRDefault="009E22FE" w:rsidP="009150F7">
      <w:pPr>
        <w:spacing w:after="0" w:line="240" w:lineRule="auto"/>
      </w:pPr>
      <w:r>
        <w:continuationSeparator/>
      </w:r>
    </w:p>
  </w:footnote>
  <w:footnote w:id="1">
    <w:p w:rsidR="009E22FE" w:rsidRDefault="009E22FE" w:rsidP="0065716C">
      <w:pPr>
        <w:pStyle w:val="FootnoteText"/>
        <w:rPr>
          <w:rFonts w:ascii="Garamond" w:hAnsi="Garamond"/>
        </w:rPr>
      </w:pPr>
      <w:r>
        <w:rPr>
          <w:rStyle w:val="FootnoteReference"/>
          <w:rFonts w:ascii="Garamond" w:hAnsi="Garamond"/>
        </w:rPr>
        <w:footnoteRef/>
      </w:r>
      <w:r>
        <w:rPr>
          <w:rFonts w:ascii="Garamond" w:hAnsi="Garamond"/>
        </w:rPr>
        <w:t xml:space="preserve"> Përveç vitit 2010.</w:t>
      </w:r>
    </w:p>
  </w:footnote>
  <w:footnote w:id="2">
    <w:p w:rsidR="009E22FE" w:rsidRDefault="009E22FE" w:rsidP="0065716C">
      <w:pPr>
        <w:pStyle w:val="FootnoteText"/>
        <w:rPr>
          <w:rFonts w:ascii="Garamond" w:hAnsi="Garamond"/>
        </w:rPr>
      </w:pPr>
      <w:r>
        <w:rPr>
          <w:rStyle w:val="FootnoteReference"/>
          <w:rFonts w:ascii="Garamond" w:hAnsi="Garamond"/>
        </w:rPr>
        <w:footnoteRef/>
      </w:r>
      <w:r>
        <w:rPr>
          <w:rFonts w:ascii="Garamond" w:hAnsi="Garamond"/>
        </w:rPr>
        <w:t xml:space="preserve"> Përveç vitit 2016.</w:t>
      </w:r>
    </w:p>
  </w:footnote>
  <w:footnote w:id="3">
    <w:p w:rsidR="009E22FE" w:rsidRPr="006B49C6" w:rsidRDefault="009E22FE" w:rsidP="0065716C">
      <w:pPr>
        <w:pStyle w:val="FootnoteText"/>
        <w:ind w:firstLine="0"/>
        <w:rPr>
          <w:rFonts w:ascii="Garamond" w:hAnsi="Garamond"/>
          <w:i/>
          <w:spacing w:val="-4"/>
          <w:sz w:val="18"/>
          <w:szCs w:val="18"/>
          <w:lang w:val="en-US"/>
        </w:rPr>
      </w:pPr>
      <w:r>
        <w:rPr>
          <w:rStyle w:val="FootnoteReference"/>
          <w:rFonts w:ascii="Garamond" w:hAnsi="Garamond"/>
          <w:i/>
          <w:spacing w:val="-4"/>
          <w:sz w:val="18"/>
          <w:szCs w:val="18"/>
          <w:lang w:val="en-US"/>
        </w:rPr>
        <w:footnoteRef/>
      </w:r>
      <w:r>
        <w:rPr>
          <w:rFonts w:ascii="Garamond" w:hAnsi="Garamond"/>
          <w:i/>
          <w:spacing w:val="-4"/>
          <w:sz w:val="18"/>
          <w:szCs w:val="18"/>
          <w:lang w:val="en-US"/>
        </w:rPr>
        <w:t xml:space="preserve"> January 2017 - IRENA, JOANNUM RESEARCH – “Cost-competitive renewable power generation: Potential across South East Europe” </w:t>
      </w:r>
      <w:hyperlink r:id="rId1" w:history="1">
        <w:r w:rsidRPr="006B49C6">
          <w:rPr>
            <w:rStyle w:val="Hyperlink"/>
            <w:rFonts w:ascii="Garamond" w:hAnsi="Garamond"/>
            <w:i/>
            <w:color w:val="auto"/>
            <w:spacing w:val="-4"/>
            <w:sz w:val="18"/>
            <w:szCs w:val="18"/>
            <w:lang w:val="en-US"/>
          </w:rPr>
          <w:t>http://www.irena.org/DocumentDownloads/Publications/IRENA_Cost-competitive_power_potential_SEE_2017.pdf</w:t>
        </w:r>
      </w:hyperlink>
    </w:p>
  </w:footnote>
  <w:footnote w:id="4">
    <w:p w:rsidR="009E22FE" w:rsidRPr="006B49C6" w:rsidRDefault="009E22FE" w:rsidP="0065716C">
      <w:pPr>
        <w:pStyle w:val="FootnoteText"/>
        <w:ind w:firstLine="0"/>
        <w:rPr>
          <w:i/>
          <w:lang w:val="en-US"/>
        </w:rPr>
      </w:pPr>
      <w:r w:rsidRPr="006B49C6">
        <w:rPr>
          <w:rStyle w:val="FootnoteReference"/>
          <w:rFonts w:ascii="Garamond" w:hAnsi="Garamond"/>
          <w:i/>
          <w:spacing w:val="-4"/>
          <w:sz w:val="18"/>
          <w:szCs w:val="18"/>
          <w:lang w:val="en-US"/>
        </w:rPr>
        <w:footnoteRef/>
      </w:r>
      <w:r w:rsidRPr="006B49C6">
        <w:rPr>
          <w:rFonts w:ascii="Garamond" w:hAnsi="Garamond"/>
          <w:i/>
          <w:spacing w:val="-4"/>
          <w:sz w:val="18"/>
          <w:szCs w:val="18"/>
          <w:lang w:val="en-US"/>
        </w:rPr>
        <w:t xml:space="preserve"> January 2017 - ECOFYS, ECLAERON “Mapping the cost of capital for wind and solar energy in South Eastern European Member States” </w:t>
      </w:r>
      <w:hyperlink r:id="rId2" w:history="1">
        <w:r w:rsidRPr="006B49C6">
          <w:rPr>
            <w:rStyle w:val="Hyperlink"/>
            <w:rFonts w:ascii="Garamond" w:hAnsi="Garamond"/>
            <w:i/>
            <w:color w:val="auto"/>
            <w:spacing w:val="-4"/>
            <w:sz w:val="18"/>
            <w:szCs w:val="18"/>
            <w:lang w:val="en-US"/>
          </w:rPr>
          <w:t>http://www.ecofys.com/files/files/ecofys-eclareon-2016-wacc-wind-pv-south-east-europe.pdf</w:t>
        </w:r>
      </w:hyperlink>
    </w:p>
  </w:footnote>
  <w:footnote w:id="5">
    <w:p w:rsidR="009E22FE" w:rsidRPr="006B49C6" w:rsidRDefault="009E22FE" w:rsidP="0065716C">
      <w:pPr>
        <w:pStyle w:val="FootnoteText"/>
        <w:ind w:firstLine="0"/>
        <w:jc w:val="left"/>
        <w:rPr>
          <w:rFonts w:ascii="Garamond" w:hAnsi="Garamond"/>
          <w:i/>
        </w:rPr>
      </w:pPr>
      <w:r w:rsidRPr="006B49C6">
        <w:rPr>
          <w:rStyle w:val="FootnoteReference"/>
          <w:rFonts w:ascii="Garamond" w:hAnsi="Garamond"/>
          <w:i/>
        </w:rPr>
        <w:footnoteRef/>
      </w:r>
      <w:r w:rsidRPr="006B49C6">
        <w:rPr>
          <w:rStyle w:val="QuoteChar"/>
          <w:rFonts w:ascii="Garamond" w:eastAsia="MS Mincho" w:hAnsi="Garamond"/>
          <w:i/>
          <w:lang w:val="sq-AL"/>
        </w:rPr>
        <w:t xml:space="preserve"> </w:t>
      </w:r>
      <w:hyperlink r:id="rId3" w:history="1">
        <w:r w:rsidRPr="006B49C6">
          <w:rPr>
            <w:rStyle w:val="Hyperlink"/>
            <w:rFonts w:ascii="Garamond" w:hAnsi="Garamond"/>
            <w:i/>
            <w:noProof/>
            <w:color w:val="auto"/>
            <w:kern w:val="28"/>
            <w:lang w:val="en-GB"/>
          </w:rPr>
          <w:t>https://www.energy-community.org/portal/page/portal/</w:t>
        </w:r>
      </w:hyperlink>
      <w:r w:rsidRPr="006B49C6">
        <w:rPr>
          <w:rStyle w:val="QuoteChar"/>
          <w:rFonts w:ascii="Garamond" w:eastAsia="MS Mincho" w:hAnsi="Garamond"/>
          <w:i/>
        </w:rPr>
        <w:t xml:space="preserve"> ENC_HOME/DOCS/2514178/Study_on_the_Biomass_Consumption_cover+annexI.pdf</w:t>
      </w:r>
    </w:p>
  </w:footnote>
  <w:footnote w:id="6">
    <w:p w:rsidR="009E22FE" w:rsidRDefault="009E22FE" w:rsidP="0065716C">
      <w:pPr>
        <w:pStyle w:val="FootnoteText"/>
        <w:ind w:firstLine="0"/>
        <w:rPr>
          <w:rFonts w:ascii="Garamond" w:hAnsi="Garamond"/>
          <w:sz w:val="18"/>
          <w:szCs w:val="18"/>
          <w:lang w:val="fr-FR"/>
        </w:rPr>
      </w:pPr>
      <w:r>
        <w:rPr>
          <w:rStyle w:val="FootnoteReference"/>
          <w:rFonts w:ascii="Garamond" w:hAnsi="Garamond"/>
          <w:sz w:val="18"/>
          <w:szCs w:val="18"/>
        </w:rPr>
        <w:footnoteRef/>
      </w:r>
      <w:r>
        <w:rPr>
          <w:rFonts w:ascii="Garamond" w:hAnsi="Garamond"/>
          <w:sz w:val="18"/>
          <w:szCs w:val="18"/>
          <w:lang w:val="fr-FR"/>
        </w:rPr>
        <w:t xml:space="preserve"> E zëvendësuar nga direktiva 2009/28/EC.</w:t>
      </w:r>
    </w:p>
  </w:footnote>
  <w:footnote w:id="7">
    <w:p w:rsidR="009E22FE" w:rsidRDefault="009E22FE" w:rsidP="0065716C">
      <w:pPr>
        <w:pStyle w:val="FootnoteText"/>
        <w:rPr>
          <w:rFonts w:ascii="Garamond" w:hAnsi="Garamond"/>
          <w:sz w:val="18"/>
          <w:szCs w:val="18"/>
          <w:lang w:val="fr-FR"/>
        </w:rPr>
      </w:pPr>
      <w:r>
        <w:rPr>
          <w:rStyle w:val="FootnoteReference"/>
          <w:rFonts w:ascii="Garamond" w:hAnsi="Garamond"/>
          <w:sz w:val="18"/>
          <w:szCs w:val="18"/>
        </w:rPr>
        <w:footnoteRef/>
      </w:r>
      <w:r>
        <w:rPr>
          <w:rFonts w:ascii="Garamond" w:hAnsi="Garamond"/>
          <w:sz w:val="18"/>
          <w:szCs w:val="18"/>
          <w:lang w:val="fr-FR"/>
        </w:rPr>
        <w:t xml:space="preserve"> http://www.dogana.gov.al/sq/detaje</w:t>
      </w:r>
    </w:p>
  </w:footnote>
  <w:footnote w:id="8">
    <w:p w:rsidR="009E22FE" w:rsidRPr="006B49C6" w:rsidRDefault="009E22FE" w:rsidP="0065716C">
      <w:pPr>
        <w:pStyle w:val="FootnoteText"/>
        <w:jc w:val="left"/>
        <w:rPr>
          <w:rFonts w:ascii="Garamond" w:hAnsi="Garamond"/>
          <w:sz w:val="18"/>
          <w:szCs w:val="18"/>
          <w:lang w:val="fr-FR"/>
        </w:rPr>
      </w:pPr>
      <w:r w:rsidRPr="006B49C6">
        <w:rPr>
          <w:rStyle w:val="FootnoteReference"/>
          <w:rFonts w:ascii="Garamond" w:hAnsi="Garamond"/>
          <w:sz w:val="18"/>
          <w:szCs w:val="18"/>
        </w:rPr>
        <w:footnoteRef/>
      </w:r>
      <w:r w:rsidRPr="006B49C6">
        <w:rPr>
          <w:rFonts w:ascii="Garamond" w:hAnsi="Garamond"/>
          <w:sz w:val="18"/>
          <w:szCs w:val="18"/>
          <w:lang w:val="fr-FR"/>
        </w:rPr>
        <w:t xml:space="preserve"> </w:t>
      </w:r>
      <w:hyperlink r:id="rId4" w:history="1">
        <w:r w:rsidRPr="006B49C6">
          <w:rPr>
            <w:rStyle w:val="Hyperlink"/>
            <w:rFonts w:ascii="Garamond" w:hAnsi="Garamond"/>
            <w:color w:val="auto"/>
            <w:sz w:val="18"/>
            <w:szCs w:val="18"/>
            <w:lang w:val="fr-FR"/>
          </w:rPr>
          <w:t>https://www.energy-community.org/portal/page/portal/</w:t>
        </w:r>
      </w:hyperlink>
      <w:r w:rsidRPr="006B49C6">
        <w:rPr>
          <w:rFonts w:ascii="Garamond" w:hAnsi="Garamond"/>
          <w:sz w:val="18"/>
          <w:szCs w:val="18"/>
          <w:lang w:val="fr-FR"/>
        </w:rPr>
        <w:t xml:space="preserve"> ENC_HOME/ ENERGY_COMMUNITY/Legal/Decisions</w:t>
      </w:r>
    </w:p>
  </w:footnote>
  <w:footnote w:id="9">
    <w:p w:rsidR="009E22FE" w:rsidRDefault="009E22FE" w:rsidP="0065716C">
      <w:pPr>
        <w:pStyle w:val="FootnoteText"/>
        <w:ind w:left="90" w:hanging="90"/>
        <w:rPr>
          <w:rFonts w:ascii="Garamond" w:hAnsi="Garamond"/>
          <w:sz w:val="18"/>
          <w:szCs w:val="18"/>
        </w:rPr>
      </w:pPr>
      <w:r>
        <w:rPr>
          <w:rStyle w:val="FootnoteReference"/>
          <w:rFonts w:ascii="Garamond" w:hAnsi="Garamond"/>
          <w:sz w:val="18"/>
          <w:szCs w:val="18"/>
        </w:rPr>
        <w:footnoteRef/>
      </w:r>
      <w:r>
        <w:rPr>
          <w:rFonts w:ascii="Garamond" w:hAnsi="Garamond"/>
          <w:iCs/>
          <w:sz w:val="18"/>
          <w:szCs w:val="18"/>
        </w:rPr>
        <w:t xml:space="preserve"> Tendencat evropiane për energjinë në vitin 2030 – Përditësuar në 2009-ën</w:t>
      </w:r>
      <w:r>
        <w:rPr>
          <w:rFonts w:ascii="Garamond" w:hAnsi="Garamond"/>
          <w:sz w:val="18"/>
          <w:szCs w:val="18"/>
        </w:rPr>
        <w:t>, Drejtoria e Përgjithshme për Energjinë e Komisionit Evropian (4 gusht 2010).</w:t>
      </w:r>
    </w:p>
  </w:footnote>
  <w:footnote w:id="10">
    <w:p w:rsidR="009E22FE" w:rsidRDefault="009E22FE" w:rsidP="0065716C">
      <w:pPr>
        <w:pStyle w:val="FootnoteText"/>
        <w:ind w:left="90" w:hanging="9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(Parashikimet nominale të PBB-së janë shprehur në terma realë të vitit 2014, në mënyrë që të përputhen me parashikimet e PRIMES që përdorin deflatorët individualë të PBB-së për çdo palë kontraktore dhe u konvertuan në euro, me kursin historik të këmbimit të vitit 2005, të marrë nga </w:t>
      </w:r>
      <w:r>
        <w:rPr>
          <w:rFonts w:ascii="Garamond" w:hAnsi="Garamond"/>
          <w:iCs/>
          <w:sz w:val="18"/>
          <w:szCs w:val="18"/>
        </w:rPr>
        <w:t>Statistikat Ndërkombëtare Financiare</w:t>
      </w:r>
      <w:r>
        <w:rPr>
          <w:rFonts w:ascii="Garamond" w:hAnsi="Garamond"/>
          <w:sz w:val="18"/>
          <w:szCs w:val="18"/>
        </w:rPr>
        <w:t xml:space="preserve"> të FMN-së.) </w:t>
      </w:r>
    </w:p>
  </w:footnote>
  <w:footnote w:id="11">
    <w:p w:rsidR="009E22FE" w:rsidRDefault="009E22FE" w:rsidP="0065716C">
      <w:pPr>
        <w:pStyle w:val="Annex"/>
        <w:spacing w:after="0"/>
        <w:rPr>
          <w:i/>
          <w:sz w:val="18"/>
          <w:szCs w:val="18"/>
          <w:lang w:val="en-US"/>
        </w:rPr>
      </w:pPr>
      <w:r>
        <w:rPr>
          <w:rStyle w:val="FootnoteReference"/>
          <w:i/>
          <w:sz w:val="18"/>
          <w:szCs w:val="18"/>
        </w:rPr>
        <w:footnoteRef/>
      </w:r>
      <w:r>
        <w:rPr>
          <w:rStyle w:val="QuoteChar"/>
          <w:rFonts w:eastAsia="Calibri"/>
          <w:i/>
          <w:sz w:val="18"/>
          <w:szCs w:val="18"/>
        </w:rPr>
        <w:t xml:space="preserve"> IRENA - Renewable Energy Technologies: Hydropower Cost Analyses (2012).</w:t>
      </w:r>
    </w:p>
  </w:footnote>
  <w:footnote w:id="12">
    <w:p w:rsidR="009E22FE" w:rsidRDefault="009E22FE" w:rsidP="0065716C">
      <w:pPr>
        <w:pStyle w:val="FootnoteText"/>
        <w:ind w:firstLine="0"/>
        <w:rPr>
          <w:rFonts w:ascii="Garamond" w:hAnsi="Garamond"/>
          <w:sz w:val="18"/>
          <w:szCs w:val="18"/>
        </w:rPr>
      </w:pPr>
      <w:r>
        <w:rPr>
          <w:rStyle w:val="FootnoteReference"/>
          <w:rFonts w:ascii="Garamond" w:hAnsi="Garamond"/>
          <w:i/>
          <w:sz w:val="18"/>
          <w:szCs w:val="18"/>
        </w:rPr>
        <w:footnoteRef/>
      </w:r>
      <w:r>
        <w:rPr>
          <w:rStyle w:val="QuoteChar"/>
          <w:rFonts w:ascii="Garamond" w:eastAsia="MS Mincho" w:hAnsi="Garamond"/>
          <w:i/>
          <w:sz w:val="18"/>
          <w:szCs w:val="18"/>
        </w:rPr>
        <w:t xml:space="preserve"> IRENA - Cost-competitive renewable power generation: Potential across South East Europe.</w:t>
      </w:r>
    </w:p>
  </w:footnote>
  <w:footnote w:id="13">
    <w:p w:rsidR="009E22FE" w:rsidRDefault="009E22FE" w:rsidP="0065716C">
      <w:pPr>
        <w:pStyle w:val="FootnoteText"/>
        <w:ind w:firstLine="0"/>
        <w:jc w:val="left"/>
        <w:rPr>
          <w:rFonts w:ascii="Garamond" w:eastAsia="Calibri" w:hAnsi="Garamond"/>
          <w:i/>
          <w:sz w:val="18"/>
          <w:szCs w:val="18"/>
        </w:rPr>
      </w:pPr>
      <w:r>
        <w:rPr>
          <w:rStyle w:val="FootnoteReference"/>
          <w:rFonts w:ascii="Garamond" w:hAnsi="Garamond"/>
          <w:i/>
          <w:sz w:val="18"/>
          <w:szCs w:val="18"/>
        </w:rPr>
        <w:footnoteRef/>
      </w:r>
      <w:r>
        <w:rPr>
          <w:rFonts w:ascii="Garamond" w:hAnsi="Garamond"/>
          <w:i/>
          <w:sz w:val="18"/>
          <w:szCs w:val="18"/>
        </w:rPr>
        <w:t xml:space="preserve"> EIA - Annual Energy Outlook 2016 </w:t>
      </w:r>
      <w:hyperlink r:id="rId5" w:history="1">
        <w:r w:rsidRPr="0081536B">
          <w:rPr>
            <w:rStyle w:val="Hyperlink"/>
            <w:rFonts w:ascii="Garamond" w:hAnsi="Garamond"/>
            <w:i/>
            <w:color w:val="auto"/>
            <w:sz w:val="18"/>
            <w:szCs w:val="18"/>
          </w:rPr>
          <w:t>https://www.eia.gov/outlooks/aeo/pdf/electricity_generation.pdf</w:t>
        </w:r>
      </w:hyperlink>
    </w:p>
  </w:footnote>
  <w:footnote w:id="14">
    <w:p w:rsidR="009E22FE" w:rsidRPr="0081536B" w:rsidRDefault="009E22FE" w:rsidP="0065716C">
      <w:pPr>
        <w:pStyle w:val="FootnoteText"/>
        <w:ind w:firstLine="0"/>
        <w:jc w:val="left"/>
        <w:rPr>
          <w:rFonts w:ascii="Garamond" w:hAnsi="Garamond"/>
          <w:i/>
          <w:sz w:val="18"/>
          <w:szCs w:val="18"/>
        </w:rPr>
      </w:pPr>
      <w:r>
        <w:rPr>
          <w:rStyle w:val="FootnoteReference"/>
          <w:rFonts w:ascii="Garamond" w:hAnsi="Garamond"/>
          <w:i/>
          <w:sz w:val="18"/>
          <w:szCs w:val="18"/>
        </w:rPr>
        <w:footnoteRef/>
      </w:r>
      <w:r>
        <w:rPr>
          <w:rFonts w:ascii="Garamond" w:hAnsi="Garamond"/>
          <w:i/>
          <w:sz w:val="18"/>
          <w:szCs w:val="18"/>
        </w:rPr>
        <w:t xml:space="preserve"> January 2017 - IRENA, JOANNUM RESEARCH – “Cost-competitive renewable power generation: Potential across South East Europe” </w:t>
      </w:r>
      <w:hyperlink r:id="rId6" w:history="1">
        <w:r w:rsidRPr="0081536B">
          <w:rPr>
            <w:rStyle w:val="Hyperlink"/>
            <w:rFonts w:ascii="Garamond" w:hAnsi="Garamond"/>
            <w:i/>
            <w:color w:val="auto"/>
            <w:sz w:val="18"/>
            <w:szCs w:val="18"/>
          </w:rPr>
          <w:t>http://www.irena.org/DocumentDownloads/Publications/IRENA_Cost-competitive_power_potential_SEE_2017.pdf</w:t>
        </w:r>
      </w:hyperlink>
    </w:p>
  </w:footnote>
  <w:footnote w:id="15">
    <w:p w:rsidR="009E22FE" w:rsidRDefault="009E22FE" w:rsidP="0065716C">
      <w:pPr>
        <w:pStyle w:val="FootnoteText"/>
        <w:ind w:firstLine="0"/>
        <w:jc w:val="left"/>
        <w:rPr>
          <w:rFonts w:ascii="Garamond" w:hAnsi="Garamond"/>
          <w:i/>
          <w:sz w:val="18"/>
          <w:szCs w:val="18"/>
        </w:rPr>
      </w:pPr>
      <w:r w:rsidRPr="0081536B">
        <w:rPr>
          <w:rStyle w:val="FootnoteReference"/>
          <w:rFonts w:ascii="Garamond" w:hAnsi="Garamond"/>
          <w:i/>
          <w:sz w:val="18"/>
          <w:szCs w:val="18"/>
        </w:rPr>
        <w:footnoteRef/>
      </w:r>
      <w:r w:rsidRPr="0081536B">
        <w:rPr>
          <w:rFonts w:ascii="Garamond" w:hAnsi="Garamond"/>
          <w:i/>
          <w:sz w:val="18"/>
          <w:szCs w:val="18"/>
        </w:rPr>
        <w:t xml:space="preserve"> January 2017 - ECOFYS, ECLAERON “Mapping the cost of capital for wind and solar energy in South Eastern European Member States” </w:t>
      </w:r>
      <w:hyperlink r:id="rId7" w:history="1">
        <w:r w:rsidRPr="0081536B">
          <w:rPr>
            <w:rStyle w:val="Hyperlink"/>
            <w:rFonts w:ascii="Garamond" w:hAnsi="Garamond"/>
            <w:i/>
            <w:color w:val="auto"/>
            <w:sz w:val="18"/>
            <w:szCs w:val="18"/>
          </w:rPr>
          <w:t>http://www.ecofys.com/files/files/ecofys-eclareon-2016-wacc-wind-pv-south-east-europe.pdf</w:t>
        </w:r>
      </w:hyperlink>
    </w:p>
  </w:footnote>
  <w:footnote w:id="16">
    <w:p w:rsidR="009E22FE" w:rsidRPr="0081536B" w:rsidRDefault="009E22FE" w:rsidP="0065716C">
      <w:pPr>
        <w:pStyle w:val="FootnoteText"/>
        <w:ind w:firstLine="0"/>
        <w:jc w:val="left"/>
        <w:rPr>
          <w:rStyle w:val="Emphasis"/>
          <w:rFonts w:eastAsia="Calibri"/>
        </w:rPr>
      </w:pPr>
      <w:r w:rsidRPr="0081536B">
        <w:rPr>
          <w:rStyle w:val="Emphasis"/>
          <w:rFonts w:ascii="Garamond" w:hAnsi="Garamond"/>
          <w:sz w:val="18"/>
          <w:szCs w:val="18"/>
          <w:vertAlign w:val="superscript"/>
        </w:rPr>
        <w:footnoteRef/>
      </w:r>
      <w:r w:rsidRPr="0081536B">
        <w:rPr>
          <w:rFonts w:ascii="Garamond" w:hAnsi="Garamond"/>
          <w:sz w:val="18"/>
          <w:szCs w:val="18"/>
          <w:vertAlign w:val="superscript"/>
        </w:rPr>
        <w:t xml:space="preserve"> </w:t>
      </w:r>
      <w:hyperlink r:id="rId8" w:history="1">
        <w:r w:rsidRPr="0081536B">
          <w:rPr>
            <w:rStyle w:val="Hyperlink"/>
            <w:rFonts w:ascii="Garamond" w:hAnsi="Garamond"/>
            <w:noProof/>
            <w:color w:val="auto"/>
            <w:kern w:val="28"/>
            <w:sz w:val="18"/>
            <w:szCs w:val="18"/>
            <w:lang w:val="en-GB"/>
          </w:rPr>
          <w:t>http://www.mjedisi.gov.al/files/userfiles/Monitorim_ Mjedisor/Mbetjet.pdf</w:t>
        </w:r>
      </w:hyperlink>
    </w:p>
  </w:footnote>
  <w:footnote w:id="17">
    <w:p w:rsidR="009E22FE" w:rsidRPr="0081536B" w:rsidRDefault="009E22FE" w:rsidP="0065716C">
      <w:pPr>
        <w:pStyle w:val="FootnoteText"/>
        <w:ind w:firstLine="0"/>
        <w:jc w:val="left"/>
      </w:pPr>
      <w:r w:rsidRPr="0081536B">
        <w:rPr>
          <w:rStyle w:val="FootnoteReference"/>
          <w:rFonts w:ascii="Garamond" w:hAnsi="Garamond"/>
          <w:sz w:val="18"/>
          <w:szCs w:val="18"/>
        </w:rPr>
        <w:footnoteRef/>
      </w:r>
      <w:r w:rsidRPr="0081536B">
        <w:rPr>
          <w:rStyle w:val="QuoteChar"/>
          <w:rFonts w:ascii="Garamond" w:eastAsia="MS Mincho" w:hAnsi="Garamond"/>
          <w:sz w:val="18"/>
          <w:szCs w:val="18"/>
        </w:rPr>
        <w:t xml:space="preserve"> “Cost of Energy Technologies” (Burimi: </w:t>
      </w:r>
      <w:hyperlink r:id="rId9" w:history="1">
        <w:r w:rsidRPr="0081536B">
          <w:rPr>
            <w:rStyle w:val="QuoteChar"/>
            <w:rFonts w:ascii="Garamond" w:eastAsia="MS Mincho" w:hAnsi="Garamond"/>
            <w:sz w:val="18"/>
            <w:szCs w:val="18"/>
          </w:rPr>
          <w:t>www.worldenergy.org</w:t>
        </w:r>
      </w:hyperlink>
      <w:r w:rsidRPr="0081536B">
        <w:rPr>
          <w:rStyle w:val="QuoteChar"/>
          <w:rFonts w:ascii="Garamond" w:eastAsia="MS Mincho" w:hAnsi="Garamond"/>
          <w:sz w:val="18"/>
          <w:szCs w:val="18"/>
        </w:rPr>
        <w:t>: World Energy Perspective).</w:t>
      </w:r>
    </w:p>
  </w:footnote>
  <w:footnote w:id="18">
    <w:p w:rsidR="009E22FE" w:rsidRPr="0081536B" w:rsidRDefault="009E22FE" w:rsidP="0065716C">
      <w:pPr>
        <w:pStyle w:val="FootnoteText"/>
        <w:ind w:firstLine="0"/>
        <w:jc w:val="left"/>
        <w:rPr>
          <w:rStyle w:val="Emphasis"/>
        </w:rPr>
      </w:pPr>
      <w:r w:rsidRPr="0081536B">
        <w:rPr>
          <w:rStyle w:val="FootnoteReference"/>
          <w:rFonts w:ascii="Garamond" w:hAnsi="Garamond"/>
          <w:sz w:val="18"/>
          <w:szCs w:val="18"/>
        </w:rPr>
        <w:footnoteRef/>
      </w:r>
      <w:r w:rsidRPr="0081536B">
        <w:rPr>
          <w:rStyle w:val="QuoteChar"/>
          <w:rFonts w:ascii="Garamond" w:eastAsia="MS Mincho" w:hAnsi="Garamond"/>
          <w:sz w:val="18"/>
          <w:szCs w:val="18"/>
          <w:lang w:val="fr-FR"/>
        </w:rPr>
        <w:t xml:space="preserve"> Kjo bazuar në studimin e Universitetit Politeknik. </w:t>
      </w:r>
      <w:r w:rsidRPr="0081536B">
        <w:rPr>
          <w:rStyle w:val="QuoteChar"/>
          <w:rFonts w:ascii="Garamond" w:eastAsia="MS Mincho" w:hAnsi="Garamond"/>
          <w:sz w:val="18"/>
          <w:szCs w:val="18"/>
        </w:rPr>
        <w:t>Londo. A, Alcani. M, 2016.</w:t>
      </w:r>
    </w:p>
  </w:footnote>
  <w:footnote w:id="19">
    <w:p w:rsidR="009E22FE" w:rsidRDefault="009E22FE" w:rsidP="0065716C">
      <w:pPr>
        <w:pStyle w:val="FootnoteText"/>
        <w:tabs>
          <w:tab w:val="left" w:pos="180"/>
        </w:tabs>
        <w:ind w:firstLine="0"/>
        <w:jc w:val="left"/>
        <w:rPr>
          <w:rStyle w:val="Emphasis"/>
          <w:rFonts w:ascii="Garamond" w:hAnsi="Garamond"/>
          <w:sz w:val="18"/>
          <w:szCs w:val="18"/>
        </w:rPr>
      </w:pPr>
      <w:r w:rsidRPr="0081536B">
        <w:rPr>
          <w:rStyle w:val="FootnoteReference"/>
          <w:rFonts w:ascii="Garamond" w:hAnsi="Garamond"/>
          <w:sz w:val="18"/>
          <w:szCs w:val="18"/>
        </w:rPr>
        <w:footnoteRef/>
      </w:r>
      <w:r w:rsidRPr="0081536B">
        <w:rPr>
          <w:rFonts w:ascii="Garamond" w:hAnsi="Garamond"/>
          <w:sz w:val="18"/>
          <w:szCs w:val="18"/>
        </w:rPr>
        <w:t xml:space="preserve"> </w:t>
      </w:r>
      <w:hyperlink r:id="rId10" w:history="1">
        <w:r w:rsidRPr="0081536B">
          <w:rPr>
            <w:rStyle w:val="Hyperlink"/>
            <w:rFonts w:ascii="Garamond" w:hAnsi="Garamond"/>
            <w:color w:val="auto"/>
            <w:sz w:val="18"/>
            <w:szCs w:val="18"/>
          </w:rPr>
          <w:t>http://www.aspa.gov.al/images/DLDP/plani%20kombetar %20%20i%20menaxhimit%20te%20mbetjeve%20-final.pdf</w:t>
        </w:r>
      </w:hyperlink>
    </w:p>
  </w:footnote>
  <w:footnote w:id="20">
    <w:p w:rsidR="009E22FE" w:rsidRDefault="009E22FE" w:rsidP="0065716C">
      <w:pPr>
        <w:pStyle w:val="FootnoteText"/>
        <w:ind w:firstLine="0"/>
        <w:jc w:val="left"/>
      </w:pPr>
      <w:r w:rsidRPr="0081536B">
        <w:rPr>
          <w:rStyle w:val="FootnoteReference"/>
          <w:rFonts w:ascii="Garamond" w:hAnsi="Garamond"/>
          <w:sz w:val="18"/>
          <w:szCs w:val="18"/>
        </w:rPr>
        <w:footnoteRef/>
      </w:r>
      <w:r w:rsidRPr="0081536B">
        <w:rPr>
          <w:rFonts w:ascii="Garamond" w:hAnsi="Garamond"/>
          <w:sz w:val="18"/>
          <w:szCs w:val="18"/>
        </w:rPr>
        <w:t xml:space="preserve"> </w:t>
      </w:r>
      <w:hyperlink r:id="rId11" w:history="1">
        <w:r w:rsidRPr="0081536B">
          <w:rPr>
            <w:rStyle w:val="Hyperlink"/>
            <w:rFonts w:ascii="Garamond" w:hAnsi="Garamond"/>
            <w:color w:val="auto"/>
            <w:sz w:val="18"/>
            <w:szCs w:val="18"/>
          </w:rPr>
          <w:t>http://www.cewep.eu/members/countries/index.html</w:t>
        </w:r>
      </w:hyperlink>
    </w:p>
  </w:footnote>
  <w:footnote w:id="21">
    <w:p w:rsidR="009E22FE" w:rsidRDefault="009E22FE" w:rsidP="0065716C">
      <w:pPr>
        <w:pStyle w:val="FootnoteText"/>
        <w:ind w:firstLine="0"/>
        <w:rPr>
          <w:rStyle w:val="Emphasis"/>
          <w:i w:val="0"/>
        </w:rPr>
      </w:pPr>
      <w:r>
        <w:rPr>
          <w:rStyle w:val="FootnoteReference"/>
          <w:rFonts w:ascii="Garamond" w:hAnsi="Garamond"/>
          <w:i/>
          <w:sz w:val="18"/>
          <w:szCs w:val="18"/>
        </w:rPr>
        <w:footnoteRef/>
      </w:r>
      <w:r>
        <w:rPr>
          <w:rStyle w:val="QuoteChar"/>
          <w:rFonts w:ascii="Garamond" w:eastAsia="MS Mincho" w:hAnsi="Garamond"/>
          <w:i/>
          <w:sz w:val="18"/>
          <w:szCs w:val="18"/>
        </w:rPr>
        <w:t>IRENA, 2012: Renewable Energy Technologies: Cost Analysis Series, “Biomass for Power Generation”.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7B0B35"/>
    <w:multiLevelType w:val="hybridMultilevel"/>
    <w:tmpl w:val="572C966E"/>
    <w:lvl w:ilvl="0" w:tplc="3BB268FE">
      <w:start w:val="1"/>
      <w:numFmt w:val="decimal"/>
      <w:pStyle w:val="BulletNumber2"/>
      <w:lvlText w:val="%1."/>
      <w:lvlJc w:val="left"/>
      <w:pPr>
        <w:ind w:left="57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08B77AAA"/>
    <w:multiLevelType w:val="hybridMultilevel"/>
    <w:tmpl w:val="F27881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0C5C6395"/>
    <w:multiLevelType w:val="hybridMultilevel"/>
    <w:tmpl w:val="4C887560"/>
    <w:lvl w:ilvl="0" w:tplc="4302F1E8">
      <w:start w:val="8"/>
      <w:numFmt w:val="bullet"/>
      <w:lvlText w:val="-"/>
      <w:lvlJc w:val="left"/>
      <w:pPr>
        <w:ind w:left="720" w:hanging="360"/>
      </w:pPr>
      <w:rPr>
        <w:rFonts w:ascii="Garamond" w:eastAsia="Times New Roman" w:hAnsi="Garamond" w:hint="default"/>
      </w:rPr>
    </w:lvl>
    <w:lvl w:ilvl="1" w:tplc="4302F1E8">
      <w:start w:val="8"/>
      <w:numFmt w:val="bullet"/>
      <w:lvlText w:val="-"/>
      <w:lvlJc w:val="left"/>
      <w:pPr>
        <w:ind w:left="1440" w:hanging="360"/>
      </w:pPr>
      <w:rPr>
        <w:rFonts w:ascii="Garamond" w:eastAsia="Times New Roman" w:hAnsi="Garamond"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0CA267A7"/>
    <w:multiLevelType w:val="hybridMultilevel"/>
    <w:tmpl w:val="AAAAC6B2"/>
    <w:lvl w:ilvl="0" w:tplc="4302F1E8">
      <w:start w:val="8"/>
      <w:numFmt w:val="bullet"/>
      <w:lvlText w:val="-"/>
      <w:lvlJc w:val="left"/>
      <w:pPr>
        <w:ind w:left="720" w:hanging="360"/>
      </w:pPr>
      <w:rPr>
        <w:rFonts w:ascii="Garamond" w:eastAsia="Times New Roman" w:hAnsi="Garamond"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0EE464E8"/>
    <w:multiLevelType w:val="hybridMultilevel"/>
    <w:tmpl w:val="C25E1F18"/>
    <w:lvl w:ilvl="0" w:tplc="4302F1E8">
      <w:start w:val="8"/>
      <w:numFmt w:val="bullet"/>
      <w:lvlText w:val="-"/>
      <w:lvlJc w:val="left"/>
      <w:pPr>
        <w:ind w:left="720" w:hanging="360"/>
      </w:pPr>
      <w:rPr>
        <w:rFonts w:ascii="Garamond" w:eastAsia="Times New Roman"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100B3AD6"/>
    <w:multiLevelType w:val="hybridMultilevel"/>
    <w:tmpl w:val="D6A40726"/>
    <w:lvl w:ilvl="0" w:tplc="281884EE">
      <w:start w:val="1"/>
      <w:numFmt w:val="bullet"/>
      <w:pStyle w:val="Bullet1"/>
      <w:lvlText w:val=""/>
      <w:lvlJc w:val="left"/>
      <w:pPr>
        <w:tabs>
          <w:tab w:val="num" w:pos="216"/>
        </w:tabs>
        <w:ind w:left="216" w:hanging="216"/>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11CB5320"/>
    <w:multiLevelType w:val="hybridMultilevel"/>
    <w:tmpl w:val="85F8E958"/>
    <w:lvl w:ilvl="0" w:tplc="04090017">
      <w:start w:val="1"/>
      <w:numFmt w:val="low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13485BE5"/>
    <w:multiLevelType w:val="multilevel"/>
    <w:tmpl w:val="D13EB84C"/>
    <w:lvl w:ilvl="0">
      <w:start w:val="1"/>
      <w:numFmt w:val="decimal"/>
      <w:lvlText w:val="%1"/>
      <w:lvlJc w:val="left"/>
      <w:pPr>
        <w:ind w:left="432" w:hanging="432"/>
      </w:pPr>
    </w:lvl>
    <w:lvl w:ilvl="1">
      <w:start w:val="1"/>
      <w:numFmt w:val="decimal"/>
      <w:lvlText w:val="%1.%2"/>
      <w:lvlJc w:val="left"/>
      <w:pPr>
        <w:ind w:left="1746" w:hanging="576"/>
      </w:pPr>
    </w:lvl>
    <w:lvl w:ilvl="2">
      <w:start w:val="1"/>
      <w:numFmt w:val="decimal"/>
      <w:lvlText w:val="%1.%2.%3"/>
      <w:lvlJc w:val="left"/>
      <w:pPr>
        <w:ind w:left="720" w:hanging="720"/>
      </w:pPr>
    </w:lvl>
    <w:lvl w:ilvl="3">
      <w:start w:val="1"/>
      <w:numFmt w:val="decimal"/>
      <w:lvlText w:val="%1.%2.%3.%4"/>
      <w:lvlJc w:val="left"/>
      <w:pPr>
        <w:ind w:left="954" w:hanging="864"/>
      </w:pPr>
      <w:rPr>
        <w:color w:val="auto"/>
        <w:sz w:val="22"/>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16D819E2"/>
    <w:multiLevelType w:val="multilevel"/>
    <w:tmpl w:val="225EBBB0"/>
    <w:lvl w:ilvl="0">
      <w:start w:val="1"/>
      <w:numFmt w:val="bullet"/>
      <w:pStyle w:val="Bullet10"/>
      <w:lvlText w:val=""/>
      <w:lvlJc w:val="left"/>
      <w:pPr>
        <w:tabs>
          <w:tab w:val="num" w:pos="284"/>
        </w:tabs>
        <w:ind w:left="284" w:hanging="284"/>
      </w:pPr>
      <w:rPr>
        <w:rFonts w:ascii="Wingdings 2" w:hAnsi="Wingdings 2" w:cs="Wingdings 2" w:hint="default"/>
        <w:color w:val="auto"/>
        <w:sz w:val="24"/>
        <w:szCs w:val="24"/>
      </w:rPr>
    </w:lvl>
    <w:lvl w:ilvl="1">
      <w:start w:val="1"/>
      <w:numFmt w:val="bullet"/>
      <w:lvlText w:val=""/>
      <w:lvlJc w:val="left"/>
      <w:pPr>
        <w:tabs>
          <w:tab w:val="num" w:pos="567"/>
        </w:tabs>
        <w:ind w:left="567" w:hanging="283"/>
      </w:pPr>
      <w:rPr>
        <w:rFonts w:ascii="Symbol" w:hAnsi="Symbol" w:cs="Symbol" w:hint="default"/>
        <w:color w:val="auto"/>
        <w:sz w:val="24"/>
        <w:szCs w:val="24"/>
      </w:rPr>
    </w:lvl>
    <w:lvl w:ilvl="2">
      <w:start w:val="1"/>
      <w:numFmt w:val="bullet"/>
      <w:lvlText w:val=""/>
      <w:lvlJc w:val="left"/>
      <w:pPr>
        <w:tabs>
          <w:tab w:val="num" w:pos="851"/>
        </w:tabs>
        <w:ind w:left="851" w:hanging="284"/>
      </w:pPr>
      <w:rPr>
        <w:rFonts w:ascii="Symbol" w:hAnsi="Symbol" w:cs="Symbol" w:hint="default"/>
        <w:color w:val="auto"/>
        <w:sz w:val="24"/>
        <w:szCs w:val="24"/>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21"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2" w15:restartNumberingAfterBreak="0">
    <w:nsid w:val="1D643F09"/>
    <w:multiLevelType w:val="hybridMultilevel"/>
    <w:tmpl w:val="D542EE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20730BB1"/>
    <w:multiLevelType w:val="hybridMultilevel"/>
    <w:tmpl w:val="50227948"/>
    <w:lvl w:ilvl="0" w:tplc="4302F1E8">
      <w:start w:val="8"/>
      <w:numFmt w:val="bullet"/>
      <w:lvlText w:val="-"/>
      <w:lvlJc w:val="left"/>
      <w:pPr>
        <w:ind w:left="720" w:hanging="360"/>
      </w:pPr>
      <w:rPr>
        <w:rFonts w:ascii="Garamond" w:eastAsia="Times New Roman"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232A416D"/>
    <w:multiLevelType w:val="hybridMultilevel"/>
    <w:tmpl w:val="541AEEBC"/>
    <w:lvl w:ilvl="0" w:tplc="4302F1E8">
      <w:start w:val="8"/>
      <w:numFmt w:val="bullet"/>
      <w:lvlText w:val="-"/>
      <w:lvlJc w:val="left"/>
      <w:pPr>
        <w:ind w:left="720" w:hanging="360"/>
      </w:pPr>
      <w:rPr>
        <w:rFonts w:ascii="Garamond" w:eastAsia="Times New Roman" w:hAnsi="Garamond" w:hint="default"/>
      </w:rPr>
    </w:lvl>
    <w:lvl w:ilvl="1" w:tplc="4302F1E8">
      <w:start w:val="8"/>
      <w:numFmt w:val="bullet"/>
      <w:lvlText w:val="-"/>
      <w:lvlJc w:val="left"/>
      <w:pPr>
        <w:ind w:left="1440" w:hanging="360"/>
      </w:pPr>
      <w:rPr>
        <w:rFonts w:ascii="Garamond" w:eastAsia="Times New Roman" w:hAnsi="Garamond"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294452F4"/>
    <w:multiLevelType w:val="hybridMultilevel"/>
    <w:tmpl w:val="6AFE21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39CF0306"/>
    <w:multiLevelType w:val="hybridMultilevel"/>
    <w:tmpl w:val="4B882658"/>
    <w:lvl w:ilvl="0" w:tplc="4302F1E8">
      <w:start w:val="8"/>
      <w:numFmt w:val="bullet"/>
      <w:lvlText w:val="-"/>
      <w:lvlJc w:val="left"/>
      <w:pPr>
        <w:ind w:left="720" w:hanging="360"/>
      </w:pPr>
      <w:rPr>
        <w:rFonts w:ascii="Garamond" w:eastAsia="Times New Roman" w:hAnsi="Garamond" w:hint="default"/>
      </w:rPr>
    </w:lvl>
    <w:lvl w:ilvl="1" w:tplc="4302F1E8">
      <w:start w:val="8"/>
      <w:numFmt w:val="bullet"/>
      <w:lvlText w:val="-"/>
      <w:lvlJc w:val="left"/>
      <w:pPr>
        <w:ind w:left="1440" w:hanging="360"/>
      </w:pPr>
      <w:rPr>
        <w:rFonts w:ascii="Garamond" w:eastAsia="Times New Roman" w:hAnsi="Garamond"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28" w15:restartNumberingAfterBreak="0">
    <w:nsid w:val="3BCA71AC"/>
    <w:multiLevelType w:val="hybridMultilevel"/>
    <w:tmpl w:val="38129DF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4F7F03FA"/>
    <w:multiLevelType w:val="multilevel"/>
    <w:tmpl w:val="7E18F1C6"/>
    <w:lvl w:ilvl="0">
      <w:start w:val="1"/>
      <w:numFmt w:val="decimal"/>
      <w:lvlText w:val="%1."/>
      <w:lvlJc w:val="left"/>
      <w:pPr>
        <w:tabs>
          <w:tab w:val="num" w:pos="522"/>
        </w:tabs>
        <w:ind w:left="522" w:hanging="432"/>
      </w:pPr>
    </w:lvl>
    <w:lvl w:ilvl="1">
      <w:start w:val="1"/>
      <w:numFmt w:val="decimal"/>
      <w:lvlText w:val="%1.%2"/>
      <w:lvlJc w:val="left"/>
      <w:pPr>
        <w:tabs>
          <w:tab w:val="num" w:pos="718"/>
        </w:tabs>
        <w:ind w:left="718" w:hanging="576"/>
      </w:pPr>
      <w:rPr>
        <w:b w:val="0"/>
        <w:sz w:val="24"/>
      </w:rPr>
    </w:lvl>
    <w:lvl w:ilvl="2">
      <w:start w:val="1"/>
      <w:numFmt w:val="decimal"/>
      <w:lvlText w:val="%1.%2.%3"/>
      <w:lvlJc w:val="left"/>
      <w:pPr>
        <w:tabs>
          <w:tab w:val="num" w:pos="862"/>
        </w:tabs>
        <w:ind w:left="862" w:hanging="720"/>
      </w:pPr>
      <w:rPr>
        <w:b w:val="0"/>
        <w:i w:val="0"/>
        <w:color w:val="auto"/>
      </w:rPr>
    </w:lvl>
    <w:lvl w:ilvl="3">
      <w:start w:val="1"/>
      <w:numFmt w:val="decimal"/>
      <w:lvlText w:val="%1.%2.%3.%4"/>
      <w:lvlJc w:val="left"/>
      <w:pPr>
        <w:tabs>
          <w:tab w:val="num" w:pos="864"/>
        </w:tabs>
        <w:ind w:left="864" w:hanging="864"/>
      </w:pPr>
      <w:rPr>
        <w:b w:val="0"/>
        <w:color w:val="auto"/>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50C42631"/>
    <w:multiLevelType w:val="hybridMultilevel"/>
    <w:tmpl w:val="CEFC2422"/>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1" w15:restartNumberingAfterBreak="0">
    <w:nsid w:val="54615CA5"/>
    <w:multiLevelType w:val="hybridMultilevel"/>
    <w:tmpl w:val="77EC25A0"/>
    <w:lvl w:ilvl="0" w:tplc="04090001">
      <w:start w:val="1"/>
      <w:numFmt w:val="bullet"/>
      <w:lvlText w:val=""/>
      <w:lvlJc w:val="left"/>
      <w:pPr>
        <w:ind w:left="720" w:hanging="360"/>
      </w:pPr>
      <w:rPr>
        <w:rFonts w:ascii="Symbol" w:hAnsi="Symbol" w:hint="default"/>
      </w:rPr>
    </w:lvl>
    <w:lvl w:ilvl="1" w:tplc="4302F1E8">
      <w:start w:val="8"/>
      <w:numFmt w:val="bullet"/>
      <w:lvlText w:val="-"/>
      <w:lvlJc w:val="left"/>
      <w:pPr>
        <w:ind w:left="1440" w:hanging="360"/>
      </w:pPr>
      <w:rPr>
        <w:rFonts w:ascii="Garamond" w:eastAsia="Times New Roman" w:hAnsi="Garamond"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3" w15:restartNumberingAfterBreak="0">
    <w:nsid w:val="650D633F"/>
    <w:multiLevelType w:val="hybridMultilevel"/>
    <w:tmpl w:val="FF180A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50E10C0"/>
    <w:multiLevelType w:val="multilevel"/>
    <w:tmpl w:val="48C03BE6"/>
    <w:lvl w:ilvl="0">
      <w:start w:val="1"/>
      <w:numFmt w:val="decimal"/>
      <w:pStyle w:val="ARTICLE"/>
      <w:lvlText w:val="ARTICLE %1."/>
      <w:lvlJc w:val="left"/>
      <w:pPr>
        <w:tabs>
          <w:tab w:val="num" w:pos="7025"/>
        </w:tabs>
        <w:ind w:left="7025" w:hanging="1985"/>
      </w:pPr>
      <w:rPr>
        <w:rFonts w:ascii="Times New Roman Gras" w:hAnsi="Times New Roman Gras" w:cs="Times New Roman Gras" w:hint="default"/>
        <w:b/>
        <w:bCs/>
        <w:i w:val="0"/>
        <w:iCs w:val="0"/>
        <w:caps/>
        <w:sz w:val="22"/>
        <w:szCs w:val="22"/>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727162F"/>
    <w:multiLevelType w:val="hybridMultilevel"/>
    <w:tmpl w:val="228CE07E"/>
    <w:lvl w:ilvl="0" w:tplc="4302F1E8">
      <w:start w:val="8"/>
      <w:numFmt w:val="bullet"/>
      <w:lvlText w:val="-"/>
      <w:lvlJc w:val="left"/>
      <w:pPr>
        <w:ind w:left="720" w:hanging="360"/>
      </w:pPr>
      <w:rPr>
        <w:rFonts w:ascii="Garamond" w:eastAsia="Times New Roman" w:hAnsi="Garamond"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cs="Wingdings" w:hint="default"/>
      </w:rPr>
    </w:lvl>
    <w:lvl w:ilvl="3" w:tplc="041C0001">
      <w:start w:val="1"/>
      <w:numFmt w:val="bullet"/>
      <w:lvlText w:val=""/>
      <w:lvlJc w:val="left"/>
      <w:pPr>
        <w:ind w:left="2880" w:hanging="360"/>
      </w:pPr>
      <w:rPr>
        <w:rFonts w:ascii="Symbol" w:hAnsi="Symbol" w:cs="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cs="Wingdings" w:hint="default"/>
      </w:rPr>
    </w:lvl>
    <w:lvl w:ilvl="6" w:tplc="041C0001">
      <w:start w:val="1"/>
      <w:numFmt w:val="bullet"/>
      <w:lvlText w:val=""/>
      <w:lvlJc w:val="left"/>
      <w:pPr>
        <w:ind w:left="5040" w:hanging="360"/>
      </w:pPr>
      <w:rPr>
        <w:rFonts w:ascii="Symbol" w:hAnsi="Symbol" w:cs="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cs="Wingdings" w:hint="default"/>
      </w:rPr>
    </w:lvl>
  </w:abstractNum>
  <w:abstractNum w:abstractNumId="36" w15:restartNumberingAfterBreak="0">
    <w:nsid w:val="6BF30FA6"/>
    <w:multiLevelType w:val="hybridMultilevel"/>
    <w:tmpl w:val="0AFCD7CC"/>
    <w:lvl w:ilvl="0" w:tplc="7FCEA33A">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DE828D6"/>
    <w:multiLevelType w:val="multilevel"/>
    <w:tmpl w:val="F8742C60"/>
    <w:lvl w:ilvl="0">
      <w:start w:val="1"/>
      <w:numFmt w:val="upperRoman"/>
      <w:pStyle w:val="CHAPITRE"/>
      <w:suff w:val="space"/>
      <w:lvlText w:val="CHAPITRE %1."/>
      <w:lvlJc w:val="left"/>
      <w:pPr>
        <w:ind w:left="0" w:firstLine="0"/>
      </w:pPr>
      <w:rPr>
        <w:rFonts w:ascii="Times New Roman Gras" w:hAnsi="Times New Roman Gras" w:cs="Times New Roman Gras" w:hint="default"/>
        <w:b/>
        <w:bCs/>
        <w:i w:val="0"/>
        <w:iCs w:val="0"/>
        <w:caps/>
        <w:sz w:val="26"/>
        <w:szCs w:val="26"/>
      </w:rPr>
    </w:lvl>
    <w:lvl w:ilvl="1">
      <w:start w:val="1"/>
      <w:numFmt w:val="lowerLetter"/>
      <w:lvlText w:val="%2."/>
      <w:lvlJc w:val="left"/>
      <w:pPr>
        <w:ind w:left="5475" w:hanging="360"/>
      </w:pPr>
    </w:lvl>
    <w:lvl w:ilvl="2">
      <w:start w:val="1"/>
      <w:numFmt w:val="lowerRoman"/>
      <w:lvlText w:val="%3."/>
      <w:lvlJc w:val="right"/>
      <w:pPr>
        <w:ind w:left="6195" w:hanging="180"/>
      </w:pPr>
    </w:lvl>
    <w:lvl w:ilvl="3">
      <w:start w:val="1"/>
      <w:numFmt w:val="decimal"/>
      <w:lvlText w:val="%4."/>
      <w:lvlJc w:val="left"/>
      <w:pPr>
        <w:ind w:left="6915" w:hanging="360"/>
      </w:pPr>
    </w:lvl>
    <w:lvl w:ilvl="4">
      <w:start w:val="1"/>
      <w:numFmt w:val="lowerLetter"/>
      <w:lvlText w:val="%5."/>
      <w:lvlJc w:val="left"/>
      <w:pPr>
        <w:ind w:left="7635" w:hanging="360"/>
      </w:pPr>
    </w:lvl>
    <w:lvl w:ilvl="5">
      <w:start w:val="1"/>
      <w:numFmt w:val="lowerRoman"/>
      <w:lvlText w:val="%6."/>
      <w:lvlJc w:val="right"/>
      <w:pPr>
        <w:ind w:left="8355" w:hanging="180"/>
      </w:pPr>
    </w:lvl>
    <w:lvl w:ilvl="6">
      <w:start w:val="1"/>
      <w:numFmt w:val="decimal"/>
      <w:lvlText w:val="%7."/>
      <w:lvlJc w:val="left"/>
      <w:pPr>
        <w:ind w:left="9075" w:hanging="360"/>
      </w:pPr>
    </w:lvl>
    <w:lvl w:ilvl="7">
      <w:start w:val="1"/>
      <w:numFmt w:val="lowerLetter"/>
      <w:lvlText w:val="%8."/>
      <w:lvlJc w:val="left"/>
      <w:pPr>
        <w:ind w:left="9795" w:hanging="360"/>
      </w:pPr>
    </w:lvl>
    <w:lvl w:ilvl="8">
      <w:start w:val="1"/>
      <w:numFmt w:val="lowerRoman"/>
      <w:lvlText w:val="%9."/>
      <w:lvlJc w:val="right"/>
      <w:pPr>
        <w:ind w:left="10515" w:hanging="180"/>
      </w:pPr>
    </w:lvl>
  </w:abstractNum>
  <w:abstractNum w:abstractNumId="38"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9"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DDD5DE1"/>
    <w:multiLevelType w:val="hybridMultilevel"/>
    <w:tmpl w:val="971EC8EC"/>
    <w:lvl w:ilvl="0" w:tplc="4302F1E8">
      <w:start w:val="8"/>
      <w:numFmt w:val="bullet"/>
      <w:lvlText w:val="-"/>
      <w:lvlJc w:val="left"/>
      <w:pPr>
        <w:ind w:left="720" w:hanging="360"/>
      </w:pPr>
      <w:rPr>
        <w:rFonts w:ascii="Garamond" w:eastAsia="Times New Roman"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31"/>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26"/>
  </w:num>
  <w:num w:numId="27">
    <w:abstractNumId w:val="12"/>
  </w:num>
  <w:num w:numId="28">
    <w:abstractNumId w:val="40"/>
  </w:num>
  <w:num w:numId="29">
    <w:abstractNumId w:val="35"/>
  </w:num>
  <w:num w:numId="30">
    <w:abstractNumId w:val="14"/>
  </w:num>
  <w:num w:numId="31">
    <w:abstractNumId w:val="23"/>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lvlOverride w:ilvl="0">
      <w:startOverride w:val="1"/>
    </w:lvlOverride>
    <w:lvlOverride w:ilvl="1"/>
    <w:lvlOverride w:ilvl="2"/>
    <w:lvlOverride w:ilvl="3"/>
    <w:lvlOverride w:ilvl="4"/>
    <w:lvlOverride w:ilvl="5"/>
    <w:lvlOverride w:ilvl="6"/>
    <w:lvlOverride w:ilvl="7"/>
    <w:lvlOverride w:ilvl="8"/>
  </w:num>
  <w:num w:numId="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27"/>
  </w:num>
  <w:num w:numId="40">
    <w:abstractNumId w:val="32"/>
  </w:num>
  <w:num w:numId="41">
    <w:abstractNumId w:val="38"/>
  </w:num>
  <w:num w:numId="4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0F7"/>
    <w:rsid w:val="00055077"/>
    <w:rsid w:val="00447341"/>
    <w:rsid w:val="0065716C"/>
    <w:rsid w:val="006B49C6"/>
    <w:rsid w:val="0081536B"/>
    <w:rsid w:val="009150F7"/>
    <w:rsid w:val="009E2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975F34-D6D6-416D-892B-C80284933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50F7"/>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9"/>
    <w:qFormat/>
    <w:rsid w:val="009150F7"/>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9"/>
    <w:semiHidden/>
    <w:unhideWhenUsed/>
    <w:qFormat/>
    <w:rsid w:val="009150F7"/>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9"/>
    <w:semiHidden/>
    <w:unhideWhenUsed/>
    <w:qFormat/>
    <w:rsid w:val="009150F7"/>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9"/>
    <w:unhideWhenUsed/>
    <w:qFormat/>
    <w:rsid w:val="009150F7"/>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9"/>
    <w:semiHidden/>
    <w:unhideWhenUsed/>
    <w:qFormat/>
    <w:rsid w:val="009150F7"/>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9"/>
    <w:semiHidden/>
    <w:unhideWhenUsed/>
    <w:qFormat/>
    <w:rsid w:val="009150F7"/>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9"/>
    <w:semiHidden/>
    <w:unhideWhenUsed/>
    <w:qFormat/>
    <w:rsid w:val="009150F7"/>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semiHidden/>
    <w:unhideWhenUsed/>
    <w:qFormat/>
    <w:rsid w:val="009150F7"/>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qFormat/>
    <w:rsid w:val="009150F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9"/>
    <w:rsid w:val="009150F7"/>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9150F7"/>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9150F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9"/>
    <w:rsid w:val="009150F7"/>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9"/>
    <w:semiHidden/>
    <w:rsid w:val="009150F7"/>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9"/>
    <w:semiHidden/>
    <w:rsid w:val="009150F7"/>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9"/>
    <w:semiHidden/>
    <w:rsid w:val="009150F7"/>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semiHidden/>
    <w:rsid w:val="009150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9"/>
    <w:semiHidden/>
    <w:rsid w:val="009150F7"/>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9150F7"/>
    <w:rPr>
      <w:color w:val="0000FF"/>
      <w:u w:val="single"/>
    </w:rPr>
  </w:style>
  <w:style w:type="character" w:styleId="FollowedHyperlink">
    <w:name w:val="FollowedHyperlink"/>
    <w:uiPriority w:val="99"/>
    <w:semiHidden/>
    <w:unhideWhenUsed/>
    <w:rsid w:val="009150F7"/>
    <w:rPr>
      <w:color w:val="800080"/>
      <w:u w:val="single"/>
    </w:rPr>
  </w:style>
  <w:style w:type="paragraph" w:styleId="HTMLAddress">
    <w:name w:val="HTML Address"/>
    <w:basedOn w:val="Normal"/>
    <w:link w:val="HTMLAddressChar"/>
    <w:semiHidden/>
    <w:unhideWhenUsed/>
    <w:rsid w:val="009150F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9150F7"/>
    <w:rPr>
      <w:rFonts w:ascii="Tahoma" w:eastAsia="Times New Roman" w:hAnsi="Tahoma" w:cs="Times New Roman"/>
      <w:i/>
      <w:iCs/>
      <w:lang w:val="de-AT" w:eastAsia="de-DE"/>
    </w:rPr>
  </w:style>
  <w:style w:type="character" w:styleId="HTMLCode">
    <w:name w:val="HTML Code"/>
    <w:semiHidden/>
    <w:unhideWhenUsed/>
    <w:rsid w:val="009150F7"/>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9"/>
    <w:rsid w:val="009150F7"/>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9"/>
    <w:semiHidden/>
    <w:locked/>
    <w:rsid w:val="009150F7"/>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9"/>
    <w:semiHidden/>
    <w:locked/>
    <w:rsid w:val="009150F7"/>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9150F7"/>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9150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9150F7"/>
    <w:rPr>
      <w:rFonts w:ascii="Courier New" w:eastAsia="Times New Roman" w:hAnsi="Courier New" w:cs="Times New Roman"/>
      <w:sz w:val="20"/>
      <w:lang w:val="de-AT" w:eastAsia="de-DE"/>
    </w:rPr>
  </w:style>
  <w:style w:type="character" w:styleId="HTMLSample">
    <w:name w:val="HTML Sample"/>
    <w:semiHidden/>
    <w:unhideWhenUsed/>
    <w:rsid w:val="009150F7"/>
    <w:rPr>
      <w:rFonts w:ascii="Courier New" w:eastAsia="Times New Roman" w:hAnsi="Courier New" w:cs="Courier New" w:hint="default"/>
    </w:rPr>
  </w:style>
  <w:style w:type="character" w:styleId="HTMLTypewriter">
    <w:name w:val="HTML Typewriter"/>
    <w:semiHidden/>
    <w:unhideWhenUsed/>
    <w:rsid w:val="009150F7"/>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semiHidden/>
    <w:unhideWhenUsed/>
    <w:qFormat/>
    <w:rsid w:val="009150F7"/>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uiPriority w:val="99"/>
    <w:semiHidden/>
    <w:locked/>
    <w:rsid w:val="009150F7"/>
    <w:rPr>
      <w:rFonts w:ascii="Times New Roman" w:hAnsi="Times New Roman" w:cs="Times New Roman" w:hint="default"/>
      <w:noProof/>
      <w:kern w:val="28"/>
      <w:sz w:val="24"/>
      <w:szCs w:val="24"/>
      <w:lang w:val="sq-AL" w:eastAsia="en-US"/>
    </w:rPr>
  </w:style>
  <w:style w:type="character" w:customStyle="1" w:styleId="Heading8Char1">
    <w:name w:val="Heading 8 Char1"/>
    <w:aliases w:val="h Char1"/>
    <w:uiPriority w:val="99"/>
    <w:semiHidden/>
    <w:locked/>
    <w:rsid w:val="009150F7"/>
    <w:rPr>
      <w:rFonts w:ascii="Times New Roman" w:hAnsi="Times New Roman" w:cs="Times New Roman" w:hint="default"/>
      <w:i/>
      <w:iCs/>
      <w:noProof/>
      <w:kern w:val="28"/>
      <w:sz w:val="24"/>
      <w:szCs w:val="24"/>
      <w:lang w:val="sq-AL" w:eastAsia="en-US"/>
    </w:rPr>
  </w:style>
  <w:style w:type="character" w:customStyle="1" w:styleId="NormalIndentChar">
    <w:name w:val="Normal Indent Char"/>
    <w:link w:val="NormalIndent"/>
    <w:semiHidden/>
    <w:locked/>
    <w:rsid w:val="009150F7"/>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9150F7"/>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9150F7"/>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9150F7"/>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9150F7"/>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9150F7"/>
    <w:rPr>
      <w:rFonts w:ascii="Calibri" w:eastAsia="Calibri" w:hAnsi="Calibri" w:cs="Times New Roman"/>
    </w:rPr>
  </w:style>
  <w:style w:type="character" w:customStyle="1" w:styleId="FooterChar">
    <w:name w:val="Footer Char"/>
    <w:basedOn w:val="DefaultParagraphFont"/>
    <w:link w:val="Footer"/>
    <w:uiPriority w:val="99"/>
    <w:semiHidden/>
    <w:locked/>
    <w:rsid w:val="009150F7"/>
    <w:rPr>
      <w:rFonts w:ascii="Calibri" w:eastAsia="Calibri" w:hAnsi="Calibri" w:cs="Times New Roman"/>
    </w:rPr>
  </w:style>
  <w:style w:type="character" w:customStyle="1" w:styleId="EndnoteTextChar">
    <w:name w:val="Endnote Text Char"/>
    <w:aliases w:val="Char Char Char"/>
    <w:basedOn w:val="DefaultParagraphFont"/>
    <w:link w:val="EndnoteText1"/>
    <w:locked/>
    <w:rsid w:val="009150F7"/>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9150F7"/>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9150F7"/>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9150F7"/>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99"/>
    <w:locked/>
    <w:rsid w:val="009150F7"/>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9150F7"/>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9150F7"/>
    <w:rPr>
      <w:rFonts w:ascii="Tahoma" w:eastAsia="Times New Roman" w:hAnsi="Tahoma" w:cs="Times New Roman"/>
      <w:lang w:val="de-AT" w:eastAsia="de-DE"/>
    </w:rPr>
  </w:style>
  <w:style w:type="character" w:customStyle="1" w:styleId="BodyTextChar">
    <w:name w:val="Body Text Char"/>
    <w:basedOn w:val="DefaultParagraphFont"/>
    <w:link w:val="BodyText"/>
    <w:uiPriority w:val="99"/>
    <w:semiHidden/>
    <w:locked/>
    <w:rsid w:val="009150F7"/>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9150F7"/>
    <w:rPr>
      <w:rFonts w:ascii="Calibri" w:eastAsia="Calibri" w:hAnsi="Calibri" w:cs="Times New Roman"/>
    </w:rPr>
  </w:style>
  <w:style w:type="character" w:customStyle="1" w:styleId="MessageHeaderChar">
    <w:name w:val="Message Header Char"/>
    <w:basedOn w:val="DefaultParagraphFont"/>
    <w:link w:val="MessageHeader"/>
    <w:semiHidden/>
    <w:locked/>
    <w:rsid w:val="009150F7"/>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9150F7"/>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9150F7"/>
    <w:rPr>
      <w:rFonts w:ascii="Tahoma" w:eastAsia="Times New Roman" w:hAnsi="Tahoma" w:cs="Times New Roman"/>
      <w:lang w:val="de-AT" w:eastAsia="de-DE"/>
    </w:rPr>
  </w:style>
  <w:style w:type="character" w:customStyle="1" w:styleId="DateChar">
    <w:name w:val="Date Char"/>
    <w:basedOn w:val="DefaultParagraphFont"/>
    <w:link w:val="Date"/>
    <w:semiHidden/>
    <w:locked/>
    <w:rsid w:val="009150F7"/>
    <w:rPr>
      <w:rFonts w:ascii="Tahoma" w:eastAsia="Times New Roman" w:hAnsi="Tahoma" w:cs="Times New Roman"/>
      <w:lang w:val="de-AT" w:eastAsia="de-DE"/>
    </w:rPr>
  </w:style>
  <w:style w:type="paragraph" w:styleId="BodyText">
    <w:name w:val="Body Text"/>
    <w:basedOn w:val="Normal"/>
    <w:link w:val="BodyTextChar"/>
    <w:uiPriority w:val="99"/>
    <w:semiHidden/>
    <w:unhideWhenUsed/>
    <w:qFormat/>
    <w:rsid w:val="009150F7"/>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9150F7"/>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9150F7"/>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9150F7"/>
    <w:pPr>
      <w:spacing w:after="120"/>
      <w:ind w:left="360"/>
    </w:pPr>
  </w:style>
  <w:style w:type="character" w:customStyle="1" w:styleId="BodyTextIndentChar1">
    <w:name w:val="Body Text Indent Char1"/>
    <w:basedOn w:val="DefaultParagraphFont"/>
    <w:uiPriority w:val="99"/>
    <w:semiHidden/>
    <w:rsid w:val="009150F7"/>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9150F7"/>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9150F7"/>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9150F7"/>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9150F7"/>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9150F7"/>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9150F7"/>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9150F7"/>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9150F7"/>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9150F7"/>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9150F7"/>
    <w:rPr>
      <w:rFonts w:ascii="Tahoma" w:eastAsia="Calibri" w:hAnsi="Tahoma" w:cs="Tahoma"/>
      <w:sz w:val="16"/>
      <w:szCs w:val="16"/>
    </w:rPr>
  </w:style>
  <w:style w:type="character" w:customStyle="1" w:styleId="NoSpacingChar">
    <w:name w:val="No Spacing Char"/>
    <w:basedOn w:val="DefaultParagraphFont"/>
    <w:link w:val="NoSpacing"/>
    <w:uiPriority w:val="99"/>
    <w:locked/>
    <w:rsid w:val="009150F7"/>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Table/Figure Heading Char,Paragrafo elenco1 Char,Graph &amp; Table tite Char,En tête 1 Char"/>
    <w:link w:val="ListParagraph"/>
    <w:uiPriority w:val="34"/>
    <w:qFormat/>
    <w:locked/>
    <w:rsid w:val="009150F7"/>
    <w:rPr>
      <w:rFonts w:ascii="Calibri" w:eastAsia="Times New Roman" w:hAnsi="Calibri" w:cs="Times New Roman"/>
    </w:rPr>
  </w:style>
  <w:style w:type="paragraph" w:styleId="ListParagraph">
    <w:name w:val="List Paragraph"/>
    <w:aliases w:val="List Paragraph2,List Paragraph (numbered (a)),Normal 1,List Paragraph 1,Akapit z listą BS,Bullets,Bullet1,Table/Figure Heading,Paragrafo elenco1,Graph &amp; Table tite,En tête 1,List (Mannvit),Left Bullet L1"/>
    <w:basedOn w:val="Normal"/>
    <w:link w:val="ListParagraphChar"/>
    <w:uiPriority w:val="34"/>
    <w:qFormat/>
    <w:rsid w:val="009150F7"/>
    <w:pPr>
      <w:ind w:left="720" w:firstLine="0"/>
      <w:contextualSpacing/>
      <w:jc w:val="left"/>
    </w:pPr>
    <w:rPr>
      <w:rFonts w:eastAsia="Times New Roman"/>
    </w:rPr>
  </w:style>
  <w:style w:type="character" w:customStyle="1" w:styleId="QuoteChar">
    <w:name w:val="Quote Char"/>
    <w:basedOn w:val="DefaultParagraphFont"/>
    <w:link w:val="Quote"/>
    <w:uiPriority w:val="29"/>
    <w:locked/>
    <w:rsid w:val="009150F7"/>
    <w:rPr>
      <w:rFonts w:ascii="Times New Roman" w:eastAsia="Times New Roman" w:hAnsi="Times New Roman" w:cs="Times New Roman"/>
      <w:noProof/>
      <w:kern w:val="28"/>
      <w:sz w:val="16"/>
      <w:szCs w:val="20"/>
      <w:lang w:val="en-GB"/>
    </w:rPr>
  </w:style>
  <w:style w:type="character" w:customStyle="1" w:styleId="IntenseQuoteChar">
    <w:name w:val="Intense Quote Char"/>
    <w:basedOn w:val="DefaultParagraphFont"/>
    <w:link w:val="IntenseQuote"/>
    <w:uiPriority w:val="30"/>
    <w:locked/>
    <w:rsid w:val="009150F7"/>
    <w:rPr>
      <w:rFonts w:ascii="Times New Roman" w:eastAsia="Calibri" w:hAnsi="Times New Roman" w:cs="Times New Roman"/>
      <w:b/>
      <w:bCs/>
      <w:i/>
      <w:iCs/>
      <w:noProof/>
      <w:color w:val="4F81BD"/>
      <w:kern w:val="28"/>
      <w:szCs w:val="24"/>
      <w:lang w:val="sq-AL"/>
    </w:rPr>
  </w:style>
  <w:style w:type="character" w:customStyle="1" w:styleId="AktiChar">
    <w:name w:val="Akti Char"/>
    <w:basedOn w:val="DefaultParagraphFont"/>
    <w:link w:val="Akti"/>
    <w:locked/>
    <w:rsid w:val="009150F7"/>
    <w:rPr>
      <w:rFonts w:ascii="Garamond" w:eastAsia="MS Mincho" w:hAnsi="Garamond" w:cs="CG Times"/>
      <w:b/>
      <w:bCs/>
      <w:caps/>
      <w:color w:val="000000"/>
      <w:sz w:val="24"/>
      <w:lang w:val="en-GB"/>
    </w:rPr>
  </w:style>
  <w:style w:type="paragraph" w:customStyle="1" w:styleId="Akti">
    <w:name w:val="Akti"/>
    <w:link w:val="AktiChar"/>
    <w:qFormat/>
    <w:rsid w:val="009150F7"/>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9150F7"/>
    <w:rPr>
      <w:rFonts w:ascii="Garamond" w:eastAsia="MS Mincho" w:hAnsi="Garamond" w:cs="CG Times"/>
      <w:b/>
      <w:bCs/>
      <w:sz w:val="24"/>
      <w:lang w:val="en-GB"/>
    </w:rPr>
  </w:style>
  <w:style w:type="paragraph" w:customStyle="1" w:styleId="NumriData">
    <w:name w:val="Numri_Data"/>
    <w:next w:val="Normal"/>
    <w:link w:val="NumriDataChar"/>
    <w:qFormat/>
    <w:rsid w:val="009150F7"/>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9150F7"/>
    <w:rPr>
      <w:rFonts w:ascii="Garamond" w:eastAsia="MS Mincho" w:hAnsi="Garamond" w:cs="CG Times"/>
      <w:sz w:val="24"/>
    </w:rPr>
  </w:style>
  <w:style w:type="paragraph" w:customStyle="1" w:styleId="Paragrafi">
    <w:name w:val="Paragrafi"/>
    <w:link w:val="ParagrafiChar"/>
    <w:qFormat/>
    <w:rsid w:val="009150F7"/>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9150F7"/>
    <w:rPr>
      <w:rFonts w:ascii="Garamond" w:eastAsia="MS Mincho" w:hAnsi="Garamond" w:cs="CG Times"/>
      <w:b/>
      <w:bCs/>
      <w:caps/>
      <w:sz w:val="24"/>
      <w:lang w:val="en-GB"/>
    </w:rPr>
  </w:style>
  <w:style w:type="paragraph" w:customStyle="1" w:styleId="Titulli">
    <w:name w:val="Titulli"/>
    <w:next w:val="Normal"/>
    <w:link w:val="TitulliChar"/>
    <w:qFormat/>
    <w:rsid w:val="009150F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9150F7"/>
    <w:rPr>
      <w:rFonts w:ascii="Garamond" w:eastAsia="MS Mincho" w:hAnsi="Garamond" w:cs="CG Times"/>
      <w:sz w:val="24"/>
      <w:lang w:val="en-GB"/>
    </w:rPr>
  </w:style>
  <w:style w:type="paragraph" w:customStyle="1" w:styleId="NeniNr">
    <w:name w:val="Neni_Nr"/>
    <w:next w:val="Normal"/>
    <w:link w:val="NeniNrChar"/>
    <w:qFormat/>
    <w:rsid w:val="009150F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9150F7"/>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9150F7"/>
    <w:rPr>
      <w:rFonts w:ascii="Garamond" w:eastAsia="MS Mincho" w:hAnsi="Garamond" w:cs="CG Times"/>
      <w:caps/>
      <w:sz w:val="24"/>
      <w:lang w:val="en-GB"/>
    </w:rPr>
  </w:style>
  <w:style w:type="paragraph" w:customStyle="1" w:styleId="Autoriteti">
    <w:name w:val="Autoriteti"/>
    <w:next w:val="Normal"/>
    <w:link w:val="AutoritetiChar"/>
    <w:qFormat/>
    <w:rsid w:val="009150F7"/>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9150F7"/>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9150F7"/>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9150F7"/>
    <w:pPr>
      <w:ind w:firstLine="0"/>
      <w:jc w:val="center"/>
    </w:pPr>
    <w:rPr>
      <w:caps/>
      <w:szCs w:val="24"/>
    </w:rPr>
  </w:style>
  <w:style w:type="paragraph" w:customStyle="1" w:styleId="Vendosi">
    <w:name w:val="Vendosi"/>
    <w:basedOn w:val="Titull-Titull"/>
    <w:uiPriority w:val="99"/>
    <w:qFormat/>
    <w:rsid w:val="009150F7"/>
  </w:style>
  <w:style w:type="paragraph" w:customStyle="1" w:styleId="Hapesira7">
    <w:name w:val="Hapesira 7"/>
    <w:basedOn w:val="Paragrafi"/>
    <w:uiPriority w:val="99"/>
    <w:qFormat/>
    <w:rsid w:val="009150F7"/>
    <w:rPr>
      <w:sz w:val="14"/>
      <w:szCs w:val="24"/>
    </w:rPr>
  </w:style>
  <w:style w:type="character" w:customStyle="1" w:styleId="Style1Char">
    <w:name w:val="Style1 Char"/>
    <w:link w:val="Style1"/>
    <w:locked/>
    <w:rsid w:val="009150F7"/>
    <w:rPr>
      <w:rFonts w:ascii="CG Times" w:eastAsia="MS Mincho" w:hAnsi="CG Times" w:cs="CG Times"/>
      <w:b/>
      <w:bCs/>
      <w:caps/>
      <w:color w:val="000000"/>
      <w:sz w:val="21"/>
      <w:lang w:val="en-GB"/>
    </w:rPr>
  </w:style>
  <w:style w:type="paragraph" w:customStyle="1" w:styleId="Style1">
    <w:name w:val="Style1"/>
    <w:basedOn w:val="Akti"/>
    <w:link w:val="Style1Char"/>
    <w:qFormat/>
    <w:rsid w:val="009150F7"/>
    <w:rPr>
      <w:rFonts w:ascii="CG Times" w:hAnsi="CG Times"/>
      <w:sz w:val="21"/>
    </w:rPr>
  </w:style>
  <w:style w:type="paragraph" w:customStyle="1" w:styleId="ADDRESS">
    <w:name w:val="ADDRESS"/>
    <w:basedOn w:val="Normal"/>
    <w:uiPriority w:val="99"/>
    <w:qFormat/>
    <w:rsid w:val="009150F7"/>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9150F7"/>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9150F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9150F7"/>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9150F7"/>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9150F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9150F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9150F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9150F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9150F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9150F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9150F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9150F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9150F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9150F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9150F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9150F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9150F7"/>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9150F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9150F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9150F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9150F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9150F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9150F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9150F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9150F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9150F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9150F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9150F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9150F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9150F7"/>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9150F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9150F7"/>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9150F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9150F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9150F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9150F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9150F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9150F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9150F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9150F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9150F7"/>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9150F7"/>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9150F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9150F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9150F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9150F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9150F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9150F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9150F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9150F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9150F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9150F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9150F7"/>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9150F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9150F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9150F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9150F7"/>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9150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9150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9150F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9150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9150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9150F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9150F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9150F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9150F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9150F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9150F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9150F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9150F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9150F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9150F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9150F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9150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9150F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9150F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9150F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9150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9150F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9150F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9150F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9150F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9150F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9150F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9150F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9150F7"/>
    <w:rPr>
      <w:rFonts w:ascii="Times New Roman" w:eastAsia="Calibri" w:hAnsi="Times New Roman" w:cs="Times New Roman"/>
      <w:color w:val="000000"/>
      <w:sz w:val="24"/>
      <w:szCs w:val="24"/>
    </w:rPr>
  </w:style>
  <w:style w:type="paragraph" w:customStyle="1" w:styleId="Default">
    <w:name w:val="Default"/>
    <w:link w:val="DefaultChar"/>
    <w:qFormat/>
    <w:rsid w:val="009150F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9150F7"/>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9150F7"/>
    <w:rPr>
      <w:sz w:val="24"/>
      <w:lang w:val="en-GB" w:eastAsia="fr-FR"/>
    </w:rPr>
  </w:style>
  <w:style w:type="paragraph" w:customStyle="1" w:styleId="JuPara">
    <w:name w:val="Ju_Para"/>
    <w:aliases w:val="Left,First line:  0 cm,ECHR_Para,Para"/>
    <w:basedOn w:val="Normal"/>
    <w:link w:val="JuParaCar"/>
    <w:qFormat/>
    <w:rsid w:val="009150F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9150F7"/>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9150F7"/>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9150F7"/>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9150F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9150F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9150F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9150F7"/>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9150F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9150F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9150F7"/>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9150F7"/>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9150F7"/>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9150F7"/>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9150F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9150F7"/>
    <w:rPr>
      <w:b w:val="0"/>
    </w:rPr>
  </w:style>
  <w:style w:type="paragraph" w:customStyle="1" w:styleId="StyleStyle1Bold">
    <w:name w:val="Style Style1 + Bold"/>
    <w:basedOn w:val="Style1"/>
    <w:uiPriority w:val="99"/>
    <w:qFormat/>
    <w:rsid w:val="009150F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9150F7"/>
    <w:rPr>
      <w:rFonts w:ascii="EUAlbertina" w:hAnsi="EUAlbertina"/>
      <w:color w:val="auto"/>
    </w:rPr>
  </w:style>
  <w:style w:type="paragraph" w:customStyle="1" w:styleId="CM4">
    <w:name w:val="CM4"/>
    <w:basedOn w:val="Normal"/>
    <w:next w:val="Normal"/>
    <w:uiPriority w:val="99"/>
    <w:qFormat/>
    <w:rsid w:val="009150F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9150F7"/>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9150F7"/>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9150F7"/>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9150F7"/>
    <w:rPr>
      <w:rFonts w:ascii="Calibri" w:eastAsia="Times New Roman" w:hAnsi="Calibri" w:cs="Times New Roman"/>
      <w:sz w:val="24"/>
      <w:szCs w:val="24"/>
      <w:lang w:val="en-GB" w:eastAsia="en-GB"/>
    </w:rPr>
  </w:style>
  <w:style w:type="paragraph" w:customStyle="1" w:styleId="Text1">
    <w:name w:val="Text 1"/>
    <w:basedOn w:val="Normal"/>
    <w:link w:val="Text1Char"/>
    <w:qFormat/>
    <w:rsid w:val="009150F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9150F7"/>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9150F7"/>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9150F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9150F7"/>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9150F7"/>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9150F7"/>
  </w:style>
  <w:style w:type="paragraph" w:customStyle="1" w:styleId="Point0">
    <w:name w:val="Point 0"/>
    <w:basedOn w:val="Normal"/>
    <w:uiPriority w:val="99"/>
    <w:qFormat/>
    <w:rsid w:val="009150F7"/>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9150F7"/>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9150F7"/>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9150F7"/>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9150F7"/>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9150F7"/>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9150F7"/>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9150F7"/>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9150F7"/>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9150F7"/>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9150F7"/>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9150F7"/>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9150F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9150F7"/>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9150F7"/>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9150F7"/>
    <w:rPr>
      <w:rFonts w:ascii="CG Times" w:eastAsia="Times New Roman" w:hAnsi="CG Times" w:cs="Times New Roman"/>
      <w:b/>
      <w:szCs w:val="24"/>
    </w:rPr>
  </w:style>
  <w:style w:type="paragraph" w:customStyle="1" w:styleId="ParagrafiCharCharChar">
    <w:name w:val="Paragrafi Char Char Char"/>
    <w:link w:val="ParagrafiCharCharCharChar"/>
    <w:qFormat/>
    <w:rsid w:val="009150F7"/>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9150F7"/>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9150F7"/>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9150F7"/>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9150F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9150F7"/>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9150F7"/>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9150F7"/>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9150F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9150F7"/>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9150F7"/>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9150F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9150F7"/>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9150F7"/>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9150F7"/>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9150F7"/>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9150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9150F7"/>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9150F7"/>
    <w:pPr>
      <w:tabs>
        <w:tab w:val="left" w:pos="6575"/>
      </w:tabs>
    </w:pPr>
    <w:rPr>
      <w:spacing w:val="-4"/>
    </w:rPr>
  </w:style>
  <w:style w:type="paragraph" w:customStyle="1" w:styleId="Cover1">
    <w:name w:val="Cover1"/>
    <w:basedOn w:val="Normal"/>
    <w:next w:val="Normal"/>
    <w:uiPriority w:val="99"/>
    <w:qFormat/>
    <w:rsid w:val="009150F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9150F7"/>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9150F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9150F7"/>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9150F7"/>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9150F7"/>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9150F7"/>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9150F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9150F7"/>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9150F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9150F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9150F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9150F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9150F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9150F7"/>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9150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9150F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nhideWhenUsed/>
    <w:qFormat/>
    <w:rsid w:val="009150F7"/>
    <w:rPr>
      <w:vertAlign w:val="superscript"/>
    </w:rPr>
  </w:style>
  <w:style w:type="paragraph" w:customStyle="1" w:styleId="Char2">
    <w:name w:val="Char2"/>
    <w:basedOn w:val="Normal"/>
    <w:link w:val="FootnoteReference"/>
    <w:qFormat/>
    <w:rsid w:val="009150F7"/>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9150F7"/>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9150F7"/>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9150F7"/>
    <w:rPr>
      <w:sz w:val="24"/>
    </w:rPr>
  </w:style>
  <w:style w:type="paragraph" w:customStyle="1" w:styleId="xl160">
    <w:name w:val="xl160"/>
    <w:basedOn w:val="Normal"/>
    <w:uiPriority w:val="99"/>
    <w:qFormat/>
    <w:rsid w:val="009150F7"/>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9150F7"/>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9150F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9150F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9150F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9150F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9150F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9150F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9150F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9150F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9150F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9150F7"/>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9150F7"/>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9150F7"/>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9150F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9150F7"/>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9150F7"/>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9150F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9150F7"/>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9150F7"/>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9150F7"/>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9150F7"/>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9150F7"/>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9150F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9150F7"/>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9150F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9150F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9150F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9150F7"/>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9150F7"/>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9150F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9150F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9150F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9150F7"/>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9150F7"/>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9150F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9150F7"/>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9150F7"/>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9150F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9150F7"/>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9150F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9150F7"/>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9150F7"/>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9150F7"/>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9150F7"/>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9150F7"/>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9150F7"/>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9150F7"/>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9150F7"/>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9150F7"/>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9150F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9150F7"/>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9150F7"/>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9150F7"/>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9150F7"/>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9150F7"/>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9150F7"/>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9150F7"/>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9150F7"/>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9150F7"/>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9150F7"/>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9150F7"/>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9150F7"/>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9150F7"/>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9150F7"/>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9150F7"/>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9150F7"/>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9150F7"/>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9150F7"/>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9150F7"/>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9150F7"/>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9150F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9150F7"/>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9150F7"/>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9150F7"/>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9150F7"/>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9150F7"/>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9150F7"/>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9150F7"/>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9150F7"/>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9150F7"/>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9150F7"/>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9150F7"/>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9150F7"/>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9150F7"/>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9150F7"/>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9150F7"/>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9150F7"/>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9150F7"/>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9150F7"/>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9150F7"/>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9150F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9150F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9150F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9150F7"/>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9150F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9150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9150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9150F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9150F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9150F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9150F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9150F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9150F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9150F7"/>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9150F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9150F7"/>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9150F7"/>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9150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9150F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9150F7"/>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9150F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9150F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9150F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9150F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9150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9150F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9150F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9150F7"/>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9150F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9150F7"/>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9150F7"/>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9150F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9150F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9150F7"/>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9150F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9150F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9150F7"/>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9150F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9150F7"/>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9150F7"/>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9150F7"/>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9150F7"/>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9150F7"/>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9150F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9150F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9150F7"/>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9150F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9150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9150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9150F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9150F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9150F7"/>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9150F7"/>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9150F7"/>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9150F7"/>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9150F7"/>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9150F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9150F7"/>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9150F7"/>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9150F7"/>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9150F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9150F7"/>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9150F7"/>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9150F7"/>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9150F7"/>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9150F7"/>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9150F7"/>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9150F7"/>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9150F7"/>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9150F7"/>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9150F7"/>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9150F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9150F7"/>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9150F7"/>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9150F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9150F7"/>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9150F7"/>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9150F7"/>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9150F7"/>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9150F7"/>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9150F7"/>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9150F7"/>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9150F7"/>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9150F7"/>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9150F7"/>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9150F7"/>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9150F7"/>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9150F7"/>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9150F7"/>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9150F7"/>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9150F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9150F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9150F7"/>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9150F7"/>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9150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9150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9150F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9150F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9150F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9150F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9150F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9150F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9150F7"/>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9150F7"/>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9150F7"/>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9150F7"/>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9150F7"/>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9150F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9150F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9150F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9150F7"/>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9150F7"/>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9150F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9150F7"/>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9150F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9150F7"/>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9150F7"/>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9150F7"/>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9150F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9150F7"/>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9150F7"/>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9150F7"/>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9150F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9150F7"/>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9150F7"/>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9150F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9150F7"/>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9150F7"/>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9150F7"/>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9150F7"/>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9150F7"/>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9150F7"/>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9150F7"/>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9150F7"/>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9150F7"/>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9150F7"/>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9150F7"/>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9150F7"/>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9150F7"/>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9150F7"/>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9150F7"/>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9150F7"/>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9150F7"/>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9150F7"/>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9150F7"/>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9150F7"/>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9150F7"/>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9150F7"/>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9150F7"/>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9150F7"/>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9150F7"/>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9150F7"/>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9150F7"/>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9150F7"/>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9150F7"/>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9150F7"/>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9150F7"/>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9150F7"/>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9150F7"/>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9150F7"/>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9150F7"/>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9150F7"/>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9150F7"/>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9150F7"/>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9150F7"/>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9150F7"/>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9150F7"/>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9150F7"/>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9150F7"/>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9150F7"/>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9150F7"/>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9150F7"/>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9150F7"/>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9150F7"/>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9150F7"/>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9150F7"/>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9150F7"/>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9150F7"/>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9150F7"/>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9150F7"/>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9150F7"/>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9150F7"/>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9150F7"/>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9150F7"/>
    <w:pPr>
      <w:spacing w:before="0"/>
    </w:pPr>
  </w:style>
  <w:style w:type="paragraph" w:customStyle="1" w:styleId="Definition1a">
    <w:name w:val="Definition 1a"/>
    <w:basedOn w:val="Definition"/>
    <w:next w:val="Definition1b"/>
    <w:uiPriority w:val="99"/>
    <w:qFormat/>
    <w:rsid w:val="009150F7"/>
    <w:pPr>
      <w:keepNext/>
    </w:pPr>
  </w:style>
  <w:style w:type="character" w:customStyle="1" w:styleId="Paragraph1Char">
    <w:name w:val="Paragraph (1) Char"/>
    <w:link w:val="Paragraph1"/>
    <w:locked/>
    <w:rsid w:val="009150F7"/>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9150F7"/>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9150F7"/>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9150F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9150F7"/>
    <w:pPr>
      <w:tabs>
        <w:tab w:val="clear" w:pos="2835"/>
      </w:tabs>
      <w:ind w:firstLine="0"/>
    </w:pPr>
  </w:style>
  <w:style w:type="paragraph" w:customStyle="1" w:styleId="Definition3">
    <w:name w:val="Definition 3"/>
    <w:basedOn w:val="Definition2"/>
    <w:uiPriority w:val="99"/>
    <w:qFormat/>
    <w:rsid w:val="009150F7"/>
    <w:pPr>
      <w:tabs>
        <w:tab w:val="clear" w:pos="3402"/>
      </w:tabs>
      <w:ind w:left="3402"/>
    </w:pPr>
  </w:style>
  <w:style w:type="paragraph" w:customStyle="1" w:styleId="Definition4">
    <w:name w:val="Definition 4"/>
    <w:basedOn w:val="Definition3"/>
    <w:uiPriority w:val="99"/>
    <w:qFormat/>
    <w:rsid w:val="009150F7"/>
    <w:pPr>
      <w:tabs>
        <w:tab w:val="clear" w:pos="3969"/>
      </w:tabs>
      <w:ind w:left="3969"/>
    </w:pPr>
  </w:style>
  <w:style w:type="paragraph" w:customStyle="1" w:styleId="Paragraphi">
    <w:name w:val="Paragraph (i)"/>
    <w:basedOn w:val="Normal"/>
    <w:uiPriority w:val="99"/>
    <w:qFormat/>
    <w:rsid w:val="009150F7"/>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99"/>
    <w:qFormat/>
    <w:rsid w:val="009150F7"/>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99"/>
    <w:rsid w:val="009150F7"/>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9150F7"/>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9150F7"/>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9150F7"/>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9150F7"/>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9150F7"/>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9150F7"/>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9150F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9150F7"/>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9150F7"/>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9150F7"/>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9150F7"/>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9150F7"/>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9150F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9150F7"/>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9150F7"/>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9150F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9150F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9150F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9150F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9150F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9150F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9150F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9150F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9150F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9150F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9150F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9150F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9150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9150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9150F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9150F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9150F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9150F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9150F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9150F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9150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9150F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9150F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9150F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9150F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9150F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9150F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9150F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9150F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9150F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9150F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9150F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9150F7"/>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9150F7"/>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9150F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9150F7"/>
    <w:pPr>
      <w:ind w:left="720" w:firstLine="0"/>
      <w:contextualSpacing/>
    </w:pPr>
  </w:style>
  <w:style w:type="paragraph" w:customStyle="1" w:styleId="ReturnAddress">
    <w:name w:val="Return Address"/>
    <w:basedOn w:val="Normal"/>
    <w:uiPriority w:val="99"/>
    <w:qFormat/>
    <w:rsid w:val="009150F7"/>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9150F7"/>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9150F7"/>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9150F7"/>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9150F7"/>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9150F7"/>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9150F7"/>
  </w:style>
  <w:style w:type="paragraph" w:customStyle="1" w:styleId="CharCharCharCharCharCharCharCharCharCharChar1">
    <w:name w:val="Char Char Char Char Char Char Char Char Char Char Char1"/>
    <w:basedOn w:val="Normal"/>
    <w:uiPriority w:val="99"/>
    <w:qFormat/>
    <w:rsid w:val="009150F7"/>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9150F7"/>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9150F7"/>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9150F7"/>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9150F7"/>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9150F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9150F7"/>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9150F7"/>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9150F7"/>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9150F7"/>
    <w:pPr>
      <w:ind w:left="720" w:firstLine="0"/>
      <w:contextualSpacing/>
      <w:jc w:val="left"/>
    </w:pPr>
    <w:rPr>
      <w:rFonts w:eastAsia="MS Mincho"/>
    </w:rPr>
  </w:style>
  <w:style w:type="paragraph" w:customStyle="1" w:styleId="Style54">
    <w:name w:val="Style54"/>
    <w:basedOn w:val="Normal"/>
    <w:uiPriority w:val="99"/>
    <w:qFormat/>
    <w:rsid w:val="009150F7"/>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9150F7"/>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9150F7"/>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9150F7"/>
    <w:pPr>
      <w:ind w:firstLine="0"/>
    </w:pPr>
    <w:rPr>
      <w:u w:val="single"/>
    </w:rPr>
  </w:style>
  <w:style w:type="paragraph" w:customStyle="1" w:styleId="Indenta">
    <w:name w:val="Indent (a)"/>
    <w:basedOn w:val="Normal"/>
    <w:uiPriority w:val="99"/>
    <w:qFormat/>
    <w:rsid w:val="009150F7"/>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9150F7"/>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9150F7"/>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9150F7"/>
    <w:pPr>
      <w:spacing w:before="100" w:beforeAutospacing="1" w:after="100" w:afterAutospacing="1" w:line="240" w:lineRule="auto"/>
      <w:ind w:firstLine="0"/>
      <w:jc w:val="left"/>
    </w:pPr>
    <w:rPr>
      <w:rFonts w:ascii="Times New Roman" w:hAnsi="Times New Roman"/>
      <w:sz w:val="24"/>
      <w:szCs w:val="24"/>
    </w:rPr>
  </w:style>
  <w:style w:type="character" w:customStyle="1" w:styleId="C1PlainTextZchn">
    <w:name w:val="C1 Plain Text Zchn"/>
    <w:link w:val="C1PlainText"/>
    <w:uiPriority w:val="99"/>
    <w:locked/>
    <w:rsid w:val="009150F7"/>
    <w:rPr>
      <w:sz w:val="24"/>
      <w:szCs w:val="24"/>
      <w:lang w:val="en-GB"/>
    </w:rPr>
  </w:style>
  <w:style w:type="paragraph" w:customStyle="1" w:styleId="C1PlainText">
    <w:name w:val="C1 Plain Text"/>
    <w:basedOn w:val="Normal"/>
    <w:link w:val="C1PlainTextZchn"/>
    <w:uiPriority w:val="99"/>
    <w:qFormat/>
    <w:rsid w:val="009150F7"/>
    <w:pPr>
      <w:overflowPunct w:val="0"/>
      <w:autoSpaceDE w:val="0"/>
      <w:autoSpaceDN w:val="0"/>
      <w:adjustRightInd w:val="0"/>
      <w:spacing w:before="120" w:after="120" w:line="240" w:lineRule="auto"/>
      <w:ind w:left="1298" w:firstLine="0"/>
    </w:pPr>
    <w:rPr>
      <w:rFonts w:asciiTheme="minorHAnsi" w:eastAsiaTheme="minorHAnsi" w:hAnsiTheme="minorHAnsi" w:cstheme="minorBidi"/>
      <w:sz w:val="24"/>
      <w:szCs w:val="24"/>
      <w:lang w:val="en-GB"/>
    </w:rPr>
  </w:style>
  <w:style w:type="paragraph" w:customStyle="1" w:styleId="BulletNumber1">
    <w:name w:val="Bullet Number 1"/>
    <w:basedOn w:val="Normal"/>
    <w:next w:val="Normal"/>
    <w:uiPriority w:val="99"/>
    <w:qFormat/>
    <w:rsid w:val="009150F7"/>
    <w:pPr>
      <w:spacing w:after="160" w:line="240" w:lineRule="auto"/>
      <w:ind w:firstLine="0"/>
    </w:pPr>
    <w:rPr>
      <w:rFonts w:ascii="Garamond" w:eastAsia="Batang" w:hAnsi="Garamond" w:cs="Garamond"/>
      <w:noProof/>
      <w:kern w:val="28"/>
      <w:lang w:val="sq-AL"/>
    </w:rPr>
  </w:style>
  <w:style w:type="paragraph" w:customStyle="1" w:styleId="StylebodytextComplex11ptComplexItalic">
    <w:name w:val="Style body text + (Complex) 11 pt (Complex) Italic"/>
    <w:basedOn w:val="Normal"/>
    <w:autoRedefine/>
    <w:uiPriority w:val="99"/>
    <w:qFormat/>
    <w:rsid w:val="009150F7"/>
    <w:pPr>
      <w:spacing w:after="0" w:line="240" w:lineRule="auto"/>
      <w:ind w:firstLine="0"/>
    </w:pPr>
    <w:rPr>
      <w:rFonts w:ascii="Garamond" w:hAnsi="Garamond" w:cs="Garamond"/>
      <w:noProof/>
      <w:kern w:val="28"/>
      <w:lang w:val="sq-AL"/>
    </w:rPr>
  </w:style>
  <w:style w:type="character" w:customStyle="1" w:styleId="MEM3Char">
    <w:name w:val="MEM3 Char"/>
    <w:link w:val="MEM3"/>
    <w:uiPriority w:val="99"/>
    <w:locked/>
    <w:rsid w:val="009150F7"/>
    <w:rPr>
      <w:rFonts w:ascii="Arial" w:hAnsi="Arial" w:cs="Arial"/>
      <w:b/>
      <w:bCs/>
      <w:lang w:val="sq-AL"/>
    </w:rPr>
  </w:style>
  <w:style w:type="paragraph" w:customStyle="1" w:styleId="MEM3">
    <w:name w:val="MEM3"/>
    <w:basedOn w:val="Normal"/>
    <w:link w:val="MEM3Char"/>
    <w:uiPriority w:val="99"/>
    <w:qFormat/>
    <w:rsid w:val="009150F7"/>
    <w:pPr>
      <w:spacing w:after="0" w:line="240" w:lineRule="auto"/>
      <w:ind w:left="426" w:hanging="426"/>
    </w:pPr>
    <w:rPr>
      <w:rFonts w:ascii="Arial" w:eastAsiaTheme="minorHAnsi" w:hAnsi="Arial" w:cs="Arial"/>
      <w:b/>
      <w:bCs/>
      <w:lang w:val="sq-AL"/>
    </w:rPr>
  </w:style>
  <w:style w:type="paragraph" w:customStyle="1" w:styleId="Bullet1">
    <w:name w:val="Bullet 1"/>
    <w:basedOn w:val="Text0"/>
    <w:uiPriority w:val="99"/>
    <w:qFormat/>
    <w:rsid w:val="009150F7"/>
    <w:pPr>
      <w:numPr>
        <w:numId w:val="14"/>
      </w:numPr>
      <w:spacing w:after="160"/>
    </w:pPr>
    <w:rPr>
      <w:rFonts w:ascii="Garamond" w:eastAsia="Calibri" w:hAnsi="Garamond"/>
      <w:noProof/>
      <w:kern w:val="28"/>
      <w:sz w:val="22"/>
      <w:szCs w:val="22"/>
      <w:lang w:val="sq-AL"/>
    </w:rPr>
  </w:style>
  <w:style w:type="paragraph" w:customStyle="1" w:styleId="CaptionFigure">
    <w:name w:val="Caption Figure"/>
    <w:basedOn w:val="Normal"/>
    <w:uiPriority w:val="99"/>
    <w:qFormat/>
    <w:rsid w:val="009150F7"/>
    <w:pPr>
      <w:keepNext/>
      <w:spacing w:before="180" w:after="60" w:line="240" w:lineRule="auto"/>
      <w:ind w:firstLine="0"/>
      <w:jc w:val="center"/>
    </w:pPr>
    <w:rPr>
      <w:rFonts w:ascii="Gill Sans" w:hAnsi="Gill Sans" w:cs="Gill Sans"/>
      <w:b/>
      <w:bCs/>
      <w:noProof/>
      <w:kern w:val="28"/>
      <w:lang w:val="sq-AL"/>
    </w:rPr>
  </w:style>
  <w:style w:type="paragraph" w:customStyle="1" w:styleId="BulletNumber2">
    <w:name w:val="Bullet Number 2"/>
    <w:basedOn w:val="Text0"/>
    <w:uiPriority w:val="99"/>
    <w:qFormat/>
    <w:rsid w:val="009150F7"/>
    <w:pPr>
      <w:numPr>
        <w:numId w:val="15"/>
      </w:numPr>
      <w:tabs>
        <w:tab w:val="num" w:pos="360"/>
      </w:tabs>
      <w:spacing w:after="160"/>
      <w:ind w:left="0" w:firstLine="0"/>
    </w:pPr>
    <w:rPr>
      <w:rFonts w:ascii="Garamond" w:eastAsia="Calibri" w:hAnsi="Garamond"/>
      <w:noProof/>
      <w:kern w:val="28"/>
      <w:sz w:val="22"/>
      <w:szCs w:val="22"/>
      <w:lang w:val="sq-AL"/>
    </w:rPr>
  </w:style>
  <w:style w:type="paragraph" w:customStyle="1" w:styleId="yiv889114430msonormal">
    <w:name w:val="yiv889114430msonormal"/>
    <w:basedOn w:val="Normal"/>
    <w:uiPriority w:val="99"/>
    <w:qFormat/>
    <w:rsid w:val="009150F7"/>
    <w:pPr>
      <w:spacing w:before="100" w:beforeAutospacing="1" w:after="100" w:afterAutospacing="1" w:line="240" w:lineRule="auto"/>
      <w:ind w:firstLine="0"/>
    </w:pPr>
    <w:rPr>
      <w:rFonts w:ascii="Times New Roman" w:hAnsi="Times New Roman"/>
      <w:noProof/>
      <w:kern w:val="28"/>
      <w:sz w:val="24"/>
      <w:szCs w:val="24"/>
      <w:lang w:val="sq-AL"/>
    </w:rPr>
  </w:style>
  <w:style w:type="paragraph" w:customStyle="1" w:styleId="ARTICLE">
    <w:name w:val="ARTICLE"/>
    <w:basedOn w:val="Normal"/>
    <w:next w:val="BodyText"/>
    <w:uiPriority w:val="99"/>
    <w:qFormat/>
    <w:rsid w:val="009150F7"/>
    <w:pPr>
      <w:numPr>
        <w:numId w:val="16"/>
      </w:numPr>
      <w:spacing w:before="360" w:after="240" w:line="240" w:lineRule="auto"/>
    </w:pPr>
    <w:rPr>
      <w:rFonts w:ascii="Times New Roman" w:eastAsia="Times New Roman" w:hAnsi="Times New Roman"/>
      <w:noProof/>
      <w:kern w:val="28"/>
      <w:lang w:val="en-GB"/>
    </w:rPr>
  </w:style>
  <w:style w:type="paragraph" w:customStyle="1" w:styleId="CHAPITRE">
    <w:name w:val="CHAPITRE"/>
    <w:basedOn w:val="Normal"/>
    <w:next w:val="Normal"/>
    <w:uiPriority w:val="99"/>
    <w:qFormat/>
    <w:rsid w:val="009150F7"/>
    <w:pPr>
      <w:keepNext/>
      <w:numPr>
        <w:numId w:val="17"/>
      </w:numPr>
      <w:spacing w:before="600" w:after="600" w:line="240" w:lineRule="auto"/>
      <w:jc w:val="center"/>
    </w:pPr>
    <w:rPr>
      <w:rFonts w:ascii="Times New Roman" w:eastAsia="Times New Roman" w:hAnsi="Times New Roman"/>
      <w:b/>
      <w:bCs/>
      <w:noProof/>
      <w:kern w:val="28"/>
      <w:sz w:val="26"/>
      <w:szCs w:val="26"/>
      <w:lang w:val="fr-FR"/>
    </w:rPr>
  </w:style>
  <w:style w:type="paragraph" w:customStyle="1" w:styleId="Annex">
    <w:name w:val="Annex"/>
    <w:basedOn w:val="Normal"/>
    <w:uiPriority w:val="99"/>
    <w:qFormat/>
    <w:rsid w:val="009150F7"/>
    <w:pPr>
      <w:spacing w:after="120" w:line="240" w:lineRule="auto"/>
      <w:ind w:firstLine="0"/>
    </w:pPr>
    <w:rPr>
      <w:rFonts w:ascii="Garamond" w:hAnsi="Garamond" w:cs="Garamond"/>
      <w:noProof/>
      <w:kern w:val="28"/>
      <w:lang w:val="sq-AL"/>
    </w:rPr>
  </w:style>
  <w:style w:type="paragraph" w:customStyle="1" w:styleId="FiguresandTables">
    <w:name w:val="Figures and Tables"/>
    <w:basedOn w:val="Normal"/>
    <w:uiPriority w:val="99"/>
    <w:qFormat/>
    <w:rsid w:val="009150F7"/>
    <w:pPr>
      <w:spacing w:before="120" w:after="240" w:line="240" w:lineRule="auto"/>
      <w:ind w:firstLine="0"/>
    </w:pPr>
    <w:rPr>
      <w:rFonts w:ascii="Garamond" w:hAnsi="Garamond" w:cs="Garamond"/>
      <w:i/>
      <w:iCs/>
      <w:noProof/>
      <w:kern w:val="28"/>
      <w:sz w:val="20"/>
      <w:szCs w:val="20"/>
      <w:lang w:val="sq-AL"/>
    </w:rPr>
  </w:style>
  <w:style w:type="character" w:customStyle="1" w:styleId="Bullet1Char">
    <w:name w:val="~Bullet1 Char"/>
    <w:link w:val="Bullet10"/>
    <w:uiPriority w:val="99"/>
    <w:locked/>
    <w:rsid w:val="009150F7"/>
    <w:rPr>
      <w:rFonts w:ascii="Arial" w:eastAsia="Times New Roman" w:hAnsi="Arial" w:cs="Times New Roman"/>
      <w:noProof/>
      <w:kern w:val="28"/>
    </w:rPr>
  </w:style>
  <w:style w:type="paragraph" w:customStyle="1" w:styleId="Bullet10">
    <w:name w:val="~Bullet1"/>
    <w:basedOn w:val="Normal"/>
    <w:link w:val="Bullet1Char"/>
    <w:uiPriority w:val="99"/>
    <w:qFormat/>
    <w:rsid w:val="009150F7"/>
    <w:pPr>
      <w:numPr>
        <w:numId w:val="18"/>
      </w:numPr>
      <w:spacing w:after="0" w:line="260" w:lineRule="exact"/>
      <w:jc w:val="left"/>
    </w:pPr>
    <w:rPr>
      <w:rFonts w:ascii="Arial" w:eastAsia="Times New Roman" w:hAnsi="Arial"/>
      <w:noProof/>
      <w:kern w:val="28"/>
    </w:rPr>
  </w:style>
  <w:style w:type="paragraph" w:customStyle="1" w:styleId="BodyText6">
    <w:name w:val="~BodyText"/>
    <w:basedOn w:val="Normal"/>
    <w:uiPriority w:val="99"/>
    <w:qFormat/>
    <w:rsid w:val="009150F7"/>
    <w:pPr>
      <w:spacing w:before="260" w:after="0" w:line="260" w:lineRule="exact"/>
      <w:ind w:firstLine="0"/>
      <w:jc w:val="left"/>
    </w:pPr>
    <w:rPr>
      <w:rFonts w:ascii="Arial" w:hAnsi="Arial" w:cs="Arial"/>
      <w:noProof/>
      <w:kern w:val="28"/>
      <w:sz w:val="20"/>
      <w:szCs w:val="20"/>
      <w:lang w:val="en-GB" w:eastAsia="en-GB"/>
    </w:rPr>
  </w:style>
  <w:style w:type="character" w:customStyle="1" w:styleId="TabelaChar">
    <w:name w:val="Tabela Char"/>
    <w:link w:val="Tabela"/>
    <w:locked/>
    <w:rsid w:val="009150F7"/>
    <w:rPr>
      <w:rFonts w:ascii="Times New Roman" w:eastAsia="Calibri" w:hAnsi="Times New Roman" w:cs="Times New Roman"/>
      <w:i/>
      <w:noProof/>
      <w:kern w:val="28"/>
      <w:sz w:val="20"/>
      <w:szCs w:val="24"/>
      <w:lang w:val="sq-AL"/>
    </w:rPr>
  </w:style>
  <w:style w:type="paragraph" w:customStyle="1" w:styleId="Tabela">
    <w:name w:val="Tabela"/>
    <w:basedOn w:val="Normal"/>
    <w:link w:val="TabelaChar"/>
    <w:qFormat/>
    <w:rsid w:val="009150F7"/>
    <w:pPr>
      <w:spacing w:before="240" w:after="0" w:line="240" w:lineRule="auto"/>
      <w:ind w:firstLine="0"/>
      <w:jc w:val="left"/>
    </w:pPr>
    <w:rPr>
      <w:rFonts w:ascii="Times New Roman" w:hAnsi="Times New Roman"/>
      <w:i/>
      <w:noProof/>
      <w:kern w:val="28"/>
      <w:sz w:val="20"/>
      <w:szCs w:val="24"/>
      <w:lang w:val="sq-AL"/>
    </w:rPr>
  </w:style>
  <w:style w:type="character" w:customStyle="1" w:styleId="figChar">
    <w:name w:val="fig. Char"/>
    <w:link w:val="fig"/>
    <w:locked/>
    <w:rsid w:val="009150F7"/>
    <w:rPr>
      <w:rFonts w:ascii="Times New Roman Bold" w:eastAsia="Calibri" w:hAnsi="Times New Roman Bold" w:cs="Times New Roman"/>
      <w:b/>
      <w:i/>
      <w:noProof/>
      <w:kern w:val="28"/>
      <w:sz w:val="20"/>
      <w:szCs w:val="24"/>
      <w:lang w:val="fr-FR"/>
    </w:rPr>
  </w:style>
  <w:style w:type="paragraph" w:customStyle="1" w:styleId="fig">
    <w:name w:val="fig."/>
    <w:basedOn w:val="Normal"/>
    <w:link w:val="figChar"/>
    <w:autoRedefine/>
    <w:qFormat/>
    <w:rsid w:val="009150F7"/>
    <w:pPr>
      <w:spacing w:after="60" w:line="240" w:lineRule="auto"/>
      <w:ind w:firstLine="0"/>
    </w:pPr>
    <w:rPr>
      <w:rFonts w:ascii="Times New Roman Bold" w:hAnsi="Times New Roman Bold"/>
      <w:b/>
      <w:i/>
      <w:noProof/>
      <w:kern w:val="28"/>
      <w:sz w:val="20"/>
      <w:szCs w:val="24"/>
      <w:lang w:val="fr-FR"/>
    </w:rPr>
  </w:style>
  <w:style w:type="paragraph" w:customStyle="1" w:styleId="description">
    <w:name w:val="description"/>
    <w:basedOn w:val="Normal"/>
    <w:uiPriority w:val="99"/>
    <w:qFormat/>
    <w:rsid w:val="009150F7"/>
    <w:pPr>
      <w:spacing w:before="100" w:beforeAutospacing="1" w:after="100" w:afterAutospacing="1" w:line="240" w:lineRule="auto"/>
      <w:ind w:firstLine="0"/>
      <w:jc w:val="left"/>
    </w:pPr>
    <w:rPr>
      <w:rFonts w:ascii="Times New Roman" w:eastAsia="Times New Roman" w:hAnsi="Times New Roman"/>
      <w:noProof/>
      <w:kern w:val="28"/>
      <w:sz w:val="24"/>
      <w:szCs w:val="24"/>
      <w:lang w:val="sq-AL"/>
    </w:rPr>
  </w:style>
  <w:style w:type="character" w:styleId="CommentReference">
    <w:name w:val="annotation reference"/>
    <w:uiPriority w:val="99"/>
    <w:semiHidden/>
    <w:unhideWhenUsed/>
    <w:rsid w:val="009150F7"/>
    <w:rPr>
      <w:sz w:val="16"/>
      <w:szCs w:val="16"/>
    </w:rPr>
  </w:style>
  <w:style w:type="character" w:styleId="LineNumber">
    <w:name w:val="line number"/>
    <w:semiHidden/>
    <w:unhideWhenUsed/>
    <w:rsid w:val="009150F7"/>
    <w:rPr>
      <w:rFonts w:ascii="Tahoma" w:hAnsi="Tahoma" w:cs="Tahoma" w:hint="default"/>
      <w:sz w:val="22"/>
    </w:rPr>
  </w:style>
  <w:style w:type="character" w:styleId="EndnoteReference">
    <w:name w:val="endnote reference"/>
    <w:semiHidden/>
    <w:unhideWhenUsed/>
    <w:rsid w:val="009150F7"/>
    <w:rPr>
      <w:vertAlign w:val="superscript"/>
    </w:rPr>
  </w:style>
  <w:style w:type="character" w:styleId="PlaceholderText">
    <w:name w:val="Placeholder Text"/>
    <w:uiPriority w:val="99"/>
    <w:semiHidden/>
    <w:rsid w:val="009150F7"/>
    <w:rPr>
      <w:rFonts w:ascii="Times New Roman" w:hAnsi="Times New Roman" w:cs="Times New Roman" w:hint="default"/>
      <w:color w:val="808080"/>
    </w:rPr>
  </w:style>
  <w:style w:type="character" w:styleId="SubtleEmphasis">
    <w:name w:val="Subtle Emphasis"/>
    <w:uiPriority w:val="19"/>
    <w:qFormat/>
    <w:rsid w:val="009150F7"/>
    <w:rPr>
      <w:i/>
      <w:iCs/>
      <w:color w:val="404040"/>
    </w:rPr>
  </w:style>
  <w:style w:type="character" w:styleId="IntenseEmphasis">
    <w:name w:val="Intense Emphasis"/>
    <w:uiPriority w:val="21"/>
    <w:qFormat/>
    <w:rsid w:val="009150F7"/>
    <w:rPr>
      <w:b/>
      <w:bCs/>
      <w:i/>
      <w:iCs/>
      <w:color w:val="4F81BD"/>
      <w:sz w:val="24"/>
    </w:rPr>
  </w:style>
  <w:style w:type="character" w:styleId="IntenseReference">
    <w:name w:val="Intense Reference"/>
    <w:basedOn w:val="DefaultParagraphFont"/>
    <w:uiPriority w:val="32"/>
    <w:qFormat/>
    <w:rsid w:val="009150F7"/>
    <w:rPr>
      <w:b/>
      <w:bCs/>
      <w:smallCaps/>
      <w:color w:val="5B9BD5" w:themeColor="accent1"/>
      <w:spacing w:val="5"/>
    </w:rPr>
  </w:style>
  <w:style w:type="character" w:styleId="BookTitle">
    <w:name w:val="Book Title"/>
    <w:uiPriority w:val="33"/>
    <w:qFormat/>
    <w:rsid w:val="009150F7"/>
    <w:rPr>
      <w:b/>
      <w:bCs/>
      <w:smallCaps/>
      <w:spacing w:val="5"/>
    </w:rPr>
  </w:style>
  <w:style w:type="character" w:customStyle="1" w:styleId="Heading9Char1">
    <w:name w:val="Heading 9 Char1"/>
    <w:uiPriority w:val="99"/>
    <w:semiHidden/>
    <w:locked/>
    <w:rsid w:val="009150F7"/>
    <w:rPr>
      <w:rFonts w:ascii="Cambria" w:hAnsi="Cambria" w:cs="Times New Roman" w:hint="default"/>
      <w:noProof/>
      <w:kern w:val="28"/>
      <w:lang w:val="sq-AL" w:eastAsia="en-US"/>
    </w:rPr>
  </w:style>
  <w:style w:type="paragraph" w:styleId="NoSpacing">
    <w:name w:val="No Spacing"/>
    <w:link w:val="NoSpacingChar"/>
    <w:uiPriority w:val="99"/>
    <w:qFormat/>
    <w:rsid w:val="009150F7"/>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9150F7"/>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9150F7"/>
    <w:rPr>
      <w:rFonts w:ascii="Segoe UI" w:eastAsia="Calibri" w:hAnsi="Segoe UI" w:cs="Segoe UI"/>
      <w:sz w:val="18"/>
      <w:szCs w:val="18"/>
    </w:rPr>
  </w:style>
  <w:style w:type="paragraph" w:styleId="Header">
    <w:name w:val="header"/>
    <w:basedOn w:val="Normal"/>
    <w:link w:val="HeaderChar"/>
    <w:uiPriority w:val="99"/>
    <w:semiHidden/>
    <w:unhideWhenUsed/>
    <w:rsid w:val="009150F7"/>
    <w:pPr>
      <w:tabs>
        <w:tab w:val="center" w:pos="4680"/>
        <w:tab w:val="right" w:pos="9360"/>
      </w:tabs>
      <w:spacing w:after="0" w:line="240" w:lineRule="auto"/>
    </w:pPr>
  </w:style>
  <w:style w:type="character" w:customStyle="1" w:styleId="HeaderChar1">
    <w:name w:val="Header Char1"/>
    <w:basedOn w:val="DefaultParagraphFont"/>
    <w:uiPriority w:val="99"/>
    <w:semiHidden/>
    <w:rsid w:val="009150F7"/>
    <w:rPr>
      <w:rFonts w:ascii="Calibri" w:eastAsia="Calibri" w:hAnsi="Calibri" w:cs="Times New Roman"/>
    </w:rPr>
  </w:style>
  <w:style w:type="paragraph" w:styleId="Footer">
    <w:name w:val="footer"/>
    <w:basedOn w:val="Normal"/>
    <w:link w:val="FooterChar"/>
    <w:uiPriority w:val="99"/>
    <w:semiHidden/>
    <w:unhideWhenUsed/>
    <w:rsid w:val="009150F7"/>
    <w:pPr>
      <w:tabs>
        <w:tab w:val="center" w:pos="4680"/>
        <w:tab w:val="right" w:pos="9360"/>
      </w:tabs>
      <w:spacing w:after="0" w:line="240" w:lineRule="auto"/>
    </w:pPr>
  </w:style>
  <w:style w:type="character" w:customStyle="1" w:styleId="FooterChar1">
    <w:name w:val="Footer Char1"/>
    <w:basedOn w:val="DefaultParagraphFont"/>
    <w:uiPriority w:val="99"/>
    <w:semiHidden/>
    <w:rsid w:val="009150F7"/>
    <w:rPr>
      <w:rFonts w:ascii="Calibri" w:eastAsia="Calibri" w:hAnsi="Calibri" w:cs="Times New Roman"/>
    </w:rPr>
  </w:style>
  <w:style w:type="paragraph" w:styleId="Subtitle">
    <w:name w:val="Subtitle"/>
    <w:basedOn w:val="Normal"/>
    <w:next w:val="Normal"/>
    <w:link w:val="SubtitleChar"/>
    <w:uiPriority w:val="11"/>
    <w:qFormat/>
    <w:rsid w:val="009150F7"/>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9150F7"/>
    <w:rPr>
      <w:rFonts w:eastAsiaTheme="minorEastAsia"/>
      <w:color w:val="5A5A5A" w:themeColor="text1" w:themeTint="A5"/>
      <w:spacing w:val="15"/>
    </w:rPr>
  </w:style>
  <w:style w:type="character" w:customStyle="1" w:styleId="apple-converted-space">
    <w:name w:val="apple-converted-space"/>
    <w:uiPriority w:val="99"/>
    <w:rsid w:val="009150F7"/>
  </w:style>
  <w:style w:type="paragraph" w:styleId="BodyText3">
    <w:name w:val="Body Text 3"/>
    <w:basedOn w:val="Normal"/>
    <w:link w:val="BodyText3Char"/>
    <w:uiPriority w:val="99"/>
    <w:semiHidden/>
    <w:unhideWhenUsed/>
    <w:rsid w:val="009150F7"/>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9150F7"/>
    <w:rPr>
      <w:rFonts w:ascii="Calibri" w:eastAsia="Calibri" w:hAnsi="Calibri" w:cs="Times New Roman"/>
      <w:sz w:val="16"/>
      <w:szCs w:val="16"/>
    </w:rPr>
  </w:style>
  <w:style w:type="character" w:customStyle="1" w:styleId="sb8d990e2">
    <w:name w:val="sb8d990e2"/>
    <w:basedOn w:val="DefaultParagraphFont"/>
    <w:rsid w:val="009150F7"/>
  </w:style>
  <w:style w:type="character" w:customStyle="1" w:styleId="normal--char">
    <w:name w:val="normal--char"/>
    <w:basedOn w:val="DefaultParagraphFont"/>
    <w:rsid w:val="009150F7"/>
  </w:style>
  <w:style w:type="character" w:customStyle="1" w:styleId="s7d2086b4">
    <w:name w:val="s7d2086b4"/>
    <w:basedOn w:val="DefaultParagraphFont"/>
    <w:uiPriority w:val="99"/>
    <w:rsid w:val="009150F7"/>
  </w:style>
  <w:style w:type="character" w:customStyle="1" w:styleId="hps">
    <w:name w:val="hps"/>
    <w:basedOn w:val="DefaultParagraphFont"/>
    <w:rsid w:val="009150F7"/>
  </w:style>
  <w:style w:type="character" w:customStyle="1" w:styleId="grame">
    <w:name w:val="grame"/>
    <w:rsid w:val="009150F7"/>
    <w:rPr>
      <w:rFonts w:ascii="Times New Roman" w:hAnsi="Times New Roman" w:cs="Times New Roman" w:hint="default"/>
    </w:rPr>
  </w:style>
  <w:style w:type="character" w:customStyle="1" w:styleId="atn">
    <w:name w:val="atn"/>
    <w:basedOn w:val="DefaultParagraphFont"/>
    <w:rsid w:val="009150F7"/>
  </w:style>
  <w:style w:type="paragraph" w:styleId="PlainText">
    <w:name w:val="Plain Text"/>
    <w:basedOn w:val="Normal"/>
    <w:link w:val="PlainTextChar"/>
    <w:uiPriority w:val="99"/>
    <w:semiHidden/>
    <w:unhideWhenUsed/>
    <w:rsid w:val="009150F7"/>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9150F7"/>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9150F7"/>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9150F7"/>
    <w:rPr>
      <w:rFonts w:ascii="Segoe UI" w:eastAsia="Calibri" w:hAnsi="Segoe UI" w:cs="Segoe UI"/>
      <w:sz w:val="16"/>
      <w:szCs w:val="16"/>
    </w:rPr>
  </w:style>
  <w:style w:type="character" w:customStyle="1" w:styleId="longtext">
    <w:name w:val="long_text"/>
    <w:rsid w:val="009150F7"/>
    <w:rPr>
      <w:rFonts w:ascii="Comic Sans MS" w:hAnsi="Comic Sans MS" w:hint="default"/>
      <w:b/>
      <w:bCs w:val="0"/>
      <w:sz w:val="96"/>
      <w:szCs w:val="24"/>
      <w:lang w:val="pl-PL" w:eastAsia="pl-PL" w:bidi="ar-SA"/>
    </w:rPr>
  </w:style>
  <w:style w:type="character" w:customStyle="1" w:styleId="Point1CharChar">
    <w:name w:val="Point 1 Char Char"/>
    <w:rsid w:val="009150F7"/>
    <w:rPr>
      <w:sz w:val="24"/>
      <w:szCs w:val="24"/>
      <w:lang w:val="en-GB" w:eastAsia="en-GB" w:bidi="ar-SA"/>
    </w:rPr>
  </w:style>
  <w:style w:type="character" w:customStyle="1" w:styleId="apple-style-span">
    <w:name w:val="apple-style-span"/>
    <w:rsid w:val="009150F7"/>
  </w:style>
  <w:style w:type="character" w:customStyle="1" w:styleId="CommentTextChar">
    <w:name w:val="Comment Text Char"/>
    <w:basedOn w:val="DefaultParagraphFont"/>
    <w:uiPriority w:val="99"/>
    <w:semiHidden/>
    <w:rsid w:val="009150F7"/>
    <w:rPr>
      <w:rFonts w:ascii="Calibri" w:eastAsia="Calibri" w:hAnsi="Calibri" w:cs="Times New Roman"/>
    </w:rPr>
  </w:style>
  <w:style w:type="character" w:customStyle="1" w:styleId="CommentTextChar1">
    <w:name w:val="Comment Text Char1"/>
    <w:basedOn w:val="DefaultParagraphFont"/>
    <w:uiPriority w:val="99"/>
    <w:rsid w:val="009150F7"/>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9150F7"/>
    <w:pPr>
      <w:spacing w:line="240" w:lineRule="auto"/>
    </w:pPr>
    <w:rPr>
      <w:sz w:val="20"/>
      <w:szCs w:val="20"/>
    </w:rPr>
  </w:style>
  <w:style w:type="character" w:customStyle="1" w:styleId="CommentTextChar2">
    <w:name w:val="Comment Text Char2"/>
    <w:basedOn w:val="DefaultParagraphFont"/>
    <w:link w:val="CommentText"/>
    <w:uiPriority w:val="99"/>
    <w:semiHidden/>
    <w:rsid w:val="009150F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150F7"/>
    <w:rPr>
      <w:b/>
      <w:bCs/>
    </w:rPr>
  </w:style>
  <w:style w:type="character" w:customStyle="1" w:styleId="CommentSubjectChar">
    <w:name w:val="Comment Subject Char"/>
    <w:basedOn w:val="CommentTextChar2"/>
    <w:link w:val="CommentSubject"/>
    <w:uiPriority w:val="99"/>
    <w:semiHidden/>
    <w:rsid w:val="009150F7"/>
    <w:rPr>
      <w:rFonts w:ascii="Calibri" w:eastAsia="Calibri" w:hAnsi="Calibri" w:cs="Times New Roman"/>
      <w:b/>
      <w:bCs/>
      <w:sz w:val="20"/>
      <w:szCs w:val="20"/>
    </w:rPr>
  </w:style>
  <w:style w:type="paragraph" w:styleId="MacroText">
    <w:name w:val="macro"/>
    <w:link w:val="MacroTextChar"/>
    <w:semiHidden/>
    <w:unhideWhenUsed/>
    <w:rsid w:val="009150F7"/>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9150F7"/>
    <w:rPr>
      <w:rFonts w:ascii="Consolas" w:eastAsia="Calibri" w:hAnsi="Consolas" w:cs="Times New Roman"/>
      <w:sz w:val="20"/>
      <w:szCs w:val="20"/>
    </w:rPr>
  </w:style>
  <w:style w:type="paragraph" w:styleId="Date">
    <w:name w:val="Date"/>
    <w:basedOn w:val="Normal"/>
    <w:next w:val="Normal"/>
    <w:link w:val="DateChar"/>
    <w:semiHidden/>
    <w:unhideWhenUsed/>
    <w:rsid w:val="009150F7"/>
    <w:rPr>
      <w:rFonts w:ascii="Tahoma" w:eastAsia="Times New Roman" w:hAnsi="Tahoma"/>
      <w:lang w:val="de-AT" w:eastAsia="de-DE"/>
    </w:rPr>
  </w:style>
  <w:style w:type="character" w:customStyle="1" w:styleId="DateChar1">
    <w:name w:val="Date Char1"/>
    <w:basedOn w:val="DefaultParagraphFont"/>
    <w:semiHidden/>
    <w:rsid w:val="009150F7"/>
    <w:rPr>
      <w:rFonts w:ascii="Calibri" w:eastAsia="Calibri" w:hAnsi="Calibri" w:cs="Times New Roman"/>
    </w:rPr>
  </w:style>
  <w:style w:type="character" w:customStyle="1" w:styleId="Emphasis1">
    <w:name w:val="Emphasis1"/>
    <w:semiHidden/>
    <w:rsid w:val="009150F7"/>
  </w:style>
  <w:style w:type="paragraph" w:styleId="NoteHeading">
    <w:name w:val="Note Heading"/>
    <w:basedOn w:val="Normal"/>
    <w:next w:val="Normal"/>
    <w:link w:val="NoteHeadingChar"/>
    <w:semiHidden/>
    <w:unhideWhenUsed/>
    <w:rsid w:val="009150F7"/>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9150F7"/>
    <w:rPr>
      <w:rFonts w:ascii="Calibri" w:eastAsia="Calibri" w:hAnsi="Calibri" w:cs="Times New Roman"/>
    </w:rPr>
  </w:style>
  <w:style w:type="paragraph" w:styleId="BodyTextFirstIndent2">
    <w:name w:val="Body Text First Indent 2"/>
    <w:basedOn w:val="BodyTextIndent"/>
    <w:link w:val="BodyTextFirstIndent2Char"/>
    <w:semiHidden/>
    <w:unhideWhenUsed/>
    <w:rsid w:val="009150F7"/>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9150F7"/>
    <w:rPr>
      <w:rFonts w:ascii="Calibri" w:eastAsia="Calibri" w:hAnsi="Calibri" w:cs="Times New Roman"/>
    </w:rPr>
  </w:style>
  <w:style w:type="paragraph" w:styleId="Salutation">
    <w:name w:val="Salutation"/>
    <w:basedOn w:val="Normal"/>
    <w:next w:val="Normal"/>
    <w:link w:val="SalutationChar"/>
    <w:semiHidden/>
    <w:unhideWhenUsed/>
    <w:rsid w:val="009150F7"/>
    <w:rPr>
      <w:rFonts w:ascii="Tahoma" w:eastAsia="Times New Roman" w:hAnsi="Tahoma"/>
      <w:lang w:val="de-AT" w:eastAsia="de-DE"/>
    </w:rPr>
  </w:style>
  <w:style w:type="character" w:customStyle="1" w:styleId="SalutationChar1">
    <w:name w:val="Salutation Char1"/>
    <w:basedOn w:val="DefaultParagraphFont"/>
    <w:semiHidden/>
    <w:rsid w:val="009150F7"/>
    <w:rPr>
      <w:rFonts w:ascii="Calibri" w:eastAsia="Calibri" w:hAnsi="Calibri" w:cs="Times New Roman"/>
    </w:rPr>
  </w:style>
  <w:style w:type="paragraph" w:styleId="Closing">
    <w:name w:val="Closing"/>
    <w:basedOn w:val="Normal"/>
    <w:link w:val="ClosingChar"/>
    <w:semiHidden/>
    <w:unhideWhenUsed/>
    <w:rsid w:val="009150F7"/>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9150F7"/>
    <w:rPr>
      <w:rFonts w:ascii="Calibri" w:eastAsia="Calibri" w:hAnsi="Calibri" w:cs="Times New Roman"/>
    </w:rPr>
  </w:style>
  <w:style w:type="paragraph" w:styleId="Signature">
    <w:name w:val="Signature"/>
    <w:basedOn w:val="Normal"/>
    <w:link w:val="SignatureChar"/>
    <w:semiHidden/>
    <w:unhideWhenUsed/>
    <w:rsid w:val="009150F7"/>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9150F7"/>
    <w:rPr>
      <w:rFonts w:ascii="Calibri" w:eastAsia="Calibri" w:hAnsi="Calibri" w:cs="Times New Roman"/>
    </w:rPr>
  </w:style>
  <w:style w:type="paragraph" w:styleId="E-mailSignature">
    <w:name w:val="E-mail Signature"/>
    <w:basedOn w:val="Normal"/>
    <w:link w:val="E-mailSignatureChar"/>
    <w:semiHidden/>
    <w:unhideWhenUsed/>
    <w:rsid w:val="009150F7"/>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9150F7"/>
    <w:rPr>
      <w:rFonts w:ascii="Calibri" w:eastAsia="Calibri" w:hAnsi="Calibri" w:cs="Times New Roman"/>
    </w:rPr>
  </w:style>
  <w:style w:type="paragraph" w:styleId="BodyText2">
    <w:name w:val="Body Text 2"/>
    <w:basedOn w:val="Normal"/>
    <w:link w:val="BodyText2Char"/>
    <w:uiPriority w:val="99"/>
    <w:semiHidden/>
    <w:unhideWhenUsed/>
    <w:rsid w:val="009150F7"/>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9150F7"/>
    <w:rPr>
      <w:rFonts w:ascii="Calibri" w:eastAsia="Calibri" w:hAnsi="Calibri" w:cs="Times New Roman"/>
    </w:rPr>
  </w:style>
  <w:style w:type="paragraph" w:styleId="BodyTextIndent2">
    <w:name w:val="Body Text Indent 2"/>
    <w:basedOn w:val="Normal"/>
    <w:link w:val="BodyTextIndent2Char"/>
    <w:uiPriority w:val="99"/>
    <w:semiHidden/>
    <w:unhideWhenUsed/>
    <w:rsid w:val="009150F7"/>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9150F7"/>
    <w:rPr>
      <w:rFonts w:ascii="Calibri" w:eastAsia="Calibri" w:hAnsi="Calibri" w:cs="Times New Roman"/>
    </w:rPr>
  </w:style>
  <w:style w:type="paragraph" w:styleId="BodyTextIndent3">
    <w:name w:val="Body Text Indent 3"/>
    <w:basedOn w:val="Normal"/>
    <w:link w:val="BodyTextIndent3Char"/>
    <w:uiPriority w:val="99"/>
    <w:semiHidden/>
    <w:unhideWhenUsed/>
    <w:rsid w:val="009150F7"/>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9150F7"/>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9150F7"/>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9150F7"/>
    <w:rPr>
      <w:rFonts w:ascii="Calibri" w:eastAsia="Calibri" w:hAnsi="Calibri" w:cs="Times New Roman"/>
    </w:rPr>
  </w:style>
  <w:style w:type="character" w:customStyle="1" w:styleId="CharChar11">
    <w:name w:val="Char Char11"/>
    <w:semiHidden/>
    <w:locked/>
    <w:rsid w:val="009150F7"/>
    <w:rPr>
      <w:rFonts w:ascii="Tahoma" w:hAnsi="Tahoma" w:cs="Tahoma" w:hint="default"/>
      <w:i/>
      <w:iCs/>
      <w:sz w:val="22"/>
      <w:szCs w:val="22"/>
      <w:lang w:val="de-AT" w:eastAsia="de-DE" w:bidi="ar-SA"/>
    </w:rPr>
  </w:style>
  <w:style w:type="character" w:customStyle="1" w:styleId="CharChar36">
    <w:name w:val="Char Char36"/>
    <w:locked/>
    <w:rsid w:val="009150F7"/>
    <w:rPr>
      <w:rFonts w:ascii="Arial" w:hAnsi="Arial" w:cs="Arial" w:hint="default"/>
      <w:b/>
      <w:bCs/>
      <w:kern w:val="32"/>
      <w:sz w:val="32"/>
      <w:szCs w:val="32"/>
      <w:lang w:val="sq-AL" w:eastAsia="en-US" w:bidi="ar-SA"/>
    </w:rPr>
  </w:style>
  <w:style w:type="character" w:customStyle="1" w:styleId="CharChar35">
    <w:name w:val="Char Char35"/>
    <w:locked/>
    <w:rsid w:val="009150F7"/>
    <w:rPr>
      <w:rFonts w:ascii="Arial" w:hAnsi="Arial" w:cs="Arial" w:hint="default"/>
      <w:b/>
      <w:bCs/>
      <w:i/>
      <w:iCs/>
      <w:sz w:val="28"/>
      <w:szCs w:val="28"/>
      <w:lang w:val="sq-AL" w:eastAsia="en-US" w:bidi="ar-SA"/>
    </w:rPr>
  </w:style>
  <w:style w:type="character" w:customStyle="1" w:styleId="CharChar34">
    <w:name w:val="Char Char34"/>
    <w:locked/>
    <w:rsid w:val="009150F7"/>
    <w:rPr>
      <w:rFonts w:ascii="Tahoma" w:hAnsi="Tahoma" w:cs="Tahoma" w:hint="default"/>
      <w:b/>
      <w:bCs w:val="0"/>
      <w:kern w:val="28"/>
      <w:sz w:val="24"/>
      <w:szCs w:val="28"/>
      <w:lang w:val="de-AT" w:eastAsia="de-DE" w:bidi="ar-SA"/>
    </w:rPr>
  </w:style>
  <w:style w:type="character" w:customStyle="1" w:styleId="CharChar33">
    <w:name w:val="Char Char33"/>
    <w:locked/>
    <w:rsid w:val="009150F7"/>
    <w:rPr>
      <w:rFonts w:ascii="Tahoma" w:hAnsi="Tahoma" w:cs="Tahoma" w:hint="default"/>
      <w:b/>
      <w:bCs w:val="0"/>
      <w:i/>
      <w:iCs w:val="0"/>
      <w:kern w:val="28"/>
      <w:sz w:val="22"/>
      <w:szCs w:val="22"/>
      <w:lang w:val="de-AT" w:eastAsia="de-DE" w:bidi="ar-SA"/>
    </w:rPr>
  </w:style>
  <w:style w:type="character" w:customStyle="1" w:styleId="CharChar32">
    <w:name w:val="Char Char32"/>
    <w:locked/>
    <w:rsid w:val="009150F7"/>
    <w:rPr>
      <w:rFonts w:ascii="Tahoma" w:hAnsi="Tahoma" w:cs="Tahoma" w:hint="default"/>
      <w:b/>
      <w:bCs w:val="0"/>
      <w:i/>
      <w:iCs w:val="0"/>
      <w:kern w:val="28"/>
      <w:sz w:val="22"/>
      <w:szCs w:val="22"/>
      <w:lang w:val="de-AT" w:eastAsia="de-DE" w:bidi="ar-SA"/>
    </w:rPr>
  </w:style>
  <w:style w:type="character" w:customStyle="1" w:styleId="CharChar31">
    <w:name w:val="Char Char31"/>
    <w:locked/>
    <w:rsid w:val="009150F7"/>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9150F7"/>
    <w:rPr>
      <w:rFonts w:ascii="Courier New" w:hAnsi="Courier New" w:cs="Courier New" w:hint="default"/>
      <w:szCs w:val="22"/>
      <w:lang w:val="de-AT" w:eastAsia="de-DE" w:bidi="ar-SA"/>
    </w:rPr>
  </w:style>
  <w:style w:type="character" w:customStyle="1" w:styleId="CharChar30">
    <w:name w:val="Char Char30"/>
    <w:locked/>
    <w:rsid w:val="009150F7"/>
    <w:rPr>
      <w:rFonts w:ascii="Tahoma" w:hAnsi="Tahoma" w:cs="Tahoma" w:hint="default"/>
      <w:b/>
      <w:bCs w:val="0"/>
      <w:i/>
      <w:iCs w:val="0"/>
      <w:kern w:val="28"/>
      <w:sz w:val="22"/>
      <w:szCs w:val="22"/>
      <w:lang w:val="de-AT" w:eastAsia="de-DE" w:bidi="ar-SA"/>
    </w:rPr>
  </w:style>
  <w:style w:type="character" w:customStyle="1" w:styleId="CharChar29">
    <w:name w:val="Char Char29"/>
    <w:locked/>
    <w:rsid w:val="009150F7"/>
    <w:rPr>
      <w:rFonts w:ascii="Tahoma" w:hAnsi="Tahoma" w:cs="Tahoma" w:hint="default"/>
      <w:b/>
      <w:bCs w:val="0"/>
      <w:i/>
      <w:iCs w:val="0"/>
      <w:kern w:val="28"/>
      <w:sz w:val="22"/>
      <w:szCs w:val="22"/>
      <w:lang w:val="de-AT" w:eastAsia="de-DE" w:bidi="ar-SA"/>
    </w:rPr>
  </w:style>
  <w:style w:type="character" w:customStyle="1" w:styleId="CharChar28">
    <w:name w:val="Char Char28"/>
    <w:locked/>
    <w:rsid w:val="009150F7"/>
    <w:rPr>
      <w:rFonts w:ascii="Tahoma" w:hAnsi="Tahoma" w:cs="Tahoma" w:hint="default"/>
      <w:b/>
      <w:bCs w:val="0"/>
      <w:i/>
      <w:iCs w:val="0"/>
      <w:kern w:val="28"/>
      <w:sz w:val="22"/>
      <w:szCs w:val="22"/>
      <w:lang w:val="de-AT" w:eastAsia="de-DE" w:bidi="ar-SA"/>
    </w:rPr>
  </w:style>
  <w:style w:type="character" w:customStyle="1" w:styleId="CharChar27">
    <w:name w:val="Char Char27"/>
    <w:locked/>
    <w:rsid w:val="009150F7"/>
    <w:rPr>
      <w:rFonts w:ascii="Calibri" w:eastAsia="Calibri" w:hAnsi="Calibri" w:hint="default"/>
      <w:lang w:val="sq-AL" w:eastAsia="en-US" w:bidi="ar-SA"/>
    </w:rPr>
  </w:style>
  <w:style w:type="character" w:customStyle="1" w:styleId="CharChar24">
    <w:name w:val="Char Char24"/>
    <w:locked/>
    <w:rsid w:val="009150F7"/>
    <w:rPr>
      <w:rFonts w:ascii="Tahoma" w:hAnsi="Tahoma" w:cs="Tahoma" w:hint="default"/>
      <w:sz w:val="22"/>
      <w:szCs w:val="22"/>
      <w:lang w:val="de-AT" w:eastAsia="de-DE" w:bidi="ar-SA"/>
    </w:rPr>
  </w:style>
  <w:style w:type="character" w:customStyle="1" w:styleId="CharChar23">
    <w:name w:val="Char Char23"/>
    <w:locked/>
    <w:rsid w:val="009150F7"/>
    <w:rPr>
      <w:rFonts w:ascii="Tahoma" w:hAnsi="Tahoma" w:cs="Tahoma" w:hint="default"/>
      <w:sz w:val="22"/>
      <w:szCs w:val="22"/>
      <w:lang w:val="de-AT" w:eastAsia="de-DE" w:bidi="ar-SA"/>
    </w:rPr>
  </w:style>
  <w:style w:type="character" w:customStyle="1" w:styleId="CharChar22">
    <w:name w:val="Char Char22"/>
    <w:semiHidden/>
    <w:locked/>
    <w:rsid w:val="009150F7"/>
    <w:rPr>
      <w:rFonts w:ascii="Courier New" w:hAnsi="Courier New" w:cs="Courier New" w:hint="default"/>
      <w:sz w:val="22"/>
      <w:szCs w:val="22"/>
      <w:lang w:val="de-DE" w:eastAsia="de-DE" w:bidi="ar-SA"/>
    </w:rPr>
  </w:style>
  <w:style w:type="character" w:customStyle="1" w:styleId="CharChar21">
    <w:name w:val="Char Char21"/>
    <w:locked/>
    <w:rsid w:val="009150F7"/>
    <w:rPr>
      <w:rFonts w:ascii="Tahoma" w:hAnsi="Tahoma" w:cs="Tahoma" w:hint="default"/>
      <w:b/>
      <w:bCs w:val="0"/>
      <w:kern w:val="28"/>
      <w:sz w:val="36"/>
      <w:szCs w:val="36"/>
      <w:lang w:val="de-AT" w:eastAsia="de-DE" w:bidi="ar-SA"/>
    </w:rPr>
  </w:style>
  <w:style w:type="character" w:customStyle="1" w:styleId="CharChar12">
    <w:name w:val="Char Char12"/>
    <w:semiHidden/>
    <w:locked/>
    <w:rsid w:val="009150F7"/>
    <w:rPr>
      <w:rFonts w:ascii="Tahoma" w:hAnsi="Tahoma" w:cs="Tahoma" w:hint="default"/>
      <w:sz w:val="22"/>
      <w:szCs w:val="22"/>
      <w:lang w:val="de-AT" w:eastAsia="de-DE" w:bidi="ar-SA"/>
    </w:rPr>
  </w:style>
  <w:style w:type="character" w:customStyle="1" w:styleId="CharChar9">
    <w:name w:val="Char Char9"/>
    <w:semiHidden/>
    <w:locked/>
    <w:rsid w:val="009150F7"/>
    <w:rPr>
      <w:rFonts w:ascii="Tahoma" w:hAnsi="Tahoma" w:cs="Tahoma" w:hint="default"/>
      <w:sz w:val="22"/>
      <w:szCs w:val="22"/>
      <w:lang w:val="de-AT" w:eastAsia="de-DE" w:bidi="ar-SA"/>
    </w:rPr>
  </w:style>
  <w:style w:type="character" w:customStyle="1" w:styleId="CharChar25">
    <w:name w:val="Char Char25"/>
    <w:semiHidden/>
    <w:locked/>
    <w:rsid w:val="009150F7"/>
    <w:rPr>
      <w:rFonts w:ascii="Tahoma" w:hAnsi="Tahoma" w:cs="Tahoma" w:hint="default"/>
      <w:sz w:val="22"/>
      <w:szCs w:val="22"/>
      <w:lang w:val="de-AT" w:eastAsia="de-DE" w:bidi="ar-SA"/>
    </w:rPr>
  </w:style>
  <w:style w:type="character" w:customStyle="1" w:styleId="CharChar15">
    <w:name w:val="Char Char15"/>
    <w:semiHidden/>
    <w:locked/>
    <w:rsid w:val="009150F7"/>
    <w:rPr>
      <w:rFonts w:ascii="Tahoma" w:hAnsi="Tahoma" w:cs="Tahoma" w:hint="default"/>
      <w:sz w:val="22"/>
      <w:szCs w:val="22"/>
      <w:lang w:val="de-AT" w:eastAsia="de-DE" w:bidi="ar-SA"/>
    </w:rPr>
  </w:style>
  <w:style w:type="character" w:customStyle="1" w:styleId="CharChar16">
    <w:name w:val="Char Char16"/>
    <w:semiHidden/>
    <w:locked/>
    <w:rsid w:val="009150F7"/>
    <w:rPr>
      <w:rFonts w:ascii="Tahoma" w:hAnsi="Tahoma" w:cs="Arial" w:hint="default"/>
      <w:sz w:val="24"/>
      <w:szCs w:val="24"/>
      <w:lang w:val="de-AT" w:eastAsia="de-DE" w:bidi="ar-SA"/>
    </w:rPr>
  </w:style>
  <w:style w:type="character" w:customStyle="1" w:styleId="CharChar20">
    <w:name w:val="Char Char20"/>
    <w:locked/>
    <w:rsid w:val="009150F7"/>
    <w:rPr>
      <w:rFonts w:ascii="Tahoma" w:hAnsi="Tahoma" w:cs="Tahoma" w:hint="default"/>
      <w:b/>
      <w:bCs w:val="0"/>
      <w:kern w:val="28"/>
      <w:sz w:val="32"/>
      <w:szCs w:val="36"/>
      <w:lang w:val="de-AT" w:eastAsia="de-DE" w:bidi="ar-SA"/>
    </w:rPr>
  </w:style>
  <w:style w:type="character" w:customStyle="1" w:styleId="CharChar13">
    <w:name w:val="Char Char13"/>
    <w:semiHidden/>
    <w:locked/>
    <w:rsid w:val="009150F7"/>
    <w:rPr>
      <w:rFonts w:ascii="Tahoma" w:hAnsi="Tahoma" w:cs="Tahoma" w:hint="default"/>
      <w:sz w:val="22"/>
      <w:szCs w:val="22"/>
      <w:lang w:val="de-AT" w:eastAsia="de-DE" w:bidi="ar-SA"/>
    </w:rPr>
  </w:style>
  <w:style w:type="character" w:customStyle="1" w:styleId="CharChar19">
    <w:name w:val="Char Char19"/>
    <w:semiHidden/>
    <w:locked/>
    <w:rsid w:val="009150F7"/>
    <w:rPr>
      <w:rFonts w:ascii="Tahoma" w:hAnsi="Tahoma" w:cs="Tahoma" w:hint="default"/>
      <w:sz w:val="22"/>
      <w:szCs w:val="22"/>
      <w:lang w:val="de-AT" w:eastAsia="de-DE" w:bidi="ar-SA"/>
    </w:rPr>
  </w:style>
  <w:style w:type="character" w:customStyle="1" w:styleId="CharChar3">
    <w:name w:val="Char Char3"/>
    <w:semiHidden/>
    <w:locked/>
    <w:rsid w:val="009150F7"/>
  </w:style>
  <w:style w:type="character" w:customStyle="1" w:styleId="CharChar14">
    <w:name w:val="Char Char14"/>
    <w:semiHidden/>
    <w:locked/>
    <w:rsid w:val="009150F7"/>
  </w:style>
  <w:style w:type="character" w:customStyle="1" w:styleId="CharChar17">
    <w:name w:val="Char Char17"/>
    <w:locked/>
    <w:rsid w:val="009150F7"/>
    <w:rPr>
      <w:rFonts w:ascii="Tahoma" w:hAnsi="Tahoma" w:cs="Tahoma" w:hint="default"/>
      <w:sz w:val="22"/>
      <w:szCs w:val="22"/>
      <w:lang w:val="de-AT" w:eastAsia="de-DE" w:bidi="ar-SA"/>
    </w:rPr>
  </w:style>
  <w:style w:type="character" w:customStyle="1" w:styleId="CharChar7">
    <w:name w:val="Char Char7"/>
    <w:semiHidden/>
    <w:locked/>
    <w:rsid w:val="009150F7"/>
    <w:rPr>
      <w:rFonts w:ascii="Tahoma" w:hAnsi="Tahoma" w:cs="Tahoma" w:hint="default"/>
      <w:sz w:val="22"/>
      <w:szCs w:val="22"/>
      <w:lang w:val="de-AT" w:eastAsia="de-DE" w:bidi="ar-SA"/>
    </w:rPr>
  </w:style>
  <w:style w:type="character" w:customStyle="1" w:styleId="CharChar6">
    <w:name w:val="Char Char6"/>
    <w:semiHidden/>
    <w:locked/>
    <w:rsid w:val="009150F7"/>
    <w:rPr>
      <w:rFonts w:ascii="Tahoma" w:hAnsi="Tahoma" w:cs="Tahoma" w:hint="default"/>
      <w:sz w:val="16"/>
      <w:szCs w:val="16"/>
      <w:lang w:val="de-AT" w:eastAsia="de-DE" w:bidi="ar-SA"/>
    </w:rPr>
  </w:style>
  <w:style w:type="character" w:customStyle="1" w:styleId="CharChar5">
    <w:name w:val="Char Char5"/>
    <w:semiHidden/>
    <w:locked/>
    <w:rsid w:val="009150F7"/>
    <w:rPr>
      <w:rFonts w:ascii="Tahoma" w:hAnsi="Tahoma" w:cs="Tahoma" w:hint="default"/>
      <w:sz w:val="22"/>
      <w:szCs w:val="22"/>
      <w:lang w:val="de-AT" w:eastAsia="de-DE" w:bidi="ar-SA"/>
    </w:rPr>
  </w:style>
  <w:style w:type="character" w:customStyle="1" w:styleId="CharChar4">
    <w:name w:val="Char Char4"/>
    <w:semiHidden/>
    <w:locked/>
    <w:rsid w:val="009150F7"/>
    <w:rPr>
      <w:rFonts w:ascii="Tahoma" w:hAnsi="Tahoma" w:cs="Tahoma" w:hint="default"/>
      <w:sz w:val="16"/>
      <w:szCs w:val="16"/>
      <w:lang w:val="de-AT" w:eastAsia="de-DE" w:bidi="ar-SA"/>
    </w:rPr>
  </w:style>
  <w:style w:type="character" w:customStyle="1" w:styleId="CharChar18">
    <w:name w:val="Char Char18"/>
    <w:semiHidden/>
    <w:locked/>
    <w:rsid w:val="009150F7"/>
    <w:rPr>
      <w:rFonts w:ascii="Tahoma" w:hAnsi="Tahoma" w:cs="Tahoma" w:hint="default"/>
      <w:sz w:val="22"/>
      <w:szCs w:val="22"/>
      <w:lang w:val="de-AT" w:eastAsia="de-DE" w:bidi="ar-SA"/>
    </w:rPr>
  </w:style>
  <w:style w:type="character" w:customStyle="1" w:styleId="CharChar8">
    <w:name w:val="Char Char8"/>
    <w:locked/>
    <w:rsid w:val="009150F7"/>
    <w:rPr>
      <w:rFonts w:ascii="Tahoma" w:hAnsi="Tahoma" w:cs="Tahoma" w:hint="default"/>
      <w:sz w:val="22"/>
      <w:szCs w:val="22"/>
      <w:lang w:val="de-AT" w:eastAsia="de-DE" w:bidi="ar-SA"/>
    </w:rPr>
  </w:style>
  <w:style w:type="character" w:customStyle="1" w:styleId="CharChar2">
    <w:name w:val="Char Char2"/>
    <w:locked/>
    <w:rsid w:val="009150F7"/>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9150F7"/>
    <w:rPr>
      <w:rFonts w:ascii="Tahoma" w:hAnsi="Tahoma" w:cs="Tahoma" w:hint="default"/>
      <w:sz w:val="16"/>
      <w:szCs w:val="16"/>
      <w:lang w:val="sq-AL" w:eastAsia="en-US" w:bidi="ar-SA"/>
    </w:rPr>
  </w:style>
  <w:style w:type="character" w:customStyle="1" w:styleId="CommentTextChar11">
    <w:name w:val="Comment Text Char11"/>
    <w:aliases w:val="Char Char37"/>
    <w:semiHidden/>
    <w:rsid w:val="009150F7"/>
    <w:rPr>
      <w:rFonts w:ascii="Calibri" w:hAnsi="Calibri" w:hint="default"/>
      <w:lang w:val="sq-AL"/>
    </w:rPr>
  </w:style>
  <w:style w:type="paragraph" w:styleId="NormalIndent">
    <w:name w:val="Normal Indent"/>
    <w:basedOn w:val="Normal"/>
    <w:link w:val="NormalIndentChar"/>
    <w:semiHidden/>
    <w:unhideWhenUsed/>
    <w:rsid w:val="009150F7"/>
    <w:pPr>
      <w:ind w:left="720"/>
    </w:pPr>
    <w:rPr>
      <w:rFonts w:ascii="Tahoma" w:eastAsia="Times New Roman" w:hAnsi="Tahoma"/>
      <w:lang w:val="de-AT" w:eastAsia="de-DE"/>
    </w:rPr>
  </w:style>
  <w:style w:type="character" w:customStyle="1" w:styleId="DeltaViewInsertion">
    <w:name w:val="DeltaView Insertion"/>
    <w:uiPriority w:val="99"/>
    <w:rsid w:val="009150F7"/>
    <w:rPr>
      <w:color w:val="0000FF"/>
      <w:spacing w:val="0"/>
      <w:u w:val="double"/>
    </w:rPr>
  </w:style>
  <w:style w:type="character" w:customStyle="1" w:styleId="az12">
    <w:name w:val="az12"/>
    <w:uiPriority w:val="99"/>
    <w:rsid w:val="009150F7"/>
    <w:rPr>
      <w:rFonts w:ascii="Times New Roman" w:hAnsi="Times New Roman" w:cs="Times New Roman" w:hint="default"/>
      <w:sz w:val="24"/>
    </w:rPr>
  </w:style>
  <w:style w:type="character" w:customStyle="1" w:styleId="Style20">
    <w:name w:val="Style2"/>
    <w:basedOn w:val="Point1Char"/>
    <w:uiPriority w:val="1"/>
    <w:qFormat/>
    <w:rsid w:val="009150F7"/>
    <w:rPr>
      <w:rFonts w:ascii="Calibri" w:eastAsia="Times New Roman" w:hAnsi="Calibri" w:cs="Times New Roman"/>
      <w:sz w:val="24"/>
      <w:szCs w:val="24"/>
      <w:lang w:val="en-GB" w:eastAsia="en-GB"/>
    </w:rPr>
  </w:style>
  <w:style w:type="character" w:customStyle="1" w:styleId="Style2Char">
    <w:name w:val="Style2 Char"/>
    <w:locked/>
    <w:rsid w:val="009150F7"/>
    <w:rPr>
      <w:rFonts w:ascii="Times New Roman" w:eastAsia="Times New Roman" w:hAnsi="Times New Roman" w:cs="Times New Roman" w:hint="default"/>
      <w:color w:val="0070C0"/>
      <w:sz w:val="28"/>
      <w:szCs w:val="24"/>
      <w:lang w:val="sq-AL"/>
    </w:rPr>
  </w:style>
  <w:style w:type="character" w:customStyle="1" w:styleId="longtext1">
    <w:name w:val="long_text1"/>
    <w:rsid w:val="009150F7"/>
    <w:rPr>
      <w:sz w:val="20"/>
      <w:szCs w:val="20"/>
    </w:rPr>
  </w:style>
  <w:style w:type="character" w:customStyle="1" w:styleId="En-tteoupieddepage0">
    <w:name w:val="En-tête ou pied de page"/>
    <w:basedOn w:val="En-tteoupieddepage"/>
    <w:uiPriority w:val="99"/>
    <w:rsid w:val="009150F7"/>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9150F7"/>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9150F7"/>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9150F7"/>
    <w:rPr>
      <w:rFonts w:ascii="Times New Roman" w:hAnsi="Times New Roman" w:cs="Times New Roman"/>
      <w:u w:val="single"/>
      <w:shd w:val="clear" w:color="auto" w:fill="FFFFFF"/>
    </w:rPr>
  </w:style>
  <w:style w:type="character" w:customStyle="1" w:styleId="super">
    <w:name w:val="super"/>
    <w:basedOn w:val="DefaultParagraphFont"/>
    <w:rsid w:val="009150F7"/>
  </w:style>
  <w:style w:type="character" w:customStyle="1" w:styleId="italic">
    <w:name w:val="italic"/>
    <w:basedOn w:val="DefaultParagraphFont"/>
    <w:rsid w:val="009150F7"/>
  </w:style>
  <w:style w:type="character" w:customStyle="1" w:styleId="shorttext">
    <w:name w:val="short_text"/>
    <w:basedOn w:val="DefaultParagraphFont"/>
    <w:rsid w:val="009150F7"/>
  </w:style>
  <w:style w:type="character" w:customStyle="1" w:styleId="boldface">
    <w:name w:val="boldface"/>
    <w:basedOn w:val="DefaultParagraphFont"/>
    <w:rsid w:val="009150F7"/>
  </w:style>
  <w:style w:type="character" w:customStyle="1" w:styleId="italics">
    <w:name w:val="italics"/>
    <w:basedOn w:val="DefaultParagraphFont"/>
    <w:rsid w:val="009150F7"/>
  </w:style>
  <w:style w:type="character" w:customStyle="1" w:styleId="superscript">
    <w:name w:val="superscript"/>
    <w:basedOn w:val="DefaultParagraphFont"/>
    <w:rsid w:val="009150F7"/>
  </w:style>
  <w:style w:type="character" w:customStyle="1" w:styleId="ParagrafiCharChar">
    <w:name w:val="Paragrafi Char Char"/>
    <w:rsid w:val="009150F7"/>
    <w:rPr>
      <w:rFonts w:ascii="CG Times" w:hAnsi="CG Times" w:hint="default"/>
      <w:sz w:val="22"/>
      <w:lang w:val="en-US" w:eastAsia="en-US" w:bidi="ar-SA"/>
    </w:rPr>
  </w:style>
  <w:style w:type="character" w:customStyle="1" w:styleId="st">
    <w:name w:val="st"/>
    <w:basedOn w:val="DefaultParagraphFont"/>
    <w:rsid w:val="009150F7"/>
  </w:style>
  <w:style w:type="character" w:customStyle="1" w:styleId="TitleChar2">
    <w:name w:val="Title Char2"/>
    <w:uiPriority w:val="99"/>
    <w:locked/>
    <w:rsid w:val="009150F7"/>
    <w:rPr>
      <w:rFonts w:ascii="Arrus BT" w:eastAsia="MS Mincho" w:hAnsi="Arrus BT" w:cs="Arrus BT" w:hint="default"/>
      <w:b/>
      <w:bCs/>
      <w:sz w:val="32"/>
      <w:szCs w:val="32"/>
      <w:lang w:val="en-US" w:eastAsia="en-US"/>
    </w:rPr>
  </w:style>
  <w:style w:type="character" w:customStyle="1" w:styleId="MessageHeaderLabel">
    <w:name w:val="Message Header Label"/>
    <w:rsid w:val="009150F7"/>
    <w:rPr>
      <w:rFonts w:ascii="Arial Black" w:hAnsi="Arial Black" w:hint="default"/>
      <w:spacing w:val="-10"/>
      <w:sz w:val="18"/>
    </w:rPr>
  </w:style>
  <w:style w:type="character" w:customStyle="1" w:styleId="FontStyle85">
    <w:name w:val="Font Style85"/>
    <w:basedOn w:val="DefaultParagraphFont"/>
    <w:uiPriority w:val="99"/>
    <w:rsid w:val="009150F7"/>
    <w:rPr>
      <w:rFonts w:ascii="Garamond" w:hAnsi="Garamond" w:cs="Garamond" w:hint="default"/>
      <w:sz w:val="22"/>
      <w:szCs w:val="22"/>
    </w:rPr>
  </w:style>
  <w:style w:type="character" w:customStyle="1" w:styleId="arial14">
    <w:name w:val="arial14"/>
    <w:rsid w:val="009150F7"/>
  </w:style>
  <w:style w:type="character" w:customStyle="1" w:styleId="ju-005fpara--char">
    <w:name w:val="ju-005fpara--char"/>
    <w:basedOn w:val="DefaultParagraphFont"/>
    <w:rsid w:val="009150F7"/>
  </w:style>
  <w:style w:type="character" w:customStyle="1" w:styleId="eheadnotes">
    <w:name w:val="eheadnotes"/>
    <w:rsid w:val="009150F7"/>
    <w:rPr>
      <w:rFonts w:ascii="Times New Roman" w:hAnsi="Times New Roman" w:cs="Times New Roman" w:hint="default"/>
    </w:rPr>
  </w:style>
  <w:style w:type="character" w:customStyle="1" w:styleId="edate">
    <w:name w:val="edate"/>
    <w:rsid w:val="009150F7"/>
    <w:rPr>
      <w:rFonts w:ascii="Times New Roman" w:hAnsi="Times New Roman" w:cs="Times New Roman" w:hint="default"/>
    </w:rPr>
  </w:style>
  <w:style w:type="character" w:customStyle="1" w:styleId="enumber">
    <w:name w:val="enumber"/>
    <w:rsid w:val="009150F7"/>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9150F7"/>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9150F7"/>
    <w:rPr>
      <w:rFonts w:ascii="Times New Roman" w:eastAsia="MS Mincho" w:hAnsi="Times New Roman" w:cs="Times New Roman" w:hint="default"/>
      <w:sz w:val="24"/>
      <w:szCs w:val="24"/>
      <w:lang w:val="sq-AL"/>
    </w:rPr>
  </w:style>
  <w:style w:type="character" w:customStyle="1" w:styleId="Heading4Char1">
    <w:name w:val="Heading 4 Char1"/>
    <w:uiPriority w:val="99"/>
    <w:locked/>
    <w:rsid w:val="009150F7"/>
    <w:rPr>
      <w:rFonts w:ascii="Times New Roman" w:hAnsi="Times New Roman" w:cs="Times New Roman" w:hint="default"/>
      <w:bCs/>
      <w:noProof/>
      <w:kern w:val="28"/>
      <w:szCs w:val="24"/>
      <w:u w:val="single"/>
      <w:lang w:val="sq-AL" w:eastAsia="en-US"/>
    </w:rPr>
  </w:style>
  <w:style w:type="character" w:customStyle="1" w:styleId="Heading5Char1">
    <w:name w:val="Heading 5 Char1"/>
    <w:uiPriority w:val="99"/>
    <w:locked/>
    <w:rsid w:val="009150F7"/>
    <w:rPr>
      <w:rFonts w:ascii="Times New Roman" w:hAnsi="Times New Roman" w:cs="Times New Roman" w:hint="default"/>
      <w:b/>
      <w:bCs/>
      <w:iCs/>
      <w:noProof/>
      <w:kern w:val="28"/>
      <w:szCs w:val="26"/>
      <w:lang w:val="sq-AL" w:eastAsia="en-US"/>
    </w:rPr>
  </w:style>
  <w:style w:type="character" w:customStyle="1" w:styleId="Heading6Char1">
    <w:name w:val="Heading 6 Char1"/>
    <w:uiPriority w:val="99"/>
    <w:locked/>
    <w:rsid w:val="009150F7"/>
    <w:rPr>
      <w:rFonts w:ascii="Times New Roman" w:hAnsi="Times New Roman" w:cs="Times New Roman" w:hint="default"/>
      <w:b/>
      <w:bCs/>
      <w:noProof/>
      <w:kern w:val="28"/>
      <w:lang w:val="sq-AL" w:eastAsia="en-US"/>
    </w:rPr>
  </w:style>
  <w:style w:type="character" w:customStyle="1" w:styleId="CommentSubjectChar1">
    <w:name w:val="Comment Subject Char1"/>
    <w:uiPriority w:val="99"/>
    <w:semiHidden/>
    <w:locked/>
    <w:rsid w:val="009150F7"/>
    <w:rPr>
      <w:rFonts w:ascii="Times New Roman" w:eastAsia="Times New Roman" w:hAnsi="Times New Roman" w:cs="Times New Roman" w:hint="default"/>
      <w:b/>
      <w:bCs/>
      <w:lang w:val="en-US" w:eastAsia="en-US"/>
    </w:rPr>
  </w:style>
  <w:style w:type="paragraph" w:styleId="IntenseQuote">
    <w:name w:val="Intense Quote"/>
    <w:basedOn w:val="Normal"/>
    <w:next w:val="Normal"/>
    <w:link w:val="IntenseQuoteChar"/>
    <w:uiPriority w:val="30"/>
    <w:qFormat/>
    <w:rsid w:val="009150F7"/>
    <w:pPr>
      <w:pBdr>
        <w:top w:val="single" w:sz="4" w:space="10" w:color="5B9BD5" w:themeColor="accent1"/>
        <w:bottom w:val="single" w:sz="4" w:space="10" w:color="5B9BD5" w:themeColor="accent1"/>
      </w:pBdr>
      <w:spacing w:before="360" w:after="360"/>
      <w:ind w:left="864" w:right="864"/>
      <w:jc w:val="center"/>
    </w:pPr>
    <w:rPr>
      <w:rFonts w:ascii="Times New Roman" w:hAnsi="Times New Roman"/>
      <w:b/>
      <w:bCs/>
      <w:i/>
      <w:iCs/>
      <w:noProof/>
      <w:color w:val="4F81BD"/>
      <w:kern w:val="28"/>
      <w:szCs w:val="24"/>
      <w:lang w:val="sq-AL"/>
    </w:rPr>
  </w:style>
  <w:style w:type="character" w:customStyle="1" w:styleId="IntenseQuoteChar1">
    <w:name w:val="Intense Quote Char1"/>
    <w:basedOn w:val="DefaultParagraphFont"/>
    <w:uiPriority w:val="30"/>
    <w:rsid w:val="009150F7"/>
    <w:rPr>
      <w:rFonts w:ascii="Calibri" w:eastAsia="Calibri" w:hAnsi="Calibri" w:cs="Times New Roman"/>
      <w:i/>
      <w:iCs/>
      <w:color w:val="5B9BD5" w:themeColor="accent1"/>
    </w:rPr>
  </w:style>
  <w:style w:type="paragraph" w:styleId="Quote">
    <w:name w:val="Quote"/>
    <w:basedOn w:val="Normal"/>
    <w:next w:val="Normal"/>
    <w:link w:val="QuoteChar"/>
    <w:uiPriority w:val="29"/>
    <w:qFormat/>
    <w:rsid w:val="009150F7"/>
    <w:pPr>
      <w:spacing w:before="200" w:after="160"/>
      <w:ind w:left="864" w:right="864"/>
      <w:jc w:val="center"/>
    </w:pPr>
    <w:rPr>
      <w:rFonts w:ascii="Times New Roman" w:eastAsia="Times New Roman" w:hAnsi="Times New Roman"/>
      <w:noProof/>
      <w:kern w:val="28"/>
      <w:sz w:val="16"/>
      <w:szCs w:val="20"/>
      <w:lang w:val="en-GB"/>
    </w:rPr>
  </w:style>
  <w:style w:type="character" w:customStyle="1" w:styleId="QuoteChar1">
    <w:name w:val="Quote Char1"/>
    <w:basedOn w:val="DefaultParagraphFont"/>
    <w:uiPriority w:val="29"/>
    <w:rsid w:val="009150F7"/>
    <w:rPr>
      <w:rFonts w:ascii="Calibri" w:eastAsia="Calibri" w:hAnsi="Calibri" w:cs="Times New Roman"/>
      <w:i/>
      <w:iCs/>
      <w:color w:val="404040" w:themeColor="text1" w:themeTint="BF"/>
    </w:rPr>
  </w:style>
  <w:style w:type="table" w:styleId="TableSimple1">
    <w:name w:val="Table Simple 1"/>
    <w:basedOn w:val="TableNormal"/>
    <w:semiHidden/>
    <w:unhideWhenUsed/>
    <w:rsid w:val="009150F7"/>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9150F7"/>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9150F7"/>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9150F7"/>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9150F7"/>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9150F7"/>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9150F7"/>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9150F7"/>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9150F7"/>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9150F7"/>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9150F7"/>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9150F7"/>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9150F7"/>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9150F7"/>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9150F7"/>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9150F7"/>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9150F7"/>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9150F7"/>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9150F7"/>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9150F7"/>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9150F7"/>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9150F7"/>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9150F7"/>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9150F7"/>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9150F7"/>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9150F7"/>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9150F7"/>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9150F7"/>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9150F7"/>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9150F7"/>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9150F7"/>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9150F7"/>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9150F7"/>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9150F7"/>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9150F7"/>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9150F7"/>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9150F7"/>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9150F7"/>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9150F7"/>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9150F7"/>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9150F7"/>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9150F7"/>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99"/>
    <w:rsid w:val="009150F7"/>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9150F7"/>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2">
    <w:name w:val="Light List Accent 2"/>
    <w:basedOn w:val="TableNormal"/>
    <w:uiPriority w:val="61"/>
    <w:semiHidden/>
    <w:unhideWhenUsed/>
    <w:rsid w:val="009150F7"/>
    <w:pPr>
      <w:spacing w:after="0" w:line="240" w:lineRule="auto"/>
    </w:pPr>
    <w:rPr>
      <w:rFonts w:ascii="Garamond" w:eastAsia="Calibri" w:hAnsi="Garamond" w:cs="Garamond"/>
      <w:lang w:val="en-GB" w:eastAsia="en-GB"/>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ED7D31" w:themeFill="accent2"/>
      </w:tcPr>
    </w:tblStylePr>
    <w:tblStylePr w:type="lastRow">
      <w:pPr>
        <w:spacing w:beforeLines="0" w:before="0" w:beforeAutospacing="0" w:afterLines="0" w:after="0" w:afterAutospacing="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Grid-Accent2">
    <w:name w:val="Light Grid Accent 2"/>
    <w:basedOn w:val="TableNormal"/>
    <w:uiPriority w:val="62"/>
    <w:semiHidden/>
    <w:unhideWhenUsed/>
    <w:rsid w:val="009150F7"/>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List-Accent3">
    <w:name w:val="Light List Accent 3"/>
    <w:basedOn w:val="TableNormal"/>
    <w:uiPriority w:val="61"/>
    <w:semiHidden/>
    <w:unhideWhenUsed/>
    <w:rsid w:val="009150F7"/>
    <w:pPr>
      <w:spacing w:after="0" w:line="240" w:lineRule="auto"/>
    </w:pPr>
    <w:rPr>
      <w:rFonts w:ascii="Garamond" w:eastAsia="Calibri" w:hAnsi="Garamond" w:cs="Garamond"/>
      <w:lang w:val="en-GB" w:eastAsia="en-GB"/>
    </w:rPr>
    <w:tblPr>
      <w:tblStyleRowBandSize w:val="1"/>
      <w:tblStyleColBandSize w:val="1"/>
      <w:tblInd w:w="0" w:type="nil"/>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A5A5A5" w:themeFill="accent3"/>
      </w:tcPr>
    </w:tblStylePr>
    <w:tblStylePr w:type="lastRow">
      <w:pPr>
        <w:spacing w:beforeLines="0" w:before="0" w:beforeAutospacing="0" w:afterLines="0" w:after="0" w:afterAutospacing="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MediumGrid3-Accent3">
    <w:name w:val="Medium Grid 3 Accent 3"/>
    <w:basedOn w:val="TableNormal"/>
    <w:uiPriority w:val="69"/>
    <w:semiHidden/>
    <w:unhideWhenUsed/>
    <w:rsid w:val="009150F7"/>
    <w:pPr>
      <w:spacing w:after="0" w:line="240" w:lineRule="auto"/>
    </w:pPr>
    <w:rPr>
      <w:rFonts w:ascii="Garamond" w:eastAsia="Calibri" w:hAnsi="Garamond" w:cs="Garamond"/>
      <w:lang w:val="en-GB" w:eastAsia="en-GB"/>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LightList-Accent4">
    <w:name w:val="Light List Accent 4"/>
    <w:basedOn w:val="TableNormal"/>
    <w:uiPriority w:val="61"/>
    <w:semiHidden/>
    <w:unhideWhenUsed/>
    <w:rsid w:val="009150F7"/>
    <w:pPr>
      <w:spacing w:after="0" w:line="240" w:lineRule="auto"/>
    </w:pPr>
    <w:rPr>
      <w:rFonts w:ascii="Garamond" w:eastAsia="Calibri" w:hAnsi="Garamond" w:cs="Garamond"/>
      <w:lang w:val="en-GB" w:eastAsia="en-GB"/>
    </w:rPr>
    <w:tblPr>
      <w:tblStyleRowBandSize w:val="1"/>
      <w:tblStyleColBandSize w:val="1"/>
      <w:tblInd w:w="0" w:type="nil"/>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Lines="0" w:before="0" w:beforeAutospacing="0" w:afterLines="0" w:after="0" w:afterAutospacing="0" w:line="240" w:lineRule="auto"/>
      </w:pPr>
      <w:rPr>
        <w:b/>
        <w:bCs/>
        <w:color w:val="FFFFFF" w:themeColor="background1"/>
      </w:rPr>
      <w:tblPr/>
      <w:tcPr>
        <w:shd w:val="clear" w:color="auto" w:fill="FFC000" w:themeFill="accent4"/>
      </w:tcPr>
    </w:tblStylePr>
    <w:tblStylePr w:type="lastRow">
      <w:pPr>
        <w:spacing w:beforeLines="0" w:before="0" w:beforeAutospacing="0" w:afterLines="0" w:after="0" w:afterAutospacing="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9150F7"/>
    <w:pPr>
      <w:spacing w:after="0" w:line="240" w:lineRule="auto"/>
    </w:pPr>
    <w:rPr>
      <w:rFonts w:ascii="Garamond" w:eastAsia="Calibri" w:hAnsi="Garamond" w:cs="Garamond"/>
      <w:lang w:val="en-GB" w:eastAsia="en-GB"/>
    </w:rPr>
    <w:tblPr>
      <w:tblStyleRowBandSize w:val="1"/>
      <w:tblStyleColBandSize w:val="1"/>
      <w:tblInd w:w="0" w:type="nil"/>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5"/>
      </w:tcPr>
    </w:tblStylePr>
    <w:tblStylePr w:type="lastRow">
      <w:pPr>
        <w:spacing w:beforeLines="0" w:before="0" w:beforeAutospacing="0" w:afterLines="0" w:after="0" w:afterAutospacing="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9150F7"/>
    <w:pPr>
      <w:spacing w:after="0" w:line="240" w:lineRule="auto"/>
    </w:pPr>
    <w:rPr>
      <w:rFonts w:ascii="Garamond" w:eastAsia="Calibri" w:hAnsi="Garamond" w:cs="Garamond"/>
      <w:lang w:val="en-GB" w:eastAsia="en-GB"/>
    </w:rPr>
    <w:tblPr>
      <w:tblStyleRowBandSize w:val="1"/>
      <w:tblStyleColBandSize w:val="1"/>
      <w:tblInd w:w="0" w:type="nil"/>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Lines="0" w:before="0" w:beforeAutospacing="0" w:afterLines="0" w:after="0" w:afterAutospacing="0" w:line="240" w:lineRule="auto"/>
      </w:pPr>
      <w:rPr>
        <w:b/>
        <w:bCs/>
        <w:color w:val="FFFFFF" w:themeColor="background1"/>
      </w:rPr>
      <w:tblPr/>
      <w:tcPr>
        <w:shd w:val="clear" w:color="auto" w:fill="70AD47" w:themeFill="accent6"/>
      </w:tcPr>
    </w:tblStylePr>
    <w:tblStylePr w:type="lastRow">
      <w:pPr>
        <w:spacing w:beforeLines="0" w:before="0" w:beforeAutospacing="0" w:afterLines="0" w:after="0" w:afterAutospacing="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TableGrid10">
    <w:name w:val="Table Grid1"/>
    <w:basedOn w:val="TableNormal"/>
    <w:uiPriority w:val="59"/>
    <w:rsid w:val="009150F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9150F7"/>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9150F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basedOn w:val="TableNormal"/>
    <w:uiPriority w:val="61"/>
    <w:rsid w:val="009150F7"/>
    <w:pPr>
      <w:spacing w:after="0" w:line="240" w:lineRule="auto"/>
    </w:pPr>
    <w:rPr>
      <w:rFonts w:ascii="Garamond" w:eastAsia="Calibri" w:hAnsi="Garamond" w:cs="Garamond"/>
      <w:lang w:val="en-GB" w:eastAsia="en-GB"/>
    </w:rPr>
    <w:tblPr>
      <w:tblStyleRowBandSize w:val="1"/>
      <w:tblStyleColBandSize w:val="1"/>
      <w:tblInd w:w="0" w:type="nil"/>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5B9BD5" w:themeFill="accent1"/>
      </w:tcPr>
    </w:tblStylePr>
    <w:tblStylePr w:type="lastRow">
      <w:pPr>
        <w:spacing w:beforeLines="0" w:before="0" w:beforeAutospacing="0" w:afterLines="0" w:after="0" w:afterAutospacing="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MediumShading2-Accent11">
    <w:name w:val="Medium Shading 2 - Accent 11"/>
    <w:basedOn w:val="TableNormal"/>
    <w:uiPriority w:val="64"/>
    <w:rsid w:val="009150F7"/>
    <w:pPr>
      <w:spacing w:after="0" w:line="240" w:lineRule="auto"/>
    </w:pPr>
    <w:rPr>
      <w:rFonts w:ascii="Garamond" w:eastAsia="Calibri" w:hAnsi="Garamond" w:cs="Garamond"/>
      <w:lang w:val="en-GB" w:eastAsia="en-GB"/>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9150F7"/>
    <w:pPr>
      <w:spacing w:after="0" w:line="240" w:lineRule="auto"/>
    </w:pPr>
    <w:rPr>
      <w:rFonts w:ascii="Garamond" w:eastAsia="Calibri" w:hAnsi="Garamond" w:cs="Garamond"/>
      <w:lang w:val="en-GB" w:eastAsia="en-GB"/>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Shading-Accent11">
    <w:name w:val="Light Shading - Accent 11"/>
    <w:basedOn w:val="TableNormal"/>
    <w:uiPriority w:val="60"/>
    <w:rsid w:val="009150F7"/>
    <w:pPr>
      <w:spacing w:after="0" w:line="240" w:lineRule="auto"/>
    </w:pPr>
    <w:rPr>
      <w:rFonts w:ascii="Calibri" w:eastAsia="Calibri" w:hAnsi="Calibri" w:cs="Times New Roman"/>
      <w:color w:val="365F91"/>
    </w:rPr>
    <w:tblPr>
      <w:tblStyleRowBandSize w:val="1"/>
      <w:tblStyleColBandSize w:val="1"/>
      <w:tblInd w:w="0" w:type="nil"/>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Emphasis">
    <w:name w:val="Emphasis"/>
    <w:basedOn w:val="DefaultParagraphFont"/>
    <w:uiPriority w:val="20"/>
    <w:qFormat/>
    <w:rsid w:val="009150F7"/>
    <w:rPr>
      <w:i/>
      <w:iCs/>
    </w:rPr>
  </w:style>
  <w:style w:type="paragraph" w:styleId="ListNumber5">
    <w:name w:val="List Number 5"/>
    <w:basedOn w:val="Normal"/>
    <w:semiHidden/>
    <w:unhideWhenUsed/>
    <w:rsid w:val="009150F7"/>
    <w:pPr>
      <w:tabs>
        <w:tab w:val="num" w:pos="1134"/>
      </w:tabs>
      <w:ind w:left="1134" w:hanging="227"/>
      <w:contextualSpacing/>
    </w:pPr>
  </w:style>
  <w:style w:type="paragraph" w:styleId="ListBullet">
    <w:name w:val="List Bullet"/>
    <w:basedOn w:val="Normal"/>
    <w:semiHidden/>
    <w:unhideWhenUsed/>
    <w:rsid w:val="009150F7"/>
    <w:pPr>
      <w:numPr>
        <w:numId w:val="3"/>
      </w:numPr>
      <w:contextualSpacing/>
    </w:pPr>
  </w:style>
  <w:style w:type="paragraph" w:styleId="ListBullet2">
    <w:name w:val="List Bullet 2"/>
    <w:basedOn w:val="Normal"/>
    <w:uiPriority w:val="99"/>
    <w:semiHidden/>
    <w:unhideWhenUsed/>
    <w:rsid w:val="009150F7"/>
    <w:pPr>
      <w:numPr>
        <w:numId w:val="5"/>
      </w:numPr>
      <w:contextualSpacing/>
    </w:pPr>
  </w:style>
  <w:style w:type="paragraph" w:styleId="ListBullet3">
    <w:name w:val="List Bullet 3"/>
    <w:basedOn w:val="Normal"/>
    <w:semiHidden/>
    <w:unhideWhenUsed/>
    <w:rsid w:val="009150F7"/>
    <w:pPr>
      <w:numPr>
        <w:numId w:val="6"/>
      </w:numPr>
      <w:contextualSpacing/>
    </w:pPr>
  </w:style>
  <w:style w:type="paragraph" w:styleId="ListBullet4">
    <w:name w:val="List Bullet 4"/>
    <w:basedOn w:val="Normal"/>
    <w:semiHidden/>
    <w:unhideWhenUsed/>
    <w:rsid w:val="009150F7"/>
    <w:pPr>
      <w:numPr>
        <w:numId w:val="7"/>
      </w:numPr>
      <w:contextualSpacing/>
    </w:pPr>
  </w:style>
  <w:style w:type="paragraph" w:styleId="ListBullet5">
    <w:name w:val="List Bullet 5"/>
    <w:basedOn w:val="Normal"/>
    <w:semiHidden/>
    <w:unhideWhenUsed/>
    <w:rsid w:val="009150F7"/>
    <w:pPr>
      <w:numPr>
        <w:numId w:val="8"/>
      </w:numPr>
      <w:contextualSpacing/>
    </w:pPr>
  </w:style>
  <w:style w:type="paragraph" w:styleId="ListNumber2">
    <w:name w:val="List Number 2"/>
    <w:basedOn w:val="Normal"/>
    <w:semiHidden/>
    <w:unhideWhenUsed/>
    <w:rsid w:val="009150F7"/>
    <w:pPr>
      <w:numPr>
        <w:numId w:val="9"/>
      </w:numPr>
      <w:contextualSpacing/>
    </w:pPr>
  </w:style>
  <w:style w:type="paragraph" w:styleId="ListNumber3">
    <w:name w:val="List Number 3"/>
    <w:basedOn w:val="Normal"/>
    <w:semiHidden/>
    <w:unhideWhenUsed/>
    <w:rsid w:val="009150F7"/>
    <w:pPr>
      <w:numPr>
        <w:numId w:val="10"/>
      </w:numPr>
      <w:contextualSpacing/>
    </w:pPr>
  </w:style>
  <w:style w:type="paragraph" w:styleId="ListNumber4">
    <w:name w:val="List Number 4"/>
    <w:basedOn w:val="Normal"/>
    <w:semiHidden/>
    <w:unhideWhenUsed/>
    <w:rsid w:val="009150F7"/>
    <w:pPr>
      <w:numPr>
        <w:numId w:val="11"/>
      </w:numPr>
      <w:contextualSpacing/>
    </w:pPr>
  </w:style>
  <w:style w:type="numbering" w:styleId="111111">
    <w:name w:val="Outline List 2"/>
    <w:basedOn w:val="NoList"/>
    <w:semiHidden/>
    <w:unhideWhenUsed/>
    <w:rsid w:val="009150F7"/>
    <w:pPr>
      <w:numPr>
        <w:numId w:val="38"/>
      </w:numPr>
    </w:pPr>
  </w:style>
  <w:style w:type="numbering" w:customStyle="1" w:styleId="aAhs">
    <w:name w:val="aAhs"/>
    <w:uiPriority w:val="99"/>
    <w:rsid w:val="009150F7"/>
    <w:pPr>
      <w:numPr>
        <w:numId w:val="39"/>
      </w:numPr>
    </w:pPr>
  </w:style>
  <w:style w:type="numbering" w:customStyle="1" w:styleId="Style3">
    <w:name w:val="Style3"/>
    <w:rsid w:val="009150F7"/>
    <w:pPr>
      <w:numPr>
        <w:numId w:val="40"/>
      </w:numPr>
    </w:pPr>
  </w:style>
  <w:style w:type="numbering" w:styleId="ArticleSection">
    <w:name w:val="Outline List 3"/>
    <w:basedOn w:val="NoList"/>
    <w:semiHidden/>
    <w:unhideWhenUsed/>
    <w:rsid w:val="009150F7"/>
    <w:pPr>
      <w:numPr>
        <w:numId w:val="41"/>
      </w:numPr>
    </w:pPr>
  </w:style>
  <w:style w:type="numbering" w:styleId="1ai">
    <w:name w:val="Outline List 1"/>
    <w:basedOn w:val="NoList"/>
    <w:semiHidden/>
    <w:unhideWhenUsed/>
    <w:rsid w:val="009150F7"/>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914733">
      <w:bodyDiv w:val="1"/>
      <w:marLeft w:val="0"/>
      <w:marRight w:val="0"/>
      <w:marTop w:val="0"/>
      <w:marBottom w:val="0"/>
      <w:divBdr>
        <w:top w:val="none" w:sz="0" w:space="0" w:color="auto"/>
        <w:left w:val="none" w:sz="0" w:space="0" w:color="auto"/>
        <w:bottom w:val="none" w:sz="0" w:space="0" w:color="auto"/>
        <w:right w:val="none" w:sz="0" w:space="0" w:color="auto"/>
      </w:divBdr>
    </w:div>
    <w:div w:id="570579493">
      <w:bodyDiv w:val="1"/>
      <w:marLeft w:val="0"/>
      <w:marRight w:val="0"/>
      <w:marTop w:val="0"/>
      <w:marBottom w:val="0"/>
      <w:divBdr>
        <w:top w:val="none" w:sz="0" w:space="0" w:color="auto"/>
        <w:left w:val="none" w:sz="0" w:space="0" w:color="auto"/>
        <w:bottom w:val="none" w:sz="0" w:space="0" w:color="auto"/>
        <w:right w:val="none" w:sz="0" w:space="0" w:color="auto"/>
      </w:divBdr>
    </w:div>
    <w:div w:id="767432687">
      <w:bodyDiv w:val="1"/>
      <w:marLeft w:val="0"/>
      <w:marRight w:val="0"/>
      <w:marTop w:val="0"/>
      <w:marBottom w:val="0"/>
      <w:divBdr>
        <w:top w:val="none" w:sz="0" w:space="0" w:color="auto"/>
        <w:left w:val="none" w:sz="0" w:space="0" w:color="auto"/>
        <w:bottom w:val="none" w:sz="0" w:space="0" w:color="auto"/>
        <w:right w:val="none" w:sz="0" w:space="0" w:color="auto"/>
      </w:divBdr>
    </w:div>
    <w:div w:id="1111321644">
      <w:bodyDiv w:val="1"/>
      <w:marLeft w:val="0"/>
      <w:marRight w:val="0"/>
      <w:marTop w:val="0"/>
      <w:marBottom w:val="0"/>
      <w:divBdr>
        <w:top w:val="none" w:sz="0" w:space="0" w:color="auto"/>
        <w:left w:val="none" w:sz="0" w:space="0" w:color="auto"/>
        <w:bottom w:val="none" w:sz="0" w:space="0" w:color="auto"/>
        <w:right w:val="none" w:sz="0" w:space="0" w:color="auto"/>
      </w:divBdr>
    </w:div>
    <w:div w:id="1670257465">
      <w:bodyDiv w:val="1"/>
      <w:marLeft w:val="0"/>
      <w:marRight w:val="0"/>
      <w:marTop w:val="0"/>
      <w:marBottom w:val="0"/>
      <w:divBdr>
        <w:top w:val="none" w:sz="0" w:space="0" w:color="auto"/>
        <w:left w:val="none" w:sz="0" w:space="0" w:color="auto"/>
        <w:bottom w:val="none" w:sz="0" w:space="0" w:color="auto"/>
        <w:right w:val="none" w:sz="0" w:space="0" w:color="auto"/>
      </w:divBdr>
    </w:div>
    <w:div w:id="1679044113">
      <w:bodyDiv w:val="1"/>
      <w:marLeft w:val="0"/>
      <w:marRight w:val="0"/>
      <w:marTop w:val="0"/>
      <w:marBottom w:val="0"/>
      <w:divBdr>
        <w:top w:val="none" w:sz="0" w:space="0" w:color="auto"/>
        <w:left w:val="none" w:sz="0" w:space="0" w:color="auto"/>
        <w:bottom w:val="none" w:sz="0" w:space="0" w:color="auto"/>
        <w:right w:val="none" w:sz="0" w:space="0" w:color="auto"/>
      </w:divBdr>
    </w:div>
    <w:div w:id="1759448767">
      <w:bodyDiv w:val="1"/>
      <w:marLeft w:val="0"/>
      <w:marRight w:val="0"/>
      <w:marTop w:val="0"/>
      <w:marBottom w:val="0"/>
      <w:divBdr>
        <w:top w:val="none" w:sz="0" w:space="0" w:color="auto"/>
        <w:left w:val="none" w:sz="0" w:space="0" w:color="auto"/>
        <w:bottom w:val="none" w:sz="0" w:space="0" w:color="auto"/>
        <w:right w:val="none" w:sz="0" w:space="0" w:color="auto"/>
      </w:divBdr>
    </w:div>
    <w:div w:id="1795446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w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wmf"/></Relationships>
</file>

<file path=word/_rels/footnotes.xml.rels><?xml version="1.0" encoding="UTF-8" standalone="yes"?>
<Relationships xmlns="http://schemas.openxmlformats.org/package/2006/relationships"><Relationship Id="rId8" Type="http://schemas.openxmlformats.org/officeDocument/2006/relationships/hyperlink" Target="http://www.mjedisi.gov.al/files/userfiles/Monitorim_%20Mjedisor/Mbetjet.pdf" TargetMode="External"/><Relationship Id="rId3" Type="http://schemas.openxmlformats.org/officeDocument/2006/relationships/hyperlink" Target="https://www.energy-community.org/portal/page/portal/" TargetMode="External"/><Relationship Id="rId7" Type="http://schemas.openxmlformats.org/officeDocument/2006/relationships/hyperlink" Target="http://www.ecofys.com/files/files/ecofys-eclareon-2016-wacc-wind-pv-south-east-europe.pdf" TargetMode="External"/><Relationship Id="rId2" Type="http://schemas.openxmlformats.org/officeDocument/2006/relationships/hyperlink" Target="http://www.ecofys.com/files/files/ecofys-eclareon-2016-wacc-wind-pv-south-east-europe.pdf" TargetMode="External"/><Relationship Id="rId1" Type="http://schemas.openxmlformats.org/officeDocument/2006/relationships/hyperlink" Target="http://www.irena.org/DocumentDownloads/Publications/IRENA_Cost-competitive_power_potential_SEE_2017.pdf" TargetMode="External"/><Relationship Id="rId6" Type="http://schemas.openxmlformats.org/officeDocument/2006/relationships/hyperlink" Target="http://www.irena.org/DocumentDownloads/Publications/IRENA_Cost-competitive_power_potential_SEE_2017.pdf" TargetMode="External"/><Relationship Id="rId11" Type="http://schemas.openxmlformats.org/officeDocument/2006/relationships/hyperlink" Target="http://www.cewep.eu/members/countries/index.html" TargetMode="External"/><Relationship Id="rId5" Type="http://schemas.openxmlformats.org/officeDocument/2006/relationships/hyperlink" Target="https://www.eia.gov/outlooks/aeo/pdf/electricity_generation.pdf" TargetMode="External"/><Relationship Id="rId10" Type="http://schemas.openxmlformats.org/officeDocument/2006/relationships/hyperlink" Target="http://www.aspa.gov.al/images/DLDP/plani%20kombetar%20%20%20i%20menaxhimit%20te%20mbetjeve%20-final.pdf" TargetMode="External"/><Relationship Id="rId4" Type="http://schemas.openxmlformats.org/officeDocument/2006/relationships/hyperlink" Target="https://www.energy-community.org/portal/page/portal/" TargetMode="External"/><Relationship Id="rId9" Type="http://schemas.openxmlformats.org/officeDocument/2006/relationships/hyperlink" Target="http://www.worldenerg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34</Pages>
  <Words>18489</Words>
  <Characters>105390</Characters>
  <Application>Microsoft Office Word</Application>
  <DocSecurity>0</DocSecurity>
  <Lines>878</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5</cp:revision>
  <dcterms:created xsi:type="dcterms:W3CDTF">2018-04-03T13:34:00Z</dcterms:created>
  <dcterms:modified xsi:type="dcterms:W3CDTF">2018-04-03T14:18:00Z</dcterms:modified>
</cp:coreProperties>
</file>