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BF8" w:rsidRPr="00CC3BF8" w:rsidRDefault="00CC3BF8" w:rsidP="00CC3BF8">
      <w:pPr>
        <w:widowControl w:val="0"/>
        <w:spacing w:after="0" w:line="240" w:lineRule="auto"/>
        <w:jc w:val="center"/>
        <w:outlineLvl w:val="2"/>
        <w:rPr>
          <w:rFonts w:ascii="Garamond" w:eastAsia="MS Mincho" w:hAnsi="Garamond" w:cs="CG Times"/>
          <w:b/>
          <w:bCs/>
          <w:sz w:val="24"/>
          <w:lang w:val="sq-AL"/>
        </w:rPr>
      </w:pPr>
      <w:r w:rsidRPr="00CC3BF8">
        <w:rPr>
          <w:rFonts w:ascii="Garamond" w:eastAsia="MS Mincho" w:hAnsi="Garamond" w:cs="CG Times"/>
          <w:b/>
          <w:bCs/>
          <w:sz w:val="24"/>
          <w:lang w:val="sq-AL"/>
        </w:rPr>
        <w:t>VENDIM</w:t>
      </w:r>
    </w:p>
    <w:p w:rsidR="00CC3BF8" w:rsidRPr="00CC3BF8" w:rsidRDefault="00CC3BF8" w:rsidP="00CC3BF8">
      <w:pPr>
        <w:widowControl w:val="0"/>
        <w:spacing w:after="0" w:line="240" w:lineRule="auto"/>
        <w:jc w:val="center"/>
        <w:outlineLvl w:val="2"/>
        <w:rPr>
          <w:rFonts w:ascii="Garamond" w:eastAsia="MS Mincho" w:hAnsi="Garamond" w:cs="CG Times"/>
          <w:b/>
          <w:bCs/>
          <w:sz w:val="24"/>
          <w:lang w:val="sq-AL"/>
        </w:rPr>
      </w:pPr>
      <w:r w:rsidRPr="00CC3BF8">
        <w:rPr>
          <w:rFonts w:ascii="Garamond" w:eastAsia="MS Mincho" w:hAnsi="Garamond" w:cs="CG Times"/>
          <w:b/>
          <w:bCs/>
          <w:sz w:val="24"/>
          <w:lang w:val="sq-AL"/>
        </w:rPr>
        <w:t>Nr. 212, datë 20.4.2018</w:t>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p>
    <w:p w:rsidR="00CC3BF8" w:rsidRPr="00CC3BF8" w:rsidRDefault="00CC3BF8" w:rsidP="00CC3BF8">
      <w:pPr>
        <w:widowControl w:val="0"/>
        <w:spacing w:after="0" w:line="240" w:lineRule="auto"/>
        <w:jc w:val="center"/>
        <w:outlineLvl w:val="2"/>
        <w:rPr>
          <w:rFonts w:ascii="Garamond" w:eastAsia="MS Mincho" w:hAnsi="Garamond" w:cs="CG Times"/>
          <w:b/>
          <w:bCs/>
          <w:sz w:val="24"/>
          <w:lang w:val="sq-AL"/>
        </w:rPr>
      </w:pPr>
      <w:r w:rsidRPr="00CC3BF8">
        <w:rPr>
          <w:rFonts w:ascii="Garamond" w:eastAsia="MS Mincho" w:hAnsi="Garamond" w:cs="CG Times"/>
          <w:b/>
          <w:bCs/>
          <w:sz w:val="24"/>
          <w:lang w:val="sq-AL"/>
        </w:rPr>
        <w:t>PËR DISA SHTESA DHE NDRYSHIME NË VENDIMIN NR. 953, DATË 29.12.2014, TË KËSHILLIT TË MINISTRAVE, “PËR DISPOZITAT ZBATUESE TË LIGJIT NR. 92/2014, “PËR TATIMIN MBI VLERËN E SHTUAR NË REPUBLIKËN E SHQIPËRISË”, TË NDRYSHUAR”</w:t>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Në mbështetje të nenit 100 të Kushtetutës dhe të nenit 159, të ligjit nr. 92/2014, “Për tatimin mbi vlerën e shtuar në Republikën e Shqipërisë”, të ndryshuar, me propozimin e ministrit të Financave dhe Ekonomisë, Këshilli i Ministrave</w:t>
      </w:r>
    </w:p>
    <w:p w:rsidR="00CC3BF8" w:rsidRPr="00CC3BF8" w:rsidRDefault="00CC3BF8" w:rsidP="00CC3BF8">
      <w:pPr>
        <w:widowControl w:val="0"/>
        <w:spacing w:after="0" w:line="240" w:lineRule="auto"/>
        <w:jc w:val="center"/>
        <w:rPr>
          <w:rFonts w:ascii="Garamond" w:eastAsia="MS Mincho" w:hAnsi="Garamond" w:cs="CG Times"/>
          <w:sz w:val="24"/>
          <w:lang w:val="sq-AL"/>
        </w:rPr>
      </w:pPr>
      <w:r w:rsidRPr="00CC3BF8">
        <w:rPr>
          <w:rFonts w:ascii="Garamond" w:eastAsia="MS Mincho" w:hAnsi="Garamond" w:cs="CG Times"/>
          <w:sz w:val="24"/>
          <w:lang w:val="sq-AL"/>
        </w:rPr>
        <w:t>VENDOSI:</w:t>
      </w:r>
    </w:p>
    <w:p w:rsidR="00CC3BF8" w:rsidRPr="00CC3BF8" w:rsidRDefault="00CC3BF8" w:rsidP="00CC3BF8">
      <w:pPr>
        <w:widowControl w:val="0"/>
        <w:spacing w:after="0" w:line="240" w:lineRule="auto"/>
        <w:ind w:firstLine="284"/>
        <w:jc w:val="both"/>
        <w:rPr>
          <w:rFonts w:ascii="Garamond" w:eastAsia="MS Mincho" w:hAnsi="Garamond" w:cs="CG Times"/>
          <w:sz w:val="12"/>
          <w:szCs w:val="24"/>
          <w:lang w:val="sq-AL"/>
        </w:rPr>
      </w:pP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 xml:space="preserve">Në vendimin nr. 953, datë 29.12.2014, të Këshillit të Ministrave, të ndryshuar, bëhen këto shtesa dhe ndryshime: </w:t>
      </w:r>
    </w:p>
    <w:p w:rsidR="00CC3BF8" w:rsidRPr="00CC3BF8" w:rsidRDefault="00CC3BF8" w:rsidP="00CC3BF8">
      <w:pPr>
        <w:widowControl w:val="0"/>
        <w:spacing w:after="0" w:line="240" w:lineRule="auto"/>
        <w:ind w:firstLine="284"/>
        <w:jc w:val="both"/>
        <w:rPr>
          <w:rFonts w:ascii="Garamond" w:eastAsia="MS Mincho" w:hAnsi="Garamond" w:cs="CG Times"/>
          <w:sz w:val="8"/>
          <w:szCs w:val="24"/>
          <w:lang w:val="sq-AL"/>
        </w:rPr>
      </w:pPr>
    </w:p>
    <w:p w:rsidR="00CC3BF8" w:rsidRPr="00CC3BF8" w:rsidRDefault="00CC3BF8" w:rsidP="00CC3BF8">
      <w:pPr>
        <w:widowControl w:val="0"/>
        <w:spacing w:after="0" w:line="240" w:lineRule="auto"/>
        <w:jc w:val="center"/>
        <w:rPr>
          <w:rFonts w:ascii="Garamond" w:eastAsia="MS Mincho" w:hAnsi="Garamond" w:cs="CG Times"/>
          <w:sz w:val="24"/>
          <w:lang w:val="sq-AL"/>
        </w:rPr>
      </w:pPr>
      <w:r w:rsidRPr="00CC3BF8">
        <w:rPr>
          <w:rFonts w:ascii="Garamond" w:eastAsia="MS Mincho" w:hAnsi="Garamond" w:cs="CG Times"/>
          <w:sz w:val="24"/>
          <w:lang w:val="sq-AL"/>
        </w:rPr>
        <w:t>Neni 1</w:t>
      </w:r>
    </w:p>
    <w:p w:rsidR="00CC3BF8" w:rsidRPr="00CC3BF8" w:rsidRDefault="00CC3BF8" w:rsidP="00CC3BF8">
      <w:pPr>
        <w:widowControl w:val="0"/>
        <w:spacing w:after="0" w:line="240" w:lineRule="auto"/>
        <w:ind w:firstLine="284"/>
        <w:jc w:val="both"/>
        <w:rPr>
          <w:rFonts w:ascii="Garamond" w:eastAsia="MS Mincho" w:hAnsi="Garamond" w:cs="CG Times"/>
          <w:sz w:val="12"/>
          <w:szCs w:val="24"/>
          <w:lang w:val="sq-AL"/>
        </w:rPr>
      </w:pP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 xml:space="preserve">Në fund të pikës 3, të nenit 8, shtohet paragrafi, me këtë përmbajtje: </w:t>
      </w: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“Lista e makinerive dhe e pajisjeve, që janë drejtpërdrejt të lidhura me investimin, në funksion të realizimit të kontratave të investimit, me vlerë të barabartë ose më të madhe se 50 milionë lekë, për prodhimin e energjisë së rinovueshme nga dielli, me fuqi të instaluar prodhimi mbi 0.5 mw, është sipas aneksit 3, që i bashkëlidhet këtij vendimi. Autoriteti doganor bashkëpunon me ministrinë përgjegjëse për energjinë për të evidentuar subjektet e autorizuara/licencuara për prodhimin e energjisë së rinovueshme nga dielli, me fuqi të instaluar prodhimi mbi 0.5 mw, për të cilat aplikohet lista e makinerive dhe e pajisjeve sipas aneksit 3.”.</w:t>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p>
    <w:p w:rsidR="00CC3BF8" w:rsidRPr="00CC3BF8" w:rsidRDefault="00CC3BF8" w:rsidP="00CC3BF8">
      <w:pPr>
        <w:widowControl w:val="0"/>
        <w:spacing w:after="0" w:line="240" w:lineRule="auto"/>
        <w:jc w:val="center"/>
        <w:rPr>
          <w:rFonts w:ascii="Garamond" w:eastAsia="MS Mincho" w:hAnsi="Garamond" w:cs="CG Times"/>
          <w:sz w:val="24"/>
          <w:lang w:val="sq-AL"/>
        </w:rPr>
      </w:pPr>
      <w:r w:rsidRPr="00CC3BF8">
        <w:rPr>
          <w:rFonts w:ascii="Garamond" w:eastAsia="MS Mincho" w:hAnsi="Garamond" w:cs="CG Times"/>
          <w:sz w:val="24"/>
          <w:lang w:val="sq-AL"/>
        </w:rPr>
        <w:t>Neni 2</w:t>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r w:rsidRPr="00CC3BF8">
        <w:rPr>
          <w:rFonts w:ascii="Garamond" w:eastAsia="MS Mincho" w:hAnsi="Garamond" w:cs="CG Times"/>
          <w:sz w:val="14"/>
          <w:szCs w:val="24"/>
          <w:lang w:val="sq-AL"/>
        </w:rPr>
        <w:t xml:space="preserve"> </w:t>
      </w: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Pas nenit 10 shtohet neni 10/1, me këtë përmbajtje:</w:t>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r w:rsidRPr="00CC3BF8">
        <w:rPr>
          <w:rFonts w:ascii="Garamond" w:eastAsia="MS Mincho" w:hAnsi="Garamond" w:cs="CG Times"/>
          <w:sz w:val="14"/>
          <w:szCs w:val="24"/>
          <w:lang w:val="sq-AL"/>
        </w:rPr>
        <w:tab/>
      </w:r>
      <w:r w:rsidRPr="00CC3BF8">
        <w:rPr>
          <w:rFonts w:ascii="Garamond" w:eastAsia="MS Mincho" w:hAnsi="Garamond" w:cs="CG Times"/>
          <w:sz w:val="14"/>
          <w:szCs w:val="24"/>
          <w:lang w:val="sq-AL"/>
        </w:rPr>
        <w:tab/>
      </w:r>
      <w:r w:rsidRPr="00CC3BF8">
        <w:rPr>
          <w:rFonts w:ascii="Garamond" w:eastAsia="MS Mincho" w:hAnsi="Garamond" w:cs="CG Times"/>
          <w:sz w:val="14"/>
          <w:szCs w:val="24"/>
          <w:lang w:val="sq-AL"/>
        </w:rPr>
        <w:tab/>
      </w:r>
      <w:r w:rsidRPr="00CC3BF8">
        <w:rPr>
          <w:rFonts w:ascii="Garamond" w:eastAsia="MS Mincho" w:hAnsi="Garamond" w:cs="CG Times"/>
          <w:sz w:val="14"/>
          <w:szCs w:val="24"/>
          <w:lang w:val="sq-AL"/>
        </w:rPr>
        <w:tab/>
      </w:r>
      <w:r w:rsidRPr="00CC3BF8">
        <w:rPr>
          <w:rFonts w:ascii="Garamond" w:eastAsia="MS Mincho" w:hAnsi="Garamond" w:cs="CG Times"/>
          <w:sz w:val="14"/>
          <w:szCs w:val="24"/>
          <w:lang w:val="sq-AL"/>
        </w:rPr>
        <w:tab/>
      </w:r>
      <w:r w:rsidRPr="00CC3BF8">
        <w:rPr>
          <w:rFonts w:ascii="Garamond" w:eastAsia="MS Mincho" w:hAnsi="Garamond" w:cs="CG Times"/>
          <w:sz w:val="14"/>
          <w:szCs w:val="24"/>
          <w:lang w:val="sq-AL"/>
        </w:rPr>
        <w:tab/>
      </w:r>
      <w:r w:rsidRPr="00CC3BF8">
        <w:rPr>
          <w:rFonts w:ascii="Garamond" w:eastAsia="MS Mincho" w:hAnsi="Garamond" w:cs="CG Times"/>
          <w:sz w:val="14"/>
          <w:szCs w:val="24"/>
          <w:lang w:val="sq-AL"/>
        </w:rPr>
        <w:tab/>
      </w:r>
      <w:r w:rsidRPr="00CC3BF8">
        <w:rPr>
          <w:rFonts w:ascii="Garamond" w:eastAsia="MS Mincho" w:hAnsi="Garamond" w:cs="CG Times"/>
          <w:sz w:val="14"/>
          <w:szCs w:val="24"/>
          <w:lang w:val="sq-AL"/>
        </w:rPr>
        <w:tab/>
      </w:r>
      <w:r w:rsidRPr="00CC3BF8">
        <w:rPr>
          <w:rFonts w:ascii="Garamond" w:eastAsia="MS Mincho" w:hAnsi="Garamond" w:cs="CG Times"/>
          <w:sz w:val="14"/>
          <w:szCs w:val="24"/>
          <w:lang w:val="sq-AL"/>
        </w:rPr>
        <w:tab/>
      </w:r>
      <w:r w:rsidRPr="00CC3BF8">
        <w:rPr>
          <w:rFonts w:ascii="Garamond" w:eastAsia="MS Mincho" w:hAnsi="Garamond" w:cs="CG Times"/>
          <w:sz w:val="14"/>
          <w:szCs w:val="24"/>
          <w:lang w:val="sq-AL"/>
        </w:rPr>
        <w:tab/>
      </w:r>
      <w:r w:rsidRPr="00CC3BF8">
        <w:rPr>
          <w:rFonts w:ascii="Garamond" w:eastAsia="MS Mincho" w:hAnsi="Garamond" w:cs="CG Times"/>
          <w:sz w:val="14"/>
          <w:szCs w:val="24"/>
          <w:lang w:val="sq-AL"/>
        </w:rPr>
        <w:tab/>
      </w:r>
    </w:p>
    <w:p w:rsidR="00CC3BF8" w:rsidRPr="00CC3BF8" w:rsidRDefault="00CC3BF8" w:rsidP="00CC3BF8">
      <w:pPr>
        <w:widowControl w:val="0"/>
        <w:spacing w:after="0" w:line="240" w:lineRule="auto"/>
        <w:jc w:val="center"/>
        <w:rPr>
          <w:rFonts w:ascii="Garamond" w:eastAsia="MS Mincho" w:hAnsi="Garamond" w:cs="CG Times"/>
          <w:sz w:val="24"/>
          <w:lang w:val="sq-AL"/>
        </w:rPr>
      </w:pPr>
      <w:r w:rsidRPr="00CC3BF8">
        <w:rPr>
          <w:rFonts w:ascii="Garamond" w:eastAsia="MS Mincho" w:hAnsi="Garamond" w:cs="CG Times"/>
          <w:sz w:val="24"/>
          <w:lang w:val="sq-AL"/>
        </w:rPr>
        <w:t>“Neni 10/1</w:t>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p>
    <w:p w:rsidR="00CC3BF8" w:rsidRPr="00CC3BF8" w:rsidRDefault="00CC3BF8" w:rsidP="00CC3BF8">
      <w:pPr>
        <w:widowControl w:val="0"/>
        <w:spacing w:after="0" w:line="240" w:lineRule="auto"/>
        <w:jc w:val="center"/>
        <w:rPr>
          <w:rFonts w:ascii="Garamond" w:eastAsia="MS Mincho" w:hAnsi="Garamond" w:cs="CG Times"/>
          <w:b/>
          <w:sz w:val="24"/>
          <w:lang w:val="sq-AL"/>
        </w:rPr>
      </w:pPr>
      <w:r w:rsidRPr="00CC3BF8">
        <w:rPr>
          <w:rFonts w:ascii="Garamond" w:eastAsia="MS Mincho" w:hAnsi="Garamond" w:cs="CG Times"/>
          <w:b/>
          <w:sz w:val="24"/>
          <w:lang w:val="sq-AL"/>
        </w:rPr>
        <w:t>Afati i paraqitjes së deklaratës dhe regjistrave përmbledhës për kategorinë e personave të tatueshëm me qarkullim vjetor dy deri në pesë milionë lekë</w:t>
      </w:r>
    </w:p>
    <w:p w:rsidR="00CC3BF8" w:rsidRPr="00CC3BF8" w:rsidRDefault="00CC3BF8" w:rsidP="00CC3BF8">
      <w:pPr>
        <w:widowControl w:val="0"/>
        <w:spacing w:after="0" w:line="240" w:lineRule="auto"/>
        <w:jc w:val="center"/>
        <w:rPr>
          <w:rFonts w:ascii="Garamond" w:eastAsia="MS Mincho" w:hAnsi="Garamond" w:cs="CG Times"/>
          <w:b/>
          <w:sz w:val="14"/>
          <w:szCs w:val="14"/>
          <w:lang w:val="sq-AL"/>
        </w:rPr>
      </w:pP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Në zbatim të nenit 107, të ligjit, personat e tatueshëm, që realizojnë një qarkullim vjetor mbi kufirin minimal të regjistrimit për TVSH-në, të përcaktuar në pikën 1, të nenit 11, të këtij vendimi, por jo më shumë se 5 milionë lekë, dorëzojnë deklaratën e TVSH-së mbi baza mujore, brenda datës 14 të muajit të parë pas përfundimit të çdo tremujori të vitit kalendarik.</w:t>
      </w: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 xml:space="preserve">Gjithashtu, në zbatim të nenit 109 të ligjit, kjo kategori personash të tatueshëm e shoqëron deklaratën e TVSH-së me regjistrat përmbledhës, përkatësisht librin e blerjes dhe librin e shitjes, mbi baza mujore, brenda datës 10 të muajit të parë pas përfundimit të çdo tremujori të vitit kalendarik. </w:t>
      </w: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Parashikimet e mësipërme nuk zbatohen për personat e tatueshëm, për të cilët kufiri minimal i regjistrimit për tatimin mbi vlerën e shtuar është zero, pavarësisht nga qarkullimi vjetor i tyre.”.</w:t>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r w:rsidRPr="00CC3BF8">
        <w:rPr>
          <w:rFonts w:ascii="Garamond" w:eastAsia="MS Mincho" w:hAnsi="Garamond" w:cs="CG Times"/>
          <w:sz w:val="14"/>
          <w:szCs w:val="24"/>
          <w:lang w:val="sq-AL"/>
        </w:rPr>
        <w:t xml:space="preserve"> </w:t>
      </w:r>
    </w:p>
    <w:p w:rsidR="00CC3BF8" w:rsidRPr="00CC3BF8" w:rsidRDefault="00CC3BF8" w:rsidP="00CC3BF8">
      <w:pPr>
        <w:widowControl w:val="0"/>
        <w:spacing w:after="0" w:line="240" w:lineRule="auto"/>
        <w:jc w:val="center"/>
        <w:rPr>
          <w:rFonts w:ascii="Garamond" w:eastAsia="MS Mincho" w:hAnsi="Garamond" w:cs="CG Times"/>
          <w:sz w:val="24"/>
          <w:lang w:val="sq-AL"/>
        </w:rPr>
      </w:pPr>
      <w:r w:rsidRPr="00CC3BF8">
        <w:rPr>
          <w:rFonts w:ascii="Garamond" w:eastAsia="MS Mincho" w:hAnsi="Garamond" w:cs="CG Times"/>
          <w:sz w:val="24"/>
          <w:lang w:val="sq-AL"/>
        </w:rPr>
        <w:t>Neni 3</w:t>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r w:rsidRPr="00CC3BF8">
        <w:rPr>
          <w:rFonts w:ascii="Garamond" w:eastAsia="MS Mincho" w:hAnsi="Garamond" w:cs="CG Times"/>
          <w:sz w:val="14"/>
          <w:szCs w:val="24"/>
          <w:lang w:val="sq-AL"/>
        </w:rPr>
        <w:t xml:space="preserve"> </w:t>
      </w: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Pikat 2 dhe 3, të nenit 11, ndryshohen, si më poshtë vijon:</w:t>
      </w: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 xml:space="preserve">“2. Kufiri minimal i regjistrimit për TVSH-në për personat e tatueshëm, që ofrojnë shërbime në veprimtari ekonomike, sipas profesioneve të tilla si: avokat, noter, mjek i specializuar, dentist, dentist i specializuar, farmacist, infermier, veteriner, arkitekt, inxhinier, mjek-laborant, projektues, ekonomist, agronom, ekspert kontabël i regjistruar, kontabilist i miratuar dhe vlerësues i pasurisë, pavarësisht nga qarkullimi vjetor i tyre, është zero. Të gjithë këta janë persona të tatueshëm, të regjistruar për TVSH-në, edhe nëse kryejnë veprimtari të përjashtuar sipas ligjit. </w:t>
      </w: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3. Për prodhuesit bujqësorë, për të cilët zbatohet regjimi i veçantë i skemës së kompensimit dhe që e zhvillojnë veprimtarinë ekonomike si fermerë individualë, kufiri minimal i regjistrimit për tatimin mbi vlerën e shtuar është qarkullimi prej 5 000 000 (pesë milionë) lekësh në një vit kalendarik.</w:t>
      </w: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 xml:space="preserve">Prodhuesit bujqësorë, për të cilët zbatohet regjimi i veçantë i skemës së kompensimit të fermerëve, por që e zhvillojnë veprimtarinë ekonomike në kuadrin e një sipërmarrjeje bujqësore të organizuar si shoqëri e bashkëpunimit bujqësor (SHBB), janë të përjashtuar nga aplikimi i kufirit si më sipër, për regjimin e veçantë të skemës së kompensimit, me kushtin që kjo SHBB të kryejë vetëm veprimtari të </w:t>
      </w:r>
      <w:r w:rsidRPr="00CC3BF8">
        <w:rPr>
          <w:rFonts w:ascii="Garamond" w:eastAsia="MS Mincho" w:hAnsi="Garamond" w:cs="CG Times"/>
          <w:sz w:val="24"/>
          <w:lang w:val="sq-AL"/>
        </w:rPr>
        <w:lastRenderedPageBreak/>
        <w:t xml:space="preserve">shitjes së produkteve bujqësore të anëtarëve të saj te tatimpagues që nuk janë pjesë e skemës së kompensimit. Në këtë rast, blerësi, person i tatueshëm, lëshon faturë tatimore vetëm për shitësin, shoqëri e bashkëpunimit bujqësor, ndërsa kjo e fundit nuk lëshon faturë tatimore, sipas parimeve të kësaj skeme për fermerët anëtarë të SHBB-së. Nëse shoqëria e bashkëpunimit bujqësor, krahas shitjeve në kuadrin e regjimit të veçantë të skemës së kompensimit të fermerëve, kryen edhe veprimtari të tjera, regjistrohet në skemën normale të aplikimit të TVSH-së.”. </w:t>
      </w:r>
      <w:r w:rsidRPr="00CC3BF8">
        <w:rPr>
          <w:rFonts w:ascii="Garamond" w:eastAsia="MS Mincho" w:hAnsi="Garamond" w:cs="CG Times"/>
          <w:sz w:val="24"/>
          <w:lang w:val="sq-AL"/>
        </w:rPr>
        <w:tab/>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p>
    <w:p w:rsidR="00CC3BF8" w:rsidRPr="00CC3BF8" w:rsidRDefault="00CC3BF8" w:rsidP="00CC3BF8">
      <w:pPr>
        <w:widowControl w:val="0"/>
        <w:spacing w:after="0" w:line="240" w:lineRule="auto"/>
        <w:jc w:val="center"/>
        <w:rPr>
          <w:rFonts w:ascii="Garamond" w:eastAsia="MS Mincho" w:hAnsi="Garamond" w:cs="CG Times"/>
          <w:sz w:val="24"/>
          <w:lang w:val="sq-AL"/>
        </w:rPr>
      </w:pPr>
      <w:r w:rsidRPr="00CC3BF8">
        <w:rPr>
          <w:rFonts w:ascii="Garamond" w:eastAsia="MS Mincho" w:hAnsi="Garamond" w:cs="CG Times"/>
          <w:sz w:val="24"/>
          <w:lang w:val="sq-AL"/>
        </w:rPr>
        <w:t>Neni 4</w:t>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p>
    <w:p w:rsidR="00CC3BF8" w:rsidRPr="00CC3BF8" w:rsidRDefault="00CC3BF8" w:rsidP="00CC3BF8">
      <w:pPr>
        <w:widowControl w:val="0"/>
        <w:spacing w:after="0" w:line="240" w:lineRule="auto"/>
        <w:ind w:firstLine="284"/>
        <w:jc w:val="both"/>
        <w:rPr>
          <w:rFonts w:ascii="Garamond" w:eastAsia="MS Mincho" w:hAnsi="Garamond" w:cs="CG Times"/>
          <w:sz w:val="24"/>
          <w:lang w:val="sq-AL"/>
        </w:rPr>
      </w:pPr>
      <w:r w:rsidRPr="00CC3BF8">
        <w:rPr>
          <w:rFonts w:ascii="Garamond" w:eastAsia="MS Mincho" w:hAnsi="Garamond" w:cs="CG Times"/>
          <w:sz w:val="24"/>
          <w:lang w:val="sq-AL"/>
        </w:rPr>
        <w:t>Ky vendim hyn në fuqi pas botimit në Fletoren Zyrtare.</w:t>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p>
    <w:p w:rsidR="00CC3BF8" w:rsidRPr="00CC3BF8" w:rsidRDefault="00CC3BF8" w:rsidP="00CC3BF8">
      <w:pPr>
        <w:widowControl w:val="0"/>
        <w:spacing w:after="0" w:line="240" w:lineRule="auto"/>
        <w:ind w:firstLine="284"/>
        <w:jc w:val="right"/>
        <w:rPr>
          <w:rFonts w:ascii="Garamond" w:eastAsia="MS Mincho" w:hAnsi="Garamond" w:cs="CG Times"/>
          <w:sz w:val="24"/>
          <w:lang w:val="sq-AL"/>
        </w:rPr>
      </w:pPr>
      <w:r w:rsidRPr="00CC3BF8">
        <w:rPr>
          <w:rFonts w:ascii="Garamond" w:eastAsia="MS Mincho" w:hAnsi="Garamond" w:cs="CG Times"/>
          <w:sz w:val="24"/>
          <w:lang w:val="sq-AL"/>
        </w:rPr>
        <w:tab/>
      </w:r>
      <w:r w:rsidRPr="00CC3BF8">
        <w:rPr>
          <w:rFonts w:ascii="Garamond" w:eastAsia="MS Mincho" w:hAnsi="Garamond" w:cs="CG Times"/>
          <w:sz w:val="24"/>
          <w:lang w:val="sq-AL"/>
        </w:rPr>
        <w:tab/>
      </w:r>
      <w:r w:rsidRPr="00CC3BF8">
        <w:rPr>
          <w:rFonts w:ascii="Garamond" w:eastAsia="MS Mincho" w:hAnsi="Garamond" w:cs="CG Times"/>
          <w:sz w:val="24"/>
          <w:lang w:val="sq-AL"/>
        </w:rPr>
        <w:tab/>
      </w:r>
      <w:r w:rsidRPr="00CC3BF8">
        <w:rPr>
          <w:rFonts w:ascii="Garamond" w:eastAsia="MS Mincho" w:hAnsi="Garamond" w:cs="CG Times"/>
          <w:sz w:val="24"/>
          <w:lang w:val="sq-AL"/>
        </w:rPr>
        <w:tab/>
        <w:t xml:space="preserve">KRYEMINISTRI </w:t>
      </w:r>
    </w:p>
    <w:p w:rsidR="00CC3BF8" w:rsidRPr="00CC3BF8" w:rsidRDefault="00CC3BF8" w:rsidP="00CC3BF8">
      <w:pPr>
        <w:widowControl w:val="0"/>
        <w:spacing w:after="0" w:line="240" w:lineRule="auto"/>
        <w:ind w:firstLine="284"/>
        <w:jc w:val="right"/>
        <w:rPr>
          <w:rFonts w:ascii="Garamond" w:eastAsia="MS Mincho" w:hAnsi="Garamond" w:cs="CG Times"/>
          <w:b/>
          <w:sz w:val="24"/>
          <w:lang w:val="sq-AL"/>
        </w:rPr>
      </w:pPr>
      <w:r w:rsidRPr="00CC3BF8">
        <w:rPr>
          <w:rFonts w:ascii="Garamond" w:eastAsia="MS Mincho" w:hAnsi="Garamond" w:cs="CG Times"/>
          <w:b/>
          <w:sz w:val="24"/>
          <w:lang w:val="sq-AL"/>
        </w:rPr>
        <w:t>Edi Rama</w:t>
      </w:r>
    </w:p>
    <w:p w:rsidR="00CC3BF8" w:rsidRPr="00CC3BF8" w:rsidRDefault="00CC3BF8" w:rsidP="00CC3BF8">
      <w:pPr>
        <w:widowControl w:val="0"/>
        <w:spacing w:after="0" w:line="240" w:lineRule="auto"/>
        <w:ind w:firstLine="284"/>
        <w:jc w:val="right"/>
        <w:rPr>
          <w:rFonts w:ascii="Garamond" w:eastAsia="MS Mincho" w:hAnsi="Garamond" w:cs="CG Times"/>
          <w:b/>
          <w:sz w:val="24"/>
          <w:lang w:val="sq-AL"/>
        </w:rPr>
      </w:pPr>
    </w:p>
    <w:p w:rsidR="00CC3BF8" w:rsidRPr="00CC3BF8" w:rsidRDefault="00CC3BF8" w:rsidP="00CC3BF8">
      <w:pPr>
        <w:widowControl w:val="0"/>
        <w:spacing w:after="0" w:line="240" w:lineRule="auto"/>
        <w:ind w:firstLine="284"/>
        <w:jc w:val="right"/>
        <w:rPr>
          <w:rFonts w:ascii="Garamond" w:eastAsia="MS Mincho" w:hAnsi="Garamond" w:cs="CG Times"/>
          <w:b/>
          <w:sz w:val="24"/>
          <w:lang w:val="sq-AL"/>
        </w:rPr>
      </w:pPr>
    </w:p>
    <w:p w:rsidR="00CC3BF8" w:rsidRPr="00CC3BF8" w:rsidRDefault="00CC3BF8" w:rsidP="00CC3BF8">
      <w:pPr>
        <w:widowControl w:val="0"/>
        <w:spacing w:after="0" w:line="240" w:lineRule="auto"/>
        <w:ind w:firstLine="284"/>
        <w:jc w:val="right"/>
        <w:rPr>
          <w:rFonts w:ascii="Garamond" w:eastAsia="MS Mincho" w:hAnsi="Garamond" w:cs="CG Times"/>
          <w:b/>
          <w:sz w:val="24"/>
          <w:lang w:val="sq-AL"/>
        </w:rPr>
      </w:pPr>
    </w:p>
    <w:p w:rsidR="00CC3BF8" w:rsidRPr="00CC3BF8" w:rsidRDefault="00CC3BF8" w:rsidP="00CC3BF8">
      <w:pPr>
        <w:widowControl w:val="0"/>
        <w:spacing w:after="0" w:line="240" w:lineRule="auto"/>
        <w:ind w:firstLine="284"/>
        <w:jc w:val="right"/>
        <w:rPr>
          <w:rFonts w:ascii="Garamond" w:eastAsia="MS Mincho" w:hAnsi="Garamond" w:cs="CG Times"/>
          <w:b/>
          <w:sz w:val="24"/>
          <w:lang w:val="sq-AL"/>
        </w:rPr>
      </w:pPr>
    </w:p>
    <w:p w:rsidR="00CC3BF8" w:rsidRPr="00CC3BF8" w:rsidRDefault="00CC3BF8" w:rsidP="00CC3BF8">
      <w:pPr>
        <w:widowControl w:val="0"/>
        <w:spacing w:after="0" w:line="240" w:lineRule="auto"/>
        <w:ind w:firstLine="284"/>
        <w:jc w:val="right"/>
        <w:rPr>
          <w:rFonts w:ascii="Garamond" w:eastAsia="MS Mincho" w:hAnsi="Garamond" w:cs="CG Times"/>
          <w:b/>
          <w:sz w:val="24"/>
          <w:lang w:val="sq-AL"/>
        </w:rPr>
      </w:pPr>
    </w:p>
    <w:p w:rsidR="00CC3BF8" w:rsidRPr="00CC3BF8" w:rsidRDefault="00CC3BF8" w:rsidP="00CC3BF8">
      <w:pPr>
        <w:spacing w:after="0" w:line="240" w:lineRule="auto"/>
        <w:rPr>
          <w:rFonts w:ascii="Garamond" w:eastAsia="Calibri" w:hAnsi="Garamond" w:cs="Times New Roman"/>
          <w:sz w:val="24"/>
          <w:szCs w:val="24"/>
          <w:lang w:val="sq-AL"/>
        </w:rPr>
        <w:sectPr w:rsidR="00CC3BF8" w:rsidRPr="00CC3BF8" w:rsidSect="00CC3BF8">
          <w:pgSz w:w="11907" w:h="16840"/>
          <w:pgMar w:top="720" w:right="1134" w:bottom="720" w:left="1134" w:header="851" w:footer="851" w:gutter="0"/>
          <w:cols w:space="454"/>
        </w:sectPr>
      </w:pPr>
    </w:p>
    <w:p w:rsidR="00CC3BF8" w:rsidRDefault="00CC3BF8" w:rsidP="00CC3BF8">
      <w:pPr>
        <w:widowControl w:val="0"/>
        <w:tabs>
          <w:tab w:val="center" w:pos="4680"/>
          <w:tab w:val="right" w:pos="9360"/>
        </w:tabs>
        <w:spacing w:after="0" w:line="240" w:lineRule="auto"/>
        <w:jc w:val="both"/>
        <w:rPr>
          <w:rFonts w:ascii="Garamond" w:eastAsia="Calibri" w:hAnsi="Garamond" w:cs="Times New Roman"/>
          <w:sz w:val="24"/>
          <w:szCs w:val="24"/>
          <w:lang w:val="sq-AL"/>
        </w:rPr>
      </w:pPr>
    </w:p>
    <w:p w:rsidR="00CC3BF8" w:rsidRDefault="00CC3BF8" w:rsidP="00CC3BF8">
      <w:pPr>
        <w:widowControl w:val="0"/>
        <w:tabs>
          <w:tab w:val="center" w:pos="4680"/>
          <w:tab w:val="right" w:pos="9360"/>
        </w:tabs>
        <w:spacing w:after="0" w:line="240" w:lineRule="auto"/>
        <w:jc w:val="both"/>
        <w:rPr>
          <w:rFonts w:ascii="Garamond" w:eastAsia="Calibri" w:hAnsi="Garamond" w:cs="Times New Roman"/>
          <w:sz w:val="24"/>
          <w:szCs w:val="24"/>
          <w:lang w:val="sq-AL"/>
        </w:rPr>
      </w:pPr>
    </w:p>
    <w:p w:rsidR="00CC3BF8" w:rsidRDefault="00CC3BF8" w:rsidP="00CC3BF8">
      <w:pPr>
        <w:widowControl w:val="0"/>
        <w:tabs>
          <w:tab w:val="center" w:pos="4680"/>
          <w:tab w:val="right" w:pos="9360"/>
        </w:tabs>
        <w:spacing w:after="0" w:line="240" w:lineRule="auto"/>
        <w:jc w:val="both"/>
        <w:rPr>
          <w:rFonts w:ascii="Garamond" w:eastAsia="Calibri" w:hAnsi="Garamond" w:cs="Times New Roman"/>
          <w:sz w:val="24"/>
          <w:szCs w:val="24"/>
          <w:lang w:val="sq-AL"/>
        </w:rPr>
      </w:pPr>
    </w:p>
    <w:p w:rsidR="00CC3BF8" w:rsidRDefault="00CC3BF8" w:rsidP="00CC3BF8">
      <w:pPr>
        <w:widowControl w:val="0"/>
        <w:tabs>
          <w:tab w:val="center" w:pos="4680"/>
          <w:tab w:val="right" w:pos="9360"/>
        </w:tabs>
        <w:spacing w:after="0" w:line="240" w:lineRule="auto"/>
        <w:jc w:val="both"/>
        <w:rPr>
          <w:rFonts w:ascii="Garamond" w:eastAsia="Calibri" w:hAnsi="Garamond" w:cs="Times New Roman"/>
          <w:sz w:val="24"/>
          <w:szCs w:val="24"/>
          <w:lang w:val="sq-AL"/>
        </w:rPr>
      </w:pPr>
    </w:p>
    <w:p w:rsidR="00CC3BF8" w:rsidRDefault="00CC3BF8" w:rsidP="00CC3BF8">
      <w:pPr>
        <w:widowControl w:val="0"/>
        <w:tabs>
          <w:tab w:val="center" w:pos="4680"/>
          <w:tab w:val="right" w:pos="9360"/>
        </w:tabs>
        <w:spacing w:after="0" w:line="240" w:lineRule="auto"/>
        <w:jc w:val="both"/>
        <w:rPr>
          <w:rFonts w:ascii="Garamond" w:eastAsia="Calibri" w:hAnsi="Garamond" w:cs="Times New Roman"/>
          <w:sz w:val="24"/>
          <w:szCs w:val="24"/>
          <w:lang w:val="sq-AL"/>
        </w:rPr>
      </w:pPr>
    </w:p>
    <w:p w:rsidR="00CC3BF8" w:rsidRDefault="00CC3BF8" w:rsidP="00CC3BF8">
      <w:pPr>
        <w:widowControl w:val="0"/>
        <w:tabs>
          <w:tab w:val="center" w:pos="4680"/>
          <w:tab w:val="right" w:pos="9360"/>
        </w:tabs>
        <w:spacing w:after="0" w:line="240" w:lineRule="auto"/>
        <w:jc w:val="both"/>
        <w:rPr>
          <w:rFonts w:ascii="Garamond" w:eastAsia="Calibri" w:hAnsi="Garamond" w:cs="Times New Roman"/>
          <w:sz w:val="24"/>
          <w:szCs w:val="24"/>
          <w:lang w:val="sq-AL"/>
        </w:rPr>
      </w:pPr>
    </w:p>
    <w:p w:rsidR="00CC3BF8" w:rsidRPr="00CC3BF8" w:rsidRDefault="00CC3BF8" w:rsidP="00CC3BF8">
      <w:pPr>
        <w:widowControl w:val="0"/>
        <w:tabs>
          <w:tab w:val="center" w:pos="4680"/>
          <w:tab w:val="right" w:pos="9360"/>
        </w:tabs>
        <w:spacing w:after="0" w:line="240" w:lineRule="auto"/>
        <w:jc w:val="center"/>
        <w:rPr>
          <w:rFonts w:ascii="Garamond" w:eastAsia="Calibri" w:hAnsi="Garamond" w:cs="Times New Roman"/>
          <w:sz w:val="24"/>
          <w:szCs w:val="24"/>
          <w:lang w:val="sq-AL"/>
        </w:rPr>
      </w:pPr>
      <w:bookmarkStart w:id="0" w:name="_GoBack"/>
      <w:bookmarkEnd w:id="0"/>
    </w:p>
    <w:p w:rsidR="00CC3BF8" w:rsidRPr="00CC3BF8" w:rsidRDefault="00CC3BF8" w:rsidP="00CC3BF8">
      <w:pPr>
        <w:widowControl w:val="0"/>
        <w:tabs>
          <w:tab w:val="center" w:pos="4680"/>
          <w:tab w:val="right" w:pos="9360"/>
        </w:tabs>
        <w:spacing w:after="0" w:line="240" w:lineRule="auto"/>
        <w:jc w:val="center"/>
        <w:rPr>
          <w:rFonts w:ascii="Garamond" w:eastAsia="Calibri" w:hAnsi="Garamond" w:cs="Times New Roman"/>
          <w:sz w:val="24"/>
          <w:szCs w:val="24"/>
          <w:lang w:val="sq-AL"/>
        </w:rPr>
      </w:pPr>
      <w:r w:rsidRPr="00CC3BF8">
        <w:rPr>
          <w:rFonts w:ascii="Garamond" w:eastAsia="Calibri" w:hAnsi="Garamond" w:cs="Times New Roman"/>
          <w:sz w:val="24"/>
          <w:szCs w:val="24"/>
          <w:lang w:val="sq-AL"/>
        </w:rPr>
        <w:t>ANEKSI 3</w:t>
      </w:r>
    </w:p>
    <w:p w:rsidR="00CC3BF8" w:rsidRPr="00CC3BF8" w:rsidRDefault="00CC3BF8" w:rsidP="00CC3BF8">
      <w:pPr>
        <w:widowControl w:val="0"/>
        <w:tabs>
          <w:tab w:val="center" w:pos="4680"/>
          <w:tab w:val="right" w:pos="9360"/>
        </w:tabs>
        <w:spacing w:after="0" w:line="240" w:lineRule="auto"/>
        <w:jc w:val="center"/>
        <w:rPr>
          <w:rFonts w:ascii="Garamond" w:eastAsia="Calibri" w:hAnsi="Garamond" w:cs="Times New Roman"/>
          <w:sz w:val="20"/>
          <w:szCs w:val="20"/>
          <w:lang w:val="sq-AL"/>
        </w:rPr>
      </w:pPr>
      <w:r w:rsidRPr="00CC3BF8">
        <w:rPr>
          <w:rFonts w:ascii="Garamond" w:eastAsia="Calibri" w:hAnsi="Garamond" w:cs="Times New Roman"/>
          <w:sz w:val="20"/>
          <w:szCs w:val="20"/>
          <w:lang w:val="sq-AL"/>
        </w:rPr>
        <w:t>LISTA E MAKINERIVE DHE E PAJISJEVE QË JANË DREJTPËRDREJT TË LIDHURA ME INVESTIMIN, NË FUNKSION TË REALIZIMIT TË KONTRATAVE ME VLERË TË BARABARTË OSE MË TË MADHE SE 50 MILIONË LEKË, PËR PRODHIMIN E ENERGJISË SË RINOVUESHME NGA DIELLI, ME FUQI TË INSTALUAR PRODHIMI MBI 0.5 mw</w:t>
      </w:r>
    </w:p>
    <w:p w:rsidR="00CC3BF8" w:rsidRPr="00CC3BF8" w:rsidRDefault="00CC3BF8" w:rsidP="00CC3BF8">
      <w:pPr>
        <w:widowControl w:val="0"/>
        <w:spacing w:after="0" w:line="240" w:lineRule="auto"/>
        <w:ind w:firstLine="284"/>
        <w:jc w:val="both"/>
        <w:rPr>
          <w:rFonts w:ascii="Garamond" w:eastAsia="MS Mincho" w:hAnsi="Garamond" w:cs="CG Times"/>
          <w:sz w:val="14"/>
          <w:szCs w:val="24"/>
          <w:lang w:val="sq-AL"/>
        </w:rPr>
      </w:pPr>
    </w:p>
    <w:tbl>
      <w:tblPr>
        <w:tblStyle w:val="TableGrid"/>
        <w:tblW w:w="0" w:type="auto"/>
        <w:jc w:val="center"/>
        <w:tblInd w:w="0" w:type="dxa"/>
        <w:tblLook w:val="04A0" w:firstRow="1" w:lastRow="0" w:firstColumn="1" w:lastColumn="0" w:noHBand="0" w:noVBand="1"/>
      </w:tblPr>
      <w:tblGrid>
        <w:gridCol w:w="1317"/>
        <w:gridCol w:w="2204"/>
        <w:gridCol w:w="5659"/>
      </w:tblGrid>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vAlign w:val="center"/>
            <w:hideMark/>
          </w:tcPr>
          <w:p w:rsidR="00CC3BF8" w:rsidRPr="00CC3BF8" w:rsidRDefault="00CC3BF8" w:rsidP="00CC3BF8">
            <w:pPr>
              <w:widowControl w:val="0"/>
              <w:jc w:val="center"/>
              <w:rPr>
                <w:rFonts w:ascii="Garamond" w:eastAsia="Calibri" w:hAnsi="Garamond"/>
                <w:b/>
                <w:lang w:val="sq-AL"/>
              </w:rPr>
            </w:pPr>
            <w:r w:rsidRPr="00CC3BF8">
              <w:rPr>
                <w:rFonts w:ascii="Garamond" w:eastAsia="Calibri" w:hAnsi="Garamond"/>
                <w:b/>
                <w:lang w:val="sq-AL"/>
              </w:rPr>
              <w:t>Nr. rendor</w:t>
            </w:r>
          </w:p>
        </w:tc>
        <w:tc>
          <w:tcPr>
            <w:tcW w:w="2204" w:type="dxa"/>
            <w:tcBorders>
              <w:top w:val="single" w:sz="4" w:space="0" w:color="auto"/>
              <w:left w:val="single" w:sz="4" w:space="0" w:color="auto"/>
              <w:bottom w:val="single" w:sz="4" w:space="0" w:color="auto"/>
              <w:right w:val="single" w:sz="4" w:space="0" w:color="auto"/>
            </w:tcBorders>
            <w:vAlign w:val="center"/>
            <w:hideMark/>
          </w:tcPr>
          <w:p w:rsidR="00CC3BF8" w:rsidRPr="00CC3BF8" w:rsidRDefault="00CC3BF8" w:rsidP="00CC3BF8">
            <w:pPr>
              <w:widowControl w:val="0"/>
              <w:jc w:val="center"/>
              <w:rPr>
                <w:rFonts w:ascii="Garamond" w:eastAsia="Calibri" w:hAnsi="Garamond"/>
                <w:b/>
                <w:lang w:val="sq-AL"/>
              </w:rPr>
            </w:pPr>
            <w:r w:rsidRPr="00CC3BF8">
              <w:rPr>
                <w:rFonts w:ascii="Garamond" w:eastAsia="Calibri" w:hAnsi="Garamond"/>
                <w:b/>
                <w:lang w:val="sq-AL"/>
              </w:rPr>
              <w:t>Kodi tarifor</w:t>
            </w:r>
          </w:p>
          <w:p w:rsidR="00CC3BF8" w:rsidRPr="00CC3BF8" w:rsidRDefault="00CC3BF8" w:rsidP="00CC3BF8">
            <w:pPr>
              <w:widowControl w:val="0"/>
              <w:jc w:val="center"/>
              <w:rPr>
                <w:rFonts w:ascii="Garamond" w:eastAsia="Calibri" w:hAnsi="Garamond"/>
                <w:b/>
                <w:lang w:val="sq-AL"/>
              </w:rPr>
            </w:pPr>
            <w:r w:rsidRPr="00CC3BF8">
              <w:rPr>
                <w:rFonts w:ascii="Garamond" w:eastAsia="Calibri" w:hAnsi="Garamond"/>
                <w:b/>
                <w:lang w:val="sq-AL"/>
              </w:rPr>
              <w:t>NKM 2018</w:t>
            </w:r>
          </w:p>
        </w:tc>
        <w:tc>
          <w:tcPr>
            <w:tcW w:w="5659" w:type="dxa"/>
            <w:tcBorders>
              <w:top w:val="single" w:sz="4" w:space="0" w:color="auto"/>
              <w:left w:val="single" w:sz="4" w:space="0" w:color="auto"/>
              <w:bottom w:val="single" w:sz="4" w:space="0" w:color="auto"/>
              <w:right w:val="single" w:sz="4" w:space="0" w:color="auto"/>
            </w:tcBorders>
            <w:vAlign w:val="center"/>
            <w:hideMark/>
          </w:tcPr>
          <w:p w:rsidR="00CC3BF8" w:rsidRPr="00CC3BF8" w:rsidRDefault="00CC3BF8" w:rsidP="00CC3BF8">
            <w:pPr>
              <w:widowControl w:val="0"/>
              <w:jc w:val="center"/>
              <w:rPr>
                <w:rFonts w:ascii="Garamond" w:eastAsia="Calibri" w:hAnsi="Garamond"/>
                <w:b/>
                <w:lang w:val="sq-AL"/>
              </w:rPr>
            </w:pPr>
            <w:r w:rsidRPr="00CC3BF8">
              <w:rPr>
                <w:rFonts w:ascii="Garamond" w:eastAsia="Calibri" w:hAnsi="Garamond"/>
                <w:b/>
                <w:lang w:val="sq-AL"/>
              </w:rPr>
              <w:t>Përshkrimi i mallrave NKM 2018</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1</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8504 21 00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Me kapacitet fuqie që nuk e kalon 650 kVA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2</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8504 22 10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Më tepër se 650 kVA por jo më tepër se 1 600 kVA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3</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8504 22 90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Më tepër se 1 600 kVA por jo më tepër se 10 000 kVA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4</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8504 23 00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Me kapacitet fuqie që e kalon 10 000 kVA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5</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8504 31 21</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Për matjen e tensionit</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6</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8504 31 29</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Të tjera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7</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8504 31 80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Të tjera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8504 32 00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Me kapacitet fuqie që e kalon 1 kVA por nuk e kalon 16 kVA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9</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8504 33 00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Me kapacitet fuqie që e kalon 16 kVA por nuk e kalon 500 kVA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10</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8504 34 00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Me kapacitet fuqie që e kalon 500 kVA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11</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8504 40 30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Times New Roman" w:hAnsi="Garamond"/>
                <w:spacing w:val="-4"/>
                <w:lang w:val="sq-AL"/>
              </w:rPr>
            </w:pPr>
            <w:r w:rsidRPr="00CC3BF8">
              <w:rPr>
                <w:rFonts w:ascii="Garamond" w:eastAsia="Times New Roman" w:hAnsi="Garamond"/>
                <w:spacing w:val="-4"/>
                <w:lang w:val="sq-AL"/>
              </w:rPr>
              <w:t xml:space="preserve">Të një lloji të përdorur me aparatet e telekomunikimit, makinat e përpunimit automatik të të dhënave dhe njësitë e tyre </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12</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8504 40 55</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Karikues akumulatorësh</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13</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8504 40 82</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Rektifikuesit</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14</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8504 40 84</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Times New Roman" w:hAnsi="Garamond"/>
                <w:spacing w:val="-4"/>
                <w:lang w:val="sq-AL"/>
              </w:rPr>
            </w:pPr>
            <w:r w:rsidRPr="00CC3BF8">
              <w:rPr>
                <w:rFonts w:ascii="Garamond" w:eastAsia="Times New Roman" w:hAnsi="Garamond"/>
                <w:spacing w:val="-4"/>
                <w:lang w:val="sq-AL"/>
              </w:rPr>
              <w:t>Që kanë një kapacitet të mbajtjes së energjisë jo më tepër se 7,5</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15</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8504 40 88</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Që kanë një kapacitet të mbajtjes së energjisë më tepër se 7,5</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16</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8504 40 90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Të tjera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17</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8504 50 20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Times New Roman" w:hAnsi="Garamond"/>
                <w:spacing w:val="-4"/>
                <w:lang w:val="sq-AL"/>
              </w:rPr>
            </w:pPr>
            <w:r w:rsidRPr="00CC3BF8">
              <w:rPr>
                <w:rFonts w:ascii="Garamond" w:eastAsia="Times New Roman" w:hAnsi="Garamond"/>
                <w:spacing w:val="-4"/>
                <w:lang w:val="sq-AL"/>
              </w:rPr>
              <w:t xml:space="preserve">Të një lloji të përdorur me aparatet e telekomunikimit dhe për sigurimin e energjisë për makinat e përpunimit automatik të të dhënave dhe njësitë e tyre </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18</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8504 50 95</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Të tjera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19</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8507 50 00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Nickel-metal hydride</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20</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8507 60 00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Lithium-ion</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21</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8507 80 00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Akumulatorë të tjerë</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22</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8534 00 90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Me elemente të tjera pasive</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23</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8536 10 10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Për një rrymë jo më tepër se 10 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24</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8536 10 50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Për një rrymë më tepër se 10 A por jo më tepër 63</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25</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8536 10 90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Të një rryme që i kalon 63 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26</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8536 20 10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Për një rrymë jo më tepër se 63 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27</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8536 20 90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Për një rrymë më tepër se 63 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lastRenderedPageBreak/>
              <w:t>28</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8536 30 10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Për një rrymë jo më tepër se 16 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29</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8536 30 30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Për një rrymë më tepër se 16 A por jo më tepër 125 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30</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8536 30 90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Times New Roman" w:hAnsi="Garamond"/>
                <w:spacing w:val="-4"/>
                <w:lang w:val="sq-AL"/>
              </w:rPr>
            </w:pPr>
            <w:r w:rsidRPr="00CC3BF8">
              <w:rPr>
                <w:rFonts w:ascii="Garamond" w:eastAsia="Times New Roman" w:hAnsi="Garamond"/>
                <w:spacing w:val="-4"/>
                <w:lang w:val="sq-AL"/>
              </w:rPr>
              <w:t>Të një rryme që i kalon 125 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31</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8537 10 10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Times New Roman" w:hAnsi="Garamond"/>
                <w:spacing w:val="-4"/>
                <w:lang w:val="sq-AL"/>
              </w:rPr>
            </w:pPr>
            <w:r w:rsidRPr="00CC3BF8">
              <w:rPr>
                <w:rFonts w:ascii="Garamond" w:eastAsia="Times New Roman" w:hAnsi="Garamond"/>
                <w:spacing w:val="-4"/>
                <w:lang w:val="sq-AL"/>
              </w:rPr>
              <w:t xml:space="preserve">Panelet e kontrolluara numerikisht me makina të përpunimit automatik të të dhënave të ndërtuara në të </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spacing w:val="-4"/>
                <w:lang w:val="sq-AL"/>
              </w:rPr>
            </w:pPr>
            <w:r w:rsidRPr="00CC3BF8">
              <w:rPr>
                <w:rFonts w:ascii="Garamond" w:eastAsia="Calibri" w:hAnsi="Garamond"/>
                <w:spacing w:val="-4"/>
                <w:lang w:val="sq-AL"/>
              </w:rPr>
              <w:t>32</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spacing w:val="-4"/>
                <w:lang w:val="sq-AL"/>
              </w:rPr>
            </w:pPr>
            <w:r w:rsidRPr="00CC3BF8">
              <w:rPr>
                <w:rFonts w:ascii="Garamond" w:eastAsia="Calibri" w:hAnsi="Garamond"/>
                <w:spacing w:val="-4"/>
                <w:lang w:val="sq-AL"/>
              </w:rPr>
              <w:t>8537 10 91</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Kontrolluesit e memories së programueshme</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33</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lang w:val="sq-AL"/>
              </w:rPr>
            </w:pPr>
            <w:r w:rsidRPr="00CC3BF8">
              <w:rPr>
                <w:rFonts w:ascii="Garamond" w:eastAsia="Calibri" w:hAnsi="Garamond"/>
                <w:lang w:val="sq-AL"/>
              </w:rPr>
              <w:t>8537 10 95</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 Pajisje për futjen e të dhënave të ndjeshme ndaj prekjes (të ashtuquajtura ekrane me prekje) pa mundësi të shfaqjes së pamjes, projektuar që të përfshihen në pajisjet me ekrane, të cilat funksionojnë me anë të zbulimit të pranisë dhe të vendndodhjes së një prekjeje në sipërfaqen e ekranit</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34</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lang w:val="sq-AL"/>
              </w:rPr>
            </w:pPr>
            <w:r w:rsidRPr="00CC3BF8">
              <w:rPr>
                <w:rFonts w:ascii="Garamond" w:eastAsia="Calibri" w:hAnsi="Garamond"/>
                <w:lang w:val="sq-AL"/>
              </w:rPr>
              <w:t>8537 10 98</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Të tjera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35</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lang w:val="sq-AL"/>
              </w:rPr>
            </w:pPr>
            <w:r w:rsidRPr="00CC3BF8">
              <w:rPr>
                <w:rFonts w:ascii="Garamond" w:eastAsia="Calibri" w:hAnsi="Garamond"/>
                <w:lang w:val="sq-AL"/>
              </w:rPr>
              <w:t>8537 20 91</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Times New Roman" w:hAnsi="Garamond"/>
                <w:lang w:val="sq-AL"/>
              </w:rPr>
            </w:pPr>
            <w:r w:rsidRPr="00CC3BF8">
              <w:rPr>
                <w:rFonts w:ascii="Garamond" w:eastAsia="Times New Roman" w:hAnsi="Garamond"/>
                <w:lang w:val="sq-AL"/>
              </w:rPr>
              <w:t>Për një voltazh me tepër se 1 000 V por jo me tepër se 72,5 kV</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36</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lang w:val="sq-AL"/>
              </w:rPr>
            </w:pPr>
            <w:r w:rsidRPr="00CC3BF8">
              <w:rPr>
                <w:rFonts w:ascii="Garamond" w:eastAsia="Calibri" w:hAnsi="Garamond"/>
                <w:lang w:val="sq-AL"/>
              </w:rPr>
              <w:t>8537 20 99</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Për një voltazh me tepër se 72,5 kV</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37</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lang w:val="sq-AL"/>
              </w:rPr>
            </w:pPr>
            <w:r w:rsidRPr="00CC3BF8">
              <w:rPr>
                <w:rFonts w:ascii="Garamond" w:eastAsia="Calibri" w:hAnsi="Garamond"/>
                <w:lang w:val="sq-AL"/>
              </w:rPr>
              <w:t>8538 10 00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Times New Roman" w:hAnsi="Garamond"/>
                <w:lang w:val="sq-AL"/>
              </w:rPr>
            </w:pPr>
            <w:r w:rsidRPr="00CC3BF8">
              <w:rPr>
                <w:rFonts w:ascii="Garamond" w:eastAsia="Times New Roman" w:hAnsi="Garamond"/>
                <w:lang w:val="sq-AL"/>
              </w:rPr>
              <w:t xml:space="preserve">Bordet, panelet, konsolat, tavolinat, kabineteve dhe bazave të tjera për mallrat e kreut 8537, jo të pajisura me aparaturat e tyre </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38</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lang w:val="sq-AL"/>
              </w:rPr>
            </w:pPr>
            <w:r w:rsidRPr="00CC3BF8">
              <w:rPr>
                <w:rFonts w:ascii="Garamond" w:eastAsia="Calibri" w:hAnsi="Garamond"/>
                <w:lang w:val="sq-AL"/>
              </w:rPr>
              <w:t>8538 90 11</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Montimet elektronike</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39</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lang w:val="sq-AL"/>
              </w:rPr>
            </w:pPr>
            <w:r w:rsidRPr="00CC3BF8">
              <w:rPr>
                <w:rFonts w:ascii="Garamond" w:eastAsia="Calibri" w:hAnsi="Garamond"/>
                <w:lang w:val="sq-AL"/>
              </w:rPr>
              <w:t>8538 90 19</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Të tjera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40</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lang w:val="sq-AL"/>
              </w:rPr>
            </w:pPr>
            <w:r w:rsidRPr="00CC3BF8">
              <w:rPr>
                <w:rFonts w:ascii="Garamond" w:eastAsia="Calibri" w:hAnsi="Garamond"/>
                <w:lang w:val="sq-AL"/>
              </w:rPr>
              <w:t>8538 90 91</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Montimet elektronike</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41</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8538 90 99</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Të tjera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42</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8541 10 00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Times New Roman" w:hAnsi="Garamond"/>
                <w:lang w:val="sq-AL"/>
              </w:rPr>
            </w:pPr>
            <w:r w:rsidRPr="00CC3BF8">
              <w:rPr>
                <w:rFonts w:ascii="Garamond" w:eastAsia="Times New Roman" w:hAnsi="Garamond"/>
                <w:lang w:val="sq-AL"/>
              </w:rPr>
              <w:t xml:space="preserve">Diodat, të ndryshme nga diodat e ndjeshme ndaj dritës ose emetuese të dritës (LED) </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43</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Times New Roman" w:hAnsi="Garamond"/>
                <w:lang w:val="sq-AL"/>
              </w:rPr>
            </w:pPr>
            <w:r w:rsidRPr="00CC3BF8">
              <w:rPr>
                <w:rFonts w:ascii="Garamond" w:eastAsia="Calibri" w:hAnsi="Garamond"/>
                <w:lang w:val="sq-AL"/>
              </w:rPr>
              <w:t>8541 30 00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Times New Roman" w:hAnsi="Garamond"/>
                <w:lang w:val="sq-AL"/>
              </w:rPr>
              <w:t>Tiristorët, diaket dhe triaket, të ndryshëm nga pajisjet të ndjeshme ndaj dritës</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44</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8541 40 10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spacing w:val="-4"/>
                <w:lang w:val="sq-AL"/>
              </w:rPr>
            </w:pPr>
            <w:r w:rsidRPr="00CC3BF8">
              <w:rPr>
                <w:rFonts w:ascii="Garamond" w:eastAsia="Calibri" w:hAnsi="Garamond"/>
                <w:spacing w:val="-4"/>
                <w:lang w:val="sq-AL"/>
              </w:rPr>
              <w:t>Diodat emetuese të dritës (LED), përfshirë dhe diodat lazer</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45</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8541 40 90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Të tjera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46</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8541 50 00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Pajisje të tjera gjysmëpërçuese</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47</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8541 60 00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Kristalet piezoelektrike të montuara</w:t>
            </w:r>
          </w:p>
        </w:tc>
      </w:tr>
      <w:tr w:rsidR="00CC3BF8" w:rsidRPr="00CC3BF8" w:rsidTr="00CC3BF8">
        <w:trPr>
          <w:jc w:val="center"/>
        </w:trPr>
        <w:tc>
          <w:tcPr>
            <w:tcW w:w="1317"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48</w:t>
            </w:r>
          </w:p>
        </w:tc>
        <w:tc>
          <w:tcPr>
            <w:tcW w:w="2204"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right"/>
              <w:rPr>
                <w:rFonts w:ascii="Garamond" w:eastAsia="Calibri" w:hAnsi="Garamond"/>
                <w:lang w:val="sq-AL"/>
              </w:rPr>
            </w:pPr>
            <w:r w:rsidRPr="00CC3BF8">
              <w:rPr>
                <w:rFonts w:ascii="Garamond" w:eastAsia="Calibri" w:hAnsi="Garamond"/>
                <w:lang w:val="sq-AL"/>
              </w:rPr>
              <w:t>9031 80 20</w:t>
            </w:r>
          </w:p>
        </w:tc>
        <w:tc>
          <w:tcPr>
            <w:tcW w:w="5659" w:type="dxa"/>
            <w:tcBorders>
              <w:top w:val="single" w:sz="4" w:space="0" w:color="auto"/>
              <w:left w:val="single" w:sz="4" w:space="0" w:color="auto"/>
              <w:bottom w:val="single" w:sz="4" w:space="0" w:color="auto"/>
              <w:right w:val="single" w:sz="4" w:space="0" w:color="auto"/>
            </w:tcBorders>
            <w:hideMark/>
          </w:tcPr>
          <w:p w:rsidR="00CC3BF8" w:rsidRPr="00CC3BF8" w:rsidRDefault="00CC3BF8" w:rsidP="00CC3BF8">
            <w:pPr>
              <w:widowControl w:val="0"/>
              <w:jc w:val="both"/>
              <w:rPr>
                <w:rFonts w:ascii="Garamond" w:eastAsia="Calibri" w:hAnsi="Garamond"/>
                <w:lang w:val="sq-AL"/>
              </w:rPr>
            </w:pPr>
            <w:r w:rsidRPr="00CC3BF8">
              <w:rPr>
                <w:rFonts w:ascii="Garamond" w:eastAsia="Calibri" w:hAnsi="Garamond"/>
                <w:lang w:val="sq-AL"/>
              </w:rPr>
              <w:t>Për matjen apo kontrollin e madhësive gjeometrike</w:t>
            </w:r>
          </w:p>
        </w:tc>
      </w:tr>
    </w:tbl>
    <w:p w:rsidR="00CC3BF8" w:rsidRPr="00CC3BF8" w:rsidRDefault="00CC3BF8" w:rsidP="00CC3BF8">
      <w:pPr>
        <w:widowControl w:val="0"/>
        <w:spacing w:after="0" w:line="240" w:lineRule="auto"/>
        <w:jc w:val="both"/>
        <w:outlineLvl w:val="2"/>
        <w:rPr>
          <w:rFonts w:ascii="Garamond" w:eastAsia="MS Mincho" w:hAnsi="Garamond" w:cs="CG Times"/>
          <w:b/>
          <w:bCs/>
          <w:sz w:val="24"/>
          <w:lang w:val="sq-AL"/>
        </w:rPr>
      </w:pPr>
    </w:p>
    <w:p w:rsidR="00CC3BF8" w:rsidRPr="00CC3BF8" w:rsidRDefault="00CC3BF8" w:rsidP="00CC3BF8">
      <w:pPr>
        <w:spacing w:after="0" w:line="240" w:lineRule="auto"/>
        <w:rPr>
          <w:rFonts w:ascii="Garamond" w:eastAsia="MS Mincho" w:hAnsi="Garamond" w:cs="CG Times"/>
          <w:b/>
          <w:bCs/>
          <w:sz w:val="24"/>
          <w:lang w:val="sq-AL"/>
        </w:rPr>
        <w:sectPr w:rsidR="00CC3BF8" w:rsidRPr="00CC3BF8" w:rsidSect="00CC3BF8">
          <w:type w:val="continuous"/>
          <w:pgSz w:w="11907" w:h="16840"/>
          <w:pgMar w:top="720" w:right="1134" w:bottom="720" w:left="1134" w:header="851" w:footer="851" w:gutter="0"/>
          <w:cols w:space="720"/>
        </w:sectPr>
      </w:pPr>
    </w:p>
    <w:p w:rsidR="00BC4ECB" w:rsidRDefault="00BC4ECB" w:rsidP="00CC3BF8"/>
    <w:sectPr w:rsidR="00BC4ECB" w:rsidSect="00CC3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9DD"/>
    <w:rsid w:val="00BC4ECB"/>
    <w:rsid w:val="00CC3BF8"/>
    <w:rsid w:val="00E80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DF4834-BD95-4E1D-96F9-0730B34EF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3BF8"/>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57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1168</Words>
  <Characters>6662</Characters>
  <Application>Microsoft Office Word</Application>
  <DocSecurity>0</DocSecurity>
  <Lines>55</Lines>
  <Paragraphs>15</Paragraphs>
  <ScaleCrop>false</ScaleCrop>
  <Company/>
  <LinksUpToDate>false</LinksUpToDate>
  <CharactersWithSpaces>7815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2018-04-27T10:59:00Z</dcterms:created>
  <dcterms:modified xsi:type="dcterms:W3CDTF">2018-04-27T11:00:00Z</dcterms:modified>
</cp:coreProperties>
</file>