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739" w:rsidRDefault="00F44739" w:rsidP="00F44739">
      <w:pPr>
        <w:pStyle w:val="NeniTitull"/>
        <w:rPr>
          <w:spacing w:val="-4"/>
          <w:lang w:val="sq-AL"/>
        </w:rPr>
      </w:pPr>
      <w:bookmarkStart w:id="0" w:name="_Toc512862809"/>
      <w:r>
        <w:rPr>
          <w:spacing w:val="-4"/>
          <w:lang w:val="sq-AL"/>
        </w:rPr>
        <w:t>VENDIM</w:t>
      </w:r>
      <w:bookmarkEnd w:id="0"/>
    </w:p>
    <w:p w:rsidR="00F44739" w:rsidRDefault="00F44739" w:rsidP="00F44739">
      <w:pPr>
        <w:pStyle w:val="NeniTitull"/>
        <w:rPr>
          <w:spacing w:val="-4"/>
          <w:lang w:val="sq-AL"/>
        </w:rPr>
      </w:pPr>
      <w:bookmarkStart w:id="1" w:name="_Toc512862810"/>
      <w:r>
        <w:rPr>
          <w:spacing w:val="-4"/>
          <w:lang w:val="sq-AL"/>
        </w:rPr>
        <w:t>Nr. 222, datë 26.4.2018</w:t>
      </w:r>
      <w:bookmarkEnd w:id="1"/>
    </w:p>
    <w:p w:rsidR="00F44739" w:rsidRDefault="00F44739" w:rsidP="00F44739">
      <w:pPr>
        <w:pStyle w:val="Hapesira7"/>
        <w:rPr>
          <w:spacing w:val="-4"/>
          <w:sz w:val="10"/>
          <w:lang w:val="sq-AL"/>
        </w:rPr>
      </w:pPr>
    </w:p>
    <w:p w:rsidR="00F44739" w:rsidRDefault="00F44739" w:rsidP="00F44739">
      <w:pPr>
        <w:pStyle w:val="NeniTitull"/>
        <w:rPr>
          <w:spacing w:val="-4"/>
          <w:lang w:val="sq-AL"/>
        </w:rPr>
      </w:pPr>
      <w:bookmarkStart w:id="2" w:name="_Toc512862811"/>
      <w:r>
        <w:rPr>
          <w:spacing w:val="-4"/>
          <w:lang w:val="sq-AL"/>
        </w:rPr>
        <w:t>PËR MIRATIMIN E LISTËS</w:t>
      </w:r>
      <w:bookmarkEnd w:id="2"/>
      <w:r>
        <w:rPr>
          <w:spacing w:val="-4"/>
          <w:lang w:val="sq-AL"/>
        </w:rPr>
        <w:t xml:space="preserve"> </w:t>
      </w:r>
    </w:p>
    <w:p w:rsidR="00F44739" w:rsidRDefault="00F44739" w:rsidP="00F44739">
      <w:pPr>
        <w:pStyle w:val="NeniTitull"/>
        <w:rPr>
          <w:spacing w:val="-4"/>
          <w:lang w:val="sq-AL"/>
        </w:rPr>
      </w:pPr>
      <w:bookmarkStart w:id="3" w:name="_Toc512862812"/>
      <w:r>
        <w:rPr>
          <w:spacing w:val="-4"/>
          <w:lang w:val="sq-AL"/>
        </w:rPr>
        <w:t>SË INFRASTRUKTURAVE KRITIKE</w:t>
      </w:r>
      <w:bookmarkEnd w:id="3"/>
      <w:r>
        <w:rPr>
          <w:spacing w:val="-4"/>
          <w:lang w:val="sq-AL"/>
        </w:rPr>
        <w:t xml:space="preserve">  </w:t>
      </w:r>
    </w:p>
    <w:p w:rsidR="00F44739" w:rsidRDefault="00F44739" w:rsidP="00F44739">
      <w:pPr>
        <w:pStyle w:val="NeniTitull"/>
        <w:rPr>
          <w:spacing w:val="-4"/>
          <w:lang w:val="sq-AL"/>
        </w:rPr>
      </w:pPr>
      <w:bookmarkStart w:id="4" w:name="_Toc512862813"/>
      <w:r>
        <w:rPr>
          <w:spacing w:val="-4"/>
          <w:lang w:val="sq-AL"/>
        </w:rPr>
        <w:t>TË INFORMACIONIT DHE TË LISTËS SË INFRASTRUKTURAVE TË RËNDËSISHME TË INFORMACIONIT</w:t>
      </w:r>
      <w:bookmarkEnd w:id="4"/>
      <w:r>
        <w:rPr>
          <w:spacing w:val="-4"/>
          <w:lang w:val="sq-AL"/>
        </w:rPr>
        <w:t xml:space="preserve"> </w:t>
      </w:r>
    </w:p>
    <w:p w:rsidR="00F44739" w:rsidRDefault="00F44739" w:rsidP="00F44739">
      <w:pPr>
        <w:pStyle w:val="Hapesira7"/>
        <w:rPr>
          <w:spacing w:val="-4"/>
          <w:sz w:val="10"/>
          <w:lang w:val="sq-AL"/>
        </w:rPr>
      </w:pPr>
    </w:p>
    <w:p w:rsidR="00F44739" w:rsidRDefault="00F44739" w:rsidP="00F44739">
      <w:pPr>
        <w:pStyle w:val="Paragrafi"/>
        <w:rPr>
          <w:spacing w:val="-4"/>
          <w:lang w:val="sq-AL"/>
        </w:rPr>
      </w:pPr>
      <w:r>
        <w:rPr>
          <w:spacing w:val="-4"/>
          <w:lang w:val="sq-AL"/>
        </w:rPr>
        <w:t>Në mbështetje të nenit 100 të Kushtetutës dhe të pikës 2, të nenit 6, të ligjit nr. 2/2017, “Për sigurinë kibernetike”, me propozimin e Kryeministrit, Këshilli i Ministrave</w:t>
      </w:r>
    </w:p>
    <w:p w:rsidR="00F44739" w:rsidRDefault="00F44739" w:rsidP="00F44739">
      <w:pPr>
        <w:pStyle w:val="Hapesira7"/>
        <w:rPr>
          <w:spacing w:val="-4"/>
          <w:sz w:val="10"/>
          <w:lang w:val="sq-AL"/>
        </w:rPr>
      </w:pPr>
    </w:p>
    <w:p w:rsidR="00F44739" w:rsidRDefault="00F44739" w:rsidP="00F44739">
      <w:pPr>
        <w:pStyle w:val="NeniNr"/>
        <w:rPr>
          <w:spacing w:val="-4"/>
          <w:lang w:val="sq-AL"/>
        </w:rPr>
      </w:pPr>
      <w:r>
        <w:rPr>
          <w:rStyle w:val="NeniNrChar"/>
          <w:spacing w:val="-4"/>
          <w:lang w:val="sq-AL"/>
        </w:rPr>
        <w:t>V</w:t>
      </w:r>
      <w:r>
        <w:rPr>
          <w:spacing w:val="-4"/>
          <w:lang w:val="sq-AL"/>
        </w:rPr>
        <w:t>ENDOSI:</w:t>
      </w:r>
    </w:p>
    <w:p w:rsidR="00F44739" w:rsidRDefault="00F44739" w:rsidP="00F44739">
      <w:pPr>
        <w:pStyle w:val="Hapesira7"/>
        <w:rPr>
          <w:sz w:val="10"/>
          <w:lang w:val="sq-AL"/>
        </w:rPr>
      </w:pPr>
    </w:p>
    <w:p w:rsidR="00F44739" w:rsidRDefault="00F44739" w:rsidP="00F44739">
      <w:pPr>
        <w:pStyle w:val="Paragrafi"/>
        <w:rPr>
          <w:spacing w:val="-4"/>
          <w:lang w:val="sq-AL"/>
        </w:rPr>
      </w:pPr>
      <w:r>
        <w:rPr>
          <w:spacing w:val="-4"/>
          <w:lang w:val="sq-AL"/>
        </w:rPr>
        <w:t>1. Miratimin e listës së infrastrukturave kritike të informacionit, sipas  aneksit nr. 1, që i bashkëlidhet këtij vendimi dhe është pjesë përbërëse e tij.</w:t>
      </w:r>
    </w:p>
    <w:p w:rsidR="00F44739" w:rsidRDefault="00F44739" w:rsidP="00F44739">
      <w:pPr>
        <w:pStyle w:val="Paragrafi"/>
        <w:rPr>
          <w:spacing w:val="-4"/>
          <w:lang w:val="sq-AL"/>
        </w:rPr>
      </w:pPr>
      <w:r>
        <w:rPr>
          <w:spacing w:val="-4"/>
          <w:lang w:val="sq-AL"/>
        </w:rPr>
        <w:t>2. Miratimin e listës së infrastrukturave të rëndësishme të informacionit, sipas aneksit nr. 2, që i bashkëlidhet këtij vendimi dhe është pjesë përbërëse e tij.</w:t>
      </w:r>
    </w:p>
    <w:p w:rsidR="00F44739" w:rsidRDefault="00F44739" w:rsidP="00F44739">
      <w:pPr>
        <w:pStyle w:val="Paragrafi"/>
        <w:rPr>
          <w:spacing w:val="-4"/>
          <w:lang w:val="sq-AL"/>
        </w:rPr>
      </w:pPr>
      <w:r>
        <w:rPr>
          <w:spacing w:val="-4"/>
          <w:lang w:val="sq-AL"/>
        </w:rPr>
        <w:t>3. Operatorët e infrastrukturave kritike dhe të rëndësishme të informacionit janë të detyruar të zbatojnë, të paktën, nivelet minimale të kërkesave të sigurisë së informacionit, të miratuara nga Autoriteti Kombëtar për Certifikimin Elektronik dhe Sigurinë Kibernetike, si dhe të përcaktojnë, brenda 15 (pesëmbëdhjetë) ditëve nga hyrja në fuqi e këtij vendimi, pikën e kontaktit, person përgjegjës për infrastrukturat kritike dhe të rëndësishme të informacionit, dhe t’ia përcjellin atë Autoritetit Kombëtar për Certifikimin Elektronik dhe Sigurinë Kibernetike.</w:t>
      </w:r>
    </w:p>
    <w:p w:rsidR="00F44739" w:rsidRDefault="00F44739" w:rsidP="00F44739">
      <w:pPr>
        <w:pStyle w:val="Paragrafi"/>
        <w:rPr>
          <w:spacing w:val="-4"/>
          <w:lang w:val="sq-AL"/>
        </w:rPr>
      </w:pPr>
      <w:r>
        <w:rPr>
          <w:spacing w:val="-4"/>
          <w:lang w:val="sq-AL"/>
        </w:rPr>
        <w:t>4. Autoriteti Kombëtar për Certifikimin Elektronik dhe Sigurinë Kibernetike monitoron zbatimin e masave të sigurisë nga operatorët e infrastrukturave kritike dhe të rëndësishme të informacionit nëpërmjet procedurave të kontrollit.</w:t>
      </w:r>
    </w:p>
    <w:p w:rsidR="00F44739" w:rsidRDefault="00F44739" w:rsidP="00F44739">
      <w:pPr>
        <w:pStyle w:val="Paragrafi"/>
        <w:rPr>
          <w:spacing w:val="-4"/>
          <w:lang w:val="sq-AL"/>
        </w:rPr>
      </w:pPr>
      <w:r>
        <w:rPr>
          <w:spacing w:val="-4"/>
          <w:lang w:val="sq-AL"/>
        </w:rPr>
        <w:t xml:space="preserve">5. Listat e infrastrukturave kritike dhe të rëndësishme të informacionit përditësohen, të paktën një herë në dy vjet, dhe auditohen (ISA- </w:t>
      </w:r>
      <w:r>
        <w:rPr>
          <w:i/>
          <w:spacing w:val="-4"/>
          <w:lang w:val="sq-AL"/>
        </w:rPr>
        <w:t>Information System Audit</w:t>
      </w:r>
      <w:r>
        <w:rPr>
          <w:spacing w:val="-4"/>
          <w:lang w:val="sq-AL"/>
        </w:rPr>
        <w:t>), të paktën dy herë në vit.</w:t>
      </w:r>
    </w:p>
    <w:p w:rsidR="00F44739" w:rsidRDefault="00F44739" w:rsidP="00F44739">
      <w:pPr>
        <w:pStyle w:val="Paragrafi"/>
        <w:rPr>
          <w:spacing w:val="-6"/>
          <w:lang w:val="sq-AL"/>
        </w:rPr>
      </w:pPr>
      <w:r>
        <w:rPr>
          <w:spacing w:val="-6"/>
          <w:lang w:val="sq-AL"/>
        </w:rPr>
        <w:t>6. Ngarkohen Autoriteti Kombëtar për Certi-fikimin Elektronik dhe Sigurinë Kibernetike dhe operatorët e infrastrukturave kritike dhe të rëndë-sishme të informacionit për zbatimin e këtij vendimi.</w:t>
      </w:r>
    </w:p>
    <w:p w:rsidR="00F44739" w:rsidRDefault="00F44739" w:rsidP="00F44739">
      <w:pPr>
        <w:pStyle w:val="Paragrafi"/>
        <w:rPr>
          <w:lang w:val="sq-AL"/>
        </w:rPr>
      </w:pPr>
      <w:r>
        <w:rPr>
          <w:spacing w:val="-4"/>
          <w:lang w:val="sq-AL"/>
        </w:rPr>
        <w:t>Ky vendim hyn në fuqi pas botimit në</w:t>
      </w:r>
      <w:r>
        <w:rPr>
          <w:lang w:val="sq-AL"/>
        </w:rPr>
        <w:t xml:space="preserve"> Fletoren Zyrtare.</w:t>
      </w:r>
    </w:p>
    <w:p w:rsidR="00F44739" w:rsidRDefault="00F44739" w:rsidP="00F44739">
      <w:pPr>
        <w:pStyle w:val="Paragrafi"/>
        <w:jc w:val="right"/>
        <w:rPr>
          <w:lang w:val="sq-AL"/>
        </w:rPr>
      </w:pPr>
      <w:r>
        <w:rPr>
          <w:lang w:val="sq-AL"/>
        </w:rPr>
        <w:t>ZËVENDËSKRYEMINISTRI</w:t>
      </w:r>
    </w:p>
    <w:p w:rsidR="00F44739" w:rsidRDefault="00F44739" w:rsidP="00F44739">
      <w:pPr>
        <w:pStyle w:val="Paragrafi"/>
        <w:jc w:val="right"/>
        <w:rPr>
          <w:b/>
          <w:lang w:val="sq-AL"/>
        </w:rPr>
      </w:pPr>
      <w:r>
        <w:rPr>
          <w:b/>
          <w:lang w:val="sq-AL"/>
        </w:rPr>
        <w:t>Senida Mesi</w:t>
      </w: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pPr>
    </w:p>
    <w:p w:rsidR="00F44739" w:rsidRDefault="00F44739" w:rsidP="00F44739">
      <w:pPr>
        <w:spacing w:after="0" w:line="240" w:lineRule="auto"/>
        <w:ind w:firstLine="0"/>
        <w:jc w:val="left"/>
        <w:rPr>
          <w:rFonts w:ascii="Garamond" w:eastAsia="Times New Roman" w:hAnsi="Garamond" w:cs="CG Times"/>
          <w:spacing w:val="-4"/>
          <w:sz w:val="24"/>
          <w:lang w:val="sq-AL" w:eastAsia="en-GB"/>
        </w:rPr>
        <w:sectPr w:rsidR="00F44739" w:rsidSect="00F44739">
          <w:pgSz w:w="11907" w:h="16840"/>
          <w:pgMar w:top="720" w:right="1134" w:bottom="720" w:left="1134" w:header="851" w:footer="851" w:gutter="0"/>
          <w:cols w:space="454"/>
        </w:sectPr>
      </w:pPr>
    </w:p>
    <w:p w:rsidR="00F44739" w:rsidRDefault="00F44739" w:rsidP="00F44739">
      <w:pPr>
        <w:spacing w:after="0" w:line="240" w:lineRule="auto"/>
        <w:ind w:firstLine="0"/>
        <w:jc w:val="center"/>
        <w:rPr>
          <w:rFonts w:ascii="Garamond" w:hAnsi="Garamond"/>
          <w:sz w:val="24"/>
          <w:szCs w:val="24"/>
          <w:lang w:val="sq-AL"/>
        </w:rPr>
      </w:pPr>
      <w:r>
        <w:rPr>
          <w:rFonts w:ascii="Garamond" w:hAnsi="Garamond"/>
          <w:sz w:val="24"/>
          <w:szCs w:val="24"/>
          <w:lang w:val="sq-AL"/>
        </w:rPr>
        <w:lastRenderedPageBreak/>
        <w:t>ANEKSI NR. 1</w:t>
      </w:r>
    </w:p>
    <w:p w:rsidR="00F44739" w:rsidRDefault="00F44739" w:rsidP="00F44739">
      <w:pPr>
        <w:pStyle w:val="NeniNr"/>
        <w:rPr>
          <w:lang w:val="sq-AL"/>
        </w:rPr>
      </w:pPr>
      <w:r>
        <w:rPr>
          <w:lang w:val="sq-AL"/>
        </w:rPr>
        <w:t>LISTA E INFRASTRUKTURAVE KRITIKE TË INFORMACIONIT</w:t>
      </w:r>
    </w:p>
    <w:tbl>
      <w:tblPr>
        <w:tblStyle w:val="TableGridLight1"/>
        <w:tblpPr w:leftFromText="180" w:rightFromText="180" w:vertAnchor="text" w:horzAnchor="margin" w:tblpXSpec="center" w:tblpY="279"/>
        <w:tblW w:w="10343" w:type="dxa"/>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64"/>
        <w:gridCol w:w="2122"/>
        <w:gridCol w:w="2485"/>
        <w:gridCol w:w="2426"/>
        <w:gridCol w:w="1646"/>
      </w:tblGrid>
      <w:tr w:rsidR="00F44739" w:rsidTr="00F44739">
        <w:trPr>
          <w:trHeight w:val="645"/>
        </w:trPr>
        <w:tc>
          <w:tcPr>
            <w:tcW w:w="16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b/>
                <w:sz w:val="20"/>
                <w:szCs w:val="20"/>
              </w:rPr>
            </w:pPr>
            <w:r>
              <w:rPr>
                <w:rFonts w:ascii="Garamond" w:hAnsi="Garamond"/>
                <w:b/>
                <w:sz w:val="20"/>
                <w:szCs w:val="20"/>
              </w:rPr>
              <w:t>Sektori</w:t>
            </w:r>
          </w:p>
        </w:tc>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b/>
                <w:sz w:val="20"/>
                <w:szCs w:val="20"/>
              </w:rPr>
            </w:pPr>
            <w:r>
              <w:rPr>
                <w:rFonts w:ascii="Garamond" w:hAnsi="Garamond"/>
                <w:b/>
                <w:sz w:val="20"/>
                <w:szCs w:val="20"/>
              </w:rPr>
              <w:t>Nënsektori</w:t>
            </w: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b/>
                <w:sz w:val="20"/>
                <w:szCs w:val="20"/>
              </w:rPr>
            </w:pPr>
            <w:r>
              <w:rPr>
                <w:rFonts w:ascii="Garamond" w:hAnsi="Garamond"/>
                <w:b/>
                <w:sz w:val="20"/>
                <w:szCs w:val="20"/>
              </w:rPr>
              <w:t>Operatori administrues</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b/>
                <w:sz w:val="20"/>
                <w:szCs w:val="20"/>
              </w:rPr>
            </w:pPr>
            <w:r>
              <w:rPr>
                <w:rFonts w:ascii="Garamond" w:hAnsi="Garamond"/>
                <w:b/>
                <w:sz w:val="20"/>
                <w:szCs w:val="20"/>
              </w:rPr>
              <w:t>Sistemi kritik</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b/>
                <w:sz w:val="20"/>
                <w:szCs w:val="20"/>
              </w:rPr>
            </w:pPr>
            <w:r>
              <w:rPr>
                <w:rFonts w:ascii="Garamond" w:hAnsi="Garamond"/>
                <w:b/>
                <w:sz w:val="20"/>
                <w:szCs w:val="20"/>
              </w:rPr>
              <w:t>Rrjeti kritik</w:t>
            </w:r>
          </w:p>
        </w:tc>
      </w:tr>
      <w:tr w:rsidR="00F44739" w:rsidTr="00F44739">
        <w:trPr>
          <w:trHeight w:val="217"/>
        </w:trPr>
        <w:tc>
          <w:tcPr>
            <w:tcW w:w="166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Energjia</w:t>
            </w:r>
          </w:p>
        </w:tc>
        <w:tc>
          <w:tcPr>
            <w:tcW w:w="212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Elektriciteti</w:t>
            </w: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Operatori i Shpërndarjes së Energjisë Elektrike</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Sistemi i monitorimit dhe   komandimit SCADA</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Rrjeti midis godinës qendrore dhe pikave të komandimit</w:t>
            </w:r>
          </w:p>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67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Operatori i Sistemit të Transmetimit</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r>
              <w:rPr>
                <w:rFonts w:ascii="Garamond" w:hAnsi="Garamond"/>
                <w:color w:val="000000" w:themeColor="text1"/>
                <w:sz w:val="20"/>
                <w:szCs w:val="20"/>
              </w:rPr>
              <w:t>Sistemi SCADA</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699"/>
        </w:trPr>
        <w:tc>
          <w:tcPr>
            <w:tcW w:w="166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Shëndetësia</w:t>
            </w:r>
          </w:p>
        </w:tc>
        <w:tc>
          <w:tcPr>
            <w:tcW w:w="212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w:t>
            </w: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Ministria e Shëndetësisë dhe Mbrojtjes Sociale</w:t>
            </w: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left"/>
              <w:rPr>
                <w:rFonts w:ascii="Garamond" w:hAnsi="Garamond"/>
                <w:sz w:val="20"/>
                <w:szCs w:val="20"/>
              </w:rPr>
            </w:pPr>
          </w:p>
          <w:p w:rsidR="00F44739" w:rsidRDefault="00F44739">
            <w:pPr>
              <w:widowControl w:val="0"/>
              <w:spacing w:after="0" w:line="240" w:lineRule="auto"/>
              <w:ind w:firstLine="0"/>
              <w:jc w:val="left"/>
              <w:rPr>
                <w:rFonts w:ascii="Garamond" w:hAnsi="Garamond"/>
                <w:sz w:val="20"/>
                <w:szCs w:val="20"/>
              </w:rPr>
            </w:pPr>
          </w:p>
          <w:p w:rsidR="00F44739" w:rsidRDefault="00F44739">
            <w:pPr>
              <w:widowControl w:val="0"/>
              <w:spacing w:after="0" w:line="240" w:lineRule="auto"/>
              <w:ind w:firstLine="0"/>
              <w:jc w:val="left"/>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regjistrimit dhe kontrollit të barnave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559"/>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ndihmës ekonomike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55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pagesave të aftësisë së kufizuar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419"/>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shërbimeve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836"/>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Fondi  i Sigurimit të Detyrueshëm të Kujdesit Shëndetësor</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informatik  i regjistrimit të recetave elektronike në RSH</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27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nënshkrimit elektronik për qytetarët dhe profesionistët e shërbimeve të shëndetësisë elektronike (PKI)</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469"/>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Regjistri elektronik  i banorëve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352"/>
        </w:trPr>
        <w:tc>
          <w:tcPr>
            <w:tcW w:w="166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Financiar</w:t>
            </w:r>
          </w:p>
        </w:tc>
        <w:tc>
          <w:tcPr>
            <w:tcW w:w="212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Bankar</w:t>
            </w: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e Shqipërisë</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pagesave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6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i/>
                <w:sz w:val="20"/>
                <w:szCs w:val="20"/>
              </w:rPr>
              <w:t>Intesa Sanpaolo Bank</w:t>
            </w:r>
            <w:r>
              <w:rPr>
                <w:rFonts w:ascii="Garamond" w:hAnsi="Garamond"/>
                <w:sz w:val="20"/>
                <w:szCs w:val="20"/>
              </w:rPr>
              <w:t xml:space="preserve"> - Shqipëri</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i/>
                <w:sz w:val="20"/>
                <w:szCs w:val="20"/>
              </w:rPr>
            </w:pPr>
            <w:r>
              <w:rPr>
                <w:rFonts w:ascii="Garamond" w:hAnsi="Garamond"/>
                <w:i/>
                <w:sz w:val="20"/>
                <w:szCs w:val="20"/>
              </w:rPr>
              <w:t>FlexCube Core Banking System</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Kombëtare Tregtare</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Qendror Bankar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Credins</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i/>
                <w:sz w:val="20"/>
                <w:szCs w:val="20"/>
              </w:rPr>
            </w:pPr>
            <w:r>
              <w:rPr>
                <w:rFonts w:ascii="Garamond" w:hAnsi="Garamond"/>
                <w:i/>
                <w:sz w:val="20"/>
                <w:szCs w:val="20"/>
              </w:rPr>
              <w:t>Core Banking System</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 xml:space="preserve">Banka </w:t>
            </w:r>
            <w:r>
              <w:rPr>
                <w:rFonts w:ascii="Garamond" w:hAnsi="Garamond"/>
                <w:i/>
                <w:sz w:val="20"/>
                <w:szCs w:val="20"/>
              </w:rPr>
              <w:t>Societe General</w:t>
            </w:r>
            <w:r>
              <w:rPr>
                <w:rFonts w:ascii="Garamond" w:hAnsi="Garamond"/>
                <w:sz w:val="20"/>
                <w:szCs w:val="20"/>
              </w:rPr>
              <w:t xml:space="preserve"> Albania</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i/>
                <w:sz w:val="20"/>
                <w:szCs w:val="20"/>
              </w:rPr>
            </w:pPr>
            <w:r>
              <w:rPr>
                <w:rFonts w:ascii="Garamond" w:hAnsi="Garamond"/>
                <w:i/>
                <w:sz w:val="20"/>
                <w:szCs w:val="20"/>
              </w:rPr>
              <w:t>Core Banking System</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Tirana</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Qendror Bankar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i/>
                <w:sz w:val="20"/>
                <w:szCs w:val="20"/>
              </w:rPr>
              <w:t>Alpha</w:t>
            </w:r>
            <w:r>
              <w:rPr>
                <w:rFonts w:ascii="Garamond" w:hAnsi="Garamond"/>
                <w:sz w:val="20"/>
                <w:szCs w:val="20"/>
              </w:rPr>
              <w:t xml:space="preserve"> Bank</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Qendror Bankar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Amerikane e Investimeve</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Qendror Bankar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NBG</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Bankar Bazë</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ProCredit Bank</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Qendror Bankar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e Bashkuar e Shqipërisë</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Qendror Bankar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360"/>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Banka e Kreditit e Shqipërisë</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GOBANKING</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left"/>
              <w:rPr>
                <w:rFonts w:ascii="Garamond" w:hAnsi="Garamond"/>
                <w:sz w:val="20"/>
                <w:szCs w:val="20"/>
              </w:rPr>
            </w:pPr>
            <w:r>
              <w:rPr>
                <w:rFonts w:ascii="Garamond" w:hAnsi="Garamond"/>
                <w:sz w:val="20"/>
                <w:szCs w:val="20"/>
              </w:rPr>
              <w:t>WAN,LAN</w:t>
            </w:r>
          </w:p>
        </w:tc>
      </w:tr>
      <w:tr w:rsidR="00F44739" w:rsidTr="00F44739">
        <w:trPr>
          <w:trHeight w:val="56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2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Tatimet</w:t>
            </w: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Drejtoria e Përgjithshme e Tatimeve</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administratës tatimore, sistemi  i tatimpaguesve (e-Tax)</w:t>
            </w:r>
          </w:p>
        </w:tc>
        <w:tc>
          <w:tcPr>
            <w:tcW w:w="164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381"/>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pajisjeve fiskale</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83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Ministria e Financave dhe Ekonomisë</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Informatik Qeveritar Financiar (Sistemi  i Thesarit)</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670"/>
        </w:trPr>
        <w:tc>
          <w:tcPr>
            <w:tcW w:w="16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Transporti</w:t>
            </w:r>
          </w:p>
        </w:tc>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Transporti Ajror</w:t>
            </w: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i/>
                <w:sz w:val="20"/>
                <w:szCs w:val="20"/>
              </w:rPr>
              <w:t>“Albcontrol”</w:t>
            </w:r>
            <w:r>
              <w:rPr>
                <w:rFonts w:ascii="Garamond" w:hAnsi="Garamond"/>
                <w:sz w:val="20"/>
                <w:szCs w:val="20"/>
              </w:rPr>
              <w:t>, sh.a.</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Kombëtar i Shërbimit të Navigimit Ajror</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670"/>
        </w:trPr>
        <w:tc>
          <w:tcPr>
            <w:tcW w:w="166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p>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Qeveritar</w:t>
            </w:r>
          </w:p>
        </w:tc>
        <w:tc>
          <w:tcPr>
            <w:tcW w:w="212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lastRenderedPageBreak/>
              <w:t>-</w:t>
            </w: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Ministria e Mbrojtjes/Shtabi  i Përgjithshëm i Forcave të Armatosura</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integruar i vëzhgimit të hapësirës detare (SIHVD)</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670"/>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Pikat e ritransmetimit (PRT) të sistemeve radiofonike të FA</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Ministria e Mbrojtjes</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Mjediset e transmetimit të zotëruara nga AKSHI, të cilat sigurojnë komunikim dhe transmetim të dhënash</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Qendra e ndërlidhjes e ndërtuar në Komandat e Forcave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Qendra e ndërlidhjes e MM/SHPFA</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integruar i vëzhgimit të hapësirës ajrore (SIVHA)</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Agjencia e Zhvillimit të Territorit</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multifunksional i qendërzuar i lejeve të ndërtimit</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Drejtoria e Përgjithshme e Pronësisë Industriale</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administrimit të pronësisë industriale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Agjencia Kombëtare e Shoqërisë së Informacionit</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Platforma qeveritare e ndërveprimit</w:t>
            </w:r>
          </w:p>
        </w:tc>
        <w:tc>
          <w:tcPr>
            <w:tcW w:w="164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Infrastruktura e rrjetit GovNet</w:t>
            </w: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 xml:space="preserve">Portali qeveritar </w:t>
            </w:r>
            <w:r>
              <w:rPr>
                <w:rFonts w:ascii="Garamond" w:hAnsi="Garamond"/>
                <w:i/>
                <w:sz w:val="20"/>
                <w:szCs w:val="20"/>
              </w:rPr>
              <w:t>e-Albania</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Infrastruktura e Çelësave Publik (PKI)</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Qendra Kombëtare e Biznesit</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Regjistri i biznesit (e-regjistër)</w:t>
            </w:r>
          </w:p>
        </w:tc>
        <w:tc>
          <w:tcPr>
            <w:tcW w:w="164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Regjistri i lejeve licencave dhe autorizimeve (</w:t>
            </w:r>
            <w:r>
              <w:rPr>
                <w:rFonts w:ascii="Garamond" w:hAnsi="Garamond"/>
                <w:i/>
                <w:sz w:val="20"/>
                <w:szCs w:val="20"/>
              </w:rPr>
              <w:t>e-licencing)</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14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Drejtoria e Përgjithshme e Gjendjes Civile</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Regjistri Kombëtar i Adresave</w:t>
            </w:r>
          </w:p>
        </w:tc>
        <w:tc>
          <w:tcPr>
            <w:tcW w:w="164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Regjistri Kombëtar i Gjendjes Civile</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50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Zyra e Regjistrimit të Pasurive të Paluajtshme</w:t>
            </w:r>
          </w:p>
          <w:p w:rsidR="00F44739" w:rsidRDefault="00F44739">
            <w:pPr>
              <w:widowControl w:val="0"/>
              <w:spacing w:after="0" w:line="240" w:lineRule="auto"/>
              <w:ind w:firstLine="0"/>
              <w:jc w:val="center"/>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regjistrimit të pasurive të paluajtshme (ALBSReP)</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50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Qendra e Shërbimeve Arsimore</w:t>
            </w:r>
          </w:p>
          <w:p w:rsidR="00F44739" w:rsidRDefault="00F44739">
            <w:pPr>
              <w:widowControl w:val="0"/>
              <w:spacing w:after="0" w:line="240" w:lineRule="auto"/>
              <w:ind w:firstLine="0"/>
              <w:jc w:val="center"/>
              <w:rPr>
                <w:rFonts w:ascii="Garamond" w:hAnsi="Garamond"/>
                <w:sz w:val="20"/>
                <w:szCs w:val="20"/>
              </w:rPr>
            </w:pP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maturës shtetërore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331"/>
        </w:trPr>
        <w:tc>
          <w:tcPr>
            <w:tcW w:w="16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Agjencia e Prokurimit Publik</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Sistemi i prokurimit publik</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r w:rsidR="00F44739" w:rsidTr="00F44739">
        <w:trPr>
          <w:trHeight w:val="143"/>
        </w:trPr>
        <w:tc>
          <w:tcPr>
            <w:tcW w:w="16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c>
          <w:tcPr>
            <w:tcW w:w="24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Drejtoria e Përgjithshme e Burgjeve</w:t>
            </w:r>
          </w:p>
        </w:tc>
        <w:tc>
          <w:tcPr>
            <w:tcW w:w="2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widowControl w:val="0"/>
              <w:spacing w:after="0" w:line="240" w:lineRule="auto"/>
              <w:ind w:firstLine="0"/>
              <w:jc w:val="center"/>
              <w:rPr>
                <w:rFonts w:ascii="Garamond" w:hAnsi="Garamond"/>
                <w:sz w:val="20"/>
                <w:szCs w:val="20"/>
              </w:rPr>
            </w:pPr>
            <w:r>
              <w:rPr>
                <w:rFonts w:ascii="Garamond" w:hAnsi="Garamond"/>
                <w:sz w:val="20"/>
                <w:szCs w:val="20"/>
              </w:rPr>
              <w:t>Zyra e Gjendjes Gjyqësore (Certifikata e Gjendjes Gjyqësore)</w:t>
            </w:r>
          </w:p>
        </w:tc>
        <w:tc>
          <w:tcPr>
            <w:tcW w:w="164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widowControl w:val="0"/>
              <w:spacing w:after="0" w:line="240" w:lineRule="auto"/>
              <w:ind w:firstLine="0"/>
              <w:jc w:val="center"/>
              <w:rPr>
                <w:rFonts w:ascii="Garamond" w:hAnsi="Garamond"/>
                <w:sz w:val="20"/>
                <w:szCs w:val="20"/>
              </w:rPr>
            </w:pPr>
          </w:p>
        </w:tc>
      </w:tr>
    </w:tbl>
    <w:p w:rsidR="00F44739" w:rsidRDefault="00F44739" w:rsidP="00F44739">
      <w:pPr>
        <w:spacing w:after="0" w:line="240" w:lineRule="auto"/>
        <w:ind w:firstLine="0"/>
        <w:jc w:val="center"/>
        <w:rPr>
          <w:rFonts w:ascii="Garamond" w:hAnsi="Garamond"/>
          <w:sz w:val="20"/>
          <w:szCs w:val="20"/>
          <w:lang w:val="sq-AL"/>
        </w:rPr>
      </w:pPr>
    </w:p>
    <w:p w:rsidR="00F44739" w:rsidRDefault="00F44739" w:rsidP="00F44739">
      <w:pPr>
        <w:pStyle w:val="NeniNr"/>
        <w:keepNext w:val="0"/>
        <w:jc w:val="left"/>
        <w:rPr>
          <w:lang w:val="sq-AL"/>
        </w:rPr>
      </w:pPr>
    </w:p>
    <w:p w:rsidR="00F44739" w:rsidRDefault="00F44739" w:rsidP="00F44739">
      <w:pPr>
        <w:pStyle w:val="NeniNr"/>
        <w:keepNext w:val="0"/>
        <w:jc w:val="left"/>
        <w:rPr>
          <w:lang w:val="sq-AL"/>
        </w:rPr>
      </w:pPr>
    </w:p>
    <w:p w:rsidR="00F44739" w:rsidRDefault="00F44739" w:rsidP="00F44739">
      <w:pPr>
        <w:rPr>
          <w:lang w:val="sq-AL"/>
        </w:rPr>
      </w:pPr>
    </w:p>
    <w:p w:rsidR="00F44739" w:rsidRDefault="00F44739" w:rsidP="00F44739">
      <w:pPr>
        <w:rPr>
          <w:lang w:val="sq-AL"/>
        </w:rPr>
      </w:pPr>
    </w:p>
    <w:p w:rsidR="00F44739" w:rsidRDefault="00F44739" w:rsidP="00F44739">
      <w:pPr>
        <w:rPr>
          <w:lang w:val="sq-AL"/>
        </w:rPr>
      </w:pPr>
    </w:p>
    <w:p w:rsidR="00F44739" w:rsidRDefault="00F44739" w:rsidP="00F44739">
      <w:pPr>
        <w:rPr>
          <w:lang w:val="sq-AL"/>
        </w:rPr>
      </w:pPr>
    </w:p>
    <w:p w:rsidR="00F44739" w:rsidRDefault="00F44739" w:rsidP="00F44739">
      <w:pPr>
        <w:rPr>
          <w:lang w:val="sq-AL"/>
        </w:rPr>
      </w:pPr>
    </w:p>
    <w:p w:rsidR="00F44739" w:rsidRDefault="00F44739" w:rsidP="00F44739">
      <w:pPr>
        <w:rPr>
          <w:lang w:val="sq-AL"/>
        </w:rPr>
      </w:pPr>
    </w:p>
    <w:p w:rsidR="00F44739" w:rsidRDefault="00F44739" w:rsidP="00F44739">
      <w:pPr>
        <w:rPr>
          <w:lang w:val="sq-AL"/>
        </w:rPr>
      </w:pPr>
    </w:p>
    <w:p w:rsidR="00F44739" w:rsidRPr="00F44739" w:rsidRDefault="00F44739" w:rsidP="00F44739">
      <w:pPr>
        <w:rPr>
          <w:lang w:val="sq-AL"/>
        </w:rPr>
      </w:pPr>
    </w:p>
    <w:p w:rsidR="00F44739" w:rsidRDefault="00F44739" w:rsidP="00F44739">
      <w:pPr>
        <w:pStyle w:val="NeniNr"/>
        <w:keepNext w:val="0"/>
        <w:jc w:val="left"/>
        <w:rPr>
          <w:lang w:val="sq-AL"/>
        </w:rPr>
      </w:pPr>
    </w:p>
    <w:p w:rsidR="00F44739" w:rsidRDefault="00F44739" w:rsidP="00F44739">
      <w:pPr>
        <w:pStyle w:val="NeniNr"/>
        <w:jc w:val="left"/>
        <w:rPr>
          <w:lang w:val="sq-AL"/>
        </w:rPr>
      </w:pPr>
      <w:r>
        <w:rPr>
          <w:lang w:val="sq-AL"/>
        </w:rPr>
        <w:lastRenderedPageBreak/>
        <w:t>ANEKSI NR. 2</w:t>
      </w:r>
    </w:p>
    <w:p w:rsidR="00F44739" w:rsidRDefault="00F44739" w:rsidP="00F44739">
      <w:pPr>
        <w:pStyle w:val="Hapesira7"/>
        <w:rPr>
          <w:lang w:val="sq-AL"/>
        </w:rPr>
      </w:pPr>
    </w:p>
    <w:p w:rsidR="00F44739" w:rsidRDefault="00F44739" w:rsidP="00F44739">
      <w:pPr>
        <w:pStyle w:val="NeniNr"/>
        <w:rPr>
          <w:b/>
          <w:lang w:val="sq-AL"/>
        </w:rPr>
      </w:pPr>
      <w:r>
        <w:rPr>
          <w:lang w:val="sq-AL"/>
        </w:rPr>
        <w:t>LISTA E INFRASTRUKTURAVE TË RËNDËSISHME TË INFORMACIONIT</w:t>
      </w:r>
    </w:p>
    <w:tbl>
      <w:tblPr>
        <w:tblStyle w:val="TableGridLight1"/>
        <w:tblpPr w:leftFromText="180" w:rightFromText="180" w:vertAnchor="text" w:horzAnchor="margin" w:tblpXSpec="center" w:tblpY="279"/>
        <w:tblW w:w="10753" w:type="dxa"/>
        <w:tblInd w:w="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4"/>
        <w:gridCol w:w="1830"/>
        <w:gridCol w:w="2130"/>
        <w:gridCol w:w="2923"/>
        <w:gridCol w:w="2316"/>
      </w:tblGrid>
      <w:tr w:rsidR="00F44739" w:rsidTr="00F44739">
        <w:trPr>
          <w:trHeight w:val="645"/>
        </w:trPr>
        <w:tc>
          <w:tcPr>
            <w:tcW w:w="1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b/>
                <w:sz w:val="20"/>
                <w:szCs w:val="20"/>
              </w:rPr>
            </w:pPr>
            <w:r>
              <w:rPr>
                <w:rFonts w:ascii="Garamond" w:hAnsi="Garamond"/>
                <w:b/>
                <w:sz w:val="20"/>
                <w:szCs w:val="20"/>
              </w:rPr>
              <w:t>Sektori</w:t>
            </w:r>
          </w:p>
        </w:tc>
        <w:tc>
          <w:tcPr>
            <w:tcW w:w="18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b/>
                <w:sz w:val="20"/>
                <w:szCs w:val="20"/>
              </w:rPr>
            </w:pPr>
            <w:r>
              <w:rPr>
                <w:rFonts w:ascii="Garamond" w:hAnsi="Garamond"/>
                <w:b/>
                <w:sz w:val="20"/>
                <w:szCs w:val="20"/>
              </w:rPr>
              <w:t>Nënsektori</w:t>
            </w: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b/>
                <w:sz w:val="20"/>
                <w:szCs w:val="20"/>
              </w:rPr>
            </w:pPr>
            <w:r>
              <w:rPr>
                <w:rFonts w:ascii="Garamond" w:hAnsi="Garamond"/>
                <w:b/>
                <w:sz w:val="20"/>
                <w:szCs w:val="20"/>
              </w:rPr>
              <w:t>Operatori administrues</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b/>
                <w:sz w:val="20"/>
                <w:szCs w:val="20"/>
              </w:rPr>
            </w:pPr>
            <w:r>
              <w:rPr>
                <w:rFonts w:ascii="Garamond" w:hAnsi="Garamond"/>
                <w:b/>
                <w:sz w:val="20"/>
                <w:szCs w:val="20"/>
              </w:rPr>
              <w:t>Sistemi i rëndësishëm</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b/>
                <w:sz w:val="20"/>
                <w:szCs w:val="20"/>
              </w:rPr>
            </w:pPr>
            <w:r>
              <w:rPr>
                <w:rFonts w:ascii="Garamond" w:hAnsi="Garamond"/>
                <w:b/>
                <w:sz w:val="20"/>
                <w:szCs w:val="20"/>
              </w:rPr>
              <w:t>Rrjeti  i rëndësishëm</w:t>
            </w:r>
          </w:p>
        </w:tc>
      </w:tr>
      <w:tr w:rsidR="00F44739" w:rsidTr="00F44739">
        <w:trPr>
          <w:trHeight w:val="619"/>
        </w:trPr>
        <w:tc>
          <w:tcPr>
            <w:tcW w:w="155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Transporti</w:t>
            </w:r>
          </w:p>
        </w:tc>
        <w:tc>
          <w:tcPr>
            <w:tcW w:w="18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Drejtoria e Përgjithshme e Shërbimit të Transportit Rrugor</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Regjistri Kombëtar i Personave të aftësuar për drejtimin e mjetit</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44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Regjistri Kombëtar i Mjeteve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666"/>
        </w:trPr>
        <w:tc>
          <w:tcPr>
            <w:tcW w:w="15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Shëndetësia</w:t>
            </w:r>
          </w:p>
        </w:tc>
        <w:tc>
          <w:tcPr>
            <w:tcW w:w="18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e Shëndetësisë dhe Mbrojtjes Sociale</w:t>
            </w:r>
          </w:p>
          <w:p w:rsidR="00F44739" w:rsidRDefault="00F44739">
            <w:pPr>
              <w:spacing w:after="0" w:line="240" w:lineRule="auto"/>
              <w:ind w:firstLine="0"/>
              <w:jc w:val="center"/>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 xml:space="preserve">EHR - </w:t>
            </w:r>
            <w:r>
              <w:rPr>
                <w:rFonts w:ascii="Garamond" w:hAnsi="Garamond"/>
                <w:i/>
                <w:sz w:val="20"/>
                <w:szCs w:val="20"/>
              </w:rPr>
              <w:t>Electronic Health Record</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751"/>
        </w:trPr>
        <w:tc>
          <w:tcPr>
            <w:tcW w:w="155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18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Fondi  i Sigurimit të Detyrueshëm të Kujdesit Shëndetësor</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 xml:space="preserve">Sistemi </w:t>
            </w:r>
            <w:r>
              <w:rPr>
                <w:rFonts w:ascii="Garamond" w:hAnsi="Garamond"/>
                <w:i/>
                <w:sz w:val="20"/>
                <w:szCs w:val="20"/>
              </w:rPr>
              <w:t>on-line</w:t>
            </w:r>
            <w:r>
              <w:rPr>
                <w:rFonts w:ascii="Garamond" w:hAnsi="Garamond"/>
                <w:sz w:val="20"/>
                <w:szCs w:val="20"/>
              </w:rPr>
              <w:t xml:space="preserve">  i regjistrimit të recetave dhe librezave të shëndetit</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36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e-Farmaci</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411"/>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Kosto spitali</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604"/>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për administrimin, monitorimin dhe vlerësimin e shpenzimeve spitalore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486"/>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menaxhimin financiar dhe  të burimeve njerëzore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564"/>
        </w:trPr>
        <w:tc>
          <w:tcPr>
            <w:tcW w:w="155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18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i auditit të sistemit financiar të FSDKSH</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402"/>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 xml:space="preserve">Program </w:t>
            </w:r>
            <w:r>
              <w:rPr>
                <w:rFonts w:ascii="Garamond" w:hAnsi="Garamond"/>
                <w:i/>
                <w:sz w:val="20"/>
                <w:szCs w:val="20"/>
              </w:rPr>
              <w:t>of-line</w:t>
            </w:r>
            <w:r>
              <w:rPr>
                <w:rFonts w:ascii="Garamond" w:hAnsi="Garamond"/>
                <w:sz w:val="20"/>
                <w:szCs w:val="20"/>
              </w:rPr>
              <w:t xml:space="preserve"> Depo</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32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e-Barna</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1169"/>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për integrimin, konsolidimin, monitorimin e informacionit të sistemit të kujdesit shëndetësor dhe ndërtimi  i indikatorëve dhe analizave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420"/>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SISHP</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316"/>
        </w:trPr>
        <w:tc>
          <w:tcPr>
            <w:tcW w:w="155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left"/>
              <w:rPr>
                <w:rFonts w:ascii="Garamond" w:hAnsi="Garamond"/>
                <w:sz w:val="20"/>
                <w:szCs w:val="20"/>
              </w:rPr>
            </w:pPr>
          </w:p>
          <w:p w:rsidR="00F44739" w:rsidRDefault="00F44739">
            <w:pPr>
              <w:spacing w:after="0" w:line="240" w:lineRule="auto"/>
              <w:ind w:firstLine="0"/>
              <w:jc w:val="left"/>
              <w:rPr>
                <w:rFonts w:ascii="Garamond" w:hAnsi="Garamond"/>
                <w:sz w:val="20"/>
                <w:szCs w:val="20"/>
              </w:rPr>
            </w:pPr>
          </w:p>
          <w:p w:rsidR="00F44739" w:rsidRDefault="00F44739">
            <w:pPr>
              <w:spacing w:after="0" w:line="240" w:lineRule="auto"/>
              <w:ind w:firstLine="0"/>
              <w:jc w:val="left"/>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r>
              <w:rPr>
                <w:rFonts w:ascii="Garamond" w:hAnsi="Garamond"/>
                <w:sz w:val="20"/>
                <w:szCs w:val="20"/>
              </w:rPr>
              <w:t>Financiar</w:t>
            </w:r>
          </w:p>
        </w:tc>
        <w:tc>
          <w:tcPr>
            <w:tcW w:w="18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r>
              <w:rPr>
                <w:rFonts w:ascii="Garamond" w:hAnsi="Garamond"/>
                <w:sz w:val="20"/>
                <w:szCs w:val="20"/>
              </w:rPr>
              <w:t>Bankar</w:t>
            </w: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Union Bank</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Oracle FCUBS 11.3</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WAN,LAN</w:t>
            </w:r>
          </w:p>
        </w:tc>
      </w:tr>
      <w:tr w:rsidR="00F44739" w:rsidTr="00F44739">
        <w:trPr>
          <w:trHeight w:val="6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“Raiffeisen Bank”, sh.a</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Core Banking System</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Banka Veneto</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Core Banking System (XBS)</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WAN,LAN</w:t>
            </w:r>
          </w:p>
        </w:tc>
      </w:tr>
      <w:tr w:rsidR="00F44739" w:rsidTr="00F44739">
        <w:trPr>
          <w:trHeight w:val="5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Banka e Parë e Investimeve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Core Banking System</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WAN,LAN</w:t>
            </w:r>
          </w:p>
        </w:tc>
      </w:tr>
      <w:tr w:rsidR="00F44739" w:rsidTr="00F44739">
        <w:trPr>
          <w:trHeight w:val="53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Banka Ndërkombëtare Tregtare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ICBA</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WAN,LAN</w:t>
            </w:r>
          </w:p>
        </w:tc>
      </w:tr>
      <w:tr w:rsidR="00F44739" w:rsidTr="00F44739">
        <w:trPr>
          <w:trHeight w:val="44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18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Tatimet</w:t>
            </w: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Drejtoria e Përgjithshme e Tatimeve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 xml:space="preserve">Sistemi </w:t>
            </w:r>
            <w:r>
              <w:rPr>
                <w:rFonts w:ascii="Garamond" w:hAnsi="Garamond"/>
                <w:i/>
                <w:sz w:val="20"/>
                <w:szCs w:val="20"/>
              </w:rPr>
              <w:t>mobile</w:t>
            </w:r>
            <w:r>
              <w:rPr>
                <w:rFonts w:ascii="Garamond" w:hAnsi="Garamond"/>
                <w:sz w:val="20"/>
                <w:szCs w:val="20"/>
              </w:rPr>
              <w:t xml:space="preserve"> (m-Tax)</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412"/>
        </w:trPr>
        <w:tc>
          <w:tcPr>
            <w:tcW w:w="155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p>
          <w:p w:rsidR="00F44739" w:rsidRDefault="00F44739">
            <w:pPr>
              <w:spacing w:after="0" w:line="240" w:lineRule="auto"/>
              <w:ind w:firstLine="0"/>
              <w:jc w:val="center"/>
              <w:rPr>
                <w:rFonts w:ascii="Garamond" w:hAnsi="Garamond"/>
                <w:sz w:val="20"/>
                <w:szCs w:val="20"/>
              </w:rPr>
            </w:pPr>
            <w:r>
              <w:rPr>
                <w:rFonts w:ascii="Garamond" w:hAnsi="Garamond"/>
                <w:sz w:val="20"/>
                <w:szCs w:val="20"/>
              </w:rPr>
              <w:t>Qeveritar</w:t>
            </w:r>
          </w:p>
        </w:tc>
        <w:tc>
          <w:tcPr>
            <w:tcW w:w="18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w:t>
            </w: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e Infrastrukturës dhe Energjisë</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informatik i integruar për shërbimet për licencimin, vlerësimin e pasurive të paluajtshme,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670"/>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informatik i integruar për shërbimet për licencimin në studim, projektim, mbikëqyrje e kolaudim</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670"/>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e  Financave dhe Ekonomisë</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Regjistri i pronës</w:t>
            </w:r>
          </w:p>
        </w:tc>
        <w:tc>
          <w:tcPr>
            <w:tcW w:w="23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316"/>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Regjistri i strukturave akomoduese</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14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Drejtoria e Përgjithshme e Standardizimit</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i menaxhimit të standardeve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14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Agjencia  e Ofrimit të Shërbimeve Publike të Integruara</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Rrjeti  i komunikimit me FO TR,KR,KV,FR,GJO</w:t>
            </w: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Agjencia Kombëtare e Shoqërisë së Informacionit</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e-Aktet</w:t>
            </w:r>
          </w:p>
        </w:tc>
        <w:tc>
          <w:tcPr>
            <w:tcW w:w="23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Electronic Record Document Management System (ERDMS)</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184"/>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Active Directory</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184"/>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i/>
                <w:sz w:val="20"/>
                <w:szCs w:val="20"/>
              </w:rPr>
            </w:pPr>
            <w:r>
              <w:rPr>
                <w:rFonts w:ascii="Garamond" w:hAnsi="Garamond"/>
                <w:i/>
                <w:sz w:val="20"/>
                <w:szCs w:val="20"/>
              </w:rPr>
              <w:t>Exchange(mail)</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për Evropën dhe Punët e Jashtme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Kombëtar për Përafrimin e Legjislacionit</w:t>
            </w:r>
          </w:p>
        </w:tc>
        <w:tc>
          <w:tcPr>
            <w:tcW w:w="23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335"/>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Trados”</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14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e  Arsimit, Sportit dhe Rinisë</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Mësues për Shqipërinë</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503"/>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Qendra e Shërbimeve Arsimore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Provimi i Shtetit</w:t>
            </w:r>
          </w:p>
        </w:tc>
        <w:tc>
          <w:tcPr>
            <w:tcW w:w="23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687"/>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i menaxhimit të informacionit parauniversitar</w:t>
            </w: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r>
      <w:tr w:rsidR="00F44739" w:rsidTr="00F44739">
        <w:trPr>
          <w:trHeight w:val="701"/>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e Turizmit dhe Mjedisit</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Regjistri i strukturave akomoduese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274"/>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e Kulturës</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Sistemi informatik administrues i të dhënave të trashëgimisë kulturore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274"/>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Ministria  për Evropën dhe Punët e Jashtme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 xml:space="preserve">Shërbimi Konsullor                  </w:t>
            </w:r>
          </w:p>
          <w:p w:rsidR="00F44739" w:rsidRDefault="00F44739">
            <w:pPr>
              <w:spacing w:after="0" w:line="240" w:lineRule="auto"/>
              <w:ind w:firstLine="0"/>
              <w:jc w:val="center"/>
              <w:rPr>
                <w:rFonts w:ascii="Garamond" w:hAnsi="Garamond"/>
                <w:sz w:val="20"/>
                <w:szCs w:val="20"/>
              </w:rPr>
            </w:pPr>
            <w:r>
              <w:rPr>
                <w:rFonts w:ascii="Garamond" w:hAnsi="Garamond"/>
                <w:i/>
                <w:sz w:val="20"/>
                <w:szCs w:val="20"/>
              </w:rPr>
              <w:t>On-line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680"/>
        </w:trPr>
        <w:tc>
          <w:tcPr>
            <w:tcW w:w="1554"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183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Autoriteti Shtetëror për Informacionin Gjeohapsinor</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Gjeoportali Kombëtar</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846"/>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Drejtoria e Përgjithshme e Burgjeve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Menaxhimi i Informacionit të Sistemit Penitenciar (Menaxhimi  i kartelave të të dënuarve)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r w:rsidR="00F44739" w:rsidTr="00F44739">
        <w:trPr>
          <w:trHeight w:val="560"/>
        </w:trPr>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0" w:type="auto"/>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rsidR="00F44739" w:rsidRDefault="00F44739">
            <w:pPr>
              <w:spacing w:after="0" w:line="240" w:lineRule="auto"/>
              <w:ind w:firstLine="0"/>
              <w:jc w:val="left"/>
              <w:rPr>
                <w:rFonts w:ascii="Garamond" w:hAnsi="Garamond"/>
                <w:sz w:val="20"/>
                <w:szCs w:val="20"/>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center"/>
              <w:rPr>
                <w:rFonts w:ascii="Garamond" w:hAnsi="Garamond"/>
                <w:sz w:val="20"/>
                <w:szCs w:val="20"/>
              </w:rPr>
            </w:pPr>
            <w:r>
              <w:rPr>
                <w:rFonts w:ascii="Garamond" w:hAnsi="Garamond"/>
                <w:sz w:val="20"/>
                <w:szCs w:val="20"/>
              </w:rPr>
              <w:t>Qendra e Botimeve Zyrtare</w:t>
            </w:r>
          </w:p>
        </w:tc>
        <w:tc>
          <w:tcPr>
            <w:tcW w:w="29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rsidR="00F44739" w:rsidRDefault="00F44739">
            <w:pPr>
              <w:spacing w:after="0" w:line="240" w:lineRule="auto"/>
              <w:ind w:firstLine="0"/>
              <w:jc w:val="left"/>
              <w:rPr>
                <w:rFonts w:ascii="Garamond" w:hAnsi="Garamond"/>
                <w:sz w:val="20"/>
                <w:szCs w:val="20"/>
              </w:rPr>
            </w:pPr>
            <w:r>
              <w:rPr>
                <w:rFonts w:ascii="Garamond" w:hAnsi="Garamond"/>
                <w:sz w:val="20"/>
                <w:szCs w:val="20"/>
              </w:rPr>
              <w:t>Sistemi i menaxhimit dhe publikimit të Fletores Zyrtare</w:t>
            </w:r>
          </w:p>
        </w:tc>
        <w:tc>
          <w:tcPr>
            <w:tcW w:w="23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rsidR="00F44739" w:rsidRDefault="00F44739">
            <w:pPr>
              <w:spacing w:after="0" w:line="240" w:lineRule="auto"/>
              <w:ind w:firstLine="0"/>
              <w:jc w:val="center"/>
              <w:rPr>
                <w:rFonts w:ascii="Garamond" w:hAnsi="Garamond"/>
                <w:sz w:val="20"/>
                <w:szCs w:val="20"/>
              </w:rPr>
            </w:pPr>
          </w:p>
        </w:tc>
      </w:tr>
    </w:tbl>
    <w:p w:rsidR="00F44739" w:rsidRDefault="00F44739" w:rsidP="00F44739">
      <w:pPr>
        <w:pStyle w:val="NeniTitull"/>
        <w:rPr>
          <w:lang w:val="sq-AL"/>
        </w:rPr>
      </w:pPr>
    </w:p>
    <w:p w:rsidR="00F44739" w:rsidRDefault="00F44739" w:rsidP="00F44739">
      <w:pPr>
        <w:spacing w:after="0"/>
        <w:ind w:firstLine="0"/>
        <w:jc w:val="left"/>
        <w:rPr>
          <w:lang w:val="sq-AL"/>
        </w:rPr>
        <w:sectPr w:rsidR="00F44739" w:rsidSect="00F44739">
          <w:type w:val="continuous"/>
          <w:pgSz w:w="11907" w:h="16840"/>
          <w:pgMar w:top="720" w:right="1134" w:bottom="720" w:left="1134" w:header="851" w:footer="851" w:gutter="0"/>
          <w:cols w:space="720"/>
        </w:sectPr>
      </w:pPr>
    </w:p>
    <w:p w:rsidR="00136888" w:rsidRDefault="00136888" w:rsidP="00F44739">
      <w:bookmarkStart w:id="5" w:name="_GoBack"/>
      <w:bookmarkEnd w:id="5"/>
    </w:p>
    <w:sectPr w:rsidR="00136888" w:rsidSect="00F447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C8E"/>
    <w:rsid w:val="00136888"/>
    <w:rsid w:val="00F42C8E"/>
    <w:rsid w:val="00F44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B78012-307A-4774-9653-BB48E4DAB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73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44739"/>
    <w:rPr>
      <w:rFonts w:ascii="Garamond" w:eastAsia="MS Mincho" w:hAnsi="Garamond" w:cs="CG Times"/>
      <w:sz w:val="24"/>
    </w:rPr>
  </w:style>
  <w:style w:type="paragraph" w:customStyle="1" w:styleId="Paragrafi">
    <w:name w:val="Paragrafi"/>
    <w:link w:val="ParagrafiChar"/>
    <w:qFormat/>
    <w:rsid w:val="00F4473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44739"/>
    <w:rPr>
      <w:rFonts w:ascii="Garamond" w:eastAsia="MS Mincho" w:hAnsi="Garamond" w:cs="CG Times"/>
      <w:sz w:val="24"/>
      <w:lang w:val="en-GB"/>
    </w:rPr>
  </w:style>
  <w:style w:type="paragraph" w:customStyle="1" w:styleId="NeniNr">
    <w:name w:val="Neni_Nr"/>
    <w:next w:val="Normal"/>
    <w:link w:val="NeniNrChar"/>
    <w:rsid w:val="00F447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44739"/>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44739"/>
    <w:rPr>
      <w:sz w:val="14"/>
      <w:szCs w:val="24"/>
    </w:rPr>
  </w:style>
  <w:style w:type="table" w:customStyle="1" w:styleId="TableGridLight1">
    <w:name w:val="Table Grid Light1"/>
    <w:basedOn w:val="TableNormal"/>
    <w:uiPriority w:val="40"/>
    <w:rsid w:val="00F44739"/>
    <w:pPr>
      <w:spacing w:after="0" w:line="240" w:lineRule="auto"/>
    </w:pPr>
    <w:rPr>
      <w:lang w:val="sq-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7993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1235</Words>
  <Characters>7042</Characters>
  <Application>Microsoft Office Word</Application>
  <DocSecurity>0</DocSecurity>
  <Lines>58</Lines>
  <Paragraphs>16</Paragraphs>
  <ScaleCrop>false</ScaleCrop>
  <Company/>
  <LinksUpToDate>false</LinksUpToDate>
  <CharactersWithSpaces>8261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2018-04-30T14:08:00Z</dcterms:created>
  <dcterms:modified xsi:type="dcterms:W3CDTF">2018-04-30T14:08:00Z</dcterms:modified>
</cp:coreProperties>
</file>