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7FA" w:rsidRPr="00EE17FA" w:rsidRDefault="00EE17FA" w:rsidP="00EE17FA">
      <w:pPr>
        <w:keepNext/>
        <w:widowControl w:val="0"/>
        <w:spacing w:after="0" w:line="240" w:lineRule="auto"/>
        <w:jc w:val="center"/>
        <w:outlineLvl w:val="2"/>
        <w:rPr>
          <w:rFonts w:ascii="Garamond" w:eastAsia="MS Mincho" w:hAnsi="Garamond" w:cs="CG Times"/>
          <w:b/>
          <w:bCs/>
          <w:spacing w:val="-4"/>
          <w:sz w:val="24"/>
          <w:lang w:val="sq-AL"/>
        </w:rPr>
      </w:pPr>
      <w:r w:rsidRPr="00EE17FA">
        <w:rPr>
          <w:rFonts w:ascii="Garamond" w:eastAsia="MS Mincho" w:hAnsi="Garamond" w:cs="CG Times"/>
          <w:b/>
          <w:bCs/>
          <w:spacing w:val="-4"/>
          <w:sz w:val="24"/>
          <w:lang w:val="sq-AL"/>
        </w:rPr>
        <w:t>VENDIM</w:t>
      </w:r>
    </w:p>
    <w:p w:rsidR="00EE17FA" w:rsidRPr="00EE17FA" w:rsidRDefault="00EE17FA" w:rsidP="00EE17FA">
      <w:pPr>
        <w:keepNext/>
        <w:widowControl w:val="0"/>
        <w:spacing w:after="0" w:line="240" w:lineRule="auto"/>
        <w:jc w:val="center"/>
        <w:outlineLvl w:val="2"/>
        <w:rPr>
          <w:rFonts w:ascii="Garamond" w:eastAsia="MS Mincho" w:hAnsi="Garamond" w:cs="CG Times"/>
          <w:b/>
          <w:bCs/>
          <w:spacing w:val="-4"/>
          <w:sz w:val="24"/>
          <w:lang w:val="sq-AL"/>
        </w:rPr>
      </w:pPr>
      <w:bookmarkStart w:id="0" w:name="_Toc512862855"/>
      <w:r w:rsidRPr="00EE17FA">
        <w:rPr>
          <w:rFonts w:ascii="Garamond" w:eastAsia="MS Mincho" w:hAnsi="Garamond" w:cs="CG Times"/>
          <w:b/>
          <w:bCs/>
          <w:spacing w:val="-4"/>
          <w:sz w:val="24"/>
          <w:lang w:val="sq-AL"/>
        </w:rPr>
        <w:t>Nr. 232, datë 26.4.2018</w:t>
      </w:r>
      <w:bookmarkEnd w:id="0"/>
    </w:p>
    <w:p w:rsidR="00EE17FA" w:rsidRPr="00EE17FA" w:rsidRDefault="00EE17FA" w:rsidP="00EE17FA">
      <w:pPr>
        <w:widowControl w:val="0"/>
        <w:spacing w:after="0" w:line="240" w:lineRule="auto"/>
        <w:ind w:firstLine="284"/>
        <w:jc w:val="both"/>
        <w:rPr>
          <w:rFonts w:ascii="Garamond" w:eastAsia="MS Mincho" w:hAnsi="Garamond" w:cs="CG Times"/>
          <w:spacing w:val="-4"/>
          <w:sz w:val="14"/>
          <w:szCs w:val="24"/>
          <w:lang w:val="sq-AL" w:eastAsia="en-GB"/>
        </w:rPr>
      </w:pPr>
    </w:p>
    <w:p w:rsidR="00EE17FA" w:rsidRPr="00EE17FA" w:rsidRDefault="00EE17FA" w:rsidP="00EE17FA">
      <w:pPr>
        <w:keepNext/>
        <w:widowControl w:val="0"/>
        <w:spacing w:after="0" w:line="240" w:lineRule="auto"/>
        <w:jc w:val="center"/>
        <w:outlineLvl w:val="2"/>
        <w:rPr>
          <w:rFonts w:ascii="Garamond" w:eastAsia="MS Mincho" w:hAnsi="Garamond" w:cs="CG Times"/>
          <w:b/>
          <w:bCs/>
          <w:spacing w:val="-4"/>
          <w:sz w:val="24"/>
          <w:lang w:val="sq-AL"/>
        </w:rPr>
      </w:pPr>
      <w:bookmarkStart w:id="1" w:name="_Toc512862856"/>
      <w:r w:rsidRPr="00EE17FA">
        <w:rPr>
          <w:rFonts w:ascii="Garamond" w:eastAsia="MS Mincho" w:hAnsi="Garamond" w:cs="CG Times"/>
          <w:b/>
          <w:bCs/>
          <w:spacing w:val="-4"/>
          <w:sz w:val="24"/>
          <w:lang w:val="sq-AL"/>
        </w:rPr>
        <w:t>PËR DISA NDRYSHIME DHE SHTESA NË VENDIMIN NR. 177, DATË 6.3.2012, TË KËSHILLIT TË MINISTRAVE,</w:t>
      </w:r>
      <w:bookmarkEnd w:id="1"/>
      <w:r w:rsidRPr="00EE17FA">
        <w:rPr>
          <w:rFonts w:ascii="Garamond" w:eastAsia="MS Mincho" w:hAnsi="Garamond" w:cs="CG Times"/>
          <w:b/>
          <w:bCs/>
          <w:spacing w:val="-4"/>
          <w:sz w:val="24"/>
          <w:lang w:val="sq-AL"/>
        </w:rPr>
        <w:t xml:space="preserve"> </w:t>
      </w:r>
    </w:p>
    <w:p w:rsidR="00EE17FA" w:rsidRPr="00EE17FA" w:rsidRDefault="00EE17FA" w:rsidP="00EE17FA">
      <w:pPr>
        <w:keepNext/>
        <w:widowControl w:val="0"/>
        <w:spacing w:after="0" w:line="240" w:lineRule="auto"/>
        <w:jc w:val="center"/>
        <w:outlineLvl w:val="2"/>
        <w:rPr>
          <w:rFonts w:ascii="Garamond" w:eastAsia="MS Mincho" w:hAnsi="Garamond" w:cs="CG Times"/>
          <w:b/>
          <w:bCs/>
          <w:spacing w:val="-4"/>
          <w:sz w:val="24"/>
          <w:lang w:val="sq-AL"/>
        </w:rPr>
      </w:pPr>
      <w:bookmarkStart w:id="2" w:name="_Toc512862857"/>
      <w:r w:rsidRPr="00EE17FA">
        <w:rPr>
          <w:rFonts w:ascii="Garamond" w:eastAsia="MS Mincho" w:hAnsi="Garamond" w:cs="CG Times"/>
          <w:b/>
          <w:bCs/>
          <w:spacing w:val="-4"/>
          <w:sz w:val="24"/>
          <w:lang w:val="sq-AL"/>
        </w:rPr>
        <w:t>“PËR AMBALAZHET DHE MBETJET</w:t>
      </w:r>
      <w:bookmarkEnd w:id="2"/>
      <w:r w:rsidRPr="00EE17FA">
        <w:rPr>
          <w:rFonts w:ascii="Garamond" w:eastAsia="MS Mincho" w:hAnsi="Garamond" w:cs="CG Times"/>
          <w:b/>
          <w:bCs/>
          <w:spacing w:val="-4"/>
          <w:sz w:val="24"/>
          <w:lang w:val="sq-AL"/>
        </w:rPr>
        <w:t xml:space="preserve"> </w:t>
      </w:r>
    </w:p>
    <w:p w:rsidR="00EE17FA" w:rsidRPr="00EE17FA" w:rsidRDefault="00EE17FA" w:rsidP="00EE17FA">
      <w:pPr>
        <w:keepNext/>
        <w:widowControl w:val="0"/>
        <w:spacing w:after="0" w:line="240" w:lineRule="auto"/>
        <w:jc w:val="center"/>
        <w:outlineLvl w:val="2"/>
        <w:rPr>
          <w:rFonts w:ascii="Garamond" w:eastAsia="MS Mincho" w:hAnsi="Garamond" w:cs="CG Times"/>
          <w:b/>
          <w:bCs/>
          <w:spacing w:val="-4"/>
          <w:sz w:val="24"/>
          <w:lang w:val="sq-AL"/>
        </w:rPr>
      </w:pPr>
      <w:bookmarkStart w:id="3" w:name="_Toc512862858"/>
      <w:r w:rsidRPr="00EE17FA">
        <w:rPr>
          <w:rFonts w:ascii="Garamond" w:eastAsia="MS Mincho" w:hAnsi="Garamond" w:cs="CG Times"/>
          <w:b/>
          <w:bCs/>
          <w:spacing w:val="-4"/>
          <w:sz w:val="24"/>
          <w:lang w:val="sq-AL"/>
        </w:rPr>
        <w:t>E TYRE”</w:t>
      </w:r>
      <w:r w:rsidRPr="00EE17FA">
        <w:rPr>
          <w:rFonts w:ascii="Garamond" w:eastAsia="MS Mincho" w:hAnsi="Garamond" w:cs="CG Times"/>
          <w:b/>
          <w:bCs/>
          <w:sz w:val="24"/>
          <w:vertAlign w:val="superscript"/>
          <w:lang w:val="en-GB"/>
        </w:rPr>
        <w:footnoteReference w:id="1"/>
      </w:r>
      <w:bookmarkEnd w:id="3"/>
    </w:p>
    <w:p w:rsidR="00EE17FA" w:rsidRPr="00EE17FA" w:rsidRDefault="00EE17FA" w:rsidP="00EE17FA">
      <w:pPr>
        <w:widowControl w:val="0"/>
        <w:spacing w:after="0" w:line="240" w:lineRule="auto"/>
        <w:ind w:firstLine="284"/>
        <w:jc w:val="both"/>
        <w:rPr>
          <w:rFonts w:ascii="Garamond" w:eastAsia="MS Mincho" w:hAnsi="Garamond" w:cs="CG Times"/>
          <w:spacing w:val="-4"/>
          <w:sz w:val="14"/>
          <w:szCs w:val="24"/>
          <w:lang w:val="sq-AL"/>
        </w:rPr>
      </w:pP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Në mbështetje të nenit 100 të Kushtetutës dhe të nenit 29, të ligjit nr. 10463,  datë 22.9.2011, “Për menaxhimin e integruar të mbetjeve”, me propozimin e ministrit të Turizmit dhe Mjedisit, Këshilli i Ministrave</w:t>
      </w:r>
    </w:p>
    <w:p w:rsidR="00EE17FA" w:rsidRPr="00EE17FA" w:rsidRDefault="00EE17FA" w:rsidP="00EE17FA">
      <w:pPr>
        <w:widowControl w:val="0"/>
        <w:spacing w:after="0" w:line="240" w:lineRule="auto"/>
        <w:ind w:firstLine="284"/>
        <w:jc w:val="both"/>
        <w:rPr>
          <w:rFonts w:ascii="Garamond" w:eastAsia="MS Mincho" w:hAnsi="Garamond" w:cs="CG Times"/>
          <w:spacing w:val="-4"/>
          <w:sz w:val="14"/>
          <w:szCs w:val="24"/>
          <w:lang w:val="sq-AL"/>
        </w:rPr>
      </w:pPr>
    </w:p>
    <w:p w:rsidR="00EE17FA" w:rsidRPr="00EE17FA" w:rsidRDefault="00EE17FA" w:rsidP="00EE17FA">
      <w:pPr>
        <w:keepNext/>
        <w:widowControl w:val="0"/>
        <w:spacing w:after="0" w:line="240" w:lineRule="auto"/>
        <w:jc w:val="center"/>
        <w:rPr>
          <w:rFonts w:ascii="Garamond" w:eastAsia="MS Mincho" w:hAnsi="Garamond" w:cs="CG Times"/>
          <w:spacing w:val="-4"/>
          <w:sz w:val="24"/>
          <w:lang w:val="sq-AL"/>
        </w:rPr>
      </w:pPr>
      <w:r w:rsidRPr="00EE17FA">
        <w:rPr>
          <w:rFonts w:ascii="Garamond" w:eastAsia="MS Mincho" w:hAnsi="Garamond" w:cs="CG Times"/>
          <w:spacing w:val="-4"/>
          <w:sz w:val="24"/>
          <w:lang w:val="sq-AL"/>
        </w:rPr>
        <w:t>VENDOSI:</w:t>
      </w:r>
    </w:p>
    <w:p w:rsidR="00EE17FA" w:rsidRPr="00EE17FA" w:rsidRDefault="00EE17FA" w:rsidP="00EE17FA">
      <w:pPr>
        <w:widowControl w:val="0"/>
        <w:spacing w:after="0" w:line="240" w:lineRule="auto"/>
        <w:ind w:firstLine="284"/>
        <w:jc w:val="both"/>
        <w:rPr>
          <w:rFonts w:ascii="Garamond" w:eastAsia="MS Mincho" w:hAnsi="Garamond" w:cs="CG Times"/>
          <w:spacing w:val="-4"/>
          <w:sz w:val="14"/>
          <w:szCs w:val="24"/>
          <w:lang w:val="sq-AL"/>
        </w:rPr>
      </w:pP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 xml:space="preserve">Në vendimin nr. 177, datë 6.3.2012, të Këshillit të Ministrave, bëhen këto ndryshime dhe shtesa: </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1. Në kreun I, pika 1 ndryshon si më poshtë vijon:</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 xml:space="preserve">“1. Qëllimi i këtij vendimi është mbrojtja, ruajtja dhe përmirësimi i cilësisë së mjedisit dhe shëndetit publik përmes: </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a) parandalimit të ndikimit negativ nga ambalazhet dhe mbetjet e tyre;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b) parandalimit të prodhimit të mbetjeve nga ambalazhet, nëpërmjet rritjes se ripërdorimit të tyre, riciklimit dhe formave të tjera të rikuperimit të mbetjeve nga ambalazhet;</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c) reduktimit të sasive të këtyre mbetjeve që asgjësohen përfundimisht.</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Vendimi përcakton rregulla për prodhimin dhe importimin e të gjitha llojeve të ambalazheve dhe menaxhimin e mbetjeve të tyre në të gjitha fazat, si dhe përcakton subjektet përgjegjëse për menaxhimin e tyre.”.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2. Kreu II ndryshon, si më poshtë vijon:</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“II FUSHA E ZBATIMIT</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 xml:space="preserve"> 1. Ky vendim zbatohet për të gjitha llojet e ambalazheve dhe mbetjet e tyre, të hedhura në treg në territorin e Republikës së Shqipërisë, nëse janë të përdorura apo të vendosura në qarkullim në industri, tregti, institucione shtetërore, zyra, dyqane, shërbime, për përdorim familjar apo çdo fushë tjetër të veprimtarisë njerëzore, pavarësisht nga materiali i përdorur.</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2. Ky vendim zbatohet pa rënë ndesh me kërkesat e legjislacionit në fuqi mbi cilësinë për ambalazhe të tilla, si ato të përdorura për të garantuar sigurinë, mbrojtjen e shëndetit publik dhe të higjienës së produktit të paketuar apo të kërkesave ligjore mbi transportin e mbetjeve të rrezikshme.”.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3. Në kreun III bëhen këto shtesa dhe ndryshime: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a) Pas pikës 25 shtohet pika 25/“a”, me këtë përmbajtje: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“25/a) “Plastikë”, është një polimer të cilit mund t’i jenë shtuar aditivë apo substanca nga lëndë të tjera, si dhe është i aftë të kryejë funksionin kryesor, lidhës të komponentit strukturor të një qeseje mbajtëse.”.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b) Pika 29 ndryshon, si më poshtë vijon:</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“29. “Qese plastike mbajtëse”, është qesja mbajtëse transportuese, me ose pa dorezë, prodhuar nga plastika dhe lëndë të tjera të lidhura me të, të cilat jepen në pikat e tregtimit apo të shpërndarjes së mallrave ose produkteve.”.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c) Pas pikës 29 shtohen pikat 29/“a” dhe 29/“b”, me këtë përmbajtje: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“29/a) “Qese e lehtë plastike mbajtëse”, është qesja plastike me trashësi për çdo anë më të vogël se 35 mikron, me përjashtim të qeses së përdorur vetëm për qëllime higjieno-sanitare.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lastRenderedPageBreak/>
        <w:t xml:space="preserve"> 29/b) “Qese plastike mbajtëse oxo-degradueshme”, është qesja plastike mbajtëse e prodhuar nga materiale që përfshijnë aditivë të cilët katalizojnë copëzimin e materialit plastik në mikrofragmente.”. </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4. Në kreun IV, paragrafi ekzistues numërtohet 1 dhe pas tij shtohen pikat 2, 3 dhe 4, me këtë përmbajtje: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“2. Pa rënë ndesh me kërkesat e tjera të posaçme të këtij vendimi, prodhimi i qeseve plastike mbajtëse, sipas përcaktimeve të këtij vendimi, bëhet duke përdorur aditivë biodegradues me një cikël veprimi jo më pak se 36 muaj, i cili mundëson realizimin e ciklit të plotë të përdorimit nga prodhimi, magazinimi, tregtimi, përdorimi dhe kthimi për riciklim përpara se ky produkt të ketë humbur vlerat për riciklim. Qeset plastike mbajtëse të oxo-degradueshme nuk konsiderohen si të biodegradueshme sipas përcaktimit të këtij vendimi.</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3. Pa rënë ndesh me kërkesat e tjera të posaçme të këtij vendimi, prodhimi i qeseve plastike mbajtëse, me trashësinë e mureve me të madhe se 35 mikron, bëhet duke përdorur jo më pak se 55% lëndë të parë të përftuar nga riciklimi, ose lëndë të parë ndihmëse alternative joplastike.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4. Prodhuesi i qeseve plastike mbajtëse, sipas përcaktimeve të pikave 2 dhe 3, të këtij kreu, ruan, administron dhe jep informacionin që vërteton respektimin e përcaktimeve të këtij kreu, sipas kërkesave të përcaktuara në këtë vendim.”.</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5. Kreu VIII ndryshon, si më poshtë vijon:</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“VIII. SISTEMI I SHENJIMIT DHE IDENTIFIKIMIT TË AMBALAZHEVE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1. Prodhuesi ose importuesi lejohet të hedhë në treg apo të vendosë në qarkullim qese plastike mbajtëse, sipas përcaktimeve të këtij vendimi, vetëm pasi sigurohet që në të janë të dukshme: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a) inicialet identifikuese të prodhuesit;</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b) shenjat treguese që përcaktojnë llojin e plastikës që është përdorur për prodhimin e qeses apo ambalazhit;</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c) shenjën e aditivit vetëshkatërrues të përdorur;</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ç) datën, muajin dhe vitin e prodhimit;</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d) shenjën identifikuese që tregon se qesja është e riciklueshme dhe duhet depozituar dhe mbledhur e ndarë nga mbetjet organike;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 xml:space="preserve">dh) shenjën për përdorim në kontakt drejtpërdrejt me produktin ushqimor, nëse është prodhuar për atë qëllim. </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2. Prodhuesi, importuesi, tregtuesi apo çdo subjekt tjetër ekonomik, privat apo publik, mban dhe ruan informacion mbi hallkën e mëparshme apo pasuese të qeseve plastike mbajtëse, për një periudhë jo më të vogël se 36 muaj, me qëllim identifikimin dhe gjurmimin e procesit të daljes në qarkullim të këtyre qeseve.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3. Informacioni i përmendur në pikën 1, të këtij kreu, i jepet inspektorit të mjedisit apo nëpunësit të agjencisë së mjedisit, sipas kërkesës së tij me shkrim.</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 xml:space="preserve">4. Agjencia Kombëtare e Mjedisit, në bashkëpunim me Inspektoratin Kombëtar të Mjedisit, organet doganore e tatimore dhe Inspektoratin Qendror Teknik, mbledh dhe administron në mënyrë periodike vjetore informacionin e dërguar nga njësitë e vetëqeverisjes vendore mbi sasinë e qeseve plastike mbajtëse, të kategorizuara sipas përcaktimeve të kreut XII, të këtij vendimi, në qarkullim në territorin e Republikës së Shqipërisë, si dhe sasinë e tyre të përdorur në industrinë ricikluese.”. </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6. Në kreun XII, pika 4 ndryshon, si më poshtë vijon:</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“4. Drejtoria e Përgjithshme e Doganave raporton, brenda datës 28 shkurt të çdo viti, në agjenci, për:</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a)  importet dhe eksportet e mallrave ambalazh dhe të mallrave të ambalazhuara për vitin paraardhës, në bazë të peshës së tyre;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b) sasitë e ambalazheve të prodhuara dhe të hedhura në treg, për vitin paraardhës, në bazë të faturave tatimore përkatëse.”.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7. Në kreun XIV shtohet pika 3, me këtë përmbajtje: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“3. Qeset plastike mbajtëse, të lejuara për t’u hedhur në treg sipas përcaktimeve të këtij vendimi, mund të ofrohen në pikat e shitjes së mallrave apo produkteve, vetëm kundrejt një pagese të posaçme të identifikuar në faturën apo kuponin tatimor.”.</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bookmarkStart w:id="4" w:name="_Hlk504741321"/>
      <w:r w:rsidRPr="00EE17FA">
        <w:rPr>
          <w:rFonts w:ascii="Garamond" w:eastAsia="MS Mincho" w:hAnsi="Garamond" w:cs="CG Times"/>
          <w:spacing w:val="-4"/>
          <w:sz w:val="24"/>
          <w:lang w:val="sq-AL"/>
        </w:rPr>
        <w:lastRenderedPageBreak/>
        <w:t>8. Në kreun XV bëhen këto ndryshime: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a) Pikat 2 dhe 3 ndryshojnë, si më poshtë vijon:</w:t>
      </w:r>
    </w:p>
    <w:bookmarkEnd w:id="4"/>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 xml:space="preserve">“2. Pas 2 muajsh nga hyrja në fuqi e këtij vendimi, ndalohet hedhja në treg apo përdorimi në çdo rast i qeseve të lehta plastike mbajtëse. </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3. Pas 2 muajsh nga hyrja në fuqi e këtij vendimi, ndalohet hedhja në treg apo përdorimi në çdo rast i qeseve plastike mbajtëse të pabiodegradueshme.”.</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b) Pikat 4 dhe 5 shfuqizohen.</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9. Kreu XVI ndryshon, si më poshtë vijon:</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“XVI. ORGANET PËRGJEGJËSE DHE AKTE TË MINISTRIT PËRGJEGJËS PËR MJEDISIN</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 xml:space="preserve">Ngarkohen Ministria, Agjencia Kombëtare e Mjedisit, Inspektorati Qendror Teknik, Inspektorati Kombëtar i Mjedisit, autoritetet doganore dhe ato tatimore, njësitë e vetëqeverisjes vendore, në përputhje me detyrimet ligjore që rrjedhin nga legjislacioni në fuqi që rregullon fushën e veprimtarisë së tyre për zbatimin e këtij vendimi.”. </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10. Kreu XVII ndryshon, si më poshtë vijon:</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“XVII. SANKSIONET</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 xml:space="preserve">Shkelja e parashikimit të: pikës 2, të kreut IV; të pikave 1, 2 e 3, të kreut V; të pikës 1, të kreut VI; të pikës 1, të kreut VII; kreut VIII; të pikave 1 e 2, të kreut IX; të pikës 1, të kreut X; të kreut XI; të pikës 1, të kreut XII; dhe të kreut XV, të këtij vendimi, dënohet sipas përcaktimit të pikës 25, të nenit 62, të ligjit nr. 10463, datë 22.9.2011, “Për menaxhimin e integruar të mbetjeve”, të ndryshuar.”. </w:t>
      </w:r>
    </w:p>
    <w:p w:rsidR="00EE17FA" w:rsidRPr="00EE17FA" w:rsidRDefault="00EE17FA" w:rsidP="00EE17FA">
      <w:pPr>
        <w:widowControl w:val="0"/>
        <w:spacing w:after="0" w:line="240" w:lineRule="auto"/>
        <w:ind w:firstLine="284"/>
        <w:jc w:val="both"/>
        <w:rPr>
          <w:rFonts w:ascii="Garamond" w:eastAsia="MS Mincho" w:hAnsi="Garamond" w:cs="CG Times"/>
          <w:spacing w:val="-4"/>
          <w:sz w:val="24"/>
          <w:lang w:val="sq-AL"/>
        </w:rPr>
      </w:pPr>
      <w:r w:rsidRPr="00EE17FA">
        <w:rPr>
          <w:rFonts w:ascii="Garamond" w:eastAsia="MS Mincho" w:hAnsi="Garamond" w:cs="CG Times"/>
          <w:spacing w:val="-4"/>
          <w:sz w:val="24"/>
          <w:lang w:val="sq-AL"/>
        </w:rPr>
        <w:t xml:space="preserve">Ky vendim hyn në fuqi pas botimit në Fletoren Zyrtare. </w:t>
      </w:r>
    </w:p>
    <w:p w:rsidR="00EE17FA" w:rsidRPr="00EE17FA" w:rsidRDefault="00EE17FA" w:rsidP="00EE17FA">
      <w:pPr>
        <w:widowControl w:val="0"/>
        <w:spacing w:after="0" w:line="240" w:lineRule="auto"/>
        <w:ind w:firstLine="284"/>
        <w:jc w:val="right"/>
        <w:rPr>
          <w:rFonts w:ascii="Garamond" w:eastAsia="MS Mincho" w:hAnsi="Garamond" w:cs="CG Times"/>
          <w:spacing w:val="-4"/>
          <w:sz w:val="14"/>
          <w:lang w:val="sq-AL"/>
        </w:rPr>
      </w:pPr>
    </w:p>
    <w:p w:rsidR="00EE17FA" w:rsidRPr="00EE17FA" w:rsidRDefault="00EE17FA" w:rsidP="00EE17FA">
      <w:pPr>
        <w:widowControl w:val="0"/>
        <w:spacing w:after="0" w:line="240" w:lineRule="auto"/>
        <w:ind w:firstLine="284"/>
        <w:jc w:val="right"/>
        <w:rPr>
          <w:rFonts w:ascii="Garamond" w:eastAsia="MS Mincho" w:hAnsi="Garamond" w:cs="CG Times"/>
          <w:spacing w:val="-4"/>
          <w:sz w:val="24"/>
          <w:lang w:val="sq-AL"/>
        </w:rPr>
      </w:pPr>
      <w:r w:rsidRPr="00EE17FA">
        <w:rPr>
          <w:rFonts w:ascii="Garamond" w:eastAsia="MS Mincho" w:hAnsi="Garamond" w:cs="CG Times"/>
          <w:spacing w:val="-4"/>
          <w:sz w:val="24"/>
          <w:lang w:val="sq-AL"/>
        </w:rPr>
        <w:t>ZËVENDËSKRYEMINISTRI</w:t>
      </w:r>
    </w:p>
    <w:p w:rsidR="00EE17FA" w:rsidRPr="00EE17FA" w:rsidRDefault="00EE17FA" w:rsidP="00EE17FA">
      <w:pPr>
        <w:widowControl w:val="0"/>
        <w:spacing w:after="0" w:line="240" w:lineRule="auto"/>
        <w:ind w:firstLine="284"/>
        <w:jc w:val="right"/>
        <w:rPr>
          <w:rFonts w:ascii="Garamond" w:eastAsia="MS Mincho" w:hAnsi="Garamond" w:cs="CG Times"/>
          <w:b/>
          <w:spacing w:val="-4"/>
          <w:sz w:val="24"/>
          <w:lang w:val="sq-AL"/>
        </w:rPr>
      </w:pPr>
      <w:r w:rsidRPr="00EE17FA">
        <w:rPr>
          <w:rFonts w:ascii="Garamond" w:eastAsia="MS Mincho" w:hAnsi="Garamond" w:cs="CG Times"/>
          <w:b/>
          <w:spacing w:val="-4"/>
          <w:sz w:val="24"/>
          <w:lang w:val="sq-AL"/>
        </w:rPr>
        <w:t>Senida Mesi</w:t>
      </w:r>
    </w:p>
    <w:p w:rsidR="00EE17FA" w:rsidRPr="00EE17FA" w:rsidRDefault="00EE17FA" w:rsidP="00EE17FA">
      <w:pPr>
        <w:keepNext/>
        <w:widowControl w:val="0"/>
        <w:spacing w:after="0" w:line="240" w:lineRule="auto"/>
        <w:jc w:val="both"/>
        <w:outlineLvl w:val="2"/>
        <w:rPr>
          <w:rFonts w:ascii="Garamond" w:eastAsia="MS Mincho" w:hAnsi="Garamond" w:cs="CG Times"/>
          <w:b/>
          <w:bCs/>
          <w:spacing w:val="-4"/>
          <w:sz w:val="24"/>
          <w:lang w:val="sq-AL"/>
        </w:rPr>
      </w:pPr>
    </w:p>
    <w:p w:rsidR="00C6410E" w:rsidRDefault="00C6410E">
      <w:bookmarkStart w:id="5" w:name="_GoBack"/>
      <w:bookmarkEnd w:id="5"/>
    </w:p>
    <w:sectPr w:rsidR="00C641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BC2" w:rsidRDefault="000D2BC2" w:rsidP="00EE17FA">
      <w:pPr>
        <w:spacing w:after="0" w:line="240" w:lineRule="auto"/>
      </w:pPr>
      <w:r>
        <w:separator/>
      </w:r>
    </w:p>
  </w:endnote>
  <w:endnote w:type="continuationSeparator" w:id="0">
    <w:p w:rsidR="000D2BC2" w:rsidRDefault="000D2BC2" w:rsidP="00EE1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BC2" w:rsidRDefault="000D2BC2" w:rsidP="00EE17FA">
      <w:pPr>
        <w:spacing w:after="0" w:line="240" w:lineRule="auto"/>
      </w:pPr>
      <w:r>
        <w:separator/>
      </w:r>
    </w:p>
  </w:footnote>
  <w:footnote w:type="continuationSeparator" w:id="0">
    <w:p w:rsidR="000D2BC2" w:rsidRDefault="000D2BC2" w:rsidP="00EE17FA">
      <w:pPr>
        <w:spacing w:after="0" w:line="240" w:lineRule="auto"/>
      </w:pPr>
      <w:r>
        <w:continuationSeparator/>
      </w:r>
    </w:p>
  </w:footnote>
  <w:footnote w:id="1">
    <w:p w:rsidR="00EE17FA" w:rsidRDefault="00EE17FA" w:rsidP="00EE17FA">
      <w:pPr>
        <w:pStyle w:val="FootnoteText"/>
        <w:rPr>
          <w:rFonts w:ascii="Garamond" w:hAnsi="Garamond"/>
          <w:lang w:val="da-DK"/>
        </w:rPr>
      </w:pPr>
      <w:r>
        <w:rPr>
          <w:rStyle w:val="FootnoteReference"/>
          <w:rFonts w:ascii="Garamond" w:hAnsi="Garamond"/>
        </w:rPr>
        <w:footnoteRef/>
      </w:r>
      <w:r>
        <w:rPr>
          <w:rFonts w:ascii="Garamond" w:hAnsi="Garamond"/>
        </w:rPr>
        <w:t xml:space="preserve"> </w:t>
      </w:r>
      <w:r>
        <w:rPr>
          <w:rFonts w:ascii="Garamond" w:hAnsi="Garamond"/>
          <w:lang w:val="da-DK"/>
        </w:rPr>
        <w:t xml:space="preserve">Ky vendim është përafruar pjesërisht me direktivën </w:t>
      </w:r>
      <w:r>
        <w:rPr>
          <w:rFonts w:ascii="Garamond" w:hAnsi="Garamond"/>
          <w:bCs/>
          <w:lang w:val="da-DK"/>
        </w:rPr>
        <w:t>2015/720/KE të Parlamentit Evropian dhe Këshillit, datë 29 prill 2015, që amendon direktivën 94/62/KE,</w:t>
      </w:r>
      <w:r>
        <w:rPr>
          <w:rFonts w:ascii="Garamond" w:hAnsi="Garamond"/>
        </w:rPr>
        <w:t xml:space="preserve"> </w:t>
      </w:r>
      <w:proofErr w:type="spellStart"/>
      <w:r>
        <w:rPr>
          <w:rFonts w:ascii="Garamond" w:hAnsi="Garamond"/>
        </w:rPr>
        <w:t>në</w:t>
      </w:r>
      <w:proofErr w:type="spellEnd"/>
      <w:r>
        <w:rPr>
          <w:rFonts w:ascii="Garamond" w:hAnsi="Garamond"/>
        </w:rPr>
        <w:t xml:space="preserve"> </w:t>
      </w:r>
      <w:proofErr w:type="spellStart"/>
      <w:r>
        <w:rPr>
          <w:rFonts w:ascii="Garamond" w:hAnsi="Garamond"/>
        </w:rPr>
        <w:t>lidhje</w:t>
      </w:r>
      <w:proofErr w:type="spellEnd"/>
      <w:r>
        <w:rPr>
          <w:rFonts w:ascii="Garamond" w:hAnsi="Garamond"/>
        </w:rPr>
        <w:t xml:space="preserve"> me </w:t>
      </w:r>
      <w:proofErr w:type="spellStart"/>
      <w:r>
        <w:rPr>
          <w:rFonts w:ascii="Garamond" w:hAnsi="Garamond"/>
        </w:rPr>
        <w:t>përdorimin</w:t>
      </w:r>
      <w:proofErr w:type="spellEnd"/>
      <w:r>
        <w:rPr>
          <w:rFonts w:ascii="Garamond" w:hAnsi="Garamond"/>
        </w:rPr>
        <w:t xml:space="preserve"> e </w:t>
      </w:r>
      <w:proofErr w:type="spellStart"/>
      <w:r>
        <w:rPr>
          <w:rFonts w:ascii="Garamond" w:hAnsi="Garamond"/>
        </w:rPr>
        <w:t>qeseve</w:t>
      </w:r>
      <w:proofErr w:type="spellEnd"/>
      <w:r>
        <w:rPr>
          <w:rFonts w:ascii="Garamond" w:hAnsi="Garamond"/>
        </w:rPr>
        <w:t xml:space="preserve"> </w:t>
      </w:r>
      <w:proofErr w:type="spellStart"/>
      <w:r>
        <w:rPr>
          <w:rFonts w:ascii="Garamond" w:hAnsi="Garamond"/>
        </w:rPr>
        <w:t>të</w:t>
      </w:r>
      <w:proofErr w:type="spellEnd"/>
      <w:r>
        <w:rPr>
          <w:rFonts w:ascii="Garamond" w:hAnsi="Garamond"/>
        </w:rPr>
        <w:t xml:space="preserve"> </w:t>
      </w:r>
      <w:proofErr w:type="spellStart"/>
      <w:r>
        <w:rPr>
          <w:rFonts w:ascii="Garamond" w:hAnsi="Garamond"/>
        </w:rPr>
        <w:t>lehta</w:t>
      </w:r>
      <w:proofErr w:type="spellEnd"/>
      <w:r>
        <w:rPr>
          <w:rFonts w:ascii="Garamond" w:hAnsi="Garamond"/>
        </w:rPr>
        <w:t xml:space="preserve"> </w:t>
      </w:r>
      <w:proofErr w:type="spellStart"/>
      <w:r>
        <w:rPr>
          <w:rFonts w:ascii="Garamond" w:hAnsi="Garamond"/>
        </w:rPr>
        <w:t>plastike</w:t>
      </w:r>
      <w:proofErr w:type="spellEnd"/>
      <w:r>
        <w:rPr>
          <w:rFonts w:ascii="Garamond" w:hAnsi="Garamond"/>
        </w:rPr>
        <w:t xml:space="preserve"> </w:t>
      </w:r>
      <w:proofErr w:type="spellStart"/>
      <w:r>
        <w:rPr>
          <w:rFonts w:ascii="Garamond" w:hAnsi="Garamond"/>
        </w:rPr>
        <w:t>mbajtëse</w:t>
      </w:r>
      <w:proofErr w:type="spellEnd"/>
      <w:r>
        <w:rPr>
          <w:rFonts w:ascii="Garamond" w:hAnsi="Garamond"/>
          <w:bCs/>
          <w:lang w:val="da-DK"/>
        </w:rPr>
        <w:t xml:space="preserve">. </w:t>
      </w:r>
      <w:r>
        <w:rPr>
          <w:rFonts w:ascii="Garamond" w:hAnsi="Garamond"/>
          <w:lang w:val="da-DK"/>
        </w:rPr>
        <w:t>Numri CELEX</w:t>
      </w:r>
      <w:r>
        <w:rPr>
          <w:rFonts w:ascii="Garamond" w:hAnsi="Garamond"/>
          <w:b/>
          <w:lang w:val="da-DK"/>
        </w:rPr>
        <w:t xml:space="preserve">: </w:t>
      </w:r>
      <w:r>
        <w:rPr>
          <w:rFonts w:ascii="Garamond" w:hAnsi="Garamond"/>
          <w:color w:val="444444"/>
          <w:lang w:val="da-DK"/>
        </w:rPr>
        <w:t>32015L0720</w:t>
      </w:r>
      <w:r>
        <w:rPr>
          <w:rStyle w:val="apple-converted-space"/>
          <w:rFonts w:ascii="Garamond" w:hAnsi="Garamond"/>
          <w:bCs/>
          <w:lang w:val="da-DK"/>
        </w:rPr>
        <w:t xml:space="preserve">, </w:t>
      </w:r>
      <w:r>
        <w:rPr>
          <w:rFonts w:ascii="Garamond" w:hAnsi="Garamond"/>
          <w:lang w:val="da-DK"/>
        </w:rPr>
        <w:t>Fletorja Zyrtare e Bashkimit Evropian, Seria L, nr. 115, datë 6.5.2015, faqe 11</w:t>
      </w:r>
      <w:r>
        <w:rPr>
          <w:rFonts w:ascii="Garamond" w:hAnsi="Garamond"/>
          <w:iCs/>
          <w:lang w:val="da-DK"/>
        </w:rPr>
        <w:t>–15.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FBA"/>
    <w:rsid w:val="000D2BC2"/>
    <w:rsid w:val="00840FBA"/>
    <w:rsid w:val="00C6410E"/>
    <w:rsid w:val="00EE1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67E11-F938-4799-AC16-34FFF1B7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17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17FA"/>
    <w:rPr>
      <w:sz w:val="20"/>
      <w:szCs w:val="20"/>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nhideWhenUsed/>
    <w:qFormat/>
    <w:rsid w:val="00EE17FA"/>
    <w:rPr>
      <w:vertAlign w:val="superscript"/>
    </w:rPr>
  </w:style>
  <w:style w:type="paragraph" w:customStyle="1" w:styleId="Char2">
    <w:name w:val="Char2"/>
    <w:basedOn w:val="Normal"/>
    <w:link w:val="FootnoteReference"/>
    <w:rsid w:val="00EE17FA"/>
    <w:pPr>
      <w:spacing w:line="240" w:lineRule="exact"/>
    </w:pPr>
    <w:rPr>
      <w:vertAlign w:val="superscript"/>
    </w:rPr>
  </w:style>
  <w:style w:type="character" w:customStyle="1" w:styleId="apple-converted-space">
    <w:name w:val="apple-converted-space"/>
    <w:rsid w:val="00EE1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4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1193</Words>
  <Characters>6806</Characters>
  <Application>Microsoft Office Word</Application>
  <DocSecurity>0</DocSecurity>
  <Lines>56</Lines>
  <Paragraphs>15</Paragraphs>
  <ScaleCrop>false</ScaleCrop>
  <Company/>
  <LinksUpToDate>false</LinksUpToDate>
  <CharactersWithSpaces>7984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2018-05-04T11:16:00Z</dcterms:created>
  <dcterms:modified xsi:type="dcterms:W3CDTF">2018-05-04T11:16:00Z</dcterms:modified>
</cp:coreProperties>
</file>