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CA" w:rsidRDefault="00C131CA" w:rsidP="00C131CA">
      <w:pPr>
        <w:pStyle w:val="NeniTitull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C131CA" w:rsidRDefault="00C131CA" w:rsidP="00C131CA">
      <w:pPr>
        <w:pStyle w:val="NeniTitull"/>
        <w:keepNext w:val="0"/>
        <w:rPr>
          <w:lang w:val="sq-AL"/>
        </w:rPr>
      </w:pPr>
      <w:r>
        <w:rPr>
          <w:lang w:val="sq-AL"/>
        </w:rPr>
        <w:t>Nr. 271, datë 16.5.2018</w:t>
      </w:r>
    </w:p>
    <w:p w:rsidR="00C131CA" w:rsidRDefault="00C131CA" w:rsidP="00C131C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131CA" w:rsidRDefault="00C131CA" w:rsidP="00C131CA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DISA NDRYSHIME DHE SHTESA NË VENDIMIN NR. 646, DATË 22.7.2015, TË KËSHILLIT TË MINISTRAVE, “PËR PËRCAKTIMIN E PROCEDURAVE E TË KRITEREVE TË PËRZGJEDHJES SË ZHVILLUESIT NË ZONËN E TEKNOLOGJISË DHE </w:t>
      </w:r>
    </w:p>
    <w:p w:rsidR="00C131CA" w:rsidRDefault="00C131CA" w:rsidP="00C131CA">
      <w:pPr>
        <w:pStyle w:val="NeniTitull"/>
        <w:keepNext w:val="0"/>
        <w:rPr>
          <w:lang w:val="sq-AL"/>
        </w:rPr>
      </w:pPr>
      <w:r>
        <w:rPr>
          <w:lang w:val="sq-AL"/>
        </w:rPr>
        <w:t>ZHVILLIMIT EKONOMIK”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4, të ligjit nr. 9789, datë 19.7.2007, “Për krijimin dhe funksionimin e zonave të teknologjisë dhe zhvillimit ekonomik”, të ndryshuar, me propozimin e ministrit të Financave dhe Ekonomisë, Këshilli i Ministrave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Në vendimin nr. 646, datë 22.7.2015, të Këshillit të Ministrave, bëhen ndryshimet dhe shtesat, si më poshtë vijon: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C131CA" w:rsidRDefault="00C131CA" w:rsidP="00C131CA">
      <w:pPr>
        <w:pStyle w:val="Paragrafi"/>
        <w:rPr>
          <w:sz w:val="8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Pika 1, e nenit 3, riformulohet, si më poshtë vijon: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“1. Zhvillues i zonës mund të jetë institucioni i qeverisjes qendrore ose njësia e vetëqeverisjes vendore apo çdo person juridik, vendas ose i huaj.”. 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C131CA" w:rsidRDefault="00C131CA" w:rsidP="00C131CA">
      <w:pPr>
        <w:pStyle w:val="Paragrafi"/>
        <w:rPr>
          <w:sz w:val="10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nenin 4 shtohet pika 3, me këtë përmbajtje: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“3. Procedurë jokonkurruese për përcaktimin e zhvilluesit, institucion i qeverisjes qendrore ose njësi e vetëqeverisjes vendore.”. 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Në pikën 3, të nenit 6, pas fjalëve “... kontraktimi i ekspertëve ... ”, shtohen fjalët “... konsulentë nga ministritë ose institucionet shtetërore ... ”.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 xml:space="preserve">Neni 4 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Pas nenit 7 shtohet neni 7/1, me këtë përmbajtje: 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“Neni 7/1</w:t>
      </w:r>
    </w:p>
    <w:p w:rsidR="00C131CA" w:rsidRDefault="00C131CA" w:rsidP="00C131CA">
      <w:pPr>
        <w:pStyle w:val="NeniTitull"/>
        <w:rPr>
          <w:lang w:val="sq-AL"/>
        </w:rPr>
      </w:pPr>
      <w:r>
        <w:rPr>
          <w:lang w:val="sq-AL"/>
        </w:rPr>
        <w:t>Ndryshimi i dokumenteve të konkurrimit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Autoriteti kontraktor, në çdo kohë, përpara mbarimit të afatit të fundit për dorëzimin e ofertave, për çdo lloj arsyeje, me nismën e vet ose me kërkesë për sqarim nga një ofertues, mund të bëjë ndryshime në dokumentet e konkurrimit nëpërmjet hartimit të një shtojce. Çdo shtojcë u komunikohet menjëherë dhe u vihet në dispozicion, edhe në rrugë elektronike, të gjithë ofertuesve që kanë shprehur interesin dhe atyre që janë të interesuar për të marrë pjesë në konkurrim.”.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nenin 8 bëhen ndryshimet dhe shtesa, si më poshtë vijon: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1. Në pikën 1, fjalët “... ose vendas sipas rastit ...” zëvendësohen me “... Buletinin e Njoftimeve Zyrtare ...”.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2. Në fund të pikës 4 shtohet paragrafi, me këtë përmbajtje: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“Sigurimi i ofertës së ofertuesit fitues, kur është kërkuar, do t’i kthehet atij pas dorëzimit të sigurimit </w:t>
      </w:r>
      <w:r>
        <w:rPr>
          <w:lang w:val="sq-AL"/>
        </w:rPr>
        <w:lastRenderedPageBreak/>
        <w:t>të kontratës pranë institucionit përgjegjës.”.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3. Pas pikës 4 shtohet pika 4/1, me këtë përmbajtje: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“4/1. Insti</w:t>
      </w:r>
      <w:r w:rsidR="003C39FB">
        <w:rPr>
          <w:lang w:val="sq-AL"/>
        </w:rPr>
        <w:t>tucioni përgjegjës, përpara për</w:t>
      </w:r>
      <w:r>
        <w:rPr>
          <w:lang w:val="sq-AL"/>
        </w:rPr>
        <w:t>fundimit të periudhës së vlefshmërisë së ofertave, mund t’u kërkojë ofertuesve të zgjasin këtë periudhë për një afat të caktuar, por jo më shumë se kohëzgjatja e afatit fillestar. Në këtë rast,: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a) ofertuesi mund të refuzojë kërkesën pa humbur sigurimin e ofertës dhe vlefshmëria e ofertës së tij përfundon me mbarimin e periudhës fillestare të vlefshmërisë;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b) kur ofertuesi pranon zgjatjen e periudhës së vlefshmërisë, me të zgjatet edhe sigurimi i ofertës apo paraqitet një sigurim i ri oferte, që mbulon periudhën e zgjatur të vlefshmërisë.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Ofertuesi, që nuk zgjat periudhën e sigurimit të ofertës ose që nuk paraqet një sigurim të ri oferte, vlerësohet se e ka refuzuar kërkesën për zgjatje të periudhës së vlefshmërisë së ofertës.”.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4. Në fund të pikës 5 shtohet paragrafi, me këtë përmbajtje: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“Gjatë ekzekutimit të kontratës, nëse janë parashikuar faza për zbatimin e projektit, sipas grafikut të punimeve të propozuar në ofertë, kontraktori mund të kërkojë parashikimin e reduktimit të përqindjes së vlerës së sigurimit në mënyrë përpjesëtimore, por jo më pak se 25% të vlerës korresponduese të sigurimit të kontratës.”.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6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pikën 5, të nenit 9, hiqen fjalët “... në përputhje me përqindjen e pjesëmarrjes në punë/shërbim, të përcaktuara në aktmarrëveshje ...”. 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7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Pas pikës 4, të nenit 12, shtohet pika 5, me këtë përmbajtje: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“5. Procesi i përzgjedhjes së fituesit nga Komisioni i Vlerësimit të Ofertave do të vazhdojë edhe në qoftë se është dorëzuar vetëm 1 (një) ofertë.”. 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8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Në fund të pikës 3, të nenit 13, shtohet paragrafi, me këtë përmbajtje: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“Zgjatja e afatit bëhet për aq sa është e nevojshme për përfundimin e vlerësimit, por jo më shumë se kohëzgjatja e afatit fillestar.”.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Neni 9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Pas nenit 14 shtohet neni 14/1, me këtë përmbajtje: 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P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“Neni 14/1</w:t>
      </w:r>
    </w:p>
    <w:p w:rsidR="00C131CA" w:rsidRDefault="00C131CA" w:rsidP="00C131CA">
      <w:pPr>
        <w:pStyle w:val="NeniTitull"/>
        <w:rPr>
          <w:lang w:val="sq-AL"/>
        </w:rPr>
      </w:pPr>
      <w:r>
        <w:rPr>
          <w:lang w:val="sq-AL"/>
        </w:rPr>
        <w:t>Procedura jokonkurruese për përcaktimin e zhvilluesit, institucion i qeverisjes qendrore ose njësi e vetëqeverisjes vendore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Përcaktimi i zhvilluesit bëhet nga Këshilli i Ministrave, me propozimin e institucionit përgjegjës, sipas procedurës së mëposhtme: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1. Kandidati zhvillues paraqet kërkesën pranë institucionit përgjegjës, së bashku me studimin e parafizibilitetit, për projektin e ndërtimit të zonës së teknologjisë dhe të zhvillimit ekonomik, dhe informacionin e marrë nga Zyra e Regjistrimit të Pasurive të Paluajtshme për statusin aktual të pasurisë, për sipërfaqen, në të cilën do të ndërtohet zona, të shoqëruar me aktin përkatës të pronësisë.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2. Institucioni përgjegjës bën vlerësimin paraprak, në mënyrë që të përcaktojë nëse: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a) objektivat e projektit i shërbejnë interesit publik dhe përshtaten me strategjitë sektoriale apo rajonale të zhvillimit;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b) nuk ka kufizime për zbatimin e projektit;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c) projekti mund të zbatohet siç është planifikuar, duke përdorur teknologjitë e propozuara dhe pa rreziqe të arsyeshme teknike;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ab/>
        <w:t xml:space="preserve">projekti ka qëndrueshmëri ekonomike dhe përshtatshmëri financiare;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d) projekti siguron përshpejtimin e zhvillimit rajonal dhe zgjerimin e lidhjeve ekonomike të tregut shqiptar me atë ndërkombëtar si dhe përshpejtimin e qarkullimit të mallrave e të kapitaleve.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Pas kryerjes së vlerësimit paraprak, instit</w:t>
      </w:r>
      <w:r w:rsidR="003C39FB">
        <w:rPr>
          <w:lang w:val="sq-AL"/>
        </w:rPr>
        <w:t>u</w:t>
      </w:r>
      <w:r>
        <w:rPr>
          <w:lang w:val="sq-AL"/>
        </w:rPr>
        <w:t>cioni përgjegjës shprehet për pranimin e kërkesës dhe kërkon nga institucioni i qeverisjes qendrore ose njësia e vetëqeverisjes vendore plotësimin e të gjitha kritereve vlerësuese, të cilat duhet të jenë në përputhje me kërkesat e nenit 5, të këtij vendimi, përjashtuar paragrafët e tretë dhe të katërt të shkronjës “a’, të shkronjës “D”, të nenit 5, respektivisht kërkesat për tarifën e përdorimit të tokës dhe garancinë bankare për kapitalin e nevojshëm financiar për kryerjen e investimit në zonë.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3. Në rastet kur kandidati për zhvillues është institucioni përgjegjës, merret informacion nga Zyra e Regjistrimit të Pasurive të Paluajtshme për statusin aktual të pasurisë, për sipërfaqen, në të cilën do të ndërtohet zona, të shoqëruar me aktin përkatës të pronës</w:t>
      </w:r>
      <w:r w:rsidR="003C39FB">
        <w:rPr>
          <w:lang w:val="sq-AL"/>
        </w:rPr>
        <w:t>isë, dhe plotësohet doku</w:t>
      </w:r>
      <w:r>
        <w:rPr>
          <w:lang w:val="sq-AL"/>
        </w:rPr>
        <w:t xml:space="preserve">mentacioni i përcaktuar në kriteret vlerësuese, në përputhje me nenin 5, të këtij vendimi, përjashtuar paragrafët e tretë dhe të katërt të shkronjës “a”, të ndarjes “D”, të nenit 5, respektivisht kërkesat për tarifën e përdorimit të tokës dhe garancinë bankare për kapitalin e nevojshëm financiar për kryerjen e investimit në zonë.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4. Kandidati për zhvillues, si pjesë të dokumentacionit, jep të dhëna lidhur me burimin e financimit, kapitalin e nevojshëm financiar për zbatimin e projektit dhe mundësinë e sigurimit të këtyre fondeve.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5. Institucioni përgjegjës, në përputhje me nenin 4, të ligjit, i propozon Këshillit të Ministrave shpalljen e zonës dhe zhvilluesin e saj.”.</w:t>
      </w:r>
    </w:p>
    <w:p w:rsidR="00C131CA" w:rsidRP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 xml:space="preserve">Neni 10 </w:t>
      </w:r>
    </w:p>
    <w:p w:rsidR="00C131CA" w:rsidRDefault="00C131CA" w:rsidP="00C131CA">
      <w:pPr>
        <w:pStyle w:val="Paragrafi"/>
        <w:rPr>
          <w:sz w:val="10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Pas nenit 15 shtohet neni 15/1, me këtë përmbajtje:</w:t>
      </w:r>
    </w:p>
    <w:p w:rsidR="00C131CA" w:rsidRDefault="00C131CA" w:rsidP="00C131CA">
      <w:pPr>
        <w:pStyle w:val="Paragrafi"/>
        <w:rPr>
          <w:sz w:val="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>“Neni 15/1</w:t>
      </w:r>
    </w:p>
    <w:p w:rsidR="00C131CA" w:rsidRDefault="00C131CA" w:rsidP="00C131CA">
      <w:pPr>
        <w:pStyle w:val="NeniTitull"/>
        <w:rPr>
          <w:lang w:val="sq-AL"/>
        </w:rPr>
      </w:pPr>
      <w:r>
        <w:rPr>
          <w:lang w:val="sq-AL"/>
        </w:rPr>
        <w:t>Shqyrtimi i ankimit administrativ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Për shqyrtimin e ankesave administrative, institucioni përgjegjës ndjek hapat, si më poshtë vijon: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1. Titullari i institucionit përgjegjës urdhëron ngritjen e një komisioni të përbërë nga 3 (tre) anëtarë, ku, të paktën, njëri është ekspert i fushës, për të shqyrtuar ankesën dhe për marrjen e një vendimi të arsyetuar. Komisioni i ngarkuar është përgjegjës për vendimin e dhënë në përfundim të shqyrtimit të ankesës.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Anëtarët e komisionit, të ngarkuar për shqyrtimin e ankesës, nuk duhet të kenë qenë pjesë e vendimmarrjes, për të cilën është paraqitur ankesa.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rast se ankimi lidhet me dokumentet e konkurrimit, titullari i autoritetit kontraktor mund t’ia ngarkojë shqyrtimin e ankesës Komisionit të Vlerësimit të Ofertave.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2. Njësia e hartimit të dokumenteve mbledh dhe vendos në dispozicion të komisionit të ngarkuar për shqyrtimin e ankesës gjithë informacionin e nevojshëm për shqyrtimin e saj.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>
        <w:rPr>
          <w:lang w:val="sq-AL"/>
        </w:rPr>
        <w:tab/>
        <w:t xml:space="preserve">Vendimi në lidhje me ankesën duhet të merret brenda 7 (shtatë) ditëve nga marrja e saj. Nëse nga ankuesi kërkohet informacion shtesë, atëherë afati kohor i sipërpërmendur ndërpritet dhe rifillon pasi institucioni përgjegjës ta sigurojë këtë informacion.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3. Në përfundim të shqyrtimit të ankesës, komisioni i ngarkuar për shqyrtimin e saj merr vendim të arsyetuar për refuzimin ose pranimin e ankesës, i cili i komunikohet menjëherë titullarit të institucionit përgjegjës.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Në rastin kur ankesa është pranuar, titullari i institucionit përgjegjës i adreson vendimin për zbatim Komisionit të Vlerësimit të Ofertave.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çdo rast, vendimi i institucionit përgjegjës i komunikohet me shkrim ankimuesit. Për efekt të </w:t>
      </w:r>
      <w:r>
        <w:rPr>
          <w:lang w:val="sq-AL"/>
        </w:rPr>
        <w:lastRenderedPageBreak/>
        <w:t xml:space="preserve">shkurtimit të afateve kohore të procesit të ankimimit, komisioni i ngarkuar për shqyrtimin e ankesës ia komunikon vendimin ankimuesit edhe në adresën elektronike të përcaktuar prej tij në formularin e ankesës, jo më vonë se ditën e nesërme të punës, pas marrjes së vendimit.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ab/>
        <w:t>4. Institucioni përgjegjës, nëse nevojitet, duhet të zgjatë afatin kohor të procedurës së konkurrimit aq sa zgjat periudha e pezullimit. Në rastet kur afatet kohore të procedurës së konkurrimit, për të cilat janë njoftuar ofertuesit, ndryshojnë, për shkak të marrjes parasysh të ankesës, autoriteti kontraktor u shpërndan ofertuesve një njoftim të posaçëm, ku jepen arsyet për zgjatjen e këtyre afateve.”.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NeniNr"/>
        <w:rPr>
          <w:lang w:val="sq-AL"/>
        </w:rPr>
      </w:pPr>
      <w:r>
        <w:rPr>
          <w:lang w:val="sq-AL"/>
        </w:rPr>
        <w:t xml:space="preserve">Neni 11 </w:t>
      </w:r>
    </w:p>
    <w:p w:rsidR="00C131CA" w:rsidRDefault="00C131CA" w:rsidP="00C131CA">
      <w:pPr>
        <w:pStyle w:val="Paragrafi"/>
        <w:rPr>
          <w:sz w:val="14"/>
          <w:lang w:val="sq-AL"/>
        </w:rPr>
      </w:pP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 xml:space="preserve">Në fund të nenit 18 shtohet paragrafi, me këtë përmbajtje: 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“Në raste të veçanta, me kërkesë të argumentuar të grupit të negociimit të kontratës, institucioni përgjegjës mund ta ndryshojë këtë afat. Zgjatja e afatit bëhet për aq sa është e nevojshme për përfundimin e procedurës, në proporcion me vështirësinë e çështjes konkrete, por jo më shumë se kohëzgjatja e afatit fillestar.”.</w:t>
      </w:r>
    </w:p>
    <w:p w:rsidR="00C131CA" w:rsidRDefault="00C131CA" w:rsidP="00C131CA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C131CA" w:rsidRDefault="00C131CA" w:rsidP="00C131CA">
      <w:pPr>
        <w:pStyle w:val="Paragrafi"/>
        <w:jc w:val="right"/>
        <w:rPr>
          <w:sz w:val="14"/>
          <w:lang w:val="sq-AL"/>
        </w:rPr>
      </w:pPr>
    </w:p>
    <w:p w:rsidR="00C131CA" w:rsidRDefault="00C131CA" w:rsidP="00C131CA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131CA" w:rsidRDefault="00C131CA" w:rsidP="00C131C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CA"/>
    <w:rsid w:val="00071622"/>
    <w:rsid w:val="003C39FB"/>
    <w:rsid w:val="00C1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62C0B4-E90E-49C0-93C0-EED12FAC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131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131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131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131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31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2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1464</Words>
  <Characters>8349</Characters>
  <Application>Microsoft Office Word</Application>
  <DocSecurity>0</DocSecurity>
  <Lines>69</Lines>
  <Paragraphs>19</Paragraphs>
  <ScaleCrop>false</ScaleCrop>
  <Company/>
  <LinksUpToDate>false</LinksUpToDate>
  <CharactersWithSpaces>9794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2018-05-23T13:19:00Z</dcterms:created>
  <dcterms:modified xsi:type="dcterms:W3CDTF">2018-05-24T11:07:00Z</dcterms:modified>
</cp:coreProperties>
</file>