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8C8" w:rsidRPr="00D668C8" w:rsidRDefault="00D668C8" w:rsidP="00D668C8">
      <w:pPr>
        <w:keepNext/>
        <w:widowControl w:val="0"/>
        <w:spacing w:after="0" w:line="240" w:lineRule="auto"/>
        <w:jc w:val="center"/>
        <w:outlineLvl w:val="2"/>
        <w:rPr>
          <w:rFonts w:ascii="Garamond" w:eastAsia="MS Mincho" w:hAnsi="Garamond" w:cs="CG Times"/>
          <w:b/>
          <w:bCs/>
          <w:spacing w:val="-4"/>
          <w:sz w:val="24"/>
          <w:lang w:val="sq-AL"/>
        </w:rPr>
      </w:pPr>
      <w:r w:rsidRPr="00D668C8">
        <w:rPr>
          <w:rFonts w:ascii="Garamond" w:eastAsia="MS Mincho" w:hAnsi="Garamond" w:cs="CG Times"/>
          <w:b/>
          <w:bCs/>
          <w:spacing w:val="-4"/>
          <w:sz w:val="24"/>
          <w:lang w:val="sq-AL"/>
        </w:rPr>
        <w:t xml:space="preserve">VENDIM </w:t>
      </w:r>
    </w:p>
    <w:p w:rsidR="00D668C8" w:rsidRPr="00D668C8" w:rsidRDefault="00D668C8" w:rsidP="00D668C8">
      <w:pPr>
        <w:keepNext/>
        <w:widowControl w:val="0"/>
        <w:spacing w:after="0" w:line="240" w:lineRule="auto"/>
        <w:jc w:val="center"/>
        <w:outlineLvl w:val="2"/>
        <w:rPr>
          <w:rFonts w:ascii="Garamond" w:eastAsia="MS Mincho" w:hAnsi="Garamond" w:cs="CG Times"/>
          <w:b/>
          <w:bCs/>
          <w:spacing w:val="-4"/>
          <w:sz w:val="24"/>
          <w:lang w:val="sq-AL"/>
        </w:rPr>
      </w:pPr>
      <w:r w:rsidRPr="00D668C8">
        <w:rPr>
          <w:rFonts w:ascii="Garamond" w:eastAsia="MS Mincho" w:hAnsi="Garamond" w:cs="CG Times"/>
          <w:b/>
          <w:bCs/>
          <w:spacing w:val="-4"/>
          <w:sz w:val="24"/>
          <w:lang w:val="sq-AL"/>
        </w:rPr>
        <w:t>Nr. 349, datë 12.6.2018</w:t>
      </w:r>
    </w:p>
    <w:p w:rsidR="00D668C8" w:rsidRPr="00D668C8" w:rsidRDefault="00D668C8" w:rsidP="00D668C8">
      <w:pPr>
        <w:widowControl w:val="0"/>
        <w:spacing w:after="0" w:line="240" w:lineRule="auto"/>
        <w:ind w:firstLine="284"/>
        <w:jc w:val="both"/>
        <w:rPr>
          <w:rFonts w:ascii="Garamond" w:eastAsia="MS Mincho" w:hAnsi="Garamond" w:cs="CG Times"/>
          <w:spacing w:val="-4"/>
          <w:sz w:val="10"/>
          <w:szCs w:val="24"/>
          <w:lang w:val="sq-AL"/>
        </w:rPr>
      </w:pPr>
    </w:p>
    <w:p w:rsidR="00D668C8" w:rsidRPr="00D668C8" w:rsidRDefault="00D668C8" w:rsidP="00D668C8">
      <w:pPr>
        <w:keepNext/>
        <w:widowControl w:val="0"/>
        <w:spacing w:after="0" w:line="240" w:lineRule="auto"/>
        <w:jc w:val="center"/>
        <w:outlineLvl w:val="2"/>
        <w:rPr>
          <w:rFonts w:ascii="Garamond" w:eastAsia="MS Mincho" w:hAnsi="Garamond" w:cs="CG Times"/>
          <w:b/>
          <w:bCs/>
          <w:spacing w:val="-4"/>
          <w:sz w:val="24"/>
          <w:lang w:val="sq-AL"/>
        </w:rPr>
      </w:pPr>
      <w:r w:rsidRPr="00D668C8">
        <w:rPr>
          <w:rFonts w:ascii="Garamond" w:eastAsia="MS Mincho" w:hAnsi="Garamond" w:cs="CG Times"/>
          <w:b/>
          <w:bCs/>
          <w:spacing w:val="-4"/>
          <w:sz w:val="24"/>
          <w:lang w:val="sq-AL"/>
        </w:rPr>
        <w:t>PËR MIRATIMIN E MASAVE MBËSHTETËSE PËR NXITJEN E PËRDORIMIT TË ENERGJISË ELEKTRIKE NGA BURIMET E RINOVUESHME TË DIELLIT DHE ERËS, SI DHE TË PROCEDURAVE PËR PËRZGJEDHJEN E PROJEKTEVE PËR PËRFITIMIN E TYRE</w:t>
      </w:r>
    </w:p>
    <w:p w:rsidR="00D668C8" w:rsidRPr="00D668C8" w:rsidRDefault="00D668C8" w:rsidP="00D668C8">
      <w:pPr>
        <w:widowControl w:val="0"/>
        <w:spacing w:after="0" w:line="240" w:lineRule="auto"/>
        <w:ind w:firstLine="284"/>
        <w:jc w:val="both"/>
        <w:rPr>
          <w:rFonts w:ascii="Garamond" w:eastAsia="MS Mincho" w:hAnsi="Garamond" w:cs="CG Times"/>
          <w:spacing w:val="-4"/>
          <w:sz w:val="10"/>
          <w:szCs w:val="24"/>
          <w:lang w:val="sq-AL"/>
        </w:rPr>
      </w:pP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Në mbështetje të nenit 100 të Kushtetutës dhe të nenit 8, pikat 1 e 2, të ligjit nr. 7/2017, “Për nxitjen e përdorimit të energjisë nga burimet e rinovueshme”, të ndryshuar, me propozimin e ministrit të Infrastrukturës dhe Energjisë, Këshilli i Ministrave </w:t>
      </w:r>
    </w:p>
    <w:p w:rsidR="00D668C8" w:rsidRPr="00D668C8" w:rsidRDefault="00D668C8" w:rsidP="00D668C8">
      <w:pPr>
        <w:keepNext/>
        <w:widowControl w:val="0"/>
        <w:spacing w:after="0" w:line="240" w:lineRule="auto"/>
        <w:jc w:val="center"/>
        <w:rPr>
          <w:rFonts w:ascii="Garamond" w:eastAsia="MS Mincho" w:hAnsi="Garamond" w:cs="CG Times"/>
          <w:spacing w:val="-4"/>
          <w:sz w:val="24"/>
          <w:lang w:val="sq-AL"/>
        </w:rPr>
      </w:pPr>
      <w:r w:rsidRPr="00D668C8">
        <w:rPr>
          <w:rFonts w:ascii="Garamond" w:eastAsia="MS Mincho" w:hAnsi="Garamond" w:cs="CG Times"/>
          <w:spacing w:val="-4"/>
          <w:sz w:val="24"/>
          <w:lang w:val="sq-AL"/>
        </w:rPr>
        <w:t>VENDOSI:</w:t>
      </w:r>
    </w:p>
    <w:p w:rsidR="00D668C8" w:rsidRPr="00D668C8" w:rsidRDefault="00D668C8" w:rsidP="00D668C8">
      <w:pPr>
        <w:widowControl w:val="0"/>
        <w:spacing w:after="0" w:line="240" w:lineRule="auto"/>
        <w:ind w:firstLine="284"/>
        <w:jc w:val="both"/>
        <w:rPr>
          <w:rFonts w:ascii="Garamond" w:eastAsia="MS Mincho" w:hAnsi="Garamond" w:cs="CG Times"/>
          <w:spacing w:val="-4"/>
          <w:sz w:val="10"/>
          <w:szCs w:val="24"/>
          <w:lang w:val="sq-AL"/>
        </w:rPr>
      </w:pP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DISPOZITA TË PËRGJITHSHME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1. Qëllimi i këtij vendimi është të përcaktojë masat mbështetëse për nxitjen e përdorimit të energjisë elektrike nga burimet e rinovueshme të diellit dhe erës dhe procedurat për përzgjedhjen e projekteve për përfitimin e tyre, në mbështetje të pikës 1, të nenit 8, të ligjit nr. 7/2017, “Për nxitjen e përdorimit të energjisë nga burimet e rinovueshme” dhe objektivave të Planit Kombëtar të Veprimit për Burimet e Rinovueshme.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2. Masat mbështetëse për nxitjen e përdorimit të energjisë elektrike nga burimet e rinovueshme të diellit dhe erës jepen nëpërmjet një procesi konkurrues, të hapur, transparent dhe jodiskriminues, i cili siguron besueshmëri për pjesëmarrësit dhe garanton dhënien e këtyre masave subjekteve që ofrojnë kushtet më të mira për sa i përket çmimit të energjisë, teknologjisë së përdorur dhe mënyrës së ndërtimit të impiantit.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3. Në këtë vendim termat e mëposhtëm kanë këto kuptime: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“Masa mbështetëse” për efekt të këtij vendimi, masat e parashikuara në pikën 5, të kreut I, të këtij vendimi që kanë si qëllim nxitjen e përdorimit të energjisë nga burimet e rinovueshme të diellit dhe erës;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b) </w:t>
      </w:r>
      <w:r w:rsidRPr="00D668C8">
        <w:rPr>
          <w:rFonts w:ascii="Garamond" w:eastAsia="MS Mincho" w:hAnsi="Garamond" w:cs="CG Times"/>
          <w:spacing w:val="-4"/>
          <w:sz w:val="24"/>
          <w:lang w:val="sq-AL"/>
        </w:rPr>
        <w:t>“Proces konkurrues”, procedura e hapur, transparente dhe jodiskriminuese, që mundëson pjesëmarrjen e shoqërive tregtare ose bashkimit të shoqërive tregtare, me qëllim dhënien e masave mbështetëse, në përputhje me dispozitat e këtij vendimi;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“Autoriteti kontraktues”, ministria përgjegjëse për energjinë;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“Ministri”, ministri përgjegjës për energjinë;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“Ofertues”, shoqëria ofertuese ose bashkimi i shoqërive ofertuese që paraqet ofertë në përputhje me përcaktimet e dokumenteve të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sidRPr="00D668C8">
        <w:rPr>
          <w:rFonts w:ascii="Garamond" w:eastAsia="MS Mincho" w:hAnsi="Garamond" w:cs="CG Times"/>
          <w:spacing w:val="-6"/>
          <w:sz w:val="24"/>
          <w:lang w:val="sq-AL"/>
        </w:rPr>
        <w:t>dh) “Komision i posaçëm”, komisioni i krijuar me urdhër të ministrit përgjegjës për energjinë, që përbëhet nga anëtarë specialistë, të cilët kanë njohuritë e duhura teknike, juridike dhe ekonomike;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e) “Dokumentet e procesit konkurrues”, dokumentet, të cilat hartohen nga komisioni i posaçëm i ofertave, sipas përcaktimeve të këtij vendimi, të cilat përcaktojnë formën, kriteret dhe procedurat e pjesëmarrjes, të shqyrtimit të ofertave dhe përzgjedhjes së ofertuesit më të mirë;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ë) “Sigurimi i ofertës”, dokumenti në formën e garancisë bankare të pakushtëzuar, që do të dorëzohet nga ofertuesi së bashku me ofertën;</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f) “Garancia e kontratës”, dokumenti në formën e garancisë bankare të pakushtëzuar që do të dorëzohet nga ofertuesi i përzgjedhur përpara nënshkrimit të marrëveshjes përfundimtare;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g) “Kontrata për blerjen e energjisë elektrike”, modeli i kontratës, e lidhur ndërmjet ofertuesit të përzgjedhur dhe operatorit të ngarkuar me detyrimin e shërbimit publik për blerjen e energjisë elektrike prej një kapaciteti gjenerues nga burimet e rinovueshme të diellit dhe erës, e cila bazohet në garantimin e blerjes së energjisë elektrike me një tarifë të pandryshuar, vlera e të cilit do të dalë nga procesi konkurrues;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gj) “Ofertues i përzgjedhur”, ofertuesi më i mirë i përzgjedhur sipas procedurës konkurruese për zhvillimin e projektit të përzgjedhur për prodhimin e energjisë elektrike prej burimeve të rinovueshme të erës dhe/ose diellit;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lastRenderedPageBreak/>
        <w:t xml:space="preserve">h) “Operatori i ngarkuar me detyrimin e shërbimit publik”, operatori i energjive të rinovueshme, përgjegjës për blerjen e energjisë elektrike nga burimet e rinovueshme, sipas përcaktimeve të vendimit nr. 244, datë 30.3.2016, të Këshillit të Ministrave;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i) “Projekti”, kapaciteti gjenerues i instaluar (në MW) për prodhimin e energjisë elektrike nga burimet e rinovueshme të diellit ose erës, i cili do të realizohet nga ofertuesi i përzgjedhur për përfitimin e masave mbështetëse, në bazë të procedurave konkurruese, sipas përcaktimeve të këtij vendimi;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j) “Shoqëria e projektit”, shoqëria për qëllime të veçanta, që do të themelohet nga ofertuesi i përzgjedhur për realizimin e projektit;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k) “Tarifa e miratuar nga ERE”, tarifa e miratuar nga ERE për energjinë e prodhuar nga dielli dhe era, me vendimin nr. 120, datë 27.7.2017, të Këshillit të Ministrave, “Për përcaktimin e çmimeve të blerjes së energjisë elektrike të prodhuar nga burimet e vogla gjeneruese fotovoltaike me kapacitet të instaluar deri në 2 MW dhe eolike me kapacitet të instaluar deri në 3 MË”, në përputhje me metodologjinë e miratuar me vendimin nr. 369, datë 26.4.2017, të Këshillit të Ministrave, “Për miratimin e metodologjisë për përcaktimin e çmimit të blerjes së energjisë elektrike të prodhuar nga burimet e vogla të rinovueshme nga dielli dhe era”;</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l) “Kontrata për diferencë”, modeli i kontratës së lidhur ndërmjet ofertuesit të përzgjedhur dhe operatorit të ngarkuar me detyrimin e shërbimit publik, e cila bazohet në formën e një shpërblimi për arritjen e çmimit të ofertuar në procedurën konkurruese, si një shtesë mbi çmimin e tregut të ditës në avancë.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4. Çdo term tjetër i përdorur në këtë vendim do ketë kuptimin e dhënë në ligjin nr. 7/2017, “Për nxitjen e përdorimit të energjisë nga burimet e rinovueshme”, dhe të ligjit nr. 43/2015, “Për sektorin e energjisë elektrike”, të ndryshuar.</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5. Me qëllim arritjen e objektivit kombëtar të përcaktuar në Planin Kombëtar të Veprimit për Burimet e Rinovueshme të Energjisë në mënyrën më efektive, miratohen masat mbështetëse, si më poshtë vijon:</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Garantimi i kontratës për blerjen e energjisë elektrike të prodhuar, me një kohëzgjatje maksimale për 15 vjet, duke filluar nga data e dhënies së certifikatës së përdorimit të projektit, në përputhje me marrëveshjen që do të nënshkruhet me autoritetin kontraktor;</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Kalimi, në administrim të autoritetit kontraktor, i pasurive të paluajtshme për realizimin e shfrytëzimin e projektit dhe vënien e tyre në dispozicion të shoqërisë së projektit për të gjithë kohëzgjatjen e tij, në përputhje me marrëveshjen që do të nënshkruhet me autoritetin kontraktor dhe legjislacionin në fuqi;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Garantimi i lidhjes dhe aksesit për përdorimin e rrjetit të transmetimit/shpërndarjes së energjisë së prodhuar, në përputhje me legjislacionin në fuqi;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Garantimi nga ana e autoritetit kontraktues i ndjekjes të të gjitha procedurave për marrjen e lejeve dhe autorizimeve të nevojshme për zbatimin dhe shfrytëzimin e projektit, në përputhje me legjislacionin në fuqi;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d) Mbështetja sipas kontratës për diferencë.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6. Procesi për dhënien e masave mbështetëse duhet të garantojë: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Arritjen e objektivit për përdorimin e energjisë së rinovueshme në përputhje me Planin Kombëtar të Veprimit për Burimet e Rinovueshme të Energjisë brenda afatit kohor të caktuar;</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Dhënien e mbështetjes për blerjen e energjisë me koston më të ulët të mundshme dhe efektivitetin më të madh;</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Besueshmërinë e ofertave dhe realizimin e plotë të projektit;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Të qenit transparent, i hapur, jodiskriminues, objektiv, si dhe sigurimin e besimit të gjerë të investitorëve;</w:t>
      </w:r>
    </w:p>
    <w:p w:rsid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Minimizimin e deformimeve të tregut të energjisë dhe lehtësimin e zhvillimit të tij.</w:t>
      </w:r>
    </w:p>
    <w:p w:rsid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lastRenderedPageBreak/>
        <w:t xml:space="preserve">II. ZHVILLIMI I PROCESIT PËR PËRZGJEDHJEN E PROJEKTIT QË DO TË PËRFITOJË MASAT MBËSHTETËSE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1. Ministri autorizon fillimin e procesit konkurrues për përzgjedhjen e projektit që do të përfitojë masat mbështetëse, duke përcaktuar të dhënat, si më poshtë vijon:</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a) Kapacitetin e instaluar të projektit që do të përfitojë masat mbështetëse;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b) Llojin e teknologjisë së projektit;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c) Vendndodhjen e projektit;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ç) Kushtet për lidhjen me rrjetin, si dhe rregullat për balancimin dhe dispeçerimin;</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 xml:space="preserve">d) Operatorin përgjegjës të ngarkuar me detyrimin e shërbimit publik për blerjen e energjisë;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dh) Dokumentet e nevojshme për zhvillimin e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e) Kriteret e vlerësimit të ofertave;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ë) Afatin e përfundimit të projektit dhe të marrjes së certifikatës së përdorimit.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2. Ministri ngre komisionin e posaçëm, i cili ka këto kompetenca:</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a) Harton, brenda 30 ditëve, dokumentet e procesit konkurrues, që specifikojnë mënyrën e zhvillimit të procesit konkurrues për përfitimin e masave mbështetëse;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z w:val="24"/>
          <w:lang w:val="sq-AL"/>
        </w:rPr>
        <w:t xml:space="preserve">b) Harton kritere të veçanta të aplikimit dhe të kualifikimit, bazuar në përcaktimet e pikës 6, të </w:t>
      </w:r>
      <w:r w:rsidRPr="00D668C8">
        <w:rPr>
          <w:rFonts w:ascii="Garamond" w:eastAsia="MS Mincho" w:hAnsi="Garamond" w:cs="CG Times"/>
          <w:spacing w:val="-4"/>
          <w:sz w:val="24"/>
          <w:lang w:val="sq-AL"/>
        </w:rPr>
        <w:t>kreut II;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Harton metodologjinë e vlerësimit, e cila është pjesë e dokumenteve të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Vlerëson ofertat e ofertuesve bazuar në kriteret e kualifikimit të ofertës;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Harton raportin përfundimtar të vlerësimit dhe e paraqet për miratim pranë ministrit;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dh) Mund të angazhojë ekspertizë të veçantë vendase ose të huaj për të asistuar gjatë zhvillimit të procesit;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e) Çdo funksion tjetër bazuar në parashikimet e këtij vendimi.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3. Dokumentet e procesit konkurrues, ndër të tjera, përmbajnë: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Ftesën për ofertë, e cila publikohet së paku në dy buletine të njoftimeve zyrtare dhe dy gazeta ndërkombëtare, si dhe në faqen e internetit të Ministrisë së Infrastrukturës dhe Energjisë;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Udhëzuesin për pjesëmarrës në proces;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c) Sigurimin e ofertës, i cili lëshohet nga një institucion bankar i besueshëm dhe në formatin e parashikuar në dokumentet e procesit konkurrues;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ç) Afatin e vlefshmërisë së ofertës;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Pagesën e tarifës së pjesëmarrjes në proces;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dh) Kriteret bazë të aplikimit dhe të kualifikimit;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e) Kriteret e vlerësimit të ofertave;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ë) Garancinë e kontratës, e cila lëshohet nga një institucion bankar i besueshëm dhe siguron përm-bushjen e detyrimeve kontraktuale të marrëveshjes;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f) Afatin e paraqitjes së ofertave, i cili në çdo rast nuk do të jetë më pak se 30 ditë;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g) Çdo dokument tjetër që do të vlerësohet nga komisioni i posaçëm në përmbushje të kritereve të kualifikimit.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4. Dokumentet e procesit konkurrues duhet të përfshijnë edhe parimet e mëposhtme referuar tarifës për marrëveshjen e blerjes së energjisë: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Tarifa duhet të jetë në euro/MWh;</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Tarifa duhet të jetë e nivelizuar dhe e pandryshuar për një periudhë deri në 15 vjet;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Tarifa tavan nuk duhet jetë më e lartë se tarifa për të njëjtën teknologji, e miratuar nga ERE.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5. Dokumentet e procesit konkurrues duhet të përfshijnë parimet e mëposhtme, duke iu referuar pagesës sipas kontratës së blerjes së energjisë: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Mënyra e kryerjes së pagesave dhe penalitetet për pagesa të vonuara;</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Përcaktimi i një mekanizmi të duhur të sigurimit të pagesave të energjisë së prodhuar.</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6. Për të siguruar që ofertuesit kanë kapacitetin e nevojshëm për realizimin e projektit, komisioni i </w:t>
      </w:r>
      <w:r w:rsidRPr="00D668C8">
        <w:rPr>
          <w:rFonts w:ascii="Garamond" w:eastAsia="MS Mincho" w:hAnsi="Garamond" w:cs="CG Times"/>
          <w:spacing w:val="-4"/>
          <w:sz w:val="24"/>
          <w:lang w:val="sq-AL"/>
        </w:rPr>
        <w:lastRenderedPageBreak/>
        <w:t>posaçëm do të bazohet në kriteret bazë të aplikimit dhe të kualifikimit, në të cilat, ndër të tjera, përfshihen:</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Kriteret ligjore: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Ekstrakti tregtar i shoqërisë/apo bashkimit të shoqërive. Në rast të bashkimit të shoqërive, ofertat e dorëzuara duhet të shoqërohen me një marrëveshje të përbashkët të ofertimit midis anëtarëve të bashkimit;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 Vërtetime për shlyerjen e detyrimeve tatimore, pagesën e sigurimeve shoqërore, pagesën e detyrimeve të energjisë elektrike dhe të ujësjellës-kanalizimeve dhe që shoqëria nuk është në proces falimentimi dhe/ose likuidimi;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iii. Shoqëria apo bashkimi i shoqërive, si dhe drejtuesit e shoqërisë ofertuese, ose e ndonjë prej shoqërive pjesëmarrëse në bashkimin e shoqërive ofertuese, nuk duhet të jenë në ndjekje penale ose të jenë dënuar me një vendim të formës së prerë.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Kriteret financiare: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Çdo dokumentacion të nevojshëm që vërteton gjendjen financiare të kompanisë dhe provon aftësinë e saj financiare për të realizuar projektin, sipas dokumenteve të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 Pasqyrat financiare, të audituara nga audituesit e licencuar, të tri viteve të fundit të veprimtarisë dhe të depozituara në organet tatimore ose, kur shoqëria ka më pak se tre vjet që është krijuar, për periudhën e ekzistencës së saj, si dhe çdo dokumentacion tjetër financiar që provon aftësitë financiare për të realizuar projektin e propozuar, shoqëruar prej vërtetimit të licencës së audituesit;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iii. Garanci bankare në sigurimin e fondeve, e cila vlerësohet bazuar në përvojën e mëparshme në sigurimin e fondeve nga ana e ofertuesit ose çdo letër mbështetëse për financimin e projektit të marrë nga një institucion bankar i besueshëm.</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Kriteret teknike: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Shoqëria ofertuese ose bashkimi i shoqërive ofertuese duhet të kenë përvojë në të shkuarën për realizimin dhe shfrytëzimin e centraleve të prodhimit të energjisë elektrike prej burimeve të rinovueshme prej diellit dhe/ose erës;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 Në varësi të teknologjisë së përzgjedhur, modulet e paneleve diellore apo të turbinave eolike, inverterat dhe komponentët e tjerë elektrikë dhe elektro-mekanikë, si dhe lidhjet elektrike dhe ndërfaqësimet software dhe hardware të jenë në përputhje me kërkesat e rrjetit, si dhe të sigurojnë ofrimin e të dhënave reale metrike diellore dhe/ose eolike lidhur me prodhimin e pritshëm vjetor të energjisë;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iii. Aparaturat duhet të jenë në përputhje me standardet ndërkombëtare, si dhe kriteret e veçanta të përcaktuara nga komisioni i posaçëm.</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Kriteret e përvojës në fushën e energjisë së rinovueshme: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i. Përvojë në ndërtimin e të paktën një centrali të një kapaciteti të ngjashëm;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 Përvojë në ndërtimin dhe operimin e të paktën një centrali me kapacitet të ngjashëm të prodhimit të energjisë elektrike prej burimeve të rinovueshme;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iii. Përvojë në ushtrimin e aktiviteteve të biznesit në Shqipëri prej shoqërisë ofertuese ose të paktën të njërit nga anëtarët e bashkimit të shoqërive ofertuese.</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Kriteri i besueshmërisë: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sidRPr="00D668C8">
        <w:rPr>
          <w:rFonts w:ascii="Garamond" w:eastAsia="MS Mincho" w:hAnsi="Garamond" w:cs="CG Times"/>
          <w:spacing w:val="-6"/>
          <w:sz w:val="24"/>
          <w:lang w:val="sq-AL"/>
        </w:rPr>
        <w:t>i. Nuk duhet të jetë ose të ketë qenë objekt i penaliteteve ligjore dhe tatimore gjatë veprimtarisë së tyre nga institucionet/agjencitë shqiptare dhe/ose prej vendeve anëtare të Bashkimit Evropian;</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ii. Nuk duhet të jetë i/e listuar që t'i kufizohet ushtrimi i aktivitetit në Shqipëri ose në vendet anëtare të Bashkimit Evropian;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dh) Kritere të tjera të vlerësimit të ofertës: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Ofertuesit duhet të ofrojnë një tarifë të nivelizuar 15-vjeçare në euro/MWh, e cila do të jetë pjesë e kritereve të vlerësimit dhe në çdo rast nuk duhet jetë më e lartë se tarifa për të njëjtën teknologji, e miratuar nga ERE, sipas përcaktimeve në dokumentet e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sidRPr="00D668C8">
        <w:rPr>
          <w:rFonts w:ascii="Garamond" w:eastAsia="MS Mincho" w:hAnsi="Garamond" w:cs="CG Times"/>
          <w:spacing w:val="-6"/>
          <w:sz w:val="24"/>
          <w:lang w:val="sq-AL"/>
        </w:rPr>
        <w:t>ii. Ofertuesit duhet të garantojnë ndërtimin e kapaciteteve të tjera shtesë, përveç atyre të parashikuara si pjesë e masave mbështetëse, sipas përcaktimeve në dokumentet e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7. Të drejtën për të aplikuar e ka:</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lastRenderedPageBreak/>
        <w:t>a) Çdo shoqëri ose bashkim shoqërish ofertuese, që plotëson kriteret e përcaktuara në dokumentet e procesit konkurrues, të parashikuara në këtë vendim;</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Çdo shoqëri ose bashkim shoqërish ofertuese që provojnë kapacitetin teknik, financiar dhe të besueshmërisë për të zhvilluar projektin e specifikuar sipas kritereve të vlerësimit të përcaktuara në pikën 6, të kreut II, të këtij vendimi.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Çdo shoqëri ose bashkim shoqërish ofertuese që paguan tarifat e pjesëmarrjes në procesin konkurrues, siç specifikohet në dokumentet e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sidRPr="00D668C8">
        <w:rPr>
          <w:rFonts w:ascii="Garamond" w:eastAsia="MS Mincho" w:hAnsi="Garamond" w:cs="CG Times"/>
          <w:spacing w:val="-6"/>
          <w:sz w:val="24"/>
          <w:lang w:val="sq-AL"/>
        </w:rPr>
        <w:t>8. Komisioni do të vlerësojë vetëm ofertat e atyre ofertuesve që kanë paraqitur aplikimin e plotë sipas këtij vendimi dhe dokumenteve të procesit dhe që kanë paguar tarifën e pjesëmarrjes në proces.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9. Kostot e zhvillimit të procedurës së mësipërme mbulohen nga ofertuesi i përzgjedhur fitues për ndërtimin e impiantit.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Pr>
          <w:rFonts w:ascii="Garamond" w:eastAsia="MS Mincho" w:hAnsi="Garamond" w:cs="CG Times"/>
          <w:spacing w:val="-6"/>
          <w:sz w:val="24"/>
          <w:lang w:val="sq-AL"/>
        </w:rPr>
        <w:t xml:space="preserve">III. </w:t>
      </w:r>
      <w:bookmarkStart w:id="0" w:name="_GoBack"/>
      <w:bookmarkEnd w:id="0"/>
      <w:r w:rsidRPr="00D668C8">
        <w:rPr>
          <w:rFonts w:ascii="Garamond" w:eastAsia="MS Mincho" w:hAnsi="Garamond" w:cs="CG Times"/>
          <w:spacing w:val="-6"/>
          <w:sz w:val="24"/>
          <w:lang w:val="sq-AL"/>
        </w:rPr>
        <w:t>VLERËSIMI I OFERTAVE, NEGOCIMI DHE LIDHJA E MARRËVESHJES PËRFUNDIMTARE ME OFERTUESIN E PËRZGJEDHUR</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1. Ofertat e ofertuesve do të vlerësohen sipas kritereve të kualifikimit të ofertës të përcaktuara në pikën 6, të kreut II, bazuar në një metodologji të vlerësimit të ofertave, të përbërë me pikë të ndara sipas secilit kriter.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2. Metodologjia e vlerësimit është pjesë e dokumenteve të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3. Për secilin prej kritereve të vlerësimit, ofertuesit duhet të sigurojnë dokumentet e nevojshme, sipas përcaktimeve në dokumentet e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4. Ofertuesi me rezultatin më të lartë, sipas metodologjisë së vlerësimit të ofertës, shpallet ofertuesi i përzgjedhur.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5. Në përfundim të vlerësimit të ofertave, komisioni i posaçëm paraqet për miratim pranë ministrit raportin përfundimtar të vlerësimit.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6. Ministri autorizon negocimin dhe nënshkrimin e marrëveshjes përfundimtare me ofertuesin e përzgjedhur, që përmban të gjitha elementet për zbatimin e suksesshëm të projektit. </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7. Ofertuesi i përzgjedhur duhet të formojë një shoqëri për projektin për të hyrë në marrëveshje përfundimtare, sipas përcaktimeve të këtij vendimi.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8. Ofertuesi i përzgjedhur duhet të zotërojë jo më pak se 51% të aksioneve të kapitalit në shoqërinë e projektit për të paktën tre vjet nga data e operimit tregtar.</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9. Para nënshkrimit të marrëveshjes përfundimtare, ofertuesi i përzgjedhur/shoqëria e projektit duhet të paraqesë garancinë e kontratës, sipas përcaktimeve të dokumenteve të procesit konkurrues.</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10. Ofertuesi i përzgjedhur duhet të garantojë respektimin e rregullave të tregut, si dhe të kërkesave teknike të rrjetit dhe balancimit të ngarkesës në Shqipëri.</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IV. DISPOZITA TË FUNDIT</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Mbështetja sipas kontratës për diferencë bëhet e aplikueshme me krijimin e një tregu funksional të ditës në avancë të aksesueshëm për prodhuesit e energjisë elektrike nga burimet e rinovueshme të diellit e të erës dhe të bërjes efektive të bursës shqiptare të energjisë.</w:t>
      </w:r>
    </w:p>
    <w:p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Ky vendim hyn në fuqi pas botimin në Fletoren Zyrtare.</w:t>
      </w:r>
    </w:p>
    <w:p w:rsidR="00D668C8" w:rsidRPr="00D668C8" w:rsidRDefault="00D668C8" w:rsidP="00D668C8">
      <w:pPr>
        <w:widowControl w:val="0"/>
        <w:tabs>
          <w:tab w:val="left" w:pos="6575"/>
        </w:tabs>
        <w:spacing w:after="0" w:line="240" w:lineRule="auto"/>
        <w:ind w:firstLine="284"/>
        <w:jc w:val="right"/>
        <w:rPr>
          <w:rFonts w:ascii="Garamond" w:eastAsia="MS Mincho" w:hAnsi="Garamond" w:cs="CG Times"/>
          <w:spacing w:val="-4"/>
          <w:sz w:val="24"/>
          <w:lang w:val="sq-AL"/>
        </w:rPr>
      </w:pPr>
      <w:r w:rsidRPr="00D668C8">
        <w:rPr>
          <w:rFonts w:ascii="Garamond" w:eastAsia="MS Mincho" w:hAnsi="Garamond" w:cs="CG Times"/>
          <w:spacing w:val="-4"/>
          <w:sz w:val="24"/>
          <w:lang w:val="sq-AL"/>
        </w:rPr>
        <w:t>KRYEMINISTRI</w:t>
      </w:r>
    </w:p>
    <w:p w:rsidR="00D668C8" w:rsidRPr="00D668C8" w:rsidRDefault="00D668C8" w:rsidP="00D668C8">
      <w:pPr>
        <w:widowControl w:val="0"/>
        <w:tabs>
          <w:tab w:val="left" w:pos="6575"/>
        </w:tabs>
        <w:spacing w:after="0" w:line="240" w:lineRule="auto"/>
        <w:ind w:firstLine="284"/>
        <w:jc w:val="right"/>
        <w:rPr>
          <w:rFonts w:ascii="Garamond" w:eastAsia="MS Mincho" w:hAnsi="Garamond" w:cs="CG Times"/>
          <w:b/>
          <w:spacing w:val="-4"/>
          <w:sz w:val="24"/>
          <w:lang w:val="sq-AL"/>
        </w:rPr>
      </w:pPr>
      <w:r w:rsidRPr="00D668C8">
        <w:rPr>
          <w:rFonts w:ascii="Garamond" w:eastAsia="MS Mincho" w:hAnsi="Garamond" w:cs="CG Times"/>
          <w:b/>
          <w:spacing w:val="-4"/>
          <w:sz w:val="24"/>
          <w:lang w:val="sq-AL"/>
        </w:rPr>
        <w:t>Edi Rama</w:t>
      </w:r>
    </w:p>
    <w:p w:rsidR="00392A9E" w:rsidRDefault="00392A9E"/>
    <w:sectPr w:rsidR="0039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7A"/>
    <w:rsid w:val="001E417A"/>
    <w:rsid w:val="00392A9E"/>
    <w:rsid w:val="00D66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B51397-4CC4-47F6-A51D-243D0BC3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00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2592</Words>
  <Characters>14775</Characters>
  <Application>Microsoft Office Word</Application>
  <DocSecurity>0</DocSecurity>
  <Lines>123</Lines>
  <Paragraphs>34</Paragraphs>
  <ScaleCrop>false</ScaleCrop>
  <Company/>
  <LinksUpToDate>false</LinksUpToDate>
  <CharactersWithSpaces>17333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2018-06-19T13:20:00Z</dcterms:created>
  <dcterms:modified xsi:type="dcterms:W3CDTF">2018-06-19T13:21:00Z</dcterms:modified>
</cp:coreProperties>
</file>